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i w:val="0"/>
          <w:iCs w:val="0"/>
          <w:color w:val="auto"/>
          <w:sz w:val="32"/>
          <w:szCs w:val="32"/>
          <w:highlight w:val="none"/>
          <w:lang w:eastAsia="zh-CN"/>
        </w:rPr>
      </w:pPr>
    </w:p>
    <w:p w14:paraId="06C72DAE">
      <w:pPr>
        <w:jc w:val="center"/>
        <w:rPr>
          <w:rFonts w:hint="eastAsia" w:ascii="黑体" w:hAnsi="黑体" w:eastAsia="黑体"/>
          <w:i w:val="0"/>
          <w:iCs w:val="0"/>
          <w:color w:val="auto"/>
          <w:spacing w:val="5760"/>
          <w:w w:val="100"/>
          <w:kern w:val="0"/>
          <w:sz w:val="36"/>
          <w:szCs w:val="36"/>
          <w:highlight w:val="none"/>
          <w:fitText w:val="6120" w:id="-1002138880"/>
          <w:lang w:val="en-US" w:eastAsia="zh-CN"/>
        </w:rPr>
      </w:pPr>
    </w:p>
    <w:p w14:paraId="7E773705">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兵团政府采购项目</w:t>
      </w:r>
    </w:p>
    <w:p w14:paraId="1B00BC94">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竞争性磋商文件</w:t>
      </w:r>
    </w:p>
    <w:p w14:paraId="4E1FA335">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（服务）</w:t>
      </w:r>
    </w:p>
    <w:p w14:paraId="08B3A613">
      <w:pPr>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（2025年版）</w:t>
      </w:r>
    </w:p>
    <w:p w14:paraId="6C8C8A47">
      <w:pPr>
        <w:jc w:val="center"/>
        <w:rPr>
          <w:rFonts w:ascii="黑体" w:hAnsi="黑体" w:eastAsia="黑体"/>
          <w:i w:val="0"/>
          <w:iCs w:val="0"/>
          <w:color w:val="auto"/>
          <w:sz w:val="72"/>
          <w:szCs w:val="72"/>
          <w:highlight w:val="none"/>
        </w:rPr>
      </w:pPr>
    </w:p>
    <w:p w14:paraId="281ECC9C">
      <w:pPr>
        <w:jc w:val="center"/>
        <w:rPr>
          <w:rFonts w:ascii="黑体" w:hAnsi="黑体" w:eastAsia="黑体"/>
          <w:i w:val="0"/>
          <w:iCs w:val="0"/>
          <w:color w:val="auto"/>
          <w:sz w:val="72"/>
          <w:szCs w:val="72"/>
          <w:highlight w:val="none"/>
        </w:rPr>
      </w:pPr>
    </w:p>
    <w:p w14:paraId="450CD3A6">
      <w:pPr>
        <w:jc w:val="center"/>
        <w:rPr>
          <w:rFonts w:ascii="黑体" w:hAnsi="黑体" w:eastAsia="黑体"/>
          <w:i w:val="0"/>
          <w:iCs w:val="0"/>
          <w:color w:val="auto"/>
          <w:sz w:val="72"/>
          <w:szCs w:val="72"/>
          <w:highlight w:val="none"/>
        </w:rPr>
      </w:pPr>
    </w:p>
    <w:p w14:paraId="5B5CFFCE">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cs="宋体"/>
          <w:i w:val="0"/>
          <w:iCs w:val="0"/>
          <w:color w:val="auto"/>
          <w:sz w:val="36"/>
          <w:szCs w:val="36"/>
          <w:highlight w:val="none"/>
          <w:u w:val="single"/>
          <w:lang w:eastAsia="zh-CN"/>
        </w:rPr>
        <w:t>AKZCYJZXCS20250305-01</w:t>
      </w:r>
    </w:p>
    <w:p w14:paraId="099C4CDE">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cs="宋体"/>
          <w:i w:val="0"/>
          <w:iCs w:val="0"/>
          <w:color w:val="auto"/>
          <w:sz w:val="36"/>
          <w:szCs w:val="36"/>
          <w:highlight w:val="none"/>
          <w:u w:val="single"/>
          <w:lang w:eastAsia="zh-CN"/>
        </w:rPr>
        <w:t>第三师融媒体中心2025年度食堂服务采购项目</w:t>
      </w:r>
    </w:p>
    <w:p w14:paraId="316ED0D4">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采</w:t>
      </w:r>
      <w:r>
        <w:rPr>
          <w:rFonts w:hint="eastAsia" w:ascii="宋体" w:hAnsi="宋体" w:eastAsia="宋体" w:cs="宋体"/>
          <w:i w:val="0"/>
          <w:iCs w:val="0"/>
          <w:color w:val="auto"/>
          <w:sz w:val="36"/>
          <w:szCs w:val="36"/>
          <w:highlight w:val="none"/>
          <w:lang w:val="en-US" w:eastAsia="zh-CN"/>
        </w:rPr>
        <w:t xml:space="preserve"> </w:t>
      </w:r>
      <w:r>
        <w:rPr>
          <w:rFonts w:hint="eastAsia" w:ascii="宋体" w:hAnsi="宋体" w:eastAsia="宋体" w:cs="宋体"/>
          <w:i w:val="0"/>
          <w:iCs w:val="0"/>
          <w:color w:val="auto"/>
          <w:sz w:val="36"/>
          <w:szCs w:val="36"/>
          <w:highlight w:val="none"/>
        </w:rPr>
        <w:t>购</w:t>
      </w:r>
      <w:r>
        <w:rPr>
          <w:rFonts w:hint="eastAsia" w:ascii="宋体" w:hAnsi="宋体" w:eastAsia="宋体" w:cs="宋体"/>
          <w:i w:val="0"/>
          <w:iCs w:val="0"/>
          <w:color w:val="auto"/>
          <w:sz w:val="36"/>
          <w:szCs w:val="36"/>
          <w:highlight w:val="none"/>
          <w:lang w:val="en-US" w:eastAsia="zh-CN"/>
        </w:rPr>
        <w:t xml:space="preserve"> </w:t>
      </w:r>
      <w:r>
        <w:rPr>
          <w:rFonts w:hint="eastAsia" w:ascii="宋体" w:hAnsi="宋体" w:eastAsia="宋体" w:cs="宋体"/>
          <w:i w:val="0"/>
          <w:iCs w:val="0"/>
          <w:color w:val="auto"/>
          <w:sz w:val="36"/>
          <w:szCs w:val="36"/>
          <w:highlight w:val="none"/>
        </w:rPr>
        <w:t>人：</w:t>
      </w:r>
      <w:r>
        <w:rPr>
          <w:rFonts w:hint="eastAsia" w:cs="宋体"/>
          <w:i w:val="0"/>
          <w:iCs w:val="0"/>
          <w:color w:val="auto"/>
          <w:sz w:val="36"/>
          <w:szCs w:val="36"/>
          <w:highlight w:val="none"/>
          <w:u w:val="single"/>
          <w:lang w:val="en-US" w:eastAsia="zh-CN"/>
        </w:rPr>
        <w:t>第三师融媒体中心</w:t>
      </w:r>
    </w:p>
    <w:p w14:paraId="55B2AE18">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采购代理机构：</w:t>
      </w:r>
      <w:r>
        <w:rPr>
          <w:rFonts w:hint="eastAsia" w:ascii="宋体" w:hAnsi="宋体" w:eastAsia="宋体" w:cs="宋体"/>
          <w:i w:val="0"/>
          <w:iCs w:val="0"/>
          <w:color w:val="auto"/>
          <w:sz w:val="36"/>
          <w:szCs w:val="36"/>
          <w:highlight w:val="none"/>
          <w:u w:val="single"/>
          <w:lang w:eastAsia="zh-CN"/>
        </w:rPr>
        <w:t>新疆安可项目管理有限责任公司</w:t>
      </w:r>
    </w:p>
    <w:p w14:paraId="351C4D59">
      <w:pPr>
        <w:rPr>
          <w:rFonts w:ascii="黑体" w:hAnsi="黑体" w:eastAsia="黑体"/>
          <w:i w:val="0"/>
          <w:iCs w:val="0"/>
          <w:color w:val="auto"/>
          <w:highlight w:val="none"/>
        </w:rPr>
      </w:pPr>
    </w:p>
    <w:p w14:paraId="48AF3E86">
      <w:pPr>
        <w:rPr>
          <w:rFonts w:ascii="黑体" w:hAnsi="黑体" w:eastAsia="黑体"/>
          <w:i w:val="0"/>
          <w:iCs w:val="0"/>
          <w:color w:val="auto"/>
          <w:highlight w:val="none"/>
        </w:rPr>
      </w:pPr>
    </w:p>
    <w:p w14:paraId="7CE6B156">
      <w:pPr>
        <w:rPr>
          <w:rFonts w:ascii="黑体" w:hAnsi="黑体" w:eastAsia="黑体"/>
          <w:i w:val="0"/>
          <w:iCs w:val="0"/>
          <w:color w:val="auto"/>
          <w:highlight w:val="none"/>
        </w:rPr>
      </w:pPr>
    </w:p>
    <w:p w14:paraId="3B7B1BF2">
      <w:pPr>
        <w:jc w:val="center"/>
        <w:rPr>
          <w:rFonts w:hint="eastAsia" w:ascii="仿宋" w:hAnsi="仿宋" w:eastAsia="仿宋" w:cs="仿宋"/>
          <w:i w:val="0"/>
          <w:iCs w:val="0"/>
          <w:color w:val="auto"/>
          <w:sz w:val="24"/>
          <w:szCs w:val="24"/>
          <w:highlight w:val="none"/>
        </w:rPr>
      </w:pPr>
      <w:r>
        <w:rPr>
          <w:rFonts w:hint="eastAsia" w:ascii="黑体" w:hAnsi="黑体" w:eastAsia="黑体"/>
          <w:i w:val="0"/>
          <w:iCs w:val="0"/>
          <w:color w:val="auto"/>
          <w:sz w:val="32"/>
          <w:szCs w:val="32"/>
          <w:highlight w:val="none"/>
        </w:rPr>
        <w:t xml:space="preserve">    </w:t>
      </w:r>
    </w:p>
    <w:p w14:paraId="557BC481">
      <w:pPr>
        <w:rPr>
          <w:rFonts w:ascii="黑体" w:hAnsi="黑体" w:eastAsia="黑体"/>
          <w:i w:val="0"/>
          <w:iCs w:val="0"/>
          <w:color w:val="auto"/>
          <w:sz w:val="32"/>
          <w:szCs w:val="32"/>
          <w:highlight w:val="none"/>
        </w:rPr>
        <w:sectPr>
          <w:pgSz w:w="11906" w:h="16838"/>
          <w:pgMar w:top="1440" w:right="1800" w:bottom="1440" w:left="1800" w:header="851" w:footer="992" w:gutter="0"/>
          <w:cols w:space="425" w:num="1"/>
          <w:docGrid w:type="lines" w:linePitch="312" w:charSpace="0"/>
        </w:sectPr>
      </w:pPr>
    </w:p>
    <w:p w14:paraId="63BF5185">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目 录</w:t>
      </w:r>
    </w:p>
    <w:p w14:paraId="27FDC88F">
      <w:pPr>
        <w:pStyle w:val="25"/>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i w:val="0"/>
          <w:iCs w:val="0"/>
          <w:color w:val="auto"/>
          <w:highlight w:val="none"/>
        </w:rPr>
      </w:pPr>
    </w:p>
    <w:p w14:paraId="65862D1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i w:val="0"/>
          <w:iCs w:val="0"/>
          <w:color w:val="auto"/>
          <w:highlight w:val="none"/>
        </w:rPr>
        <w:fldChar w:fldCharType="begin"/>
      </w:r>
      <w:r>
        <w:rPr>
          <w:i w:val="0"/>
          <w:iCs w:val="0"/>
          <w:color w:val="auto"/>
          <w:highlight w:val="none"/>
        </w:rPr>
        <w:instrText xml:space="preserve"> TOC \o "1-3" \h \z \u </w:instrText>
      </w:r>
      <w:r>
        <w:rPr>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_Toc23719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_Toc23719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A1F2625">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_Toc21003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一、</w:t>
      </w:r>
      <w:r>
        <w:rPr>
          <w:rFonts w:hint="eastAsia" w:ascii="宋体" w:hAnsi="宋体" w:eastAsia="宋体" w:cs="宋体"/>
          <w:i w:val="0"/>
          <w:iCs w:val="0"/>
          <w:sz w:val="24"/>
          <w:szCs w:val="24"/>
          <w:highlight w:val="none"/>
          <w:lang w:val="hr-HR"/>
        </w:rPr>
        <w:t>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_Toc21003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C996E56">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_Toc11033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二、申请人的</w:t>
      </w:r>
      <w:r>
        <w:rPr>
          <w:rFonts w:hint="eastAsia" w:ascii="宋体" w:hAnsi="宋体" w:eastAsia="宋体" w:cs="宋体"/>
          <w:bCs/>
          <w:i w:val="0"/>
          <w:iCs w:val="0"/>
          <w:kern w:val="2"/>
          <w:sz w:val="24"/>
          <w:szCs w:val="24"/>
          <w:highlight w:val="none"/>
          <w:lang w:val="hr-HR" w:eastAsia="zh-CN" w:bidi="ar-SA"/>
        </w:rPr>
        <w:t>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_Toc11033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467A04F">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_Toc26657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hr-HR" w:eastAsia="zh-CN" w:bidi="ar-SA"/>
        </w:rPr>
        <w:t>获取</w:t>
      </w:r>
      <w:r>
        <w:rPr>
          <w:rFonts w:hint="eastAsia" w:ascii="宋体" w:hAnsi="宋体" w:eastAsia="宋体" w:cs="宋体"/>
          <w:bCs/>
          <w:i w:val="0"/>
          <w:iCs w:val="0"/>
          <w:kern w:val="2"/>
          <w:sz w:val="24"/>
          <w:szCs w:val="24"/>
          <w:highlight w:val="none"/>
          <w:lang w:val="en-US" w:eastAsia="zh-CN" w:bidi="ar-SA"/>
        </w:rPr>
        <w:t>采购</w:t>
      </w:r>
      <w:r>
        <w:rPr>
          <w:rFonts w:hint="eastAsia" w:ascii="宋体" w:hAnsi="宋体" w:eastAsia="宋体" w:cs="宋体"/>
          <w:bCs/>
          <w:i w:val="0"/>
          <w:iCs w:val="0"/>
          <w:kern w:val="2"/>
          <w:sz w:val="24"/>
          <w:szCs w:val="24"/>
          <w:highlight w:val="none"/>
          <w:lang w:val="hr-HR" w:eastAsia="zh-CN" w:bidi="ar-SA"/>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_Toc26657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BDC75A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spacing w:val="-6"/>
          <w:kern w:val="2"/>
          <w:sz w:val="24"/>
          <w:szCs w:val="24"/>
          <w:highlight w:val="none"/>
          <w:lang w:val="hr-HR" w:eastAsia="zh-CN" w:bidi="ar-SA"/>
        </w:rPr>
        <w:t>响应文件提交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_Toc19038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23B2535">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_Toc16856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_Toc16856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E23DBB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hr-HR" w:eastAsia="zh-CN" w:bidi="ar-SA"/>
        </w:rPr>
        <w:t>公告期限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_Toc582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6FAA143">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_Toc2075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hr-HR" w:eastAsia="zh-CN" w:bidi="ar-SA"/>
        </w:rPr>
        <w:t>七、其他补充事宜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623A422">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_Toc11825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八、</w:t>
      </w:r>
      <w:r>
        <w:rPr>
          <w:rFonts w:hint="eastAsia" w:ascii="宋体" w:hAnsi="宋体" w:eastAsia="宋体" w:cs="宋体"/>
          <w:bCs/>
          <w:i w:val="0"/>
          <w:iCs w:val="0"/>
          <w:kern w:val="2"/>
          <w:sz w:val="24"/>
          <w:szCs w:val="24"/>
          <w:highlight w:val="none"/>
          <w:lang w:val="hr-HR" w:eastAsia="zh-CN" w:bidi="ar-SA"/>
        </w:rPr>
        <w:t>凡对本次采购提出询问，请按以下方式联系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_Toc11825 \h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2A0636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_Toc11873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_Toc11873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BE339A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_Toc19176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_Toc19176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3F7C1C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7075BA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_Toc25233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第三章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_Toc25233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0B0824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_Toc31980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一、采购标的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_Toc31980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DB56F59">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_Toc21526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二、商务要求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_Toc21526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68DA661">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_Toc8025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三、技术要求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_Toc8025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7A24CB38">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_Toc16634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sz w:val="24"/>
          <w:szCs w:val="24"/>
          <w:lang w:val="en-US" w:eastAsia="zh-CN"/>
        </w:rPr>
        <w:t>四、根据磋商情况可能实质性变动的内容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_Toc16634 \h </w:instrText>
      </w:r>
      <w:r>
        <w:rPr>
          <w:rFonts w:hint="eastAsia" w:ascii="宋体" w:hAnsi="宋体" w:eastAsia="宋体" w:cs="宋体"/>
          <w:sz w:val="24"/>
          <w:szCs w:val="24"/>
        </w:rPr>
        <w:fldChar w:fldCharType="separate"/>
      </w:r>
      <w:r>
        <w:rPr>
          <w:b/>
        </w:rPr>
        <w:t>错误！未定义书签。</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F84BDC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_Toc12488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第四章 评审方法及标准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_Toc12488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1B639F2">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一、</w:t>
      </w:r>
      <w:r>
        <w:rPr>
          <w:rFonts w:hint="eastAsia" w:ascii="宋体" w:hAnsi="宋体" w:eastAsia="宋体" w:cs="宋体"/>
          <w:i w:val="0"/>
          <w:iCs w:val="0"/>
          <w:sz w:val="24"/>
          <w:szCs w:val="24"/>
          <w:highlight w:val="none"/>
          <w:lang w:val="zh-CN" w:eastAsia="zh-CN"/>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_Toc1665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2D39C30">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_Toc27740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二、</w:t>
      </w:r>
      <w:r>
        <w:rPr>
          <w:rFonts w:hint="eastAsia" w:ascii="宋体" w:hAnsi="宋体" w:eastAsia="宋体" w:cs="宋体"/>
          <w:i w:val="0"/>
          <w:iCs w:val="0"/>
          <w:sz w:val="24"/>
          <w:szCs w:val="24"/>
          <w:highlight w:val="none"/>
          <w:lang w:val="zh-CN" w:eastAsia="zh-CN"/>
        </w:rPr>
        <w:t>评审程序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_Toc27740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0C8190C8">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_Toc18235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三、</w:t>
      </w:r>
      <w:r>
        <w:rPr>
          <w:rFonts w:hint="eastAsia" w:ascii="宋体" w:hAnsi="宋体" w:eastAsia="宋体" w:cs="宋体"/>
          <w:i w:val="0"/>
          <w:iCs w:val="0"/>
          <w:sz w:val="24"/>
          <w:szCs w:val="24"/>
          <w:highlight w:val="none"/>
          <w:lang w:val="zh-CN" w:eastAsia="zh-CN"/>
        </w:rPr>
        <w:t>评审</w:t>
      </w:r>
      <w:r>
        <w:rPr>
          <w:rFonts w:hint="eastAsia" w:ascii="宋体" w:hAnsi="宋体" w:eastAsia="宋体" w:cs="宋体"/>
          <w:i w:val="0"/>
          <w:iCs w:val="0"/>
          <w:sz w:val="24"/>
          <w:szCs w:val="24"/>
          <w:highlight w:val="none"/>
          <w:lang w:val="en-US" w:eastAsia="zh-CN"/>
        </w:rPr>
        <w:t>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_Toc18235 \h </w:instrText>
      </w:r>
      <w:r>
        <w:rPr>
          <w:rFonts w:hint="eastAsia" w:ascii="宋体" w:hAnsi="宋体" w:eastAsia="宋体" w:cs="宋体"/>
          <w:sz w:val="24"/>
          <w:szCs w:val="24"/>
        </w:rPr>
        <w:fldChar w:fldCharType="separate"/>
      </w:r>
      <w:r>
        <w:rPr>
          <w:rFonts w:hint="eastAsia" w:ascii="宋体" w:hAnsi="宋体" w:eastAsia="宋体" w:cs="宋体"/>
          <w:sz w:val="24"/>
          <w:szCs w:val="24"/>
        </w:rPr>
        <w:t>- 51 -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7436053A">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_Toc9008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val="en-US" w:eastAsia="zh-CN"/>
        </w:rPr>
        <w:t>四、</w:t>
      </w:r>
      <w:r>
        <w:rPr>
          <w:rFonts w:hint="eastAsia" w:ascii="宋体" w:hAnsi="宋体" w:eastAsia="宋体" w:cs="宋体"/>
          <w:i w:val="0"/>
          <w:iCs w:val="0"/>
          <w:sz w:val="24"/>
          <w:szCs w:val="24"/>
          <w:highlight w:val="none"/>
          <w:lang w:val="zh-CN" w:eastAsia="zh-CN"/>
        </w:rPr>
        <w:t>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_Toc9008 \h </w:instrText>
      </w:r>
      <w:r>
        <w:rPr>
          <w:rFonts w:hint="eastAsia" w:ascii="宋体" w:hAnsi="宋体" w:eastAsia="宋体" w:cs="宋体"/>
          <w:sz w:val="24"/>
          <w:szCs w:val="24"/>
        </w:rPr>
        <w:fldChar w:fldCharType="separate"/>
      </w:r>
      <w:r>
        <w:rPr>
          <w:rFonts w:hint="eastAsia" w:ascii="宋体" w:hAnsi="宋体" w:eastAsia="宋体" w:cs="宋体"/>
          <w:sz w:val="24"/>
          <w:szCs w:val="24"/>
        </w:rPr>
        <w:t>- 52 -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D10A42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_Toc31032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第五章 </w:t>
      </w:r>
      <w:r>
        <w:rPr>
          <w:rFonts w:hint="eastAsia" w:ascii="宋体" w:hAnsi="宋体" w:eastAsia="宋体" w:cs="宋体"/>
          <w:bCs/>
          <w:i w:val="0"/>
          <w:iCs w:val="0"/>
          <w:kern w:val="44"/>
          <w:sz w:val="24"/>
          <w:szCs w:val="24"/>
          <w:highlight w:val="none"/>
          <w:lang w:val="zh-CN" w:eastAsia="zh-CN" w:bidi="ar-SA"/>
        </w:rPr>
        <w:t>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_Toc31032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49450EF">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_Toc22362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pacing w:val="-20"/>
          <w:kern w:val="44"/>
          <w:sz w:val="24"/>
          <w:szCs w:val="24"/>
          <w:highlight w:val="none"/>
          <w:lang w:val="en-US" w:eastAsia="zh-CN" w:bidi="ar-SA"/>
        </w:rPr>
        <w:t>政府采购合同参考范本</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_Toc20418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pacing w:val="-20"/>
          <w:kern w:val="44"/>
          <w:sz w:val="24"/>
          <w:szCs w:val="24"/>
          <w:highlight w:val="none"/>
          <w:lang w:val="en-US" w:eastAsia="zh-CN" w:bidi="ar-SA"/>
        </w:rPr>
        <w:t>（服务类）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_Toc20418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1F21800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_Toc3038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44"/>
          <w:sz w:val="24"/>
          <w:szCs w:val="24"/>
          <w:highlight w:val="none"/>
          <w:lang w:val="en-US" w:eastAsia="zh-CN" w:bidi="ar-SA"/>
        </w:rPr>
        <w:t xml:space="preserve">第六章 </w:t>
      </w:r>
      <w:r>
        <w:rPr>
          <w:rFonts w:hint="eastAsia" w:ascii="宋体" w:hAnsi="宋体" w:eastAsia="宋体" w:cs="宋体"/>
          <w:i w:val="0"/>
          <w:iCs w:val="0"/>
          <w:sz w:val="24"/>
          <w:szCs w:val="24"/>
          <w:highlight w:val="none"/>
        </w:rPr>
        <w:t>响应文件的格式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_Toc3038 \h </w:instrText>
      </w:r>
      <w:r>
        <w:rPr>
          <w:rFonts w:hint="eastAsia" w:ascii="宋体" w:hAnsi="宋体" w:eastAsia="宋体" w:cs="宋体"/>
          <w:sz w:val="24"/>
          <w:szCs w:val="24"/>
        </w:rPr>
        <w:fldChar w:fldCharType="separate"/>
      </w:r>
      <w:r>
        <w:rPr>
          <w:rFonts w:hint="eastAsia" w:ascii="宋体" w:hAnsi="宋体" w:eastAsia="宋体" w:cs="宋体"/>
          <w:sz w:val="24"/>
          <w:szCs w:val="24"/>
        </w:rPr>
        <w:t>- 67 -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14F5E1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_Toc25574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_Toc30370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rPr>
        <w:t>资格证明文件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_Toc30370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- 68 -</w:t>
      </w:r>
      <w:r>
        <w:rPr>
          <w:rFonts w:hint="eastAsia" w:ascii="宋体" w:hAnsi="宋体" w:eastAsia="宋体" w:cs="宋体"/>
          <w:b/>
          <w:bCs/>
          <w:sz w:val="24"/>
          <w:szCs w:val="24"/>
        </w:rPr>
        <w:fldChar w:fldCharType="end"/>
      </w:r>
      <w:r>
        <w:rPr>
          <w:rFonts w:hint="eastAsia" w:ascii="宋体" w:hAnsi="宋体" w:eastAsia="宋体" w:cs="宋体"/>
          <w:b/>
          <w:bCs/>
          <w:i w:val="0"/>
          <w:iCs w:val="0"/>
          <w:color w:val="auto"/>
          <w:sz w:val="24"/>
          <w:szCs w:val="24"/>
          <w:highlight w:val="none"/>
        </w:rPr>
        <w:fldChar w:fldCharType="end"/>
      </w:r>
    </w:p>
    <w:p w14:paraId="0646DCA0">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_Toc12516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一、满足《中华人民共和国政府采购法》第二十二条规定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_Toc12516 \h </w:instrText>
      </w:r>
      <w:r>
        <w:rPr>
          <w:rFonts w:hint="eastAsia" w:ascii="宋体" w:hAnsi="宋体" w:eastAsia="宋体" w:cs="宋体"/>
          <w:sz w:val="24"/>
          <w:szCs w:val="24"/>
        </w:rPr>
        <w:fldChar w:fldCharType="separate"/>
      </w:r>
      <w:r>
        <w:rPr>
          <w:rFonts w:hint="eastAsia" w:ascii="宋体" w:hAnsi="宋体" w:eastAsia="宋体" w:cs="宋体"/>
          <w:sz w:val="24"/>
          <w:szCs w:val="24"/>
        </w:rPr>
        <w:t>- 69 -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1518212">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_Toc18882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w:t>
      </w:r>
      <w:r>
        <w:rPr>
          <w:rFonts w:hint="eastAsia" w:ascii="宋体" w:hAnsi="宋体" w:eastAsia="宋体" w:cs="宋体"/>
          <w:bCs/>
          <w:i w:val="0"/>
          <w:iCs w:val="0"/>
          <w:kern w:val="2"/>
          <w:sz w:val="24"/>
          <w:szCs w:val="24"/>
          <w:highlight w:val="none"/>
          <w:lang w:val="zh-CN" w:eastAsia="zh-CN" w:bidi="ar-SA"/>
        </w:rPr>
        <w:t>联合体协议书</w:t>
      </w:r>
      <w:r>
        <w:rPr>
          <w:rFonts w:hint="eastAsia" w:ascii="宋体" w:hAnsi="宋体" w:eastAsia="宋体" w:cs="宋体"/>
          <w:bCs w:val="0"/>
          <w:i w:val="0"/>
          <w:iCs w:val="0"/>
          <w:kern w:val="2"/>
          <w:sz w:val="24"/>
          <w:szCs w:val="24"/>
          <w:highlight w:val="none"/>
          <w:lang w:val="zh-CN" w:eastAsia="zh-CN" w:bidi="ar-SA"/>
        </w:rPr>
        <w:t>【如适用】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_Toc18882 \h </w:instrText>
      </w:r>
      <w:r>
        <w:rPr>
          <w:rFonts w:hint="eastAsia" w:ascii="宋体" w:hAnsi="宋体" w:eastAsia="宋体" w:cs="宋体"/>
          <w:sz w:val="24"/>
          <w:szCs w:val="24"/>
        </w:rPr>
        <w:fldChar w:fldCharType="separate"/>
      </w:r>
      <w:r>
        <w:rPr>
          <w:rFonts w:hint="eastAsia" w:ascii="宋体" w:hAnsi="宋体" w:eastAsia="宋体" w:cs="宋体"/>
          <w:sz w:val="24"/>
          <w:szCs w:val="24"/>
        </w:rPr>
        <w:t>- 72 -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13A563A">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_Toc10112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w:t>
      </w:r>
      <w:r>
        <w:rPr>
          <w:rFonts w:hint="eastAsia" w:ascii="宋体" w:hAnsi="宋体" w:eastAsia="宋体" w:cs="宋体"/>
          <w:bCs/>
          <w:i w:val="0"/>
          <w:iCs w:val="0"/>
          <w:kern w:val="2"/>
          <w:sz w:val="24"/>
          <w:szCs w:val="24"/>
          <w:highlight w:val="none"/>
          <w:lang w:val="zh-CN" w:eastAsia="zh-CN" w:bidi="ar-SA"/>
        </w:rPr>
        <w:t>分包意向协议书</w:t>
      </w:r>
      <w:r>
        <w:rPr>
          <w:rFonts w:hint="eastAsia" w:ascii="宋体" w:hAnsi="宋体" w:eastAsia="宋体" w:cs="宋体"/>
          <w:bCs w:val="0"/>
          <w:i w:val="0"/>
          <w:iCs w:val="0"/>
          <w:kern w:val="2"/>
          <w:sz w:val="24"/>
          <w:szCs w:val="24"/>
          <w:highlight w:val="none"/>
          <w:lang w:val="zh-CN" w:eastAsia="zh-CN" w:bidi="ar-SA"/>
        </w:rPr>
        <w:t>【如适用】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_Toc10112 \h </w:instrText>
      </w:r>
      <w:r>
        <w:rPr>
          <w:rFonts w:hint="eastAsia" w:ascii="宋体" w:hAnsi="宋体" w:eastAsia="宋体" w:cs="宋体"/>
          <w:sz w:val="24"/>
          <w:szCs w:val="24"/>
        </w:rPr>
        <w:fldChar w:fldCharType="separate"/>
      </w:r>
      <w:r>
        <w:rPr>
          <w:rFonts w:hint="eastAsia" w:ascii="宋体" w:hAnsi="宋体" w:eastAsia="宋体" w:cs="宋体"/>
          <w:sz w:val="24"/>
          <w:szCs w:val="24"/>
        </w:rPr>
        <w:t>- 74 -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BC07A99">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_Toc26686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四、落实政府采购政策相关证明文件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_Toc26686 \h </w:instrText>
      </w:r>
      <w:r>
        <w:rPr>
          <w:rFonts w:hint="eastAsia" w:ascii="宋体" w:hAnsi="宋体" w:eastAsia="宋体" w:cs="宋体"/>
          <w:sz w:val="24"/>
          <w:szCs w:val="24"/>
        </w:rPr>
        <w:fldChar w:fldCharType="separate"/>
      </w:r>
      <w:r>
        <w:rPr>
          <w:rFonts w:hint="eastAsia" w:ascii="宋体" w:hAnsi="宋体" w:eastAsia="宋体" w:cs="宋体"/>
          <w:sz w:val="24"/>
          <w:szCs w:val="24"/>
        </w:rPr>
        <w:t>- 76 -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3B628531">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_Toc25754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五、不参与围标串标承诺书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_Toc25754 \h </w:instrText>
      </w:r>
      <w:r>
        <w:rPr>
          <w:rFonts w:hint="eastAsia" w:ascii="宋体" w:hAnsi="宋体" w:eastAsia="宋体" w:cs="宋体"/>
          <w:sz w:val="24"/>
          <w:szCs w:val="24"/>
        </w:rPr>
        <w:fldChar w:fldCharType="separate"/>
      </w:r>
      <w:r>
        <w:rPr>
          <w:rFonts w:hint="eastAsia" w:ascii="宋体" w:hAnsi="宋体" w:eastAsia="宋体" w:cs="宋体"/>
          <w:sz w:val="24"/>
          <w:szCs w:val="24"/>
        </w:rPr>
        <w:t>- 89 -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D50ACB0">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_Toc19980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w:t>
      </w:r>
      <w:r>
        <w:rPr>
          <w:rFonts w:hint="eastAsia" w:ascii="宋体" w:hAnsi="宋体" w:eastAsia="宋体" w:cs="宋体"/>
          <w:bCs/>
          <w:i w:val="0"/>
          <w:iCs w:val="0"/>
          <w:kern w:val="2"/>
          <w:sz w:val="24"/>
          <w:szCs w:val="24"/>
          <w:highlight w:val="none"/>
          <w:lang w:val="zh-CN" w:eastAsia="zh-CN" w:bidi="ar-SA"/>
        </w:rPr>
        <w:t>其他资格证明文件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_Toc19980 \h </w:instrText>
      </w:r>
      <w:r>
        <w:rPr>
          <w:rFonts w:hint="eastAsia" w:ascii="宋体" w:hAnsi="宋体" w:eastAsia="宋体" w:cs="宋体"/>
          <w:sz w:val="24"/>
          <w:szCs w:val="24"/>
        </w:rPr>
        <w:fldChar w:fldCharType="separate"/>
      </w:r>
      <w:r>
        <w:rPr>
          <w:rFonts w:hint="eastAsia" w:ascii="宋体" w:hAnsi="宋体" w:eastAsia="宋体" w:cs="宋体"/>
          <w:sz w:val="24"/>
          <w:szCs w:val="24"/>
        </w:rPr>
        <w:t>- 90 -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3275C96">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_Toc25204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_Toc6323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报价文件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_Toc6323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- 91 -</w:t>
      </w:r>
      <w:r>
        <w:rPr>
          <w:rFonts w:hint="eastAsia" w:ascii="宋体" w:hAnsi="宋体" w:eastAsia="宋体" w:cs="宋体"/>
          <w:b/>
          <w:bCs/>
          <w:sz w:val="24"/>
          <w:szCs w:val="24"/>
        </w:rPr>
        <w:fldChar w:fldCharType="end"/>
      </w:r>
      <w:r>
        <w:rPr>
          <w:rFonts w:hint="eastAsia" w:ascii="宋体" w:hAnsi="宋体" w:eastAsia="宋体" w:cs="宋体"/>
          <w:b/>
          <w:bCs/>
          <w:i w:val="0"/>
          <w:iCs w:val="0"/>
          <w:color w:val="auto"/>
          <w:sz w:val="24"/>
          <w:szCs w:val="24"/>
          <w:highlight w:val="none"/>
        </w:rPr>
        <w:fldChar w:fldCharType="end"/>
      </w:r>
    </w:p>
    <w:p w14:paraId="7F0A25E0">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_Toc10882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一、报价一览表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_Toc10882 \h </w:instrText>
      </w:r>
      <w:r>
        <w:rPr>
          <w:rFonts w:hint="eastAsia" w:ascii="宋体" w:hAnsi="宋体" w:eastAsia="宋体" w:cs="宋体"/>
          <w:sz w:val="24"/>
          <w:szCs w:val="24"/>
        </w:rPr>
        <w:fldChar w:fldCharType="separate"/>
      </w:r>
      <w:r>
        <w:rPr>
          <w:rFonts w:hint="eastAsia" w:ascii="宋体" w:hAnsi="宋体" w:eastAsia="宋体" w:cs="宋体"/>
          <w:sz w:val="24"/>
          <w:szCs w:val="24"/>
        </w:rPr>
        <w:t>- 92 -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72C139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_Toc27300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_Toc27300 \h </w:instrText>
      </w:r>
      <w:r>
        <w:rPr>
          <w:rFonts w:hint="eastAsia" w:ascii="宋体" w:hAnsi="宋体" w:eastAsia="宋体" w:cs="宋体"/>
          <w:sz w:val="24"/>
          <w:szCs w:val="24"/>
        </w:rPr>
        <w:fldChar w:fldCharType="separate"/>
      </w:r>
      <w:r>
        <w:rPr>
          <w:rFonts w:hint="eastAsia" w:ascii="宋体" w:hAnsi="宋体" w:eastAsia="宋体" w:cs="宋体"/>
          <w:sz w:val="24"/>
          <w:szCs w:val="24"/>
        </w:rPr>
        <w:t>- 93 -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539C26D">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_Toc20481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r>
        <w:rPr>
          <w:rFonts w:hint="eastAsia" w:ascii="宋体" w:hAnsi="宋体" w:eastAsia="宋体" w:cs="宋体"/>
          <w:b/>
          <w:bCs/>
          <w:i w:val="0"/>
          <w:iCs w:val="0"/>
          <w:color w:val="auto"/>
          <w:sz w:val="24"/>
          <w:szCs w:val="24"/>
          <w:highlight w:val="none"/>
        </w:rPr>
        <w:fldChar w:fldCharType="end"/>
      </w:r>
      <w:r>
        <w:rPr>
          <w:rFonts w:hint="eastAsia" w:ascii="宋体" w:hAnsi="宋体" w:eastAsia="宋体" w:cs="宋体"/>
          <w:b/>
          <w:bCs/>
          <w:i w:val="0"/>
          <w:iCs w:val="0"/>
          <w:color w:val="auto"/>
          <w:sz w:val="24"/>
          <w:szCs w:val="24"/>
          <w:highlight w:val="none"/>
        </w:rPr>
        <w:fldChar w:fldCharType="begin"/>
      </w:r>
      <w:r>
        <w:rPr>
          <w:rFonts w:hint="eastAsia" w:ascii="宋体" w:hAnsi="宋体" w:eastAsia="宋体" w:cs="宋体"/>
          <w:b/>
          <w:bCs/>
          <w:i w:val="0"/>
          <w:iCs w:val="0"/>
          <w:sz w:val="24"/>
          <w:szCs w:val="24"/>
          <w:highlight w:val="none"/>
        </w:rPr>
        <w:instrText xml:space="preserve"> HYPERLINK \l _Toc23374 </w:instrText>
      </w:r>
      <w:r>
        <w:rPr>
          <w:rFonts w:hint="eastAsia" w:ascii="宋体" w:hAnsi="宋体" w:eastAsia="宋体" w:cs="宋体"/>
          <w:b/>
          <w:bCs/>
          <w:i w:val="0"/>
          <w:iCs w:val="0"/>
          <w:sz w:val="24"/>
          <w:szCs w:val="24"/>
          <w:highlight w:val="none"/>
        </w:rPr>
        <w:fldChar w:fldCharType="separate"/>
      </w:r>
      <w:r>
        <w:rPr>
          <w:rFonts w:hint="eastAsia" w:ascii="宋体" w:hAnsi="宋体" w:eastAsia="宋体" w:cs="宋体"/>
          <w:b/>
          <w:bCs/>
          <w:sz w:val="24"/>
          <w:szCs w:val="24"/>
          <w:lang w:val="en-US" w:eastAsia="zh-CN"/>
        </w:rPr>
        <w:t>商务技术文件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_Toc23374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- 94 -</w:t>
      </w:r>
      <w:r>
        <w:rPr>
          <w:rFonts w:hint="eastAsia" w:ascii="宋体" w:hAnsi="宋体" w:eastAsia="宋体" w:cs="宋体"/>
          <w:b/>
          <w:bCs/>
          <w:sz w:val="24"/>
          <w:szCs w:val="24"/>
        </w:rPr>
        <w:fldChar w:fldCharType="end"/>
      </w:r>
      <w:r>
        <w:rPr>
          <w:rFonts w:hint="eastAsia" w:ascii="宋体" w:hAnsi="宋体" w:eastAsia="宋体" w:cs="宋体"/>
          <w:b/>
          <w:bCs/>
          <w:i w:val="0"/>
          <w:iCs w:val="0"/>
          <w:color w:val="auto"/>
          <w:sz w:val="24"/>
          <w:szCs w:val="24"/>
          <w:highlight w:val="none"/>
        </w:rPr>
        <w:fldChar w:fldCharType="end"/>
      </w:r>
    </w:p>
    <w:p w14:paraId="4425D884">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_Toc16679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一、响应函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_Toc16679 \h </w:instrText>
      </w:r>
      <w:r>
        <w:rPr>
          <w:rFonts w:hint="eastAsia" w:ascii="宋体" w:hAnsi="宋体" w:eastAsia="宋体" w:cs="宋体"/>
          <w:sz w:val="24"/>
          <w:szCs w:val="24"/>
        </w:rPr>
        <w:fldChar w:fldCharType="separate"/>
      </w:r>
      <w:r>
        <w:rPr>
          <w:rFonts w:hint="eastAsia" w:ascii="宋体" w:hAnsi="宋体" w:eastAsia="宋体" w:cs="宋体"/>
          <w:sz w:val="24"/>
          <w:szCs w:val="24"/>
        </w:rPr>
        <w:t>- 95 -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273BB4A">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_Toc2702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_Toc2702 \h </w:instrText>
      </w:r>
      <w:r>
        <w:rPr>
          <w:rFonts w:hint="eastAsia" w:ascii="宋体" w:hAnsi="宋体" w:eastAsia="宋体" w:cs="宋体"/>
          <w:sz w:val="24"/>
          <w:szCs w:val="24"/>
        </w:rPr>
        <w:fldChar w:fldCharType="separate"/>
      </w:r>
      <w:r>
        <w:rPr>
          <w:rFonts w:hint="eastAsia" w:ascii="宋体" w:hAnsi="宋体" w:eastAsia="宋体" w:cs="宋体"/>
          <w:sz w:val="24"/>
          <w:szCs w:val="24"/>
        </w:rPr>
        <w:t>- 97 -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06CD89E5">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_Toc18159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_Toc18159 \h </w:instrText>
      </w:r>
      <w:r>
        <w:rPr>
          <w:rFonts w:hint="eastAsia" w:ascii="宋体" w:hAnsi="宋体" w:eastAsia="宋体" w:cs="宋体"/>
          <w:sz w:val="24"/>
          <w:szCs w:val="24"/>
        </w:rPr>
        <w:fldChar w:fldCharType="separate"/>
      </w:r>
      <w:r>
        <w:rPr>
          <w:rFonts w:hint="eastAsia" w:ascii="宋体" w:hAnsi="宋体" w:eastAsia="宋体" w:cs="宋体"/>
          <w:sz w:val="24"/>
          <w:szCs w:val="24"/>
        </w:rPr>
        <w:t>- 98 -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A0EA584">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_Toc27582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四、</w:t>
      </w:r>
      <w:r>
        <w:rPr>
          <w:rFonts w:hint="eastAsia" w:ascii="宋体" w:hAnsi="宋体" w:eastAsia="宋体" w:cs="宋体"/>
          <w:bCs/>
          <w:i w:val="0"/>
          <w:iCs w:val="0"/>
          <w:kern w:val="2"/>
          <w:sz w:val="24"/>
          <w:szCs w:val="24"/>
          <w:highlight w:val="none"/>
          <w:lang w:val="zh-CN" w:eastAsia="zh-CN" w:bidi="ar-SA"/>
        </w:rPr>
        <w:t>政府采购供应商廉洁自律承诺书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_Toc27582 \h </w:instrText>
      </w:r>
      <w:r>
        <w:rPr>
          <w:rFonts w:hint="eastAsia" w:ascii="宋体" w:hAnsi="宋体" w:eastAsia="宋体" w:cs="宋体"/>
          <w:sz w:val="24"/>
          <w:szCs w:val="24"/>
        </w:rPr>
        <w:fldChar w:fldCharType="separate"/>
      </w:r>
      <w:r>
        <w:rPr>
          <w:rFonts w:hint="eastAsia" w:ascii="宋体" w:hAnsi="宋体" w:eastAsia="宋体" w:cs="宋体"/>
          <w:sz w:val="24"/>
          <w:szCs w:val="24"/>
        </w:rPr>
        <w:t>- 99 -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ADCD971">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_Toc17519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五、实质性响应一览表</w:t>
      </w:r>
      <w:r>
        <w:rPr>
          <w:rFonts w:hint="eastAsia" w:ascii="宋体" w:hAnsi="宋体" w:eastAsia="宋体" w:cs="宋体"/>
          <w:bCs/>
          <w:i w:val="0"/>
          <w:iCs w:val="0"/>
          <w:kern w:val="2"/>
          <w:sz w:val="24"/>
          <w:szCs w:val="24"/>
          <w:highlight w:val="none"/>
          <w:lang w:val="zh-CN" w:eastAsia="zh-CN" w:bidi="ar-SA"/>
        </w:rPr>
        <w:t>【</w:t>
      </w:r>
      <w:r>
        <w:rPr>
          <w:rFonts w:hint="eastAsia" w:ascii="宋体" w:hAnsi="宋体" w:eastAsia="宋体" w:cs="宋体"/>
          <w:bCs/>
          <w:i w:val="0"/>
          <w:iCs w:val="0"/>
          <w:kern w:val="2"/>
          <w:sz w:val="24"/>
          <w:szCs w:val="24"/>
          <w:highlight w:val="none"/>
          <w:lang w:val="en-US" w:eastAsia="zh-CN" w:bidi="ar-SA"/>
        </w:rPr>
        <w:t>本表须与第四章的一致】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_Toc17519 \h </w:instrText>
      </w:r>
      <w:r>
        <w:rPr>
          <w:rFonts w:hint="eastAsia" w:ascii="宋体" w:hAnsi="宋体" w:eastAsia="宋体" w:cs="宋体"/>
          <w:sz w:val="24"/>
          <w:szCs w:val="24"/>
        </w:rPr>
        <w:fldChar w:fldCharType="separate"/>
      </w:r>
      <w:r>
        <w:rPr>
          <w:rFonts w:hint="eastAsia" w:ascii="宋体" w:hAnsi="宋体" w:eastAsia="宋体" w:cs="宋体"/>
          <w:sz w:val="24"/>
          <w:szCs w:val="24"/>
        </w:rPr>
        <w:t>- 100 -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C05C63E">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_Toc9777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六、商务响应偏离表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_Toc9777 \h </w:instrText>
      </w:r>
      <w:r>
        <w:rPr>
          <w:rFonts w:hint="eastAsia" w:ascii="宋体" w:hAnsi="宋体" w:eastAsia="宋体" w:cs="宋体"/>
          <w:sz w:val="24"/>
          <w:szCs w:val="24"/>
        </w:rPr>
        <w:fldChar w:fldCharType="separate"/>
      </w:r>
      <w:r>
        <w:rPr>
          <w:rFonts w:hint="eastAsia" w:ascii="宋体" w:hAnsi="宋体" w:eastAsia="宋体" w:cs="宋体"/>
          <w:sz w:val="24"/>
          <w:szCs w:val="24"/>
        </w:rPr>
        <w:t>- 101 -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7BDAEBE">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_Toc14814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七、业绩证明文件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_Toc14814 \h </w:instrText>
      </w:r>
      <w:r>
        <w:rPr>
          <w:rFonts w:hint="eastAsia" w:ascii="宋体" w:hAnsi="宋体" w:eastAsia="宋体" w:cs="宋体"/>
          <w:sz w:val="24"/>
          <w:szCs w:val="24"/>
        </w:rPr>
        <w:fldChar w:fldCharType="separate"/>
      </w:r>
      <w:r>
        <w:rPr>
          <w:rFonts w:hint="eastAsia" w:ascii="宋体" w:hAnsi="宋体" w:eastAsia="宋体" w:cs="宋体"/>
          <w:sz w:val="24"/>
          <w:szCs w:val="24"/>
        </w:rPr>
        <w:t>- 102 -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50F717A2">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_Toc7854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八、拟派项目团队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_Toc7854 \h </w:instrText>
      </w:r>
      <w:r>
        <w:rPr>
          <w:rFonts w:hint="eastAsia" w:ascii="宋体" w:hAnsi="宋体" w:eastAsia="宋体" w:cs="宋体"/>
          <w:sz w:val="24"/>
          <w:szCs w:val="24"/>
        </w:rPr>
        <w:fldChar w:fldCharType="separate"/>
      </w:r>
      <w:r>
        <w:rPr>
          <w:rFonts w:hint="eastAsia" w:ascii="宋体" w:hAnsi="宋体" w:eastAsia="宋体" w:cs="宋体"/>
          <w:sz w:val="24"/>
          <w:szCs w:val="24"/>
        </w:rPr>
        <w:t>- 103 -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6E32CF26">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_Toc28841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九、技术响应偏离表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_Toc28841 \h </w:instrText>
      </w:r>
      <w:r>
        <w:rPr>
          <w:rFonts w:hint="eastAsia" w:ascii="宋体" w:hAnsi="宋体" w:eastAsia="宋体" w:cs="宋体"/>
          <w:sz w:val="24"/>
          <w:szCs w:val="24"/>
        </w:rPr>
        <w:fldChar w:fldCharType="separate"/>
      </w:r>
      <w:r>
        <w:rPr>
          <w:rFonts w:hint="eastAsia" w:ascii="宋体" w:hAnsi="宋体" w:eastAsia="宋体" w:cs="宋体"/>
          <w:sz w:val="24"/>
          <w:szCs w:val="24"/>
        </w:rPr>
        <w:t>- 104 -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2A2AC4AB">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_Toc6568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十、技术方案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_Toc6568 \h </w:instrText>
      </w:r>
      <w:r>
        <w:rPr>
          <w:rFonts w:hint="eastAsia" w:ascii="宋体" w:hAnsi="宋体" w:eastAsia="宋体" w:cs="宋体"/>
          <w:sz w:val="24"/>
          <w:szCs w:val="24"/>
        </w:rPr>
        <w:fldChar w:fldCharType="separate"/>
      </w:r>
      <w:r>
        <w:rPr>
          <w:rFonts w:hint="eastAsia" w:ascii="宋体" w:hAnsi="宋体" w:eastAsia="宋体" w:cs="宋体"/>
          <w:sz w:val="24"/>
          <w:szCs w:val="24"/>
        </w:rPr>
        <w:t>- 105 -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014DF31">
      <w:pPr>
        <w:pStyle w:val="2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_Toc8520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十一、其他文件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_Toc8520 \h </w:instrText>
      </w:r>
      <w:r>
        <w:rPr>
          <w:rFonts w:hint="eastAsia" w:ascii="宋体" w:hAnsi="宋体" w:eastAsia="宋体" w:cs="宋体"/>
          <w:sz w:val="24"/>
          <w:szCs w:val="24"/>
        </w:rPr>
        <w:fldChar w:fldCharType="separate"/>
      </w:r>
      <w:r>
        <w:rPr>
          <w:rFonts w:hint="eastAsia" w:ascii="宋体" w:hAnsi="宋体" w:eastAsia="宋体" w:cs="宋体"/>
          <w:sz w:val="24"/>
          <w:szCs w:val="24"/>
        </w:rPr>
        <w:t>- 106 -</w:t>
      </w:r>
      <w:r>
        <w:rPr>
          <w:rFonts w:hint="eastAsia" w:ascii="宋体" w:hAnsi="宋体" w:eastAsia="宋体" w:cs="宋体"/>
          <w:sz w:val="24"/>
          <w:szCs w:val="24"/>
        </w:rPr>
        <w:fldChar w:fldCharType="end"/>
      </w:r>
      <w:r>
        <w:rPr>
          <w:rFonts w:hint="eastAsia" w:ascii="宋体" w:hAnsi="宋体" w:eastAsia="宋体" w:cs="宋体"/>
          <w:i w:val="0"/>
          <w:iCs w:val="0"/>
          <w:color w:val="auto"/>
          <w:sz w:val="24"/>
          <w:szCs w:val="24"/>
          <w:highlight w:val="none"/>
        </w:rPr>
        <w:fldChar w:fldCharType="end"/>
      </w:r>
    </w:p>
    <w:p w14:paraId="4D90D7D4">
      <w:pPr>
        <w:rPr>
          <w:rFonts w:ascii="黑体" w:hAnsi="黑体" w:eastAsia="黑体"/>
          <w:i w:val="0"/>
          <w:iCs w:val="0"/>
          <w:color w:val="auto"/>
          <w:sz w:val="32"/>
          <w:szCs w:val="32"/>
          <w:highlight w:val="none"/>
        </w:rPr>
      </w:pPr>
      <w:r>
        <w:rPr>
          <w:i w:val="0"/>
          <w:iCs w:val="0"/>
          <w:color w:val="auto"/>
          <w:highlight w:val="none"/>
        </w:rPr>
        <w:fldChar w:fldCharType="end"/>
      </w:r>
    </w:p>
    <w:p w14:paraId="088B2D6E">
      <w:pPr>
        <w:jc w:val="center"/>
        <w:rPr>
          <w:rFonts w:ascii="黑体" w:hAnsi="黑体" w:eastAsia="黑体"/>
          <w:i w:val="0"/>
          <w:iCs w:val="0"/>
          <w:color w:val="auto"/>
          <w:sz w:val="32"/>
          <w:szCs w:val="32"/>
          <w:highlight w:val="none"/>
        </w:rPr>
        <w:sectPr>
          <w:headerReference r:id="rId5" w:type="default"/>
          <w:pgSz w:w="11906" w:h="16838"/>
          <w:pgMar w:top="1440" w:right="1800" w:bottom="1440" w:left="1800" w:header="851" w:footer="992" w:gutter="0"/>
          <w:cols w:space="425" w:num="1"/>
          <w:docGrid w:type="lines" w:linePitch="312" w:charSpace="0"/>
        </w:sectPr>
      </w:pPr>
    </w:p>
    <w:p w14:paraId="0DDCC6E5">
      <w:pPr>
        <w:pStyle w:val="4"/>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0" w:name="_Toc23719"/>
      <w:r>
        <w:rPr>
          <w:rFonts w:hint="eastAsia" w:ascii="宋体" w:hAnsi="宋体" w:eastAsia="宋体" w:cs="宋体"/>
          <w:b/>
          <w:bCs/>
          <w:i w:val="0"/>
          <w:iCs w:val="0"/>
          <w:color w:val="auto"/>
          <w:kern w:val="44"/>
          <w:sz w:val="36"/>
          <w:szCs w:val="36"/>
          <w:highlight w:val="none"/>
          <w:lang w:val="en-US" w:eastAsia="zh-CN" w:bidi="ar-SA"/>
        </w:rPr>
        <w:t>第一章 竞争性磋商公告</w:t>
      </w:r>
      <w:bookmarkEnd w:id="0"/>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i w:val="0"/>
                <w:iCs w:val="0"/>
                <w:color w:val="auto"/>
                <w:sz w:val="24"/>
                <w:szCs w:val="24"/>
                <w:highlight w:val="none"/>
                <w:lang w:val="en-US" w:eastAsia="zh-CN"/>
              </w:rPr>
            </w:pPr>
            <w:bookmarkStart w:id="1" w:name="_Toc21420"/>
            <w:bookmarkStart w:id="2" w:name="_Toc155185860"/>
            <w:bookmarkStart w:id="3" w:name="_Toc109900248"/>
            <w:bookmarkStart w:id="4" w:name="_Toc28359089"/>
            <w:bookmarkStart w:id="5" w:name="_Toc109899410"/>
            <w:bookmarkStart w:id="6" w:name="_Toc28359012"/>
            <w:bookmarkStart w:id="7" w:name="_Toc35393798"/>
            <w:bookmarkStart w:id="8" w:name="_Toc140132745"/>
            <w:bookmarkStart w:id="9" w:name="_Toc109899829"/>
            <w:bookmarkStart w:id="10" w:name="_Toc163492812"/>
            <w:bookmarkStart w:id="11" w:name="_Toc44583628"/>
            <w:bookmarkStart w:id="12" w:name="_Toc35393629"/>
            <w:r>
              <w:rPr>
                <w:rFonts w:hint="eastAsia"/>
                <w:i w:val="0"/>
                <w:iCs w:val="0"/>
                <w:color w:val="auto"/>
                <w:sz w:val="24"/>
                <w:szCs w:val="24"/>
                <w:highlight w:val="none"/>
                <w:lang w:val="en-US" w:eastAsia="zh-CN"/>
              </w:rPr>
              <w:t>项目概况：</w:t>
            </w:r>
            <w:bookmarkEnd w:id="1"/>
          </w:p>
          <w:p w14:paraId="6CBC7B9E">
            <w:pPr>
              <w:ind w:firstLine="480" w:firstLineChars="200"/>
              <w:rPr>
                <w:rFonts w:hint="default"/>
                <w:i w:val="0"/>
                <w:iCs w:val="0"/>
                <w:color w:val="auto"/>
                <w:highlight w:val="none"/>
                <w:lang w:val="en-US" w:eastAsia="zh-CN"/>
              </w:rPr>
            </w:pP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eastAsia" w:cs="宋体"/>
                <w:color w:val="auto"/>
                <w:sz w:val="24"/>
                <w:szCs w:val="24"/>
                <w:u w:val="single"/>
                <w:lang w:eastAsia="zh-CN"/>
              </w:rPr>
              <w:t>第三师融媒体中心2025年度食堂服务采购项目</w:t>
            </w:r>
            <w:r>
              <w:rPr>
                <w:rFonts w:hint="eastAsia" w:ascii="宋体" w:hAnsi="宋体" w:eastAsia="宋体" w:cstheme="minorBidi"/>
                <w:i w:val="0"/>
                <w:iCs w:val="0"/>
                <w:color w:val="auto"/>
                <w:kern w:val="2"/>
                <w:sz w:val="24"/>
                <w:szCs w:val="24"/>
                <w:highlight w:val="none"/>
                <w:u w:val="single"/>
                <w:shd w:val="clear" w:color="auto" w:fill="FFFFFF" w:themeFill="background1"/>
                <w:lang w:val="hr-HR" w:eastAsia="zh-CN" w:bidi="ar-SA"/>
              </w:rPr>
              <w:t xml:space="preserve"> </w:t>
            </w:r>
            <w:r>
              <w:rPr>
                <w:rFonts w:hint="default" w:ascii="宋体" w:hAnsi="宋体" w:eastAsia="宋体" w:cstheme="minorBidi"/>
                <w:i w:val="0"/>
                <w:iCs w:val="0"/>
                <w:color w:val="auto"/>
                <w:kern w:val="2"/>
                <w:sz w:val="24"/>
                <w:szCs w:val="22"/>
                <w:highlight w:val="none"/>
                <w:u w:val="none"/>
                <w:lang w:val="en-US" w:eastAsia="zh-CN" w:bidi="ar-SA"/>
              </w:rPr>
              <w:t>采购项目的潜在供应商应在</w:t>
            </w:r>
            <w:r>
              <w:rPr>
                <w:rFonts w:hint="eastAsia" w:ascii="宋体" w:hAnsi="宋体" w:cs="宋体"/>
                <w:color w:val="auto"/>
                <w:sz w:val="24"/>
                <w:szCs w:val="24"/>
                <w:u w:val="single"/>
              </w:rPr>
              <w:t>“政采云”平台（http：//www.zcygov.cn</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下同</w:t>
            </w:r>
            <w:r>
              <w:rPr>
                <w:rFonts w:hint="eastAsia" w:ascii="宋体" w:hAnsi="宋体" w:cs="宋体"/>
                <w:color w:val="auto"/>
                <w:sz w:val="24"/>
                <w:szCs w:val="24"/>
                <w:u w:val="single"/>
              </w:rPr>
              <w:t>）</w:t>
            </w:r>
            <w:r>
              <w:rPr>
                <w:rFonts w:hint="default" w:ascii="宋体" w:hAnsi="宋体" w:eastAsia="宋体" w:cstheme="minorBidi"/>
                <w:i w:val="0"/>
                <w:iCs w:val="0"/>
                <w:color w:val="auto"/>
                <w:kern w:val="2"/>
                <w:sz w:val="24"/>
                <w:szCs w:val="22"/>
                <w:highlight w:val="none"/>
                <w:u w:val="none"/>
                <w:lang w:val="en-US" w:eastAsia="zh-CN" w:bidi="ar-SA"/>
              </w:rPr>
              <w:t>获取采购文件，并于</w:t>
            </w:r>
            <w:r>
              <w:rPr>
                <w:rFonts w:hint="eastAsia" w:ascii="宋体" w:hAnsi="宋体" w:cs="宋体"/>
                <w:color w:val="auto"/>
                <w:sz w:val="24"/>
                <w:szCs w:val="24"/>
                <w:u w:val="single"/>
                <w:lang w:eastAsia="zh-CN"/>
              </w:rPr>
              <w:t>2025年0</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eastAsia="zh-CN"/>
              </w:rPr>
              <w:t>月</w:t>
            </w:r>
            <w:r>
              <w:rPr>
                <w:rFonts w:hint="eastAsia" w:cs="宋体"/>
                <w:color w:val="auto"/>
                <w:sz w:val="24"/>
                <w:szCs w:val="24"/>
                <w:u w:val="single"/>
                <w:lang w:val="en-US" w:eastAsia="zh-CN"/>
              </w:rPr>
              <w:t>17</w:t>
            </w:r>
            <w:r>
              <w:rPr>
                <w:rFonts w:hint="eastAsia" w:ascii="宋体" w:hAnsi="宋体" w:cs="宋体"/>
                <w:color w:val="auto"/>
                <w:sz w:val="24"/>
                <w:szCs w:val="24"/>
                <w:u w:val="single"/>
                <w:lang w:eastAsia="zh-CN"/>
              </w:rPr>
              <w:t>日1</w:t>
            </w:r>
            <w:r>
              <w:rPr>
                <w:rFonts w:hint="eastAsia" w:ascii="宋体" w:hAnsi="宋体" w:cs="宋体"/>
                <w:color w:val="auto"/>
                <w:sz w:val="24"/>
                <w:szCs w:val="24"/>
                <w:u w:val="single"/>
                <w:lang w:val="en-US" w:eastAsia="zh-CN"/>
              </w:rPr>
              <w:t>2</w:t>
            </w:r>
            <w:r>
              <w:rPr>
                <w:rFonts w:hint="eastAsia" w:ascii="宋体" w:hAnsi="宋体" w:cs="宋体"/>
                <w:color w:val="auto"/>
                <w:sz w:val="24"/>
                <w:szCs w:val="24"/>
                <w:u w:val="single"/>
                <w:lang w:eastAsia="zh-CN"/>
              </w:rPr>
              <w:t>：00</w:t>
            </w:r>
            <w:r>
              <w:rPr>
                <w:rFonts w:hint="eastAsia" w:ascii="宋体" w:hAnsi="宋体" w:cs="宋体"/>
                <w:color w:val="auto"/>
                <w:sz w:val="24"/>
                <w:szCs w:val="24"/>
              </w:rPr>
              <w:t>（北京时间）</w:t>
            </w:r>
            <w:r>
              <w:rPr>
                <w:rFonts w:hint="default" w:ascii="宋体" w:hAnsi="宋体" w:eastAsia="宋体" w:cstheme="minorBidi"/>
                <w:i w:val="0"/>
                <w:iCs w:val="0"/>
                <w:color w:val="auto"/>
                <w:kern w:val="2"/>
                <w:sz w:val="24"/>
                <w:szCs w:val="22"/>
                <w:highlight w:val="none"/>
                <w:u w:val="none"/>
                <w:lang w:val="en-US" w:eastAsia="zh-CN" w:bidi="ar-SA"/>
              </w:rPr>
              <w:t>前提交响应文件。</w:t>
            </w:r>
          </w:p>
        </w:tc>
      </w:tr>
    </w:tbl>
    <w:p w14:paraId="4072DEF0">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rPr>
      </w:pPr>
      <w:bookmarkStart w:id="13" w:name="_Toc21003"/>
      <w:r>
        <w:rPr>
          <w:rFonts w:hint="eastAsia" w:ascii="宋体" w:hAnsi="宋体" w:eastAsia="宋体" w:cs="宋体"/>
          <w:b/>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5E3A1EB6">
      <w:pPr>
        <w:pStyle w:val="41"/>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hr-HR"/>
        </w:rPr>
        <w:t>1.项目编号：</w:t>
      </w:r>
      <w:r>
        <w:rPr>
          <w:rFonts w:hint="eastAsia" w:cs="宋体"/>
          <w:i w:val="0"/>
          <w:iCs w:val="0"/>
          <w:color w:val="auto"/>
          <w:sz w:val="24"/>
          <w:szCs w:val="24"/>
          <w:highlight w:val="none"/>
          <w:u w:val="single"/>
          <w:lang w:val="hr-HR" w:eastAsia="zh-CN"/>
        </w:rPr>
        <w:t>AKZCYJZXCS20250305-01</w:t>
      </w:r>
    </w:p>
    <w:p w14:paraId="1C4E1862">
      <w:pPr>
        <w:pStyle w:val="41"/>
        <w:ind w:left="1920" w:leftChars="200" w:hanging="1440" w:hangingChars="600"/>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rPr>
        <w:t>.项目名称：</w:t>
      </w:r>
      <w:r>
        <w:rPr>
          <w:rFonts w:hint="eastAsia" w:cs="宋体"/>
          <w:i w:val="0"/>
          <w:iCs w:val="0"/>
          <w:color w:val="auto"/>
          <w:sz w:val="24"/>
          <w:szCs w:val="24"/>
          <w:highlight w:val="none"/>
          <w:u w:val="single"/>
          <w:lang w:val="hr-HR" w:eastAsia="zh-CN"/>
        </w:rPr>
        <w:t>第三师融媒体中心2025年度食堂服务采购项目</w:t>
      </w:r>
    </w:p>
    <w:p w14:paraId="6CEB84EC">
      <w:pPr>
        <w:pStyle w:val="41"/>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.采购方式：</w:t>
      </w:r>
      <w:r>
        <w:rPr>
          <w:rFonts w:hint="eastAsia" w:ascii="宋体" w:hAnsi="宋体" w:eastAsia="宋体" w:cs="宋体"/>
          <w:i w:val="0"/>
          <w:iCs w:val="0"/>
          <w:color w:val="auto"/>
          <w:sz w:val="24"/>
          <w:szCs w:val="24"/>
          <w:highlight w:val="none"/>
          <w:u w:val="single"/>
          <w:lang w:val="en-US" w:eastAsia="zh-CN"/>
        </w:rPr>
        <w:t>竞争性磋商</w:t>
      </w:r>
    </w:p>
    <w:p w14:paraId="1578BD4E">
      <w:pPr>
        <w:pStyle w:val="41"/>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hr-HR"/>
        </w:rPr>
        <w:t>.预算金额：</w:t>
      </w:r>
      <w:r>
        <w:rPr>
          <w:rFonts w:hint="eastAsia" w:cs="宋体"/>
          <w:i w:val="0"/>
          <w:iCs w:val="0"/>
          <w:color w:val="auto"/>
          <w:sz w:val="24"/>
          <w:szCs w:val="24"/>
          <w:highlight w:val="none"/>
          <w:u w:val="single"/>
          <w:lang w:val="hr-HR" w:eastAsia="zh-CN"/>
        </w:rPr>
        <w:t>720000</w:t>
      </w:r>
      <w:r>
        <w:rPr>
          <w:rFonts w:hint="eastAsia" w:cs="宋体"/>
          <w:i w:val="0"/>
          <w:iCs w:val="0"/>
          <w:color w:val="auto"/>
          <w:sz w:val="24"/>
          <w:szCs w:val="24"/>
          <w:highlight w:val="none"/>
          <w:u w:val="single"/>
          <w:lang w:val="en-US" w:eastAsia="zh-CN"/>
        </w:rPr>
        <w:t>.00元</w:t>
      </w:r>
    </w:p>
    <w:p w14:paraId="539C601C">
      <w:pPr>
        <w:pStyle w:val="41"/>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highlight w:val="none"/>
          <w:lang w:val="hr-HR"/>
        </w:rPr>
        <w:t>：</w:t>
      </w:r>
      <w:r>
        <w:rPr>
          <w:rFonts w:hint="eastAsia" w:cs="宋体"/>
          <w:i w:val="0"/>
          <w:iCs w:val="0"/>
          <w:color w:val="auto"/>
          <w:sz w:val="24"/>
          <w:szCs w:val="24"/>
          <w:highlight w:val="none"/>
          <w:u w:val="single"/>
          <w:lang w:val="hr-HR" w:eastAsia="zh-CN"/>
        </w:rPr>
        <w:t>720000</w:t>
      </w:r>
      <w:r>
        <w:rPr>
          <w:rFonts w:hint="eastAsia" w:cs="宋体"/>
          <w:i w:val="0"/>
          <w:iCs w:val="0"/>
          <w:color w:val="auto"/>
          <w:sz w:val="24"/>
          <w:szCs w:val="24"/>
          <w:highlight w:val="none"/>
          <w:u w:val="single"/>
          <w:lang w:val="en-US" w:eastAsia="zh-CN"/>
        </w:rPr>
        <w:t>.00元</w:t>
      </w:r>
    </w:p>
    <w:p w14:paraId="601A9C8F">
      <w:pPr>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hr-HR"/>
        </w:rPr>
        <w:t>.采购需求：</w:t>
      </w:r>
      <w:r>
        <w:rPr>
          <w:rFonts w:hint="eastAsia" w:cs="宋体"/>
          <w:i w:val="0"/>
          <w:iCs w:val="0"/>
          <w:color w:val="auto"/>
          <w:sz w:val="24"/>
          <w:szCs w:val="24"/>
          <w:highlight w:val="none"/>
          <w:u w:val="single"/>
          <w:lang w:val="en-US" w:eastAsia="zh-CN"/>
        </w:rPr>
        <w:t>食堂对外承包运营，满足我中心60人左右的用餐需求</w:t>
      </w:r>
      <w:r>
        <w:rPr>
          <w:rFonts w:hint="eastAsia" w:cs="宋体"/>
          <w:i w:val="0"/>
          <w:iCs w:val="0"/>
          <w:color w:val="auto"/>
          <w:sz w:val="24"/>
          <w:szCs w:val="24"/>
          <w:highlight w:val="none"/>
          <w:u w:val="single"/>
          <w:lang w:val="hr-HR" w:eastAsia="zh-CN"/>
        </w:rPr>
        <w:t>，详见采购文件第三部分“采购需求”。</w:t>
      </w:r>
    </w:p>
    <w:p w14:paraId="7B9535B0">
      <w:pPr>
        <w:pStyle w:val="41"/>
        <w:keepNext w:val="0"/>
        <w:keepLines w:val="0"/>
        <w:pageBreakBefore w:val="0"/>
        <w:widowControl w:val="0"/>
        <w:kinsoku/>
        <w:wordWrap w:val="0"/>
        <w:overflowPunct/>
        <w:topLinePunct w:val="0"/>
        <w:autoSpaceDE/>
        <w:autoSpaceDN/>
        <w:bidi w:val="0"/>
        <w:adjustRightInd/>
        <w:snapToGrid/>
        <w:ind w:firstLine="482"/>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.合同</w:t>
      </w:r>
      <w:r>
        <w:rPr>
          <w:rFonts w:hint="eastAsia" w:ascii="宋体" w:hAnsi="宋体" w:eastAsia="宋体" w:cs="宋体"/>
          <w:i w:val="0"/>
          <w:iCs w:val="0"/>
          <w:color w:val="auto"/>
          <w:sz w:val="24"/>
          <w:szCs w:val="24"/>
          <w:highlight w:val="none"/>
          <w:lang w:val="en-US" w:eastAsia="zh-CN"/>
        </w:rPr>
        <w:t>服务</w:t>
      </w:r>
      <w:r>
        <w:rPr>
          <w:rFonts w:hint="eastAsia" w:ascii="宋体" w:hAnsi="宋体" w:eastAsia="宋体" w:cs="宋体"/>
          <w:i w:val="0"/>
          <w:iCs w:val="0"/>
          <w:color w:val="auto"/>
          <w:sz w:val="24"/>
          <w:szCs w:val="24"/>
          <w:highlight w:val="none"/>
        </w:rPr>
        <w:t>履行期限：</w:t>
      </w:r>
      <w:r>
        <w:rPr>
          <w:rFonts w:hint="eastAsia" w:cs="宋体"/>
          <w:i w:val="0"/>
          <w:iCs w:val="0"/>
          <w:color w:val="auto"/>
          <w:sz w:val="24"/>
          <w:szCs w:val="24"/>
          <w:highlight w:val="none"/>
          <w:u w:val="single"/>
          <w:lang w:val="en-US" w:eastAsia="zh-CN"/>
        </w:rPr>
        <w:t>签订合同生效之日起一年。</w:t>
      </w:r>
    </w:p>
    <w:p w14:paraId="0972A600">
      <w:pPr>
        <w:pStyle w:val="41"/>
        <w:rPr>
          <w:rFonts w:hint="eastAsia" w:ascii="宋体" w:hAnsi="宋体" w:eastAsia="宋体" w:cs="宋体"/>
          <w:i w:val="0"/>
          <w:iCs w:val="0"/>
          <w:color w:val="auto"/>
          <w:sz w:val="24"/>
          <w:szCs w:val="24"/>
          <w:highlight w:val="none"/>
          <w:lang w:val="en-US" w:eastAsia="zh-CN"/>
        </w:rPr>
      </w:pPr>
      <w:bookmarkStart w:id="14" w:name="_Toc35393630"/>
      <w:bookmarkStart w:id="15" w:name="_Toc44583629"/>
      <w:bookmarkStart w:id="16" w:name="_Toc28359090"/>
      <w:bookmarkStart w:id="17" w:name="_Toc35393799"/>
      <w:bookmarkStart w:id="18" w:name="_Toc28359013"/>
      <w:r>
        <w:rPr>
          <w:rFonts w:hint="eastAsia" w:ascii="宋体" w:hAnsi="宋体" w:eastAsia="宋体" w:cs="宋体"/>
          <w:i w:val="0"/>
          <w:iCs w:val="0"/>
          <w:color w:val="auto"/>
          <w:sz w:val="24"/>
          <w:szCs w:val="24"/>
          <w:highlight w:val="none"/>
          <w:lang w:val="en-US" w:eastAsia="zh-CN"/>
        </w:rPr>
        <w:t>8.</w:t>
      </w:r>
      <w:bookmarkStart w:id="19" w:name="_Hlk162011358"/>
      <w:r>
        <w:rPr>
          <w:rFonts w:hint="eastAsia" w:ascii="宋体" w:hAnsi="宋体" w:eastAsia="宋体" w:cs="宋体"/>
          <w:i w:val="0"/>
          <w:iCs w:val="0"/>
          <w:color w:val="auto"/>
          <w:sz w:val="24"/>
          <w:szCs w:val="24"/>
          <w:highlight w:val="none"/>
          <w:lang w:val="en-US" w:eastAsia="zh-CN"/>
        </w:rPr>
        <w:t>本项目是否接受联合体：□是</w:t>
      </w:r>
      <w:bookmarkEnd w:id="19"/>
      <w:r>
        <w:rPr>
          <w:rFonts w:hint="eastAsia" w:ascii="宋体" w:hAnsi="宋体" w:eastAsia="宋体" w:cs="宋体"/>
          <w:i w:val="0"/>
          <w:iCs w:val="0"/>
          <w:color w:val="auto"/>
          <w:sz w:val="24"/>
          <w:szCs w:val="24"/>
          <w:highlight w:val="none"/>
          <w:lang w:val="en-US" w:eastAsia="zh-CN"/>
        </w:rPr>
        <w:t xml:space="preserve">   </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否</w:t>
      </w:r>
    </w:p>
    <w:p w14:paraId="2D55BBD7">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20" w:name="_Toc140132746"/>
      <w:bookmarkStart w:id="21" w:name="_Toc155185861"/>
      <w:bookmarkStart w:id="22" w:name="_Toc109900249"/>
      <w:bookmarkStart w:id="23" w:name="_Toc163492813"/>
      <w:bookmarkStart w:id="24" w:name="_Toc109899411"/>
      <w:bookmarkStart w:id="25" w:name="_Toc11033"/>
      <w:bookmarkStart w:id="26" w:name="_Toc109899830"/>
      <w:r>
        <w:rPr>
          <w:rFonts w:hint="eastAsia" w:ascii="宋体" w:hAnsi="宋体" w:eastAsia="宋体" w:cs="宋体"/>
          <w:b/>
          <w:bCs/>
          <w:i w:val="0"/>
          <w:iCs w:val="0"/>
          <w:color w:val="auto"/>
          <w:kern w:val="2"/>
          <w:sz w:val="24"/>
          <w:szCs w:val="24"/>
          <w:highlight w:val="none"/>
          <w:lang w:val="en-US" w:eastAsia="zh-CN" w:bidi="ar-SA"/>
        </w:rPr>
        <w:t>二、申请人的</w:t>
      </w:r>
      <w:r>
        <w:rPr>
          <w:rFonts w:hint="eastAsia" w:ascii="宋体" w:hAnsi="宋体" w:eastAsia="宋体" w:cs="宋体"/>
          <w:b/>
          <w:bCs/>
          <w:i w:val="0"/>
          <w:iCs w:val="0"/>
          <w:color w:val="auto"/>
          <w:kern w:val="2"/>
          <w:sz w:val="24"/>
          <w:szCs w:val="24"/>
          <w:highlight w:val="none"/>
          <w:lang w:val="hr-HR" w:eastAsia="zh-CN" w:bidi="ar-SA"/>
        </w:rPr>
        <w:t>资格要求</w:t>
      </w:r>
      <w:bookmarkEnd w:id="14"/>
      <w:bookmarkEnd w:id="15"/>
      <w:bookmarkEnd w:id="16"/>
      <w:bookmarkEnd w:id="17"/>
      <w:bookmarkEnd w:id="18"/>
      <w:bookmarkEnd w:id="20"/>
      <w:bookmarkEnd w:id="21"/>
      <w:bookmarkEnd w:id="22"/>
      <w:bookmarkEnd w:id="23"/>
      <w:bookmarkEnd w:id="24"/>
      <w:bookmarkEnd w:id="25"/>
      <w:bookmarkEnd w:id="26"/>
    </w:p>
    <w:p w14:paraId="7AB932E9">
      <w:pPr>
        <w:ind w:firstLine="480" w:firstLineChars="200"/>
        <w:rPr>
          <w:rFonts w:hint="eastAsia" w:ascii="宋体" w:hAnsi="宋体" w:eastAsia="宋体" w:cs="宋体"/>
          <w:i w:val="0"/>
          <w:iCs w:val="0"/>
          <w:color w:val="auto"/>
          <w:sz w:val="24"/>
          <w:szCs w:val="24"/>
          <w:highlight w:val="none"/>
          <w:lang w:val="en-US" w:eastAsia="zh-CN"/>
        </w:rPr>
      </w:pPr>
      <w:bookmarkStart w:id="27" w:name="_Toc44583630"/>
      <w:bookmarkStart w:id="28" w:name="_Toc28359014"/>
      <w:bookmarkStart w:id="29" w:name="_Toc35393800"/>
      <w:bookmarkStart w:id="30" w:name="_Toc28359091"/>
      <w:bookmarkStart w:id="31" w:name="_Toc35393631"/>
      <w:r>
        <w:rPr>
          <w:rFonts w:hint="eastAsia" w:ascii="宋体" w:hAnsi="宋体" w:eastAsia="宋体" w:cs="宋体"/>
          <w:i w:val="0"/>
          <w:iCs w:val="0"/>
          <w:color w:val="auto"/>
          <w:sz w:val="24"/>
          <w:szCs w:val="24"/>
          <w:highlight w:val="none"/>
          <w:lang w:val="en-US" w:eastAsia="zh-CN"/>
        </w:rPr>
        <w:t>1. 满足《中华人民共和国政府采购法》第二十二条规定；</w:t>
      </w:r>
    </w:p>
    <w:p w14:paraId="2907D2D4">
      <w:pPr>
        <w:ind w:firstLine="480" w:firstLineChars="200"/>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（1）符合《中华人民共和国政府采购法》第二十二条规定:供应商须在响应文件中提供完整、准确、真实的兵团政府采购供应商信用承诺函。</w:t>
      </w:r>
    </w:p>
    <w:p w14:paraId="0C7F76EF">
      <w:pPr>
        <w:ind w:firstLine="480" w:firstLineChars="200"/>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供应商法人营业执照（副本）或事业单位法人证书（副本）或个体工商户营业执照或有效的自然人身份证明、组织机构代码证扫描件（供应商按“三证合一”登记制度办理营业执照的,组织机构代码证和税务登记证（副本）以供应商所提供的营业执照（副本）扫描件为准。）供应商法定代表人身份证明和法定代表人授权代表委托书。</w:t>
      </w:r>
    </w:p>
    <w:p w14:paraId="251DEF0A">
      <w:pPr>
        <w:ind w:firstLine="480" w:firstLineChars="200"/>
        <w:rPr>
          <w:rFonts w:hint="eastAsia" w:ascii="宋体" w:hAnsi="宋体" w:eastAsia="宋体" w:cs="宋体"/>
          <w:i w:val="0"/>
          <w:iCs w:val="0"/>
          <w:strike/>
          <w:dstrike w:val="0"/>
          <w:color w:val="auto"/>
          <w:sz w:val="24"/>
          <w:szCs w:val="24"/>
          <w:highlight w:val="none"/>
          <w:lang w:val="en-US" w:eastAsia="zh-CN"/>
        </w:rPr>
      </w:pPr>
      <w:r>
        <w:rPr>
          <w:rFonts w:hint="eastAsia" w:cs="宋体"/>
          <w:i w:val="0"/>
          <w:iCs w:val="0"/>
          <w:color w:val="auto"/>
          <w:sz w:val="24"/>
          <w:szCs w:val="24"/>
          <w:highlight w:val="none"/>
          <w:lang w:val="en-US" w:eastAsia="zh-CN"/>
        </w:rPr>
        <w:t>（3）供应商必须为前三年内（2021年1月1日至投标截止时间(开标时间)）前未被列入“信用中国”网站(www.creditchina.gov.cn)失信被执行人、重大税收违法失信主体，不能是被列入“中国政府采购网”网站（www.ccgp.gov.cn）政府采购严重违法失信行为记录名单中仍在处罚期被禁止参加政府采购活动的供应商。</w:t>
      </w:r>
    </w:p>
    <w:p w14:paraId="576EFADE">
      <w:pPr>
        <w:ind w:firstLine="480" w:firstLineChars="200"/>
        <w:rPr>
          <w:rFonts w:hint="eastAsia" w:ascii="宋体" w:hAnsi="宋体" w:eastAsia="宋体" w:cs="宋体"/>
          <w:i w:val="0"/>
          <w:iCs w:val="0"/>
          <w:color w:val="auto"/>
          <w:sz w:val="24"/>
          <w:szCs w:val="24"/>
          <w:highlight w:val="none"/>
          <w:u w:val="none"/>
          <w:lang w:val="en-US" w:eastAsia="zh-CN"/>
        </w:rPr>
      </w:pPr>
      <w:bookmarkStart w:id="32" w:name="_Hlk89807755"/>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.落实政府采购政策需满足的资格要求</w:t>
      </w:r>
      <w:r>
        <w:rPr>
          <w:rFonts w:hint="eastAsia" w:cs="宋体"/>
          <w:i w:val="0"/>
          <w:iCs w:val="0"/>
          <w:color w:val="auto"/>
          <w:sz w:val="24"/>
          <w:szCs w:val="24"/>
          <w:highlight w:val="none"/>
          <w:lang w:eastAsia="zh-CN"/>
        </w:rPr>
        <w:t>：</w:t>
      </w:r>
      <w:r>
        <w:rPr>
          <w:rFonts w:hint="eastAsia" w:cs="宋体"/>
          <w:i w:val="0"/>
          <w:iCs w:val="0"/>
          <w:color w:val="auto"/>
          <w:sz w:val="24"/>
          <w:szCs w:val="24"/>
          <w:highlight w:val="none"/>
          <w:u w:val="single"/>
          <w:lang w:val="en-US" w:eastAsia="zh-CN"/>
        </w:rPr>
        <w:t>本项目</w:t>
      </w:r>
      <w:r>
        <w:rPr>
          <w:rFonts w:hint="eastAsia" w:ascii="宋体" w:hAnsi="宋体" w:eastAsia="宋体" w:cs="宋体"/>
          <w:i w:val="0"/>
          <w:iCs w:val="0"/>
          <w:color w:val="auto"/>
          <w:sz w:val="24"/>
          <w:szCs w:val="24"/>
          <w:highlight w:val="none"/>
          <w:u w:val="single"/>
        </w:rPr>
        <w:t>专门面向中小企业采购</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lang w:val="en-US" w:eastAsia="zh-CN"/>
        </w:rPr>
        <w:t>不在执行价格评审优惠政策</w:t>
      </w:r>
      <w:r>
        <w:rPr>
          <w:rFonts w:hint="eastAsia" w:cs="宋体"/>
          <w:i w:val="0"/>
          <w:iCs w:val="0"/>
          <w:color w:val="auto"/>
          <w:sz w:val="24"/>
          <w:szCs w:val="24"/>
          <w:highlight w:val="none"/>
          <w:u w:val="single"/>
          <w:lang w:val="en-US" w:eastAsia="zh-CN"/>
        </w:rPr>
        <w:t>；（包括符合中小企业划分标准的个体工商户）采购，具体要求详见《政府采购促进中小企业发展管理办法》（财库〔2020〕46号）及其相关规定，此外，监狱企业、残疾人福利性单位在本项目采购活动中视同小型、微型企业）。</w:t>
      </w:r>
      <w:r>
        <w:rPr>
          <w:rFonts w:hint="eastAsia" w:ascii="宋体" w:hAnsi="宋体" w:eastAsia="宋体" w:cs="宋体"/>
          <w:i w:val="0"/>
          <w:iCs w:val="0"/>
          <w:color w:val="auto"/>
          <w:sz w:val="24"/>
          <w:szCs w:val="24"/>
          <w:highlight w:val="none"/>
          <w:u w:val="none"/>
          <w:lang w:val="en-US" w:eastAsia="zh-CN"/>
        </w:rPr>
        <w:t xml:space="preserve">          </w:t>
      </w:r>
    </w:p>
    <w:p w14:paraId="3FE0013E">
      <w:pPr>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w:t>
      </w:r>
      <w:r>
        <w:rPr>
          <w:rFonts w:hint="eastAsia" w:cs="宋体"/>
          <w:i w:val="0"/>
          <w:iCs w:val="0"/>
          <w:color w:val="auto"/>
          <w:sz w:val="24"/>
          <w:szCs w:val="24"/>
          <w:highlight w:val="none"/>
          <w:u w:val="single"/>
          <w:lang w:val="en-US" w:eastAsia="zh-CN"/>
        </w:rPr>
        <w:t>须具备有效的《食品经营许可证》</w:t>
      </w:r>
      <w:r>
        <w:rPr>
          <w:rFonts w:hint="eastAsia" w:ascii="宋体" w:hAnsi="宋体" w:eastAsia="宋体" w:cs="宋体"/>
          <w:i w:val="0"/>
          <w:iCs w:val="0"/>
          <w:color w:val="auto"/>
          <w:sz w:val="24"/>
          <w:szCs w:val="24"/>
          <w:highlight w:val="none"/>
          <w:u w:val="single"/>
          <w:lang w:val="en-US" w:eastAsia="zh-CN"/>
        </w:rPr>
        <w:t>。</w:t>
      </w:r>
    </w:p>
    <w:bookmarkEnd w:id="32"/>
    <w:p w14:paraId="69D2AB04">
      <w:pPr>
        <w:pStyle w:val="41"/>
        <w:rPr>
          <w:rFonts w:hint="eastAsia" w:ascii="宋体" w:hAnsi="宋体" w:eastAsia="宋体" w:cs="宋体"/>
          <w:i w:val="0"/>
          <w:iCs w:val="0"/>
          <w:color w:val="auto"/>
          <w:sz w:val="24"/>
          <w:szCs w:val="24"/>
          <w:highlight w:val="none"/>
          <w:lang w:val="en-US" w:eastAsia="zh-CN"/>
        </w:rPr>
      </w:pPr>
      <w:bookmarkStart w:id="33" w:name="_Toc109899412"/>
      <w:bookmarkStart w:id="34" w:name="_Toc163492814"/>
      <w:bookmarkStart w:id="35" w:name="_Toc109899831"/>
      <w:bookmarkStart w:id="36" w:name="_Toc140132747"/>
      <w:bookmarkStart w:id="37" w:name="_Toc109900250"/>
      <w:bookmarkStart w:id="38" w:name="_Toc155185862"/>
      <w:r>
        <w:rPr>
          <w:rFonts w:hint="eastAsia" w:ascii="宋体" w:hAnsi="宋体" w:eastAsia="宋体" w:cs="宋体"/>
          <w:i w:val="0"/>
          <w:iCs w:val="0"/>
          <w:color w:val="auto"/>
          <w:sz w:val="24"/>
          <w:szCs w:val="24"/>
          <w:highlight w:val="none"/>
          <w:lang w:val="en-US" w:eastAsia="zh-CN"/>
        </w:rPr>
        <w:t>4. 其他资格要求：</w:t>
      </w:r>
    </w:p>
    <w:p w14:paraId="040E7358">
      <w:pPr>
        <w:pStyle w:val="41"/>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hr-HR" w:eastAsia="zh-CN"/>
        </w:rPr>
        <w:t>法定代表人或</w:t>
      </w:r>
      <w:r>
        <w:rPr>
          <w:rFonts w:hint="eastAsia" w:ascii="宋体" w:hAnsi="宋体" w:eastAsia="宋体" w:cs="宋体"/>
          <w:i w:val="0"/>
          <w:iCs w:val="0"/>
          <w:color w:val="auto"/>
          <w:sz w:val="24"/>
          <w:szCs w:val="24"/>
          <w:highlight w:val="none"/>
          <w:lang w:val="en-US" w:eastAsia="zh-CN"/>
        </w:rPr>
        <w:t>单位</w:t>
      </w:r>
      <w:r>
        <w:rPr>
          <w:rFonts w:hint="eastAsia" w:ascii="宋体" w:hAnsi="宋体" w:eastAsia="宋体" w:cs="宋体"/>
          <w:i w:val="0"/>
          <w:iCs w:val="0"/>
          <w:color w:val="auto"/>
          <w:sz w:val="24"/>
          <w:szCs w:val="24"/>
          <w:highlight w:val="none"/>
          <w:lang w:val="hr-HR" w:eastAsia="zh-CN"/>
        </w:rPr>
        <w:t>负责人为同一人或者存在</w:t>
      </w:r>
      <w:r>
        <w:rPr>
          <w:rFonts w:hint="eastAsia" w:ascii="宋体" w:hAnsi="宋体" w:eastAsia="宋体" w:cs="宋体"/>
          <w:i w:val="0"/>
          <w:iCs w:val="0"/>
          <w:color w:val="auto"/>
          <w:sz w:val="24"/>
          <w:szCs w:val="24"/>
          <w:highlight w:val="none"/>
          <w:lang w:val="en-US" w:eastAsia="zh-CN"/>
        </w:rPr>
        <w:t>直接</w:t>
      </w:r>
      <w:r>
        <w:rPr>
          <w:rFonts w:hint="eastAsia" w:ascii="宋体" w:hAnsi="宋体" w:eastAsia="宋体" w:cs="宋体"/>
          <w:i w:val="0"/>
          <w:iCs w:val="0"/>
          <w:color w:val="auto"/>
          <w:sz w:val="24"/>
          <w:szCs w:val="24"/>
          <w:highlight w:val="none"/>
          <w:lang w:val="hr-HR" w:eastAsia="zh-CN"/>
        </w:rPr>
        <w:t>控股、管理关系的</w:t>
      </w:r>
      <w:r>
        <w:rPr>
          <w:rFonts w:hint="eastAsia" w:ascii="宋体" w:hAnsi="宋体" w:eastAsia="宋体" w:cs="宋体"/>
          <w:i w:val="0"/>
          <w:iCs w:val="0"/>
          <w:color w:val="auto"/>
          <w:sz w:val="24"/>
          <w:szCs w:val="24"/>
          <w:highlight w:val="none"/>
          <w:lang w:val="en-US" w:eastAsia="zh-CN"/>
        </w:rPr>
        <w:t>不同供应商</w:t>
      </w:r>
      <w:r>
        <w:rPr>
          <w:rFonts w:hint="eastAsia" w:ascii="宋体" w:hAnsi="宋体" w:eastAsia="宋体" w:cs="宋体"/>
          <w:i w:val="0"/>
          <w:iCs w:val="0"/>
          <w:color w:val="auto"/>
          <w:sz w:val="24"/>
          <w:szCs w:val="24"/>
          <w:highlight w:val="none"/>
          <w:lang w:val="hr-HR" w:eastAsia="zh-CN"/>
        </w:rPr>
        <w:t>，不得参加同一合同项下的政府采购活动。</w:t>
      </w:r>
    </w:p>
    <w:p w14:paraId="68099EEC">
      <w:pPr>
        <w:pStyle w:val="41"/>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hr-HR" w:eastAsia="zh-CN"/>
        </w:rPr>
        <w:t>除单一来源采购项目外，为采购项目提供整体设计、规范编制或者项目管理、监理、检测等服务的供应商，不得再参加该采购项目的其他采购活动。</w:t>
      </w:r>
    </w:p>
    <w:p w14:paraId="7687021F">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39" w:name="_Toc26657"/>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hr-HR" w:eastAsia="zh-CN" w:bidi="ar-SA"/>
        </w:rPr>
        <w:t>获取</w:t>
      </w:r>
      <w:r>
        <w:rPr>
          <w:rFonts w:hint="eastAsia" w:ascii="宋体" w:hAnsi="宋体" w:eastAsia="宋体" w:cs="宋体"/>
          <w:b/>
          <w:bCs/>
          <w:i w:val="0"/>
          <w:iCs w:val="0"/>
          <w:color w:val="auto"/>
          <w:kern w:val="2"/>
          <w:sz w:val="24"/>
          <w:szCs w:val="24"/>
          <w:highlight w:val="none"/>
          <w:lang w:val="en-US" w:eastAsia="zh-CN" w:bidi="ar-SA"/>
        </w:rPr>
        <w:t>采购</w:t>
      </w:r>
      <w:r>
        <w:rPr>
          <w:rFonts w:hint="eastAsia" w:ascii="宋体" w:hAnsi="宋体" w:eastAsia="宋体" w:cs="宋体"/>
          <w:b/>
          <w:bCs/>
          <w:i w:val="0"/>
          <w:iCs w:val="0"/>
          <w:color w:val="auto"/>
          <w:kern w:val="2"/>
          <w:sz w:val="24"/>
          <w:szCs w:val="24"/>
          <w:highlight w:val="none"/>
          <w:lang w:val="hr-HR" w:eastAsia="zh-CN" w:bidi="ar-SA"/>
        </w:rPr>
        <w:t>文件</w:t>
      </w:r>
      <w:bookmarkEnd w:id="27"/>
      <w:bookmarkEnd w:id="28"/>
      <w:bookmarkEnd w:id="29"/>
      <w:bookmarkEnd w:id="30"/>
      <w:bookmarkEnd w:id="31"/>
      <w:bookmarkEnd w:id="33"/>
      <w:bookmarkEnd w:id="34"/>
      <w:bookmarkEnd w:id="35"/>
      <w:bookmarkEnd w:id="36"/>
      <w:bookmarkEnd w:id="37"/>
      <w:bookmarkEnd w:id="38"/>
      <w:bookmarkEnd w:id="39"/>
      <w:r>
        <w:rPr>
          <w:rFonts w:hint="eastAsia" w:ascii="宋体" w:hAnsi="宋体" w:eastAsia="宋体" w:cs="宋体"/>
          <w:b/>
          <w:bCs/>
          <w:i w:val="0"/>
          <w:iCs w:val="0"/>
          <w:color w:val="auto"/>
          <w:kern w:val="2"/>
          <w:sz w:val="24"/>
          <w:szCs w:val="24"/>
          <w:highlight w:val="none"/>
          <w:lang w:val="hr-HR" w:eastAsia="zh-CN" w:bidi="ar-SA"/>
        </w:rPr>
        <w:t xml:space="preserve"> </w:t>
      </w:r>
    </w:p>
    <w:p w14:paraId="1A15DA7E">
      <w:pPr>
        <w:spacing w:line="360" w:lineRule="auto"/>
        <w:ind w:firstLine="540"/>
        <w:rPr>
          <w:rFonts w:hint="eastAsia" w:ascii="宋体" w:hAnsi="宋体" w:eastAsia="宋体" w:cs="宋体"/>
          <w:i w:val="0"/>
          <w:iCs w:val="0"/>
          <w:color w:val="auto"/>
          <w:sz w:val="24"/>
          <w:szCs w:val="24"/>
          <w:highlight w:val="none"/>
          <w:lang w:val="hr-HR" w:eastAsia="zh-CN"/>
        </w:rPr>
      </w:pPr>
      <w:bookmarkStart w:id="40" w:name="_Hlk130457234"/>
      <w:bookmarkStart w:id="41" w:name="_Toc35393632"/>
      <w:bookmarkStart w:id="42" w:name="_Toc28359092"/>
      <w:bookmarkStart w:id="43" w:name="_Hlk130457327"/>
      <w:bookmarkStart w:id="44" w:name="_Hlk130457261"/>
      <w:bookmarkStart w:id="45" w:name="_Toc35393801"/>
      <w:bookmarkStart w:id="46" w:name="_Toc28359015"/>
      <w:r>
        <w:rPr>
          <w:rFonts w:hint="eastAsia" w:ascii="宋体" w:hAnsi="宋体" w:eastAsia="宋体" w:cs="宋体"/>
          <w:i w:val="0"/>
          <w:iCs w:val="0"/>
          <w:color w:val="auto"/>
          <w:sz w:val="24"/>
          <w:szCs w:val="24"/>
          <w:highlight w:val="none"/>
          <w:lang w:val="hr-HR"/>
        </w:rPr>
        <w:t>1.时间：</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cs="宋体"/>
          <w:i w:val="0"/>
          <w:iCs w:val="0"/>
          <w:color w:val="auto"/>
          <w:sz w:val="24"/>
          <w:szCs w:val="24"/>
          <w:highlight w:val="none"/>
          <w:u w:val="single"/>
          <w:lang w:val="en-US" w:eastAsia="zh-CN"/>
        </w:rPr>
        <w:t>03</w:t>
      </w:r>
      <w:r>
        <w:rPr>
          <w:rFonts w:hint="eastAsia"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05</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年</w:t>
      </w:r>
      <w:r>
        <w:rPr>
          <w:rFonts w:hint="eastAsia" w:cs="宋体"/>
          <w:i w:val="0"/>
          <w:iCs w:val="0"/>
          <w:color w:val="auto"/>
          <w:sz w:val="24"/>
          <w:szCs w:val="24"/>
          <w:highlight w:val="none"/>
          <w:u w:val="single"/>
          <w:lang w:val="en-US" w:eastAsia="zh-CN"/>
        </w:rPr>
        <w:t>03</w:t>
      </w:r>
      <w:r>
        <w:rPr>
          <w:rFonts w:hint="eastAsia"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12</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磋商文件的发售期限自开始之日起不得少于5个工作日</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none"/>
        </w:rPr>
        <w:t>，每天上午</w:t>
      </w:r>
      <w:r>
        <w:rPr>
          <w:rFonts w:hint="eastAsia" w:ascii="宋体" w:hAnsi="宋体" w:eastAsia="宋体" w:cs="宋体"/>
          <w:i w:val="0"/>
          <w:iCs w:val="0"/>
          <w:color w:val="auto"/>
          <w:sz w:val="24"/>
          <w:szCs w:val="24"/>
          <w:highlight w:val="none"/>
          <w:u w:val="none"/>
          <w:lang w:val="en-US" w:eastAsia="zh-CN"/>
        </w:rPr>
        <w:t>每天上午00:00至12:00，</w:t>
      </w:r>
      <w:r>
        <w:rPr>
          <w:rFonts w:hint="eastAsia" w:ascii="宋体" w:hAnsi="宋体" w:eastAsia="宋体" w:cs="宋体"/>
          <w:i w:val="0"/>
          <w:iCs w:val="0"/>
          <w:color w:val="auto"/>
          <w:sz w:val="24"/>
          <w:szCs w:val="24"/>
          <w:highlight w:val="none"/>
          <w:u w:val="none"/>
        </w:rPr>
        <w:t>下午12:00至</w:t>
      </w:r>
      <w:r>
        <w:rPr>
          <w:rFonts w:hint="eastAsia" w:ascii="宋体" w:hAnsi="宋体" w:eastAsia="宋体" w:cs="宋体"/>
          <w:i w:val="0"/>
          <w:iCs w:val="0"/>
          <w:color w:val="auto"/>
          <w:sz w:val="24"/>
          <w:szCs w:val="24"/>
          <w:highlight w:val="none"/>
          <w:u w:val="none"/>
          <w:lang w:val="en-US" w:eastAsia="zh-CN"/>
        </w:rPr>
        <w:t>23</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59</w:t>
      </w:r>
      <w:r>
        <w:rPr>
          <w:rFonts w:hint="eastAsia" w:ascii="宋体" w:hAnsi="宋体" w:eastAsia="宋体" w:cs="宋体"/>
          <w:i w:val="0"/>
          <w:iCs w:val="0"/>
          <w:color w:val="auto"/>
          <w:sz w:val="24"/>
          <w:szCs w:val="24"/>
          <w:highlight w:val="none"/>
          <w:u w:val="none"/>
        </w:rPr>
        <w:t>（北京时间，法定节假日除外）</w:t>
      </w:r>
      <w:r>
        <w:rPr>
          <w:rFonts w:hint="eastAsia" w:ascii="宋体" w:hAnsi="宋体" w:eastAsia="宋体" w:cs="宋体"/>
          <w:i w:val="0"/>
          <w:iCs w:val="0"/>
          <w:color w:val="auto"/>
          <w:sz w:val="24"/>
          <w:szCs w:val="24"/>
          <w:highlight w:val="none"/>
          <w:lang w:eastAsia="zh-CN"/>
        </w:rPr>
        <w:t>。</w:t>
      </w:r>
    </w:p>
    <w:bookmarkEnd w:id="40"/>
    <w:p w14:paraId="05DEA1B7">
      <w:pPr>
        <w:pStyle w:val="41"/>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2.</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lang w:val="hr-HR"/>
        </w:rPr>
        <w:t>：</w:t>
      </w:r>
      <w:bookmarkStart w:id="47" w:name="_Hlk89807779"/>
      <w:r>
        <w:rPr>
          <w:rFonts w:hint="eastAsia" w:ascii="宋体" w:hAnsi="宋体" w:eastAsia="宋体" w:cs="宋体"/>
          <w:i w:val="0"/>
          <w:iCs w:val="0"/>
          <w:color w:val="auto"/>
          <w:sz w:val="24"/>
          <w:szCs w:val="24"/>
          <w:highlight w:val="none"/>
          <w:lang w:val="en-US"/>
        </w:rPr>
        <w:t>兵团</w:t>
      </w:r>
      <w:r>
        <w:rPr>
          <w:rFonts w:hint="eastAsia" w:ascii="宋体" w:hAnsi="宋体" w:eastAsia="宋体" w:cs="宋体"/>
          <w:i w:val="0"/>
          <w:iCs w:val="0"/>
          <w:color w:val="auto"/>
          <w:sz w:val="24"/>
          <w:szCs w:val="24"/>
          <w:highlight w:val="none"/>
        </w:rPr>
        <w:t>政府采购</w:t>
      </w:r>
      <w:r>
        <w:rPr>
          <w:rFonts w:hint="eastAsia" w:ascii="宋体" w:hAnsi="宋体" w:eastAsia="宋体" w:cs="宋体"/>
          <w:i w:val="0"/>
          <w:iCs w:val="0"/>
          <w:color w:val="auto"/>
          <w:sz w:val="24"/>
          <w:szCs w:val="24"/>
          <w:highlight w:val="none"/>
          <w:lang w:val="en-US"/>
        </w:rPr>
        <w:t>电子交易云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rPr>
        <w:t>网址</w:t>
      </w:r>
      <w:r>
        <w:rPr>
          <w:rFonts w:hint="eastAsia" w:ascii="宋体" w:hAnsi="宋体" w:eastAsia="宋体" w:cs="宋体"/>
          <w:i w:val="0"/>
          <w:iCs w:val="0"/>
          <w:color w:val="auto"/>
          <w:sz w:val="24"/>
          <w:szCs w:val="24"/>
          <w:highlight w:val="none"/>
          <w:lang w:val="hr-HR"/>
        </w:rPr>
        <w:t>：https://www.zcygov.cn/）</w:t>
      </w:r>
      <w:r>
        <w:rPr>
          <w:rFonts w:hint="eastAsia" w:ascii="宋体" w:hAnsi="宋体" w:eastAsia="宋体" w:cs="宋体"/>
          <w:i w:val="0"/>
          <w:iCs w:val="0"/>
          <w:color w:val="auto"/>
          <w:sz w:val="24"/>
          <w:szCs w:val="24"/>
          <w:highlight w:val="none"/>
        </w:rPr>
        <w:t>。</w:t>
      </w:r>
      <w:bookmarkEnd w:id="47"/>
    </w:p>
    <w:p w14:paraId="42A40251">
      <w:pPr>
        <w:pStyle w:val="41"/>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hr-HR"/>
        </w:rPr>
        <w:t>3.</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供应商登录政采云平台</w:t>
      </w:r>
      <w:r>
        <w:rPr>
          <w:rFonts w:hint="eastAsia" w:ascii="宋体" w:hAnsi="宋体" w:eastAsia="宋体" w:cs="宋体"/>
          <w:i w:val="0"/>
          <w:iCs w:val="0"/>
          <w:color w:val="auto"/>
          <w:sz w:val="24"/>
          <w:szCs w:val="24"/>
          <w:highlight w:val="none"/>
          <w:lang w:val="hr-HR"/>
        </w:rPr>
        <w:t>https://www.zcygov.cn/</w:t>
      </w:r>
      <w:r>
        <w:rPr>
          <w:rFonts w:hint="eastAsia" w:ascii="宋体" w:hAnsi="宋体" w:eastAsia="宋体" w:cs="宋体"/>
          <w:i w:val="0"/>
          <w:iCs w:val="0"/>
          <w:color w:val="auto"/>
          <w:sz w:val="24"/>
          <w:szCs w:val="24"/>
          <w:highlight w:val="none"/>
          <w:lang w:val="en-US"/>
        </w:rPr>
        <w:t>在线申请</w:t>
      </w:r>
      <w:r>
        <w:rPr>
          <w:rFonts w:hint="eastAsia" w:ascii="宋体" w:hAnsi="宋体" w:eastAsia="宋体" w:cs="宋体"/>
          <w:i w:val="0"/>
          <w:iCs w:val="0"/>
          <w:color w:val="auto"/>
          <w:sz w:val="24"/>
          <w:szCs w:val="24"/>
          <w:highlight w:val="none"/>
          <w:lang w:val="en-US" w:eastAsia="zh-CN"/>
        </w:rPr>
        <w:t>，免费</w:t>
      </w:r>
      <w:r>
        <w:rPr>
          <w:rFonts w:hint="eastAsia" w:ascii="宋体" w:hAnsi="宋体" w:eastAsia="宋体" w:cs="宋体"/>
          <w:i w:val="0"/>
          <w:iCs w:val="0"/>
          <w:color w:val="auto"/>
          <w:sz w:val="24"/>
          <w:szCs w:val="24"/>
          <w:highlight w:val="none"/>
          <w:lang w:val="en-US"/>
        </w:rPr>
        <w:t>获取</w:t>
      </w:r>
      <w:r>
        <w:rPr>
          <w:rFonts w:hint="eastAsia" w:ascii="宋体" w:hAnsi="宋体" w:eastAsia="宋体" w:cs="宋体"/>
          <w:i w:val="0"/>
          <w:iCs w:val="0"/>
          <w:color w:val="auto"/>
          <w:sz w:val="24"/>
          <w:szCs w:val="24"/>
          <w:highlight w:val="none"/>
          <w:lang w:val="en-US" w:eastAsia="zh-CN"/>
        </w:rPr>
        <w:t>电子</w:t>
      </w:r>
      <w:r>
        <w:rPr>
          <w:rFonts w:hint="eastAsia" w:ascii="宋体" w:hAnsi="宋体" w:eastAsia="宋体" w:cs="宋体"/>
          <w:i w:val="0"/>
          <w:iCs w:val="0"/>
          <w:color w:val="auto"/>
          <w:sz w:val="24"/>
          <w:szCs w:val="24"/>
          <w:highlight w:val="none"/>
          <w:lang w:val="en-US"/>
        </w:rPr>
        <w:t>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进入</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项目采购</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应用</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在获取采购文件菜单中选择项目</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申请获取采购文件</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w:t>
      </w:r>
      <w:r>
        <w:rPr>
          <w:rFonts w:hint="eastAsia" w:ascii="宋体" w:hAnsi="宋体" w:eastAsia="宋体" w:cs="宋体"/>
          <w:i w:val="0"/>
          <w:iCs w:val="0"/>
          <w:color w:val="auto"/>
          <w:sz w:val="24"/>
          <w:szCs w:val="24"/>
          <w:highlight w:val="none"/>
          <w:lang w:val="hr-HR"/>
        </w:rPr>
        <w:t xml:space="preserve"> </w:t>
      </w:r>
    </w:p>
    <w:p w14:paraId="6565D40F">
      <w:pPr>
        <w:pStyle w:val="41"/>
        <w:rPr>
          <w:rFonts w:hint="eastAsia" w:ascii="宋体" w:hAnsi="宋体" w:eastAsia="宋体" w:cs="宋体"/>
          <w:i w:val="0"/>
          <w:iCs w:val="0"/>
          <w:color w:val="auto"/>
          <w:sz w:val="24"/>
          <w:szCs w:val="24"/>
          <w:highlight w:val="none"/>
          <w:lang w:val="hr-HR"/>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rPr>
        <w:t>售价：</w:t>
      </w:r>
      <w:r>
        <w:rPr>
          <w:rFonts w:hint="eastAsia" w:ascii="宋体" w:hAnsi="宋体" w:eastAsia="宋体" w:cs="宋体"/>
          <w:i w:val="0"/>
          <w:iCs w:val="0"/>
          <w:color w:val="auto"/>
          <w:sz w:val="24"/>
          <w:szCs w:val="24"/>
          <w:highlight w:val="none"/>
          <w:lang w:val="en-US" w:eastAsia="zh-CN"/>
        </w:rPr>
        <w:t>0元。</w:t>
      </w:r>
    </w:p>
    <w:bookmarkEnd w:id="41"/>
    <w:bookmarkEnd w:id="42"/>
    <w:bookmarkEnd w:id="43"/>
    <w:bookmarkEnd w:id="44"/>
    <w:bookmarkEnd w:id="45"/>
    <w:bookmarkEnd w:id="46"/>
    <w:p w14:paraId="0681F60E">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48" w:name="_Toc155185863"/>
      <w:bookmarkStart w:id="49" w:name="_Toc109899832"/>
      <w:bookmarkStart w:id="50" w:name="_Toc109900251"/>
      <w:bookmarkStart w:id="51" w:name="_Toc109899413"/>
      <w:bookmarkStart w:id="52" w:name="_Toc163492815"/>
      <w:bookmarkStart w:id="53" w:name="_Toc140132748"/>
      <w:bookmarkStart w:id="54" w:name="_Toc19038"/>
      <w:r>
        <w:rPr>
          <w:rFonts w:hint="eastAsia" w:ascii="宋体" w:hAnsi="宋体" w:eastAsia="宋体" w:cs="宋体"/>
          <w:b/>
          <w:bCs/>
          <w:i w:val="0"/>
          <w:iCs w:val="0"/>
          <w:color w:val="auto"/>
          <w:kern w:val="2"/>
          <w:sz w:val="24"/>
          <w:szCs w:val="24"/>
          <w:highlight w:val="none"/>
          <w:lang w:val="en-US" w:eastAsia="zh-CN" w:bidi="ar-SA"/>
        </w:rPr>
        <w:t>四、</w:t>
      </w:r>
      <w:bookmarkEnd w:id="48"/>
      <w:bookmarkEnd w:id="49"/>
      <w:bookmarkEnd w:id="50"/>
      <w:bookmarkEnd w:id="51"/>
      <w:bookmarkEnd w:id="52"/>
      <w:bookmarkEnd w:id="53"/>
      <w:r>
        <w:rPr>
          <w:rFonts w:hint="eastAsia" w:ascii="宋体" w:hAnsi="宋体" w:eastAsia="宋体" w:cs="宋体"/>
          <w:b/>
          <w:bCs/>
          <w:i w:val="0"/>
          <w:iCs w:val="0"/>
          <w:color w:val="auto"/>
          <w:spacing w:val="-6"/>
          <w:kern w:val="2"/>
          <w:sz w:val="24"/>
          <w:szCs w:val="24"/>
          <w:highlight w:val="none"/>
          <w:lang w:val="hr-HR" w:eastAsia="zh-CN" w:bidi="ar-SA"/>
        </w:rPr>
        <w:t>响应文件提交</w:t>
      </w:r>
      <w:bookmarkEnd w:id="54"/>
    </w:p>
    <w:p w14:paraId="58C51A7B">
      <w:pPr>
        <w:pStyle w:val="41"/>
        <w:rPr>
          <w:rFonts w:hint="eastAsia" w:ascii="宋体" w:hAnsi="宋体" w:eastAsia="宋体" w:cs="宋体"/>
          <w:i w:val="0"/>
          <w:iCs w:val="0"/>
          <w:color w:val="auto"/>
          <w:sz w:val="24"/>
          <w:szCs w:val="24"/>
          <w:highlight w:val="none"/>
        </w:rPr>
      </w:pPr>
      <w:bookmarkStart w:id="55" w:name="_Hlk130457395"/>
      <w:bookmarkStart w:id="56" w:name="_Toc44583633"/>
      <w:bookmarkStart w:id="57" w:name="_Toc35393634"/>
      <w:bookmarkStart w:id="58" w:name="_Toc35393803"/>
      <w:bookmarkStart w:id="59" w:name="_Toc28359017"/>
      <w:bookmarkStart w:id="60" w:name="_Toc28359094"/>
      <w:r>
        <w:rPr>
          <w:rFonts w:hint="eastAsia" w:ascii="宋体" w:hAnsi="宋体" w:eastAsia="宋体" w:cs="宋体"/>
          <w:i w:val="0"/>
          <w:iCs w:val="0"/>
          <w:color w:val="auto"/>
          <w:sz w:val="24"/>
          <w:szCs w:val="24"/>
          <w:highlight w:val="none"/>
        </w:rPr>
        <w:t>1.截止时间</w:t>
      </w:r>
      <w:r>
        <w:rPr>
          <w:rFonts w:hint="eastAsia" w:ascii="宋体" w:hAnsi="宋体" w:eastAsia="宋体" w:cs="宋体"/>
          <w:i w:val="0"/>
          <w:iCs w:val="0"/>
          <w:color w:val="auto"/>
          <w:sz w:val="24"/>
          <w:szCs w:val="24"/>
          <w:highlight w:val="none"/>
          <w:lang w:eastAsia="zh-CN"/>
        </w:rPr>
        <w:t>：</w:t>
      </w:r>
      <w:r>
        <w:rPr>
          <w:rFonts w:hint="eastAsia" w:cs="宋体"/>
          <w:i w:val="0"/>
          <w:iCs w:val="0"/>
          <w:color w:val="auto"/>
          <w:sz w:val="24"/>
          <w:szCs w:val="24"/>
          <w:highlight w:val="none"/>
          <w:u w:val="single"/>
          <w:lang w:val="en-US" w:eastAsia="zh-CN"/>
        </w:rPr>
        <w:t>2025年03月17日12</w:t>
      </w:r>
      <w:r>
        <w:rPr>
          <w:rFonts w:hint="eastAsia" w:ascii="宋体" w:hAnsi="宋体" w:eastAsia="宋体" w:cs="宋体"/>
          <w:i w:val="0"/>
          <w:iCs w:val="0"/>
          <w:color w:val="auto"/>
          <w:sz w:val="24"/>
          <w:szCs w:val="24"/>
          <w:highlight w:val="none"/>
          <w:u w:val="single"/>
        </w:rPr>
        <w:t>时</w:t>
      </w:r>
      <w:r>
        <w:rPr>
          <w:rFonts w:hint="eastAsia"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w:t>
      </w:r>
      <w:r>
        <w:rPr>
          <w:rFonts w:hint="eastAsia" w:ascii="宋体" w:hAnsi="宋体" w:eastAsia="宋体" w:cs="宋体"/>
          <w:i w:val="0"/>
          <w:iCs w:val="0"/>
          <w:color w:val="auto"/>
          <w:sz w:val="24"/>
          <w:szCs w:val="24"/>
          <w:highlight w:val="none"/>
          <w:u w:val="single"/>
        </w:rPr>
        <w:t>从磋商文件开始发出之日起至供应商提交首次响应文件截止之日止不得少于10日</w:t>
      </w:r>
      <w:r>
        <w:rPr>
          <w:rFonts w:hint="eastAsia" w:ascii="宋体" w:hAnsi="宋体" w:eastAsia="宋体" w:cs="宋体"/>
          <w:i w:val="0"/>
          <w:iCs w:val="0"/>
          <w:color w:val="auto"/>
          <w:sz w:val="24"/>
          <w:szCs w:val="24"/>
          <w:highlight w:val="none"/>
        </w:rPr>
        <w:t>。</w:t>
      </w:r>
    </w:p>
    <w:p w14:paraId="63FC81BC">
      <w:pPr>
        <w:pStyle w:val="4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：通过</w:t>
      </w:r>
      <w:r>
        <w:rPr>
          <w:rFonts w:hint="eastAsia" w:ascii="宋体" w:hAnsi="宋体" w:eastAsia="宋体" w:cs="宋体"/>
          <w:i w:val="0"/>
          <w:iCs w:val="0"/>
          <w:color w:val="auto"/>
          <w:sz w:val="24"/>
          <w:szCs w:val="24"/>
          <w:highlight w:val="none"/>
          <w:lang w:val="en-US"/>
        </w:rPr>
        <w:t>政采云平台投标</w:t>
      </w:r>
      <w:r>
        <w:rPr>
          <w:rFonts w:hint="eastAsia" w:ascii="宋体" w:hAnsi="宋体" w:eastAsia="宋体" w:cs="宋体"/>
          <w:i w:val="0"/>
          <w:iCs w:val="0"/>
          <w:color w:val="auto"/>
          <w:sz w:val="24"/>
          <w:szCs w:val="24"/>
          <w:highlight w:val="none"/>
        </w:rPr>
        <w:t>供应商客户端选择项目分包文件递交页面进行递交（上传）。</w:t>
      </w:r>
    </w:p>
    <w:bookmarkEnd w:id="55"/>
    <w:p w14:paraId="6BAC9797">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1" w:name="_Toc16856"/>
      <w:bookmarkStart w:id="62" w:name="_Toc140132749"/>
      <w:bookmarkStart w:id="63" w:name="_Toc155185864"/>
      <w:bookmarkStart w:id="64" w:name="_Toc109900252"/>
      <w:bookmarkStart w:id="65" w:name="_Toc109899414"/>
      <w:bookmarkStart w:id="66" w:name="_Toc163492816"/>
      <w:bookmarkStart w:id="67" w:name="_Toc109899833"/>
      <w:r>
        <w:rPr>
          <w:rFonts w:hint="eastAsia" w:ascii="宋体" w:hAnsi="宋体" w:eastAsia="宋体" w:cs="宋体"/>
          <w:b/>
          <w:bCs/>
          <w:i w:val="0"/>
          <w:iCs w:val="0"/>
          <w:color w:val="auto"/>
          <w:kern w:val="2"/>
          <w:sz w:val="24"/>
          <w:szCs w:val="24"/>
          <w:highlight w:val="none"/>
          <w:lang w:val="en-US" w:eastAsia="zh-CN" w:bidi="ar-SA"/>
        </w:rPr>
        <w:t>五、开启</w:t>
      </w:r>
      <w:bookmarkEnd w:id="61"/>
    </w:p>
    <w:p w14:paraId="508C6E16">
      <w:pPr>
        <w:pStyle w:val="4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1.时间：</w:t>
      </w:r>
      <w:r>
        <w:rPr>
          <w:rFonts w:hint="eastAsia" w:cs="宋体"/>
          <w:i w:val="0"/>
          <w:iCs w:val="0"/>
          <w:color w:val="auto"/>
          <w:sz w:val="24"/>
          <w:szCs w:val="24"/>
          <w:highlight w:val="none"/>
          <w:u w:val="single"/>
          <w:lang w:val="en-US" w:eastAsia="zh-CN"/>
        </w:rPr>
        <w:t>2025年03月17日12</w:t>
      </w:r>
      <w:r>
        <w:rPr>
          <w:rFonts w:hint="eastAsia" w:ascii="宋体" w:hAnsi="宋体" w:eastAsia="宋体" w:cs="宋体"/>
          <w:i w:val="0"/>
          <w:iCs w:val="0"/>
          <w:color w:val="auto"/>
          <w:sz w:val="24"/>
          <w:szCs w:val="24"/>
          <w:highlight w:val="none"/>
          <w:u w:val="single"/>
        </w:rPr>
        <w:t xml:space="preserve"> 时</w:t>
      </w:r>
      <w:r>
        <w:rPr>
          <w:rFonts w:hint="eastAsia"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 xml:space="preserve"> 分</w:t>
      </w:r>
      <w:r>
        <w:rPr>
          <w:rFonts w:hint="eastAsia" w:ascii="宋体" w:hAnsi="宋体" w:eastAsia="宋体" w:cs="宋体"/>
          <w:i w:val="0"/>
          <w:iCs w:val="0"/>
          <w:color w:val="auto"/>
          <w:sz w:val="24"/>
          <w:szCs w:val="24"/>
          <w:highlight w:val="none"/>
        </w:rPr>
        <w:t>（北京时间）。</w:t>
      </w:r>
    </w:p>
    <w:p w14:paraId="71EF07E7">
      <w:pPr>
        <w:pStyle w:val="41"/>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供应商登录政采云平台https</w:t>
      </w:r>
      <w:r>
        <w:rPr>
          <w:rFonts w:hint="eastAsia" w:ascii="宋体" w:hAnsi="宋体" w:eastAsia="宋体" w:cs="宋体"/>
          <w:i w:val="0"/>
          <w:iCs w:val="0"/>
          <w:color w:val="auto"/>
          <w:sz w:val="24"/>
          <w:szCs w:val="24"/>
          <w:highlight w:val="none"/>
          <w:lang w:val="hr-HR"/>
        </w:rPr>
        <w:t>:</w:t>
      </w:r>
      <w:r>
        <w:rPr>
          <w:rFonts w:hint="eastAsia" w:ascii="宋体" w:hAnsi="宋体" w:eastAsia="宋体" w:cs="宋体"/>
          <w:i w:val="0"/>
          <w:iCs w:val="0"/>
          <w:color w:val="auto"/>
          <w:sz w:val="24"/>
          <w:szCs w:val="24"/>
          <w:highlight w:val="none"/>
          <w:lang w:val="en-US"/>
        </w:rPr>
        <w:t>//www.zcygov.cn/，进入“项目采购-开评标管理-右边选择对应项目点击“进入项目”进入开标大厅</w:t>
      </w:r>
      <w:r>
        <w:rPr>
          <w:rFonts w:hint="eastAsia" w:ascii="宋体" w:hAnsi="宋体" w:eastAsia="宋体" w:cs="宋体"/>
          <w:i w:val="0"/>
          <w:iCs w:val="0"/>
          <w:color w:val="auto"/>
          <w:sz w:val="24"/>
          <w:szCs w:val="24"/>
          <w:highlight w:val="none"/>
        </w:rPr>
        <w:t>。</w:t>
      </w:r>
    </w:p>
    <w:p w14:paraId="72A987BA">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68" w:name="_Toc582"/>
      <w:r>
        <w:rPr>
          <w:rFonts w:hint="eastAsia" w:ascii="宋体" w:hAnsi="宋体" w:eastAsia="宋体" w:cs="宋体"/>
          <w:b/>
          <w:bCs/>
          <w:i w:val="0"/>
          <w:iCs w:val="0"/>
          <w:color w:val="auto"/>
          <w:kern w:val="2"/>
          <w:sz w:val="24"/>
          <w:szCs w:val="24"/>
          <w:highlight w:val="none"/>
          <w:lang w:val="en-US" w:eastAsia="zh-CN" w:bidi="ar-SA"/>
        </w:rPr>
        <w:t>六、</w:t>
      </w:r>
      <w:r>
        <w:rPr>
          <w:rFonts w:hint="eastAsia" w:ascii="宋体" w:hAnsi="宋体" w:eastAsia="宋体" w:cs="宋体"/>
          <w:b/>
          <w:bCs/>
          <w:i w:val="0"/>
          <w:iCs w:val="0"/>
          <w:color w:val="auto"/>
          <w:kern w:val="2"/>
          <w:sz w:val="24"/>
          <w:szCs w:val="24"/>
          <w:highlight w:val="none"/>
          <w:lang w:val="hr-HR" w:eastAsia="zh-CN" w:bidi="ar-SA"/>
        </w:rPr>
        <w:t>公告期限</w:t>
      </w:r>
      <w:bookmarkEnd w:id="56"/>
      <w:bookmarkEnd w:id="57"/>
      <w:bookmarkEnd w:id="58"/>
      <w:bookmarkEnd w:id="59"/>
      <w:bookmarkEnd w:id="60"/>
      <w:bookmarkEnd w:id="62"/>
      <w:bookmarkEnd w:id="63"/>
      <w:bookmarkEnd w:id="64"/>
      <w:bookmarkEnd w:id="65"/>
      <w:bookmarkEnd w:id="66"/>
      <w:bookmarkEnd w:id="67"/>
      <w:bookmarkEnd w:id="68"/>
    </w:p>
    <w:p w14:paraId="187C1FE3">
      <w:pPr>
        <w:pageBreakBefore w:val="0"/>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自本公告发布之日起3个工作日。</w:t>
      </w:r>
      <w:bookmarkStart w:id="69" w:name="_Toc140132750"/>
      <w:bookmarkStart w:id="70" w:name="_Toc44583634"/>
      <w:bookmarkStart w:id="71" w:name="_Toc109899834"/>
      <w:bookmarkStart w:id="72" w:name="_Toc35393635"/>
      <w:bookmarkStart w:id="73" w:name="_Toc35393804"/>
      <w:bookmarkStart w:id="74" w:name="_Toc109900253"/>
      <w:bookmarkStart w:id="75" w:name="_Toc163492817"/>
      <w:bookmarkStart w:id="76" w:name="_Toc109899415"/>
      <w:bookmarkStart w:id="77" w:name="_Toc155185865"/>
    </w:p>
    <w:p w14:paraId="20DD1AA0">
      <w:pPr>
        <w:pStyle w:val="2"/>
        <w:bidi w:val="0"/>
        <w:spacing w:before="0" w:after="0" w:line="240" w:lineRule="auto"/>
        <w:rPr>
          <w:rFonts w:hint="eastAsia" w:ascii="宋体" w:hAnsi="宋体" w:eastAsia="宋体" w:cs="宋体"/>
          <w:b w:val="0"/>
          <w:bCs w:val="0"/>
          <w:i w:val="0"/>
          <w:iCs w:val="0"/>
          <w:color w:val="auto"/>
          <w:kern w:val="2"/>
          <w:sz w:val="24"/>
          <w:szCs w:val="24"/>
          <w:highlight w:val="none"/>
          <w:lang w:val="hr-HR" w:eastAsia="zh-CN" w:bidi="ar-SA"/>
        </w:rPr>
      </w:pPr>
      <w:bookmarkStart w:id="78" w:name="_Toc2075"/>
      <w:r>
        <w:rPr>
          <w:rFonts w:hint="eastAsia" w:ascii="宋体" w:hAnsi="宋体" w:eastAsia="宋体" w:cs="宋体"/>
          <w:b/>
          <w:bCs/>
          <w:i w:val="0"/>
          <w:iCs w:val="0"/>
          <w:color w:val="auto"/>
          <w:kern w:val="2"/>
          <w:sz w:val="24"/>
          <w:szCs w:val="24"/>
          <w:highlight w:val="none"/>
          <w:lang w:val="hr-HR" w:eastAsia="zh-CN" w:bidi="ar-SA"/>
        </w:rPr>
        <w:t>七、其他补充事宜</w:t>
      </w:r>
      <w:bookmarkEnd w:id="69"/>
      <w:bookmarkEnd w:id="70"/>
      <w:bookmarkEnd w:id="71"/>
      <w:bookmarkEnd w:id="72"/>
      <w:bookmarkEnd w:id="73"/>
      <w:bookmarkEnd w:id="74"/>
      <w:bookmarkEnd w:id="75"/>
      <w:bookmarkEnd w:id="76"/>
      <w:bookmarkEnd w:id="77"/>
      <w:bookmarkEnd w:id="78"/>
    </w:p>
    <w:p w14:paraId="7735A957">
      <w:pPr>
        <w:widowControl/>
        <w:shd w:val="clear" w:color="auto" w:fill="FFFFFF"/>
        <w:spacing w:line="480" w:lineRule="exact"/>
        <w:ind w:firstLine="480" w:firstLineChars="200"/>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rPr>
        <w:t>1、本项目实行网上</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，采用电子</w:t>
      </w:r>
      <w:r>
        <w:rPr>
          <w:rFonts w:hint="eastAsia" w:ascii="宋体" w:hAnsi="宋体" w:eastAsia="宋体" w:cs="宋体"/>
          <w:bCs/>
          <w:i w:val="0"/>
          <w:iCs w:val="0"/>
          <w:color w:val="auto"/>
          <w:sz w:val="24"/>
          <w:szCs w:val="24"/>
          <w:highlight w:val="none"/>
          <w:lang w:eastAsia="zh-CN"/>
        </w:rPr>
        <w:t>响应</w:t>
      </w:r>
      <w:r>
        <w:rPr>
          <w:rFonts w:hint="eastAsia" w:ascii="宋体" w:hAnsi="宋体" w:eastAsia="宋体" w:cs="宋体"/>
          <w:bCs/>
          <w:i w:val="0"/>
          <w:iCs w:val="0"/>
          <w:color w:val="auto"/>
          <w:sz w:val="24"/>
          <w:szCs w:val="24"/>
          <w:highlight w:val="none"/>
        </w:rPr>
        <w:t>文件</w:t>
      </w:r>
      <w:r>
        <w:rPr>
          <w:rFonts w:hint="eastAsia" w:ascii="宋体" w:hAnsi="宋体" w:eastAsia="宋体" w:cs="宋体"/>
          <w:bCs/>
          <w:i w:val="0"/>
          <w:iCs w:val="0"/>
          <w:color w:val="auto"/>
          <w:sz w:val="24"/>
          <w:szCs w:val="24"/>
          <w:highlight w:val="none"/>
          <w:lang w:eastAsia="zh-CN"/>
        </w:rPr>
        <w:t>。</w:t>
      </w:r>
    </w:p>
    <w:p w14:paraId="700D8EAB">
      <w:pPr>
        <w:keepNext w:val="0"/>
        <w:keepLines w:val="0"/>
        <w:pageBreakBefore w:val="0"/>
        <w:widowControl/>
        <w:shd w:val="clear" w:color="auto" w:fill="FFFFFF"/>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4942A699">
      <w:pPr>
        <w:keepNext w:val="0"/>
        <w:keepLines w:val="0"/>
        <w:pageBreakBefore w:val="0"/>
        <w:widowControl/>
        <w:shd w:val="clear" w:color="auto" w:fill="FFFFFF"/>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3、供应商将政采云电子交易客户端下载、安装完成后，可通过账号密码或CA登录客户端进行</w:t>
      </w:r>
      <w:r>
        <w:rPr>
          <w:rFonts w:hint="eastAsia" w:ascii="宋体" w:hAnsi="宋体" w:eastAsia="宋体" w:cs="宋体"/>
          <w:bCs/>
          <w:i w:val="0"/>
          <w:iCs w:val="0"/>
          <w:color w:val="auto"/>
          <w:sz w:val="24"/>
          <w:szCs w:val="24"/>
          <w:highlight w:val="none"/>
          <w:lang w:val="en-US" w:eastAsia="zh-CN"/>
        </w:rPr>
        <w:t>响应</w:t>
      </w:r>
      <w:r>
        <w:rPr>
          <w:rFonts w:hint="eastAsia" w:ascii="宋体" w:hAnsi="宋体" w:eastAsia="宋体" w:cs="宋体"/>
          <w:bCs/>
          <w:i w:val="0"/>
          <w:iCs w:val="0"/>
          <w:color w:val="auto"/>
          <w:sz w:val="24"/>
          <w:szCs w:val="24"/>
          <w:highlight w:val="none"/>
        </w:rPr>
        <w:t>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E419BE3">
      <w:pPr>
        <w:keepNext w:val="0"/>
        <w:keepLines w:val="0"/>
        <w:pageBreakBefore w:val="0"/>
        <w:widowControl/>
        <w:shd w:val="clear" w:color="auto" w:fill="FFFFFF"/>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w:t>
      </w:r>
      <w:bookmarkStart w:id="79" w:name="_Toc11825"/>
      <w:r>
        <w:rPr>
          <w:rFonts w:hint="eastAsia" w:ascii="宋体" w:hAnsi="宋体" w:eastAsia="宋体" w:cs="宋体"/>
          <w:b w:val="0"/>
          <w:bCs w:val="0"/>
          <w:i w:val="0"/>
          <w:iCs w:val="0"/>
          <w:color w:val="auto"/>
          <w:sz w:val="24"/>
          <w:szCs w:val="24"/>
          <w:highlight w:val="none"/>
          <w:lang w:val="en-US" w:eastAsia="zh-CN"/>
        </w:rPr>
        <w:t>本次招标需要落实的政府采购政策：（1）财政部、工业和信息化部文件关于印发《政府采购促进中小企业发展管理办法》（财库[2020]46号文）；（2）财政部、司法部《关于政府采购支持监狱企业发展有关问题的通知》（财库〔2014〕68号）；（3）财政部、民政部、中国残疾人联合会文件《关于促进残疾人就业政府采购政策的通知》（财库[2017]141号）；监狱企业、残疾人福利性单位视同小型、微型企业，享受小型、微型企业评审中价格扣除的政府采购政策；</w:t>
      </w:r>
    </w:p>
    <w:p w14:paraId="692B7884">
      <w:pPr>
        <w:pStyle w:val="2"/>
        <w:keepNext/>
        <w:keepLines/>
        <w:pageBreakBefore w:val="0"/>
        <w:widowControl w:val="0"/>
        <w:numPr>
          <w:ilvl w:val="0"/>
          <w:numId w:val="0"/>
        </w:numPr>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eastAsia="zh-CN"/>
        </w:rPr>
      </w:pPr>
      <w:r>
        <w:rPr>
          <w:rFonts w:hint="eastAsia" w:ascii="宋体" w:hAnsi="宋体" w:eastAsia="宋体" w:cs="宋体"/>
          <w:b/>
          <w:bCs/>
          <w:i w:val="0"/>
          <w:iCs w:val="0"/>
          <w:color w:val="auto"/>
          <w:kern w:val="2"/>
          <w:sz w:val="24"/>
          <w:szCs w:val="24"/>
          <w:highlight w:val="none"/>
          <w:lang w:val="en-US" w:eastAsia="zh-CN" w:bidi="ar-SA"/>
        </w:rPr>
        <w:t>八、</w:t>
      </w:r>
      <w:r>
        <w:rPr>
          <w:rFonts w:hint="eastAsia" w:ascii="宋体" w:hAnsi="宋体" w:eastAsia="宋体" w:cs="宋体"/>
          <w:b/>
          <w:bCs/>
          <w:i w:val="0"/>
          <w:iCs w:val="0"/>
          <w:color w:val="auto"/>
          <w:kern w:val="2"/>
          <w:sz w:val="24"/>
          <w:szCs w:val="24"/>
          <w:highlight w:val="none"/>
          <w:lang w:val="hr-HR" w:eastAsia="zh-CN" w:bidi="ar-SA"/>
        </w:rPr>
        <w:t>凡对本次采购提出询问，请按以下方式联系</w:t>
      </w:r>
      <w:bookmarkEnd w:id="79"/>
    </w:p>
    <w:p w14:paraId="67832327">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bookmarkStart w:id="80" w:name="_Toc28359097"/>
      <w:bookmarkStart w:id="81" w:name="_Toc35393807"/>
      <w:bookmarkStart w:id="82" w:name="_Toc35393638"/>
      <w:bookmarkStart w:id="83" w:name="_Toc28359020"/>
      <w:r>
        <w:rPr>
          <w:rFonts w:hint="eastAsia" w:ascii="宋体" w:hAnsi="宋体" w:eastAsia="宋体" w:cs="宋体"/>
          <w:i w:val="0"/>
          <w:iCs w:val="0"/>
          <w:color w:val="auto"/>
          <w:sz w:val="24"/>
          <w:szCs w:val="24"/>
          <w:highlight w:val="none"/>
          <w:lang w:val="en-US" w:eastAsia="zh-CN"/>
        </w:rPr>
        <w:t>1.采购人信息</w:t>
      </w:r>
    </w:p>
    <w:p w14:paraId="7D21F4CD">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本项目采购人：</w:t>
      </w:r>
      <w:r>
        <w:rPr>
          <w:rFonts w:hint="eastAsia" w:cs="宋体"/>
          <w:i w:val="0"/>
          <w:iCs w:val="0"/>
          <w:color w:val="auto"/>
          <w:sz w:val="24"/>
          <w:szCs w:val="24"/>
          <w:highlight w:val="none"/>
          <w:u w:val="single"/>
          <w:lang w:val="en-US" w:eastAsia="zh-CN"/>
        </w:rPr>
        <w:t>第三师融媒体中心</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w:t>
      </w:r>
    </w:p>
    <w:p w14:paraId="5B763125">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地址：</w:t>
      </w:r>
      <w:r>
        <w:rPr>
          <w:rFonts w:hint="eastAsia" w:cs="宋体"/>
          <w:i w:val="0"/>
          <w:iCs w:val="0"/>
          <w:color w:val="auto"/>
          <w:sz w:val="24"/>
          <w:szCs w:val="24"/>
          <w:highlight w:val="none"/>
          <w:u w:val="single"/>
          <w:lang w:val="en-US" w:eastAsia="zh-CN"/>
        </w:rPr>
        <w:t>新疆图木舒克市滨河大道16号</w:t>
      </w:r>
      <w:r>
        <w:rPr>
          <w:rFonts w:hint="eastAsia" w:ascii="宋体" w:hAnsi="宋体" w:eastAsia="宋体" w:cs="宋体"/>
          <w:i w:val="0"/>
          <w:iCs w:val="0"/>
          <w:color w:val="auto"/>
          <w:sz w:val="24"/>
          <w:szCs w:val="24"/>
          <w:highlight w:val="none"/>
          <w:lang w:val="en-US" w:eastAsia="zh-CN"/>
        </w:rPr>
        <w:t xml:space="preserve">  </w:t>
      </w:r>
    </w:p>
    <w:p w14:paraId="2BC58AEE">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联系电话：</w:t>
      </w:r>
      <w:r>
        <w:rPr>
          <w:rFonts w:hint="eastAsia" w:cs="宋体"/>
          <w:i w:val="0"/>
          <w:iCs w:val="0"/>
          <w:color w:val="auto"/>
          <w:sz w:val="24"/>
          <w:szCs w:val="24"/>
          <w:highlight w:val="none"/>
          <w:u w:val="single"/>
          <w:lang w:val="en-US" w:eastAsia="zh-CN"/>
        </w:rPr>
        <w:t>刘红军</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15999307560</w:t>
      </w:r>
    </w:p>
    <w:p w14:paraId="7B446FC3">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2.采购代理机构信息</w:t>
      </w:r>
      <w:bookmarkEnd w:id="80"/>
      <w:bookmarkEnd w:id="81"/>
      <w:bookmarkEnd w:id="82"/>
      <w:bookmarkEnd w:id="83"/>
    </w:p>
    <w:p w14:paraId="718E05EB">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bookmarkStart w:id="84" w:name="_Toc35393639"/>
      <w:bookmarkStart w:id="85" w:name="_Toc28359021"/>
      <w:bookmarkStart w:id="86" w:name="_Toc35393808"/>
      <w:bookmarkStart w:id="87" w:name="_Toc28359098"/>
      <w:r>
        <w:rPr>
          <w:rFonts w:hint="eastAsia" w:ascii="宋体" w:hAnsi="宋体" w:eastAsia="宋体" w:cs="宋体"/>
          <w:i w:val="0"/>
          <w:iCs w:val="0"/>
          <w:color w:val="auto"/>
          <w:sz w:val="24"/>
          <w:szCs w:val="24"/>
          <w:highlight w:val="none"/>
          <w:lang w:val="en-US" w:eastAsia="zh-CN"/>
        </w:rPr>
        <w:t>名称：</w:t>
      </w:r>
      <w:r>
        <w:rPr>
          <w:rFonts w:hint="eastAsia" w:ascii="宋体" w:hAnsi="宋体" w:eastAsia="宋体" w:cs="宋体"/>
          <w:i w:val="0"/>
          <w:iCs w:val="0"/>
          <w:color w:val="auto"/>
          <w:sz w:val="24"/>
          <w:szCs w:val="24"/>
          <w:highlight w:val="none"/>
          <w:u w:val="single"/>
          <w:lang w:val="en-US" w:eastAsia="zh-CN"/>
        </w:rPr>
        <w:t>新疆安可项目管理有限责任公司</w:t>
      </w:r>
    </w:p>
    <w:p w14:paraId="609DBC62">
      <w:pPr>
        <w:pStyle w:val="41"/>
        <w:keepNext w:val="0"/>
        <w:keepLines w:val="0"/>
        <w:pageBreakBefore w:val="0"/>
        <w:widowControl w:val="0"/>
        <w:kinsoku/>
        <w:wordWrap w:val="0"/>
        <w:overflowPunct/>
        <w:topLinePunct w:val="0"/>
        <w:autoSpaceDE/>
        <w:autoSpaceDN/>
        <w:bidi w:val="0"/>
        <w:adjustRightInd/>
        <w:snapToGrid/>
        <w:spacing w:line="400" w:lineRule="exact"/>
        <w:ind w:left="1200" w:leftChars="200" w:hanging="720" w:hangingChars="3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地址：</w:t>
      </w:r>
      <w:r>
        <w:rPr>
          <w:rFonts w:hint="eastAsia" w:ascii="宋体" w:hAnsi="宋体" w:eastAsia="宋体" w:cs="宋体"/>
          <w:i w:val="0"/>
          <w:iCs w:val="0"/>
          <w:color w:val="auto"/>
          <w:sz w:val="24"/>
          <w:szCs w:val="24"/>
          <w:highlight w:val="none"/>
          <w:u w:val="single"/>
          <w:lang w:val="en-US" w:eastAsia="zh-CN"/>
        </w:rPr>
        <w:t>新疆第三师图木舒克市人民南路绿景花苑（169）小区6号楼商铺1-62</w:t>
      </w:r>
    </w:p>
    <w:p w14:paraId="4B8F9C21">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联系方式：米天13657517935</w:t>
      </w:r>
    </w:p>
    <w:p w14:paraId="24D30547">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项目联系方式</w:t>
      </w:r>
    </w:p>
    <w:p w14:paraId="10ECB00F">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联系人：</w:t>
      </w:r>
      <w:r>
        <w:rPr>
          <w:rFonts w:hint="eastAsia" w:cs="宋体"/>
          <w:i w:val="0"/>
          <w:iCs w:val="0"/>
          <w:color w:val="auto"/>
          <w:sz w:val="24"/>
          <w:szCs w:val="24"/>
          <w:highlight w:val="none"/>
          <w:u w:val="single"/>
          <w:lang w:val="en-US" w:eastAsia="zh-CN"/>
        </w:rPr>
        <w:t>米天</w:t>
      </w:r>
    </w:p>
    <w:bookmarkEnd w:id="84"/>
    <w:bookmarkEnd w:id="85"/>
    <w:bookmarkEnd w:id="86"/>
    <w:bookmarkEnd w:id="87"/>
    <w:p w14:paraId="0104CA8D">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lang w:val="en-US" w:eastAsia="zh-CN"/>
        </w:rPr>
        <w:t>电话：</w:t>
      </w:r>
      <w:r>
        <w:rPr>
          <w:rFonts w:hint="eastAsia" w:cs="宋体"/>
          <w:i w:val="0"/>
          <w:iCs w:val="0"/>
          <w:color w:val="auto"/>
          <w:sz w:val="24"/>
          <w:szCs w:val="24"/>
          <w:highlight w:val="none"/>
          <w:u w:val="single"/>
          <w:lang w:val="en-US" w:eastAsia="zh-CN"/>
        </w:rPr>
        <w:t>13657517935</w:t>
      </w:r>
    </w:p>
    <w:p w14:paraId="40763EE4">
      <w:pPr>
        <w:pStyle w:val="41"/>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u w:val="single"/>
          <w:lang w:val="en-US" w:eastAsia="zh-CN"/>
        </w:rPr>
      </w:pPr>
    </w:p>
    <w:p w14:paraId="673E8972">
      <w:pPr>
        <w:rPr>
          <w:i w:val="0"/>
          <w:iCs w:val="0"/>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E2C9AB2">
      <w:pPr>
        <w:pStyle w:val="4"/>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88" w:name="_Toc11873"/>
      <w:r>
        <w:rPr>
          <w:rFonts w:hint="eastAsia" w:ascii="宋体" w:hAnsi="宋体" w:eastAsia="宋体" w:cs="宋体"/>
          <w:b/>
          <w:bCs/>
          <w:i w:val="0"/>
          <w:iCs w:val="0"/>
          <w:color w:val="auto"/>
          <w:kern w:val="44"/>
          <w:sz w:val="36"/>
          <w:szCs w:val="36"/>
          <w:highlight w:val="none"/>
          <w:lang w:val="en-US" w:eastAsia="zh-CN" w:bidi="ar-SA"/>
        </w:rPr>
        <w:t>第二章 供应商须知</w:t>
      </w:r>
      <w:bookmarkEnd w:id="88"/>
    </w:p>
    <w:p w14:paraId="224924B5">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89" w:name="_Toc19176"/>
      <w:r>
        <w:rPr>
          <w:rFonts w:hint="eastAsia" w:eastAsia="宋体" w:asciiTheme="majorHAnsi" w:hAnsiTheme="majorHAnsi" w:cstheme="majorBidi"/>
          <w:b/>
          <w:bCs/>
          <w:i w:val="0"/>
          <w:iCs w:val="0"/>
          <w:color w:val="auto"/>
          <w:kern w:val="2"/>
          <w:sz w:val="28"/>
          <w:szCs w:val="28"/>
          <w:highlight w:val="none"/>
          <w:lang w:val="en-US" w:eastAsia="zh-CN" w:bidi="ar-SA"/>
        </w:rPr>
        <w:t>一、供应商须知前附表</w:t>
      </w:r>
      <w:bookmarkEnd w:id="89"/>
    </w:p>
    <w:p w14:paraId="016068EF">
      <w:pPr>
        <w:pStyle w:val="41"/>
        <w:ind w:firstLine="480"/>
        <w:rPr>
          <w:i w:val="0"/>
          <w:iCs w:val="0"/>
          <w:color w:val="auto"/>
          <w:highlight w:val="none"/>
        </w:rPr>
      </w:pPr>
      <w:r>
        <w:rPr>
          <w:rFonts w:hint="eastAsia"/>
          <w:i w:val="0"/>
          <w:iCs w:val="0"/>
          <w:color w:val="auto"/>
          <w:highlight w:val="none"/>
        </w:rPr>
        <w:t>磋商供应商应仔细阅读本磋商文件的第二章“供应商须知”，下面所列资料是对“供应商须知”的具体补充和说明。如有矛盾，应以本表为准。</w:t>
      </w:r>
      <w:r>
        <w:rPr>
          <w:rFonts w:hint="eastAsia"/>
          <w:i w:val="0"/>
          <w:iCs w:val="0"/>
          <w:color w:val="auto"/>
          <w:highlight w:val="none"/>
          <w:lang w:val="en-US" w:eastAsia="zh-CN"/>
        </w:rPr>
        <w:t>标记“</w:t>
      </w:r>
      <w:r>
        <w:rPr>
          <w:rFonts w:hint="eastAsia" w:ascii="宋体" w:hAnsi="宋体" w:eastAsia="宋体"/>
          <w:i w:val="0"/>
          <w:iCs w:val="0"/>
          <w:color w:val="auto"/>
          <w:highlight w:val="none"/>
          <w:lang w:val="en-US" w:eastAsia="zh-CN"/>
        </w:rPr>
        <w:t>☑”的选项意为适用于本项目，标记“□”的选项意为不适用于本项目。</w:t>
      </w:r>
    </w:p>
    <w:tbl>
      <w:tblPr>
        <w:tblStyle w:val="35"/>
        <w:tblW w:w="9391"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71"/>
        <w:gridCol w:w="6450"/>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52"/>
              <w:jc w:val="center"/>
              <w:rPr>
                <w:rFonts w:hint="eastAsia" w:ascii="宋体" w:hAnsi="宋体" w:eastAsia="宋体" w:cs="宋体"/>
                <w:b/>
                <w:bCs/>
                <w:i w:val="0"/>
                <w:iCs w:val="0"/>
                <w:color w:val="auto"/>
                <w:sz w:val="24"/>
                <w:szCs w:val="24"/>
                <w:highlight w:val="none"/>
              </w:rPr>
            </w:pPr>
            <w:bookmarkStart w:id="90" w:name="_Hlk161703381"/>
            <w:r>
              <w:rPr>
                <w:rFonts w:hint="eastAsia" w:ascii="宋体" w:hAnsi="宋体" w:eastAsia="宋体" w:cs="宋体"/>
                <w:b/>
                <w:bCs/>
                <w:i w:val="0"/>
                <w:iCs w:val="0"/>
                <w:color w:val="auto"/>
                <w:sz w:val="24"/>
                <w:szCs w:val="24"/>
                <w:highlight w:val="none"/>
              </w:rPr>
              <w:t>条款号</w:t>
            </w:r>
          </w:p>
        </w:tc>
        <w:tc>
          <w:tcPr>
            <w:tcW w:w="197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52"/>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45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52"/>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2"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w:t>
            </w:r>
          </w:p>
        </w:tc>
        <w:tc>
          <w:tcPr>
            <w:tcW w:w="1971" w:type="dxa"/>
            <w:tcBorders>
              <w:top w:val="single" w:color="auto" w:sz="2" w:space="0"/>
              <w:left w:val="single" w:color="auto" w:sz="2" w:space="0"/>
              <w:bottom w:val="single" w:color="auto" w:sz="2" w:space="0"/>
              <w:right w:val="single" w:color="auto" w:sz="2" w:space="0"/>
            </w:tcBorders>
            <w:vAlign w:val="center"/>
          </w:tcPr>
          <w:p w14:paraId="7ACDA765">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服务内容</w:t>
            </w:r>
          </w:p>
        </w:tc>
        <w:tc>
          <w:tcPr>
            <w:tcW w:w="6450" w:type="dxa"/>
            <w:tcBorders>
              <w:top w:val="single" w:color="auto" w:sz="2" w:space="0"/>
              <w:left w:val="single" w:color="auto" w:sz="2" w:space="0"/>
              <w:bottom w:val="single" w:color="auto" w:sz="2" w:space="0"/>
              <w:right w:val="single" w:color="auto" w:sz="2" w:space="0"/>
            </w:tcBorders>
            <w:vAlign w:val="center"/>
          </w:tcPr>
          <w:p w14:paraId="090866C0">
            <w:pPr>
              <w:pStyle w:val="52"/>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single"/>
                <w:lang w:val="en-US" w:eastAsia="zh-CN"/>
              </w:rPr>
            </w:pPr>
            <w:r>
              <w:rPr>
                <w:rFonts w:hint="eastAsia" w:cs="宋体"/>
                <w:i w:val="0"/>
                <w:iCs w:val="0"/>
                <w:color w:val="auto"/>
                <w:sz w:val="24"/>
                <w:szCs w:val="24"/>
                <w:highlight w:val="none"/>
                <w:u w:val="none"/>
                <w:lang w:val="en-US" w:eastAsia="zh-CN"/>
              </w:rPr>
              <w:t>食堂对外承包运营，满足我中心60人左右的用餐需求</w:t>
            </w:r>
            <w:r>
              <w:rPr>
                <w:rFonts w:hint="eastAsia" w:ascii="宋体" w:hAnsi="宋体" w:eastAsia="宋体" w:cs="宋体"/>
                <w:i w:val="0"/>
                <w:iCs w:val="0"/>
                <w:color w:val="auto"/>
                <w:sz w:val="24"/>
                <w:szCs w:val="24"/>
                <w:highlight w:val="none"/>
                <w:u w:val="none"/>
                <w:lang w:val="en-US" w:eastAsia="zh-CN"/>
              </w:rPr>
              <w:t>，详见采购文件第三部分“采购需求”。</w:t>
            </w:r>
          </w:p>
        </w:tc>
      </w:tr>
      <w:tr w14:paraId="7054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AEE4073">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971" w:type="dxa"/>
            <w:tcBorders>
              <w:top w:val="single" w:color="auto" w:sz="2" w:space="0"/>
              <w:left w:val="single" w:color="auto" w:sz="2" w:space="0"/>
              <w:bottom w:val="single" w:color="auto" w:sz="2" w:space="0"/>
              <w:right w:val="single" w:color="auto" w:sz="2" w:space="0"/>
            </w:tcBorders>
            <w:vAlign w:val="center"/>
          </w:tcPr>
          <w:p w14:paraId="71CF8DC6">
            <w:pPr>
              <w:pStyle w:val="52"/>
              <w:rPr>
                <w:rFonts w:hint="eastAsia" w:ascii="宋体" w:hAnsi="宋体" w:eastAsia="宋体" w:cs="宋体"/>
                <w:i w:val="0"/>
                <w:iCs w:val="0"/>
                <w:color w:val="auto"/>
                <w:sz w:val="24"/>
                <w:szCs w:val="24"/>
                <w:highlight w:val="none"/>
              </w:rPr>
            </w:pPr>
            <w:bookmarkStart w:id="91" w:name="_Hlk143529175"/>
            <w:r>
              <w:rPr>
                <w:rFonts w:hint="eastAsia" w:ascii="宋体" w:hAnsi="宋体" w:eastAsia="宋体" w:cs="宋体"/>
                <w:i w:val="0"/>
                <w:iCs w:val="0"/>
                <w:color w:val="auto"/>
                <w:sz w:val="24"/>
                <w:szCs w:val="24"/>
                <w:highlight w:val="none"/>
              </w:rPr>
              <w:t>现场考察</w:t>
            </w:r>
            <w:bookmarkEnd w:id="91"/>
          </w:p>
        </w:tc>
        <w:tc>
          <w:tcPr>
            <w:tcW w:w="6450" w:type="dxa"/>
            <w:tcBorders>
              <w:top w:val="single" w:color="auto" w:sz="2" w:space="0"/>
              <w:left w:val="single" w:color="auto" w:sz="2" w:space="0"/>
              <w:bottom w:val="single" w:color="auto" w:sz="2" w:space="0"/>
              <w:right w:val="single" w:color="auto" w:sz="2" w:space="0"/>
            </w:tcBorders>
            <w:vAlign w:val="center"/>
          </w:tcPr>
          <w:p w14:paraId="5E2B3EE4">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不组织，供应商自行前往</w:t>
            </w:r>
          </w:p>
          <w:p w14:paraId="2238EF6A">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rPr>
              <w:t>组织</w:t>
            </w:r>
          </w:p>
          <w:p w14:paraId="047A7004">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1520FC15">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263D1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6DD5B89A">
            <w:pPr>
              <w:pStyle w:val="52"/>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D60B551">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51DA069">
            <w:pPr>
              <w:pStyle w:val="52"/>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6CDDB2B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22E645A0">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5421787D">
            <w:pPr>
              <w:pStyle w:val="52"/>
              <w:ind w:firstLine="240" w:firstLineChars="1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0FF5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BF1A30">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4A7BE250">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6450" w:type="dxa"/>
            <w:tcBorders>
              <w:top w:val="single" w:color="auto" w:sz="2" w:space="0"/>
              <w:left w:val="single" w:color="auto" w:sz="2" w:space="0"/>
              <w:bottom w:val="single" w:color="auto" w:sz="2" w:space="0"/>
              <w:right w:val="single" w:color="auto" w:sz="2" w:space="0"/>
            </w:tcBorders>
            <w:vAlign w:val="center"/>
          </w:tcPr>
          <w:p w14:paraId="35CDAC39">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7419497D">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在供应商客户端中按照格式填写询问函，并在生成询问函后加盖电子印章提交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rPr>
              <w:t>。</w:t>
            </w:r>
          </w:p>
          <w:p w14:paraId="631C46F9">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cs="宋体"/>
                <w:i w:val="0"/>
                <w:iCs w:val="0"/>
                <w:color w:val="auto"/>
                <w:sz w:val="24"/>
                <w:szCs w:val="24"/>
                <w:highlight w:val="none"/>
                <w:u w:val="single"/>
                <w:lang w:val="en-US" w:eastAsia="zh-CN"/>
              </w:rPr>
              <w:t>2025年03月13日前</w:t>
            </w:r>
            <w:r>
              <w:rPr>
                <w:rFonts w:hint="eastAsia" w:ascii="宋体" w:hAnsi="宋体" w:eastAsia="宋体" w:cs="宋体"/>
                <w:i w:val="0"/>
                <w:iCs w:val="0"/>
                <w:color w:val="auto"/>
                <w:sz w:val="24"/>
                <w:szCs w:val="24"/>
                <w:highlight w:val="none"/>
              </w:rPr>
              <w:t>。</w:t>
            </w:r>
          </w:p>
        </w:tc>
      </w:tr>
      <w:tr w14:paraId="4571B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7CBDA8">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56E4A3E9">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响应文件有效期</w:t>
            </w:r>
          </w:p>
        </w:tc>
        <w:tc>
          <w:tcPr>
            <w:tcW w:w="6450" w:type="dxa"/>
            <w:tcBorders>
              <w:top w:val="single" w:color="auto" w:sz="2" w:space="0"/>
              <w:left w:val="single" w:color="auto" w:sz="2" w:space="0"/>
              <w:bottom w:val="single" w:color="auto" w:sz="2" w:space="0"/>
              <w:right w:val="single" w:color="auto" w:sz="2" w:space="0"/>
            </w:tcBorders>
            <w:vAlign w:val="center"/>
          </w:tcPr>
          <w:p w14:paraId="7A8404D2">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49C7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91" w:hRule="atLeast"/>
        </w:trPr>
        <w:tc>
          <w:tcPr>
            <w:tcW w:w="970" w:type="dxa"/>
            <w:tcBorders>
              <w:top w:val="single" w:color="auto" w:sz="2" w:space="0"/>
              <w:left w:val="single" w:color="auto" w:sz="2" w:space="0"/>
              <w:bottom w:val="single" w:color="auto" w:sz="2" w:space="0"/>
              <w:right w:val="single" w:color="auto" w:sz="2" w:space="0"/>
            </w:tcBorders>
            <w:vAlign w:val="center"/>
          </w:tcPr>
          <w:p w14:paraId="26C48057">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971" w:type="dxa"/>
            <w:tcBorders>
              <w:top w:val="single" w:color="auto" w:sz="2" w:space="0"/>
              <w:left w:val="single" w:color="auto" w:sz="2" w:space="0"/>
              <w:bottom w:val="single" w:color="auto" w:sz="2" w:space="0"/>
              <w:right w:val="single" w:color="auto" w:sz="2" w:space="0"/>
            </w:tcBorders>
            <w:vAlign w:val="center"/>
          </w:tcPr>
          <w:p w14:paraId="60D2F551">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6450" w:type="dxa"/>
            <w:tcBorders>
              <w:top w:val="single" w:color="auto" w:sz="2" w:space="0"/>
              <w:left w:val="single" w:color="auto" w:sz="2" w:space="0"/>
              <w:bottom w:val="single" w:color="auto" w:sz="2" w:space="0"/>
              <w:right w:val="single" w:color="auto" w:sz="2" w:space="0"/>
            </w:tcBorders>
            <w:vAlign w:val="center"/>
          </w:tcPr>
          <w:p w14:paraId="69857404">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79A6A2C6">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2A1155DF">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03B51C49">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 xml:space="preserve">人民币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元</w:t>
            </w:r>
            <w:r>
              <w:rPr>
                <w:rFonts w:hint="eastAsia" w:ascii="宋体" w:hAnsi="宋体" w:eastAsia="宋体" w:cs="宋体"/>
                <w:i w:val="0"/>
                <w:iCs w:val="0"/>
                <w:color w:val="auto"/>
                <w:sz w:val="24"/>
                <w:szCs w:val="24"/>
                <w:highlight w:val="none"/>
                <w:lang w:eastAsia="zh-CN"/>
              </w:rPr>
              <w:t>。</w:t>
            </w:r>
          </w:p>
          <w:p w14:paraId="24C12F34">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67F67DC6">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6CBC558A">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收取单位：                            </w:t>
            </w:r>
          </w:p>
          <w:p w14:paraId="0E391BC4">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4.收取账号：</w:t>
            </w:r>
            <w:r>
              <w:rPr>
                <w:rFonts w:hint="eastAsia" w:ascii="宋体" w:hAnsi="宋体" w:eastAsia="宋体" w:cs="宋体"/>
                <w:i w:val="0"/>
                <w:iCs w:val="0"/>
                <w:color w:val="auto"/>
                <w:sz w:val="24"/>
                <w:szCs w:val="24"/>
                <w:highlight w:val="none"/>
              </w:rPr>
              <w:t xml:space="preserve">              </w:t>
            </w:r>
          </w:p>
          <w:p w14:paraId="6AB94639">
            <w:pPr>
              <w:pStyle w:val="61"/>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 xml:space="preserve">退还时间：             </w:t>
            </w:r>
          </w:p>
          <w:p w14:paraId="370DE8E9">
            <w:pPr>
              <w:pStyle w:val="61"/>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6693645A">
            <w:pPr>
              <w:pStyle w:val="61"/>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1.以上各类机构出具的以担保函、保证保险承担责任的方式均须满足无条件见索即付条件。</w:t>
            </w:r>
          </w:p>
          <w:p w14:paraId="479408EB">
            <w:pPr>
              <w:pStyle w:val="61"/>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2.以担保函、保证保险形式缴纳磋商保证金的，受益人和收取单位须为采购人。</w:t>
            </w:r>
          </w:p>
        </w:tc>
      </w:tr>
      <w:tr w14:paraId="7111A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345" w:hRule="atLeast"/>
        </w:trPr>
        <w:tc>
          <w:tcPr>
            <w:tcW w:w="970" w:type="dxa"/>
            <w:tcBorders>
              <w:top w:val="single" w:color="auto" w:sz="2" w:space="0"/>
              <w:left w:val="single" w:color="auto" w:sz="2" w:space="0"/>
              <w:bottom w:val="single" w:color="auto" w:sz="2" w:space="0"/>
              <w:right w:val="single" w:color="auto" w:sz="2" w:space="0"/>
            </w:tcBorders>
            <w:vAlign w:val="center"/>
          </w:tcPr>
          <w:p w14:paraId="61BD2EB4">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22.1</w:t>
            </w:r>
          </w:p>
        </w:tc>
        <w:tc>
          <w:tcPr>
            <w:tcW w:w="1971" w:type="dxa"/>
            <w:tcBorders>
              <w:top w:val="single" w:color="auto" w:sz="2" w:space="0"/>
              <w:left w:val="single" w:color="auto" w:sz="2" w:space="0"/>
              <w:bottom w:val="single" w:color="auto" w:sz="2" w:space="0"/>
              <w:right w:val="single" w:color="auto" w:sz="2" w:space="0"/>
            </w:tcBorders>
            <w:vAlign w:val="center"/>
          </w:tcPr>
          <w:p w14:paraId="5DF09144">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实物样品</w:t>
            </w:r>
          </w:p>
        </w:tc>
        <w:tc>
          <w:tcPr>
            <w:tcW w:w="6450" w:type="dxa"/>
            <w:tcBorders>
              <w:top w:val="single" w:color="auto" w:sz="2" w:space="0"/>
              <w:left w:val="single" w:color="auto" w:sz="2" w:space="0"/>
              <w:bottom w:val="single" w:color="auto" w:sz="2" w:space="0"/>
              <w:right w:val="single" w:color="auto" w:sz="2" w:space="0"/>
            </w:tcBorders>
            <w:vAlign w:val="center"/>
          </w:tcPr>
          <w:p w14:paraId="71E15602">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磋商样品递交： </w:t>
            </w:r>
          </w:p>
          <w:p w14:paraId="4CAFCF88">
            <w:pPr>
              <w:pStyle w:val="52"/>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不需要 </w:t>
            </w:r>
          </w:p>
          <w:p w14:paraId="7F574AF9">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□需要，具体要求如下： </w:t>
            </w:r>
          </w:p>
          <w:p w14:paraId="0F4017F6">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1.样品制作的标准和要求：_________； </w:t>
            </w:r>
          </w:p>
          <w:p w14:paraId="47AA8C8D">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2.是否需要随样品提交相关检测报告： </w:t>
            </w:r>
          </w:p>
          <w:p w14:paraId="78BACEC2">
            <w:pPr>
              <w:pStyle w:val="52"/>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 xml:space="preserve">不需要 </w:t>
            </w:r>
          </w:p>
          <w:p w14:paraId="49DF4476">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□需要 </w:t>
            </w:r>
          </w:p>
          <w:p w14:paraId="3ABCB7B6">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3.样品递交要求：</w:t>
            </w:r>
          </w:p>
          <w:p w14:paraId="7A9B4B4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递交时间：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w:t>
            </w:r>
          </w:p>
          <w:p w14:paraId="5D7E607E">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，逾期提供的样品将不予接受。</w:t>
            </w:r>
            <w:r>
              <w:rPr>
                <w:rFonts w:hint="eastAsia" w:ascii="宋体" w:hAnsi="宋体" w:eastAsia="宋体" w:cs="宋体"/>
                <w:i w:val="0"/>
                <w:iCs w:val="0"/>
                <w:color w:val="auto"/>
                <w:sz w:val="24"/>
                <w:szCs w:val="24"/>
                <w:highlight w:val="none"/>
                <w:lang w:val="en-US" w:eastAsia="zh-CN"/>
              </w:rPr>
              <w:t xml:space="preserve"> </w:t>
            </w:r>
          </w:p>
          <w:p w14:paraId="65899C83">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4.未中标人样品退还：</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7CAFECE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5.中标人样品保管、封存及退还：</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3483D19E">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6.其他要求（如有）：</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lang w:val="en-US" w:eastAsia="zh-CN"/>
              </w:rPr>
              <w:t>。</w:t>
            </w:r>
          </w:p>
        </w:tc>
      </w:tr>
      <w:tr w14:paraId="0492E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989" w:hRule="atLeast"/>
        </w:trPr>
        <w:tc>
          <w:tcPr>
            <w:tcW w:w="970" w:type="dxa"/>
            <w:tcBorders>
              <w:top w:val="single" w:color="auto" w:sz="2" w:space="0"/>
              <w:left w:val="single" w:color="auto" w:sz="2" w:space="0"/>
              <w:bottom w:val="single" w:color="auto" w:sz="2" w:space="0"/>
              <w:right w:val="single" w:color="auto" w:sz="2" w:space="0"/>
            </w:tcBorders>
            <w:vAlign w:val="center"/>
          </w:tcPr>
          <w:p w14:paraId="733F5245">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w:t>
            </w:r>
          </w:p>
        </w:tc>
        <w:tc>
          <w:tcPr>
            <w:tcW w:w="1971" w:type="dxa"/>
            <w:tcBorders>
              <w:top w:val="single" w:color="auto" w:sz="2" w:space="0"/>
              <w:left w:val="single" w:color="auto" w:sz="2" w:space="0"/>
              <w:bottom w:val="single" w:color="auto" w:sz="2" w:space="0"/>
              <w:right w:val="single" w:color="auto" w:sz="2" w:space="0"/>
            </w:tcBorders>
            <w:vAlign w:val="center"/>
          </w:tcPr>
          <w:p w14:paraId="4ABD3E07">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演示</w:t>
            </w:r>
          </w:p>
        </w:tc>
        <w:tc>
          <w:tcPr>
            <w:tcW w:w="6450" w:type="dxa"/>
            <w:tcBorders>
              <w:top w:val="single" w:color="auto" w:sz="2" w:space="0"/>
              <w:left w:val="single" w:color="auto" w:sz="2" w:space="0"/>
              <w:bottom w:val="single" w:color="auto" w:sz="2" w:space="0"/>
              <w:right w:val="single" w:color="auto" w:sz="2" w:space="0"/>
            </w:tcBorders>
            <w:vAlign w:val="center"/>
          </w:tcPr>
          <w:p w14:paraId="2794EEA6">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不进行</w:t>
            </w:r>
          </w:p>
          <w:p w14:paraId="1B031671">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进行，远程线上演示/现场演示</w:t>
            </w:r>
          </w:p>
          <w:p w14:paraId="0D779AAC">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1.演示时间不得超过</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p>
          <w:p w14:paraId="7D605738">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2.进行远程线上演示的，供应商应提前自行准备好演示的软硬配置环境和网络环境，做好演示的各项准备工作。因供应商自身原因无法演示或者演示效果不理想的，导致的后果由供应商自行承担。</w:t>
            </w:r>
          </w:p>
          <w:p w14:paraId="18545CBA">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3.进行现场演示的，演示人员不得超过</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人，演示现场提供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4181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5" w:hRule="atLeast"/>
        </w:trPr>
        <w:tc>
          <w:tcPr>
            <w:tcW w:w="970" w:type="dxa"/>
            <w:tcBorders>
              <w:top w:val="single" w:color="auto" w:sz="2" w:space="0"/>
              <w:left w:val="single" w:color="auto" w:sz="2" w:space="0"/>
              <w:bottom w:val="single" w:color="auto" w:sz="2" w:space="0"/>
              <w:right w:val="single" w:color="auto" w:sz="2" w:space="0"/>
            </w:tcBorders>
            <w:vAlign w:val="center"/>
          </w:tcPr>
          <w:p w14:paraId="75DCCD86">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w:t>
            </w:r>
          </w:p>
        </w:tc>
        <w:tc>
          <w:tcPr>
            <w:tcW w:w="1971" w:type="dxa"/>
            <w:tcBorders>
              <w:top w:val="single" w:color="auto" w:sz="2" w:space="0"/>
              <w:left w:val="single" w:color="auto" w:sz="2" w:space="0"/>
              <w:bottom w:val="single" w:color="auto" w:sz="2" w:space="0"/>
              <w:right w:val="single" w:color="auto" w:sz="2" w:space="0"/>
            </w:tcBorders>
            <w:vAlign w:val="center"/>
          </w:tcPr>
          <w:p w14:paraId="747E8F82">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6450" w:type="dxa"/>
            <w:tcBorders>
              <w:top w:val="single" w:color="auto" w:sz="2" w:space="0"/>
              <w:left w:val="single" w:color="auto" w:sz="2" w:space="0"/>
              <w:bottom w:val="single" w:color="auto" w:sz="2" w:space="0"/>
              <w:right w:val="single" w:color="auto" w:sz="2" w:space="0"/>
            </w:tcBorders>
            <w:vAlign w:val="center"/>
          </w:tcPr>
          <w:p w14:paraId="308957CA">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cs="宋体"/>
                <w:i w:val="0"/>
                <w:iCs w:val="0"/>
                <w:color w:val="auto"/>
                <w:sz w:val="24"/>
                <w:szCs w:val="24"/>
                <w:highlight w:val="none"/>
                <w:u w:val="single"/>
                <w:lang w:val="en-US" w:eastAsia="zh-CN"/>
              </w:rPr>
              <w:t>20</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590AA3C2">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55F30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38" w:hRule="atLeast"/>
        </w:trPr>
        <w:tc>
          <w:tcPr>
            <w:tcW w:w="970" w:type="dxa"/>
            <w:tcBorders>
              <w:top w:val="single" w:color="auto" w:sz="2" w:space="0"/>
              <w:left w:val="single" w:color="auto" w:sz="2" w:space="0"/>
              <w:bottom w:val="single" w:color="auto" w:sz="2" w:space="0"/>
              <w:right w:val="single" w:color="auto" w:sz="2" w:space="0"/>
            </w:tcBorders>
            <w:vAlign w:val="center"/>
          </w:tcPr>
          <w:p w14:paraId="0A512A01">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29.2</w:t>
            </w:r>
          </w:p>
        </w:tc>
        <w:tc>
          <w:tcPr>
            <w:tcW w:w="1971" w:type="dxa"/>
            <w:tcBorders>
              <w:top w:val="single" w:color="auto" w:sz="2" w:space="0"/>
              <w:left w:val="single" w:color="auto" w:sz="2" w:space="0"/>
              <w:bottom w:val="single" w:color="auto" w:sz="2" w:space="0"/>
              <w:right w:val="single" w:color="auto" w:sz="2" w:space="0"/>
            </w:tcBorders>
            <w:vAlign w:val="center"/>
          </w:tcPr>
          <w:p w14:paraId="3B1D8DC9">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6450" w:type="dxa"/>
            <w:tcBorders>
              <w:top w:val="single" w:color="auto" w:sz="2" w:space="0"/>
              <w:left w:val="single" w:color="auto" w:sz="2" w:space="0"/>
              <w:bottom w:val="single" w:color="auto" w:sz="2" w:space="0"/>
              <w:right w:val="single" w:color="auto" w:sz="2" w:space="0"/>
            </w:tcBorders>
            <w:vAlign w:val="center"/>
          </w:tcPr>
          <w:p w14:paraId="67201373">
            <w:pPr>
              <w:pStyle w:val="52"/>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lang w:val="en-US" w:eastAsia="zh-CN"/>
              </w:rPr>
              <w:t>成交候选供应商数量</w:t>
            </w:r>
            <w:r>
              <w:rPr>
                <w:rFonts w:hint="eastAsia"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none"/>
                <w:lang w:val="en-US" w:eastAsia="zh-CN"/>
              </w:rPr>
              <w:t>家</w:t>
            </w:r>
          </w:p>
        </w:tc>
      </w:tr>
      <w:tr w14:paraId="15B5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15" w:hRule="atLeast"/>
        </w:trPr>
        <w:tc>
          <w:tcPr>
            <w:tcW w:w="970" w:type="dxa"/>
            <w:tcBorders>
              <w:top w:val="single" w:color="auto" w:sz="2" w:space="0"/>
              <w:left w:val="single" w:color="auto" w:sz="2" w:space="0"/>
              <w:bottom w:val="single" w:color="auto" w:sz="2" w:space="0"/>
              <w:right w:val="single" w:color="auto" w:sz="2" w:space="0"/>
            </w:tcBorders>
            <w:vAlign w:val="center"/>
          </w:tcPr>
          <w:p w14:paraId="37AC9C03">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30</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7F769072">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6450" w:type="dxa"/>
            <w:tcBorders>
              <w:top w:val="single" w:color="auto" w:sz="2" w:space="0"/>
              <w:left w:val="single" w:color="auto" w:sz="2" w:space="0"/>
              <w:bottom w:val="single" w:color="auto" w:sz="2" w:space="0"/>
              <w:right w:val="single" w:color="auto" w:sz="2" w:space="0"/>
            </w:tcBorders>
            <w:vAlign w:val="center"/>
          </w:tcPr>
          <w:p w14:paraId="59D1D95D">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481AA3B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采购人委托磋商小组直接确定成交供应商。</w:t>
            </w:r>
          </w:p>
        </w:tc>
      </w:tr>
      <w:tr w14:paraId="02426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977" w:hRule="atLeast"/>
        </w:trPr>
        <w:tc>
          <w:tcPr>
            <w:tcW w:w="970" w:type="dxa"/>
            <w:tcBorders>
              <w:top w:val="single" w:color="auto" w:sz="2" w:space="0"/>
              <w:left w:val="single" w:color="auto" w:sz="2" w:space="0"/>
              <w:bottom w:val="single" w:color="auto" w:sz="2" w:space="0"/>
              <w:right w:val="single" w:color="auto" w:sz="2" w:space="0"/>
            </w:tcBorders>
            <w:vAlign w:val="center"/>
          </w:tcPr>
          <w:p w14:paraId="027ED33D">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AB44AED">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6450" w:type="dxa"/>
            <w:tcBorders>
              <w:top w:val="single" w:color="auto" w:sz="2" w:space="0"/>
              <w:left w:val="single" w:color="auto" w:sz="2" w:space="0"/>
              <w:bottom w:val="single" w:color="auto" w:sz="2" w:space="0"/>
              <w:right w:val="single" w:color="auto" w:sz="2" w:space="0"/>
            </w:tcBorders>
            <w:vAlign w:val="center"/>
          </w:tcPr>
          <w:p w14:paraId="08247B4B">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18E8C640">
            <w:pPr>
              <w:pStyle w:val="52"/>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45051CB9">
            <w:pPr>
              <w:pStyle w:val="52"/>
              <w:ind w:firstLine="240" w:firstLineChars="100"/>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合同价的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77DCE896">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人民币           元</w:t>
            </w:r>
          </w:p>
          <w:p w14:paraId="601DBCC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1076A323">
            <w:pPr>
              <w:pStyle w:val="61"/>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62C268E3">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 xml:space="preserve">收取单位：                            </w:t>
            </w:r>
          </w:p>
          <w:p w14:paraId="586EF0F6">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4.收取账号：</w:t>
            </w:r>
            <w:r>
              <w:rPr>
                <w:rFonts w:hint="eastAsia" w:ascii="宋体" w:hAnsi="宋体" w:eastAsia="宋体" w:cs="宋体"/>
                <w:i w:val="0"/>
                <w:iCs w:val="0"/>
                <w:color w:val="auto"/>
                <w:sz w:val="24"/>
                <w:szCs w:val="24"/>
                <w:highlight w:val="none"/>
              </w:rPr>
              <w:t xml:space="preserve">              </w:t>
            </w:r>
          </w:p>
          <w:p w14:paraId="012A090E">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 xml:space="preserve">退还时间：              </w:t>
            </w:r>
          </w:p>
          <w:p w14:paraId="669D6D76">
            <w:pPr>
              <w:pStyle w:val="52"/>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E2158BA">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158E6C8E">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以担保函、保证保险形式缴纳履约保证金的，受益人和收取单位须为采购人。</w:t>
            </w:r>
          </w:p>
        </w:tc>
      </w:tr>
      <w:tr w14:paraId="64B5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077" w:hRule="atLeast"/>
        </w:trPr>
        <w:tc>
          <w:tcPr>
            <w:tcW w:w="970" w:type="dxa"/>
            <w:tcBorders>
              <w:top w:val="single" w:color="auto" w:sz="2" w:space="0"/>
              <w:left w:val="single" w:color="auto" w:sz="2" w:space="0"/>
              <w:bottom w:val="single" w:color="auto" w:sz="2" w:space="0"/>
              <w:right w:val="single" w:color="auto" w:sz="2" w:space="0"/>
            </w:tcBorders>
            <w:vAlign w:val="center"/>
          </w:tcPr>
          <w:p w14:paraId="0861755C">
            <w:pPr>
              <w:pStyle w:val="52"/>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34.5</w:t>
            </w:r>
          </w:p>
        </w:tc>
        <w:tc>
          <w:tcPr>
            <w:tcW w:w="1971" w:type="dxa"/>
            <w:tcBorders>
              <w:top w:val="single" w:color="auto" w:sz="2" w:space="0"/>
              <w:left w:val="single" w:color="auto" w:sz="2" w:space="0"/>
              <w:bottom w:val="single" w:color="auto" w:sz="2" w:space="0"/>
              <w:right w:val="single" w:color="auto" w:sz="2" w:space="0"/>
            </w:tcBorders>
            <w:vAlign w:val="center"/>
          </w:tcPr>
          <w:p w14:paraId="04D9510B">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合同分包</w:t>
            </w:r>
          </w:p>
        </w:tc>
        <w:tc>
          <w:tcPr>
            <w:tcW w:w="6450" w:type="dxa"/>
            <w:tcBorders>
              <w:top w:val="single" w:color="auto" w:sz="2" w:space="0"/>
              <w:left w:val="single" w:color="auto" w:sz="2" w:space="0"/>
              <w:bottom w:val="single" w:color="auto" w:sz="2" w:space="0"/>
              <w:right w:val="single" w:color="auto" w:sz="2" w:space="0"/>
            </w:tcBorders>
            <w:vAlign w:val="center"/>
          </w:tcPr>
          <w:p w14:paraId="4344EC45">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本项目的非主体、非关键性工作是否允许分包： </w:t>
            </w:r>
          </w:p>
          <w:p w14:paraId="3D901FC0">
            <w:pPr>
              <w:pStyle w:val="52"/>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2"/>
                <w:sz w:val="24"/>
                <w:szCs w:val="24"/>
                <w:highlight w:val="none"/>
                <w:lang w:val="en-US" w:eastAsia="zh-CN" w:bidi="ar-SA"/>
              </w:rPr>
              <w:t xml:space="preserve">不允许 </w:t>
            </w:r>
          </w:p>
          <w:p w14:paraId="56DFA0F7">
            <w:pPr>
              <w:pStyle w:val="52"/>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□允许，具体要求： </w:t>
            </w:r>
          </w:p>
          <w:p w14:paraId="6C445FF2">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1.可以分包履行的具体内容：_____； </w:t>
            </w:r>
          </w:p>
          <w:p w14:paraId="71BE067E">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2.允许分包的金额或者比例：_____； </w:t>
            </w:r>
          </w:p>
          <w:p w14:paraId="3628979B">
            <w:pPr>
              <w:pStyle w:val="52"/>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3.其他要求：_____。</w:t>
            </w:r>
          </w:p>
        </w:tc>
      </w:tr>
      <w:tr w14:paraId="749FB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F3EF9C4">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35.1</w:t>
            </w:r>
          </w:p>
        </w:tc>
        <w:tc>
          <w:tcPr>
            <w:tcW w:w="1971" w:type="dxa"/>
            <w:tcBorders>
              <w:top w:val="single" w:color="auto" w:sz="2" w:space="0"/>
              <w:left w:val="single" w:color="auto" w:sz="2" w:space="0"/>
              <w:bottom w:val="single" w:color="auto" w:sz="2" w:space="0"/>
              <w:right w:val="single" w:color="auto" w:sz="2" w:space="0"/>
            </w:tcBorders>
            <w:vAlign w:val="center"/>
          </w:tcPr>
          <w:p w14:paraId="66EBB004">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6450" w:type="dxa"/>
            <w:tcBorders>
              <w:top w:val="single" w:color="auto" w:sz="2" w:space="0"/>
              <w:left w:val="single" w:color="auto" w:sz="2" w:space="0"/>
              <w:bottom w:val="single" w:color="auto" w:sz="2" w:space="0"/>
              <w:right w:val="single" w:color="auto" w:sz="2" w:space="0"/>
            </w:tcBorders>
            <w:vAlign w:val="center"/>
          </w:tcPr>
          <w:p w14:paraId="55F62BAF">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1.投标人认为招标文件、招标过程和中标结果使自己的权益受到损害的，可以根据《中华人民共和国政府采购法实施条例》和《政府采购质疑和投诉办法》的有关规定，依法向采购人或其委托的采购代理机构质疑。</w:t>
            </w:r>
          </w:p>
          <w:p w14:paraId="420CEBC3">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2.质疑投标人应按照财政部制定的《政府采购质疑函范本》格式（可从财政部官方网站下载）和《政府采购质疑和投诉办法》的要求,在法定质疑期内以书面形式提出质疑,针对同一采购程序环节的质疑次数应一次性提供。</w:t>
            </w:r>
          </w:p>
          <w:p w14:paraId="09029EAB">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3.超出法定质疑期提交的质疑将被拒绝。重复或分次提出的、内容或形式不符合《政府采购质疑和投诉办法》的,质疑投标人将依法承担不利后果。</w:t>
            </w:r>
          </w:p>
          <w:p w14:paraId="18B30FFD">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4.依据：《中华人民共和国政府采购法实施条例》第五十三条政府采购法第五十二条规定的投标人应知其权益受到损害之日，是指：（一） 对可以质疑的采购文件质疑的，为收到采购文件之日或者采购文件公告期限届满之日；（二） 对采购过程质疑的，为各采购程序环节结束之日；（三）对中标或者成交结果质疑的，为中标或者成交结果公告期限届满之日。</w:t>
            </w:r>
          </w:p>
          <w:p w14:paraId="19F26822">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递交方式：将投标人疑问文件电子版（须为可编辑的WORD文档）与盖章的纸质版原件扫描件PDF版本发送</w:t>
            </w:r>
            <w:r>
              <w:rPr>
                <w:rFonts w:hint="eastAsia" w:ascii="宋体" w:hAnsi="宋体" w:cs="宋体"/>
                <w:i w:val="0"/>
                <w:iCs w:val="0"/>
                <w:color w:val="auto"/>
                <w:kern w:val="2"/>
                <w:sz w:val="24"/>
                <w:szCs w:val="24"/>
                <w:highlight w:val="none"/>
                <w:u w:val="none"/>
                <w:lang w:val="en-US" w:eastAsia="zh-CN" w:bidi="ar-SA"/>
              </w:rPr>
              <w:t>294380964</w:t>
            </w:r>
            <w:r>
              <w:rPr>
                <w:rFonts w:hint="eastAsia" w:ascii="宋体" w:hAnsi="宋体" w:eastAsia="宋体" w:cs="宋体"/>
                <w:i w:val="0"/>
                <w:iCs w:val="0"/>
                <w:color w:val="auto"/>
                <w:kern w:val="2"/>
                <w:sz w:val="24"/>
                <w:szCs w:val="24"/>
                <w:highlight w:val="none"/>
                <w:u w:val="none"/>
                <w:lang w:val="zh-CN" w:eastAsia="zh-CN" w:bidi="ar-SA"/>
              </w:rPr>
              <w:t xml:space="preserve">@qq.com；如WORD文档内容与盖章的纸质版原件扫描件PDF内容不一致的,以盖章的纸质版原件扫描件PDF内容为准。              </w:t>
            </w:r>
          </w:p>
          <w:p w14:paraId="33CC548F">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接收部门：</w:t>
            </w:r>
            <w:r>
              <w:rPr>
                <w:rFonts w:hint="eastAsia" w:ascii="宋体" w:hAnsi="宋体" w:cs="宋体"/>
                <w:i w:val="0"/>
                <w:iCs w:val="0"/>
                <w:color w:val="auto"/>
                <w:sz w:val="24"/>
                <w:szCs w:val="24"/>
                <w:highlight w:val="none"/>
                <w:u w:val="none"/>
                <w:lang w:val="en-US" w:eastAsia="zh-CN"/>
              </w:rPr>
              <w:t>新疆安可项目管理有限责任公司</w:t>
            </w:r>
            <w:r>
              <w:rPr>
                <w:rFonts w:hint="eastAsia" w:ascii="宋体" w:hAnsi="宋体" w:eastAsia="宋体" w:cs="宋体"/>
                <w:i w:val="0"/>
                <w:iCs w:val="0"/>
                <w:color w:val="auto"/>
                <w:kern w:val="2"/>
                <w:sz w:val="24"/>
                <w:szCs w:val="24"/>
                <w:highlight w:val="none"/>
                <w:u w:val="none"/>
                <w:lang w:val="zh-CN" w:eastAsia="zh-CN" w:bidi="ar-SA"/>
              </w:rPr>
              <w:t xml:space="preserve">              </w:t>
            </w:r>
          </w:p>
          <w:p w14:paraId="4E9BBFA0">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联系电话：</w:t>
            </w:r>
            <w:r>
              <w:rPr>
                <w:rFonts w:hint="eastAsia" w:ascii="宋体" w:hAnsi="宋体" w:cs="宋体"/>
                <w:i w:val="0"/>
                <w:iCs w:val="0"/>
                <w:color w:val="auto"/>
                <w:sz w:val="24"/>
                <w:szCs w:val="24"/>
                <w:highlight w:val="none"/>
                <w:u w:val="none"/>
                <w:lang w:val="en-US" w:eastAsia="zh-CN"/>
              </w:rPr>
              <w:t>13657517935</w:t>
            </w:r>
            <w:r>
              <w:rPr>
                <w:rFonts w:hint="eastAsia" w:ascii="宋体" w:hAnsi="宋体" w:eastAsia="宋体" w:cs="宋体"/>
                <w:i w:val="0"/>
                <w:iCs w:val="0"/>
                <w:color w:val="auto"/>
                <w:kern w:val="2"/>
                <w:sz w:val="24"/>
                <w:szCs w:val="24"/>
                <w:highlight w:val="none"/>
                <w:u w:val="none"/>
                <w:lang w:val="zh-CN" w:eastAsia="zh-CN" w:bidi="ar-SA"/>
              </w:rPr>
              <w:t xml:space="preserve">              </w:t>
            </w:r>
          </w:p>
          <w:p w14:paraId="616CB027">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i w:val="0"/>
                <w:iCs w:val="0"/>
                <w:color w:val="auto"/>
                <w:kern w:val="2"/>
                <w:sz w:val="24"/>
                <w:szCs w:val="24"/>
                <w:highlight w:val="none"/>
                <w:u w:val="none"/>
                <w:lang w:val="zh-CN" w:eastAsia="zh-CN" w:bidi="ar-SA"/>
              </w:rPr>
              <w:t xml:space="preserve">通讯地址：新疆第三师图木舒克市人民南路绿景花苑（169）小区6号楼商铺1-62 </w:t>
            </w:r>
          </w:p>
        </w:tc>
      </w:tr>
      <w:tr w14:paraId="5669A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7D5660B">
            <w:pPr>
              <w:pStyle w:val="52"/>
              <w:jc w:val="center"/>
              <w:rPr>
                <w:rFonts w:hint="eastAsia" w:ascii="宋体" w:hAnsi="宋体" w:eastAsia="宋体" w:cs="宋体"/>
                <w:i w:val="0"/>
                <w:iCs w:val="0"/>
                <w:color w:val="auto"/>
                <w:sz w:val="24"/>
                <w:szCs w:val="24"/>
                <w:highlight w:val="none"/>
                <w:lang w:val="en-US" w:eastAsia="zh-CN"/>
              </w:rPr>
            </w:pPr>
          </w:p>
        </w:tc>
        <w:tc>
          <w:tcPr>
            <w:tcW w:w="1971" w:type="dxa"/>
            <w:tcBorders>
              <w:top w:val="single" w:color="auto" w:sz="2" w:space="0"/>
              <w:left w:val="single" w:color="auto" w:sz="2" w:space="0"/>
              <w:bottom w:val="single" w:color="auto" w:sz="2" w:space="0"/>
              <w:right w:val="single" w:color="auto" w:sz="2" w:space="0"/>
            </w:tcBorders>
            <w:vAlign w:val="center"/>
          </w:tcPr>
          <w:p w14:paraId="4B63582E">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受理投诉方式</w:t>
            </w:r>
          </w:p>
        </w:tc>
        <w:tc>
          <w:tcPr>
            <w:tcW w:w="6450" w:type="dxa"/>
            <w:tcBorders>
              <w:top w:val="single" w:color="auto" w:sz="2" w:space="0"/>
              <w:left w:val="single" w:color="auto" w:sz="2" w:space="0"/>
              <w:bottom w:val="single" w:color="auto" w:sz="2" w:space="0"/>
              <w:right w:val="single" w:color="auto" w:sz="2" w:space="0"/>
            </w:tcBorders>
            <w:vAlign w:val="center"/>
          </w:tcPr>
          <w:p w14:paraId="34622421">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1、受理方式：纸质方式受理，投诉书正、副本（经过质疑的事项才可投诉）。</w:t>
            </w:r>
          </w:p>
          <w:p w14:paraId="2FCACDC3">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2、联系方式：</w:t>
            </w:r>
          </w:p>
          <w:p w14:paraId="1C00E6C0">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名称：第三师图木舒克市财政局</w:t>
            </w:r>
          </w:p>
          <w:p w14:paraId="3DDC5256">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地址：第三师图木舒克市市政府</w:t>
            </w:r>
          </w:p>
          <w:p w14:paraId="0A4CC52B">
            <w:pPr>
              <w:pStyle w:val="1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u w:val="none"/>
                <w:lang w:val="zh-CN" w:eastAsia="zh-CN" w:bidi="ar-SA"/>
              </w:rPr>
              <w:t>联系电话：0998-5701277</w:t>
            </w:r>
          </w:p>
        </w:tc>
      </w:tr>
      <w:tr w14:paraId="3338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4B8253">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620FF725">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6450" w:type="dxa"/>
            <w:tcBorders>
              <w:top w:val="single" w:color="auto" w:sz="2" w:space="0"/>
              <w:left w:val="single" w:color="auto" w:sz="2" w:space="0"/>
              <w:bottom w:val="single" w:color="auto" w:sz="2" w:space="0"/>
              <w:right w:val="single" w:color="auto" w:sz="2" w:space="0"/>
            </w:tcBorders>
            <w:vAlign w:val="center"/>
          </w:tcPr>
          <w:p w14:paraId="50481589">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 xml:space="preserve">采购人支付 </w:t>
            </w: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 xml:space="preserve">人支付 </w:t>
            </w:r>
          </w:p>
          <w:p w14:paraId="4710D0C3">
            <w:pPr>
              <w:pStyle w:val="52"/>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ascii="宋体" w:hAnsi="宋体" w:eastAsia="宋体" w:cs="宋体"/>
                <w:i w:val="0"/>
                <w:iCs w:val="0"/>
                <w:color w:val="auto"/>
                <w:sz w:val="24"/>
                <w:szCs w:val="24"/>
                <w:highlight w:val="none"/>
                <w:u w:val="none"/>
                <w:lang w:val="en-US" w:eastAsia="zh-CN"/>
              </w:rPr>
              <w:t>执行《政府采购代理机构管理暂行办法》财库〔2018〕2号文件。按照</w:t>
            </w:r>
            <w:r>
              <w:rPr>
                <w:rFonts w:hint="eastAsia" w:cs="宋体"/>
                <w:i w:val="0"/>
                <w:iCs w:val="0"/>
                <w:color w:val="auto"/>
                <w:sz w:val="24"/>
                <w:szCs w:val="24"/>
                <w:highlight w:val="none"/>
                <w:u w:val="none"/>
                <w:lang w:val="en-US" w:eastAsia="zh-CN"/>
              </w:rPr>
              <w:t>中标成交</w:t>
            </w:r>
            <w:r>
              <w:rPr>
                <w:rFonts w:hint="eastAsia" w:ascii="宋体" w:hAnsi="宋体" w:eastAsia="宋体" w:cs="宋体"/>
                <w:i w:val="0"/>
                <w:iCs w:val="0"/>
                <w:color w:val="auto"/>
                <w:sz w:val="24"/>
                <w:szCs w:val="24"/>
                <w:highlight w:val="none"/>
                <w:u w:val="none"/>
                <w:lang w:val="en-US" w:eastAsia="zh-CN"/>
              </w:rPr>
              <w:t>金额的1.5%收取。</w:t>
            </w:r>
          </w:p>
          <w:p w14:paraId="7984F9E6">
            <w:pPr>
              <w:pStyle w:val="52"/>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val="en-US" w:eastAsia="zh-CN"/>
              </w:rPr>
              <w:t>收取</w:t>
            </w:r>
            <w:r>
              <w:rPr>
                <w:rFonts w:hint="eastAsia" w:ascii="宋体" w:hAnsi="宋体" w:eastAsia="宋体" w:cs="宋体"/>
                <w:i w:val="0"/>
                <w:iCs w:val="0"/>
                <w:color w:val="auto"/>
                <w:sz w:val="24"/>
                <w:szCs w:val="24"/>
                <w:highlight w:val="none"/>
                <w:u w:val="none"/>
              </w:rPr>
              <w:t>时间：</w:t>
            </w:r>
            <w:r>
              <w:rPr>
                <w:rFonts w:hint="eastAsia" w:ascii="宋体" w:hAnsi="宋体" w:eastAsia="宋体" w:cs="宋体"/>
                <w:i w:val="0"/>
                <w:iCs w:val="0"/>
                <w:color w:val="auto"/>
                <w:sz w:val="24"/>
                <w:szCs w:val="24"/>
                <w:highlight w:val="none"/>
                <w:u w:val="none"/>
                <w:lang w:val="en-US" w:eastAsia="zh-CN"/>
              </w:rPr>
              <w:t>成交供应商在领取成交通知书前，向采购代理机构一次性缴纳采购代理服务费。</w:t>
            </w:r>
          </w:p>
          <w:p w14:paraId="624D4904">
            <w:pPr>
              <w:pStyle w:val="52"/>
              <w:rPr>
                <w:rFonts w:hint="eastAsia"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val="en-US" w:eastAsia="zh-CN"/>
              </w:rPr>
              <w:t>收取</w:t>
            </w:r>
            <w:r>
              <w:rPr>
                <w:rFonts w:hint="eastAsia" w:ascii="宋体" w:hAnsi="宋体" w:eastAsia="宋体" w:cs="宋体"/>
                <w:i w:val="0"/>
                <w:iCs w:val="0"/>
                <w:color w:val="auto"/>
                <w:sz w:val="24"/>
                <w:szCs w:val="24"/>
                <w:highlight w:val="none"/>
                <w:u w:val="none"/>
              </w:rPr>
              <w:t>方式：</w:t>
            </w:r>
            <w:r>
              <w:rPr>
                <w:rFonts w:hint="eastAsia" w:cs="宋体"/>
                <w:i w:val="0"/>
                <w:iCs w:val="0"/>
                <w:color w:val="auto"/>
                <w:sz w:val="24"/>
                <w:szCs w:val="24"/>
                <w:highlight w:val="none"/>
                <w:u w:val="none"/>
                <w:lang w:val="en-US" w:eastAsia="zh-CN"/>
              </w:rPr>
              <w:t>电汇</w:t>
            </w:r>
          </w:p>
          <w:p w14:paraId="36A858E7">
            <w:pPr>
              <w:pStyle w:val="52"/>
              <w:rPr>
                <w:rFonts w:hint="eastAsia"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5.收款单位：新疆安可项目管理有限责任公司</w:t>
            </w:r>
          </w:p>
          <w:p w14:paraId="2631C1F7">
            <w:pPr>
              <w:pStyle w:val="52"/>
              <w:rPr>
                <w:rFonts w:hint="eastAsia"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开户银行：中国工商银行股份有限公司图木舒克支行</w:t>
            </w:r>
          </w:p>
          <w:p w14:paraId="786A6353">
            <w:pPr>
              <w:pStyle w:val="52"/>
              <w:rPr>
                <w:rFonts w:hint="eastAsia" w:cs="宋体"/>
                <w:i w:val="0"/>
                <w:iCs w:val="0"/>
                <w:color w:val="auto"/>
                <w:sz w:val="24"/>
                <w:szCs w:val="24"/>
                <w:highlight w:val="none"/>
                <w:u w:val="none"/>
                <w:lang w:val="en-US" w:eastAsia="zh-CN"/>
              </w:rPr>
            </w:pPr>
            <w:r>
              <w:rPr>
                <w:rFonts w:hint="eastAsia" w:cs="宋体"/>
                <w:i w:val="0"/>
                <w:iCs w:val="0"/>
                <w:color w:val="auto"/>
                <w:sz w:val="24"/>
                <w:szCs w:val="24"/>
                <w:highlight w:val="none"/>
                <w:u w:val="none"/>
                <w:lang w:val="en-US" w:eastAsia="zh-CN"/>
              </w:rPr>
              <w:t>银行账号：3012000309000006206</w:t>
            </w:r>
          </w:p>
          <w:p w14:paraId="0C4ED3D5">
            <w:pPr>
              <w:pStyle w:val="52"/>
              <w:rPr>
                <w:rFonts w:hint="default" w:cs="宋体"/>
                <w:i w:val="0"/>
                <w:iCs w:val="0"/>
                <w:color w:val="auto"/>
                <w:sz w:val="24"/>
                <w:szCs w:val="24"/>
                <w:highlight w:val="none"/>
                <w:u w:val="single"/>
                <w:lang w:val="en-US" w:eastAsia="zh-CN"/>
              </w:rPr>
            </w:pPr>
            <w:r>
              <w:rPr>
                <w:rFonts w:hint="eastAsia" w:cs="宋体"/>
                <w:i w:val="0"/>
                <w:iCs w:val="0"/>
                <w:color w:val="auto"/>
                <w:sz w:val="24"/>
                <w:szCs w:val="24"/>
                <w:highlight w:val="none"/>
                <w:u w:val="none"/>
                <w:lang w:val="en-US" w:eastAsia="zh-CN"/>
              </w:rPr>
              <w:t>行号：102903200010</w:t>
            </w:r>
          </w:p>
        </w:tc>
      </w:tr>
      <w:tr w14:paraId="399E0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071A53">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41</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vAlign w:val="center"/>
          </w:tcPr>
          <w:p w14:paraId="1785FF1B">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是否接受进口产品</w:t>
            </w:r>
          </w:p>
        </w:tc>
        <w:tc>
          <w:tcPr>
            <w:tcW w:w="6450" w:type="dxa"/>
            <w:tcBorders>
              <w:top w:val="single" w:color="auto" w:sz="2" w:space="0"/>
              <w:left w:val="single" w:color="auto" w:sz="2" w:space="0"/>
              <w:bottom w:val="single" w:color="auto" w:sz="2" w:space="0"/>
              <w:right w:val="single" w:color="auto" w:sz="2" w:space="0"/>
            </w:tcBorders>
            <w:vAlign w:val="center"/>
          </w:tcPr>
          <w:p w14:paraId="3B4D5E17">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不接受</w:t>
            </w:r>
          </w:p>
          <w:p w14:paraId="77F5BFD2">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lang w:val="zh-CN"/>
              </w:rPr>
              <w:t>接受</w:t>
            </w:r>
          </w:p>
        </w:tc>
      </w:tr>
      <w:tr w14:paraId="6F70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5EB639A">
            <w:pPr>
              <w:pStyle w:val="52"/>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971" w:type="dxa"/>
            <w:tcBorders>
              <w:top w:val="single" w:color="auto" w:sz="2" w:space="0"/>
              <w:left w:val="single" w:color="auto" w:sz="2" w:space="0"/>
              <w:bottom w:val="single" w:color="auto" w:sz="2" w:space="0"/>
              <w:right w:val="single" w:color="auto" w:sz="2" w:space="0"/>
            </w:tcBorders>
            <w:vAlign w:val="center"/>
          </w:tcPr>
          <w:p w14:paraId="623E81D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支持中小企业政策</w:t>
            </w:r>
            <w:r>
              <w:rPr>
                <w:rStyle w:val="38"/>
                <w:rFonts w:hint="eastAsia" w:ascii="宋体" w:hAnsi="宋体" w:eastAsia="宋体" w:cs="宋体"/>
                <w:b w:val="0"/>
                <w:i w:val="0"/>
                <w:iCs w:val="0"/>
                <w:color w:val="auto"/>
                <w:sz w:val="24"/>
                <w:szCs w:val="24"/>
                <w:highlight w:val="none"/>
                <w:lang w:val="en-US" w:eastAsia="zh-CN"/>
              </w:rPr>
              <w:t>（非专门面向中小企业采购项目适用）</w:t>
            </w:r>
          </w:p>
        </w:tc>
        <w:tc>
          <w:tcPr>
            <w:tcW w:w="6450" w:type="dxa"/>
            <w:tcBorders>
              <w:top w:val="single" w:color="auto" w:sz="2" w:space="0"/>
              <w:left w:val="single" w:color="auto" w:sz="2" w:space="0"/>
              <w:bottom w:val="single" w:color="auto" w:sz="2" w:space="0"/>
              <w:right w:val="single" w:color="auto" w:sz="2" w:space="0"/>
            </w:tcBorders>
            <w:vAlign w:val="center"/>
          </w:tcPr>
          <w:p w14:paraId="494A9BAF">
            <w:pPr>
              <w:pStyle w:val="6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1</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小型和微型企业价格扣除：</w:t>
            </w:r>
            <w:r>
              <w:rPr>
                <w:rFonts w:hint="eastAsia" w:cs="宋体"/>
                <w:b w:val="0"/>
                <w:i w:val="0"/>
                <w:iCs w:val="0"/>
                <w:color w:val="auto"/>
                <w:sz w:val="24"/>
                <w:szCs w:val="24"/>
                <w:highlight w:val="none"/>
                <w:u w:val="single"/>
                <w:lang w:val="en-US" w:eastAsia="zh-CN"/>
              </w:rPr>
              <w:t>/</w:t>
            </w:r>
            <w:r>
              <w:rPr>
                <w:rFonts w:hint="eastAsia" w:ascii="宋体" w:hAnsi="宋体" w:eastAsia="宋体" w:cs="宋体"/>
                <w:b w:val="0"/>
                <w:i w:val="0"/>
                <w:iCs w:val="0"/>
                <w:color w:val="auto"/>
                <w:sz w:val="24"/>
                <w:szCs w:val="24"/>
                <w:highlight w:val="none"/>
              </w:rPr>
              <w:t>。</w:t>
            </w:r>
          </w:p>
          <w:p w14:paraId="1EC73829">
            <w:pPr>
              <w:pStyle w:val="6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2</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监狱企业价格扣除：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498559E5">
            <w:pPr>
              <w:pStyle w:val="6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3</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残疾人福利性单位价格扣除：</w:t>
            </w:r>
            <w:r>
              <w:rPr>
                <w:rFonts w:hint="eastAsia" w:ascii="宋体" w:hAnsi="宋体" w:eastAsia="宋体" w:cs="宋体"/>
                <w:b w:val="0"/>
                <w:i w:val="0"/>
                <w:iCs w:val="0"/>
                <w:color w:val="auto"/>
                <w:sz w:val="24"/>
                <w:szCs w:val="24"/>
                <w:highlight w:val="none"/>
                <w:u w:val="none"/>
              </w:rPr>
              <w:t>同小型和微型企业</w:t>
            </w:r>
            <w:r>
              <w:rPr>
                <w:rFonts w:hint="eastAsia" w:ascii="宋体" w:hAnsi="宋体" w:eastAsia="宋体" w:cs="宋体"/>
                <w:b w:val="0"/>
                <w:i w:val="0"/>
                <w:iCs w:val="0"/>
                <w:color w:val="auto"/>
                <w:sz w:val="24"/>
                <w:szCs w:val="24"/>
                <w:highlight w:val="none"/>
              </w:rPr>
              <w:t>。</w:t>
            </w:r>
          </w:p>
          <w:p w14:paraId="56AB8547">
            <w:pPr>
              <w:pStyle w:val="6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4</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符合条件的联合体价格扣除：</w:t>
            </w:r>
            <w:r>
              <w:rPr>
                <w:rFonts w:hint="eastAsia" w:cs="宋体"/>
                <w:b w:val="0"/>
                <w:i w:val="0"/>
                <w:iCs w:val="0"/>
                <w:color w:val="auto"/>
                <w:sz w:val="24"/>
                <w:szCs w:val="24"/>
                <w:highlight w:val="none"/>
                <w:u w:val="single"/>
                <w:lang w:val="en-US" w:eastAsia="zh-CN"/>
              </w:rPr>
              <w:t>/</w:t>
            </w:r>
            <w:r>
              <w:rPr>
                <w:rFonts w:hint="eastAsia" w:ascii="宋体" w:hAnsi="宋体" w:eastAsia="宋体" w:cs="宋体"/>
                <w:b w:val="0"/>
                <w:i w:val="0"/>
                <w:iCs w:val="0"/>
                <w:color w:val="auto"/>
                <w:sz w:val="24"/>
                <w:szCs w:val="24"/>
                <w:highlight w:val="none"/>
              </w:rPr>
              <w:t>。</w:t>
            </w:r>
          </w:p>
          <w:p w14:paraId="083F702C">
            <w:pPr>
              <w:pStyle w:val="68"/>
              <w:widowControl w:val="0"/>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5</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符合条件的向小微企业分包的大中型企业价格扣除：</w:t>
            </w:r>
            <w:r>
              <w:rPr>
                <w:rFonts w:hint="eastAsia" w:cs="宋体"/>
                <w:b w:val="0"/>
                <w:i w:val="0"/>
                <w:iCs w:val="0"/>
                <w:color w:val="auto"/>
                <w:sz w:val="24"/>
                <w:szCs w:val="24"/>
                <w:highlight w:val="none"/>
                <w:u w:val="single"/>
                <w:lang w:val="en-US" w:eastAsia="zh-CN"/>
              </w:rPr>
              <w:t>/</w:t>
            </w:r>
            <w:r>
              <w:rPr>
                <w:rFonts w:hint="eastAsia" w:ascii="宋体" w:hAnsi="宋体" w:eastAsia="宋体" w:cs="宋体"/>
                <w:b w:val="0"/>
                <w:i w:val="0"/>
                <w:iCs w:val="0"/>
                <w:color w:val="auto"/>
                <w:sz w:val="24"/>
                <w:szCs w:val="24"/>
                <w:highlight w:val="none"/>
              </w:rPr>
              <w:t>。（允许大中型企业向小微企业分包的项目适用）</w:t>
            </w:r>
          </w:p>
          <w:p w14:paraId="27D2583D">
            <w:pPr>
              <w:pStyle w:val="68"/>
              <w:widowControl w:val="0"/>
              <w:spacing w:before="0" w:beforeAutospacing="0" w:after="0" w:afterAutospacing="0" w:line="240" w:lineRule="auto"/>
              <w:jc w:val="both"/>
              <w:rPr>
                <w:rFonts w:hint="default" w:ascii="宋体" w:hAnsi="宋体" w:eastAsia="宋体" w:cs="宋体"/>
                <w:b w:val="0"/>
                <w:i w:val="0"/>
                <w:iCs w:val="0"/>
                <w:color w:val="auto"/>
                <w:sz w:val="24"/>
                <w:szCs w:val="24"/>
                <w:highlight w:val="none"/>
                <w:lang w:val="en-US" w:eastAsia="zh-CN"/>
              </w:rPr>
            </w:pPr>
            <w:r>
              <w:rPr>
                <w:rFonts w:hint="eastAsia" w:cs="宋体"/>
                <w:b/>
                <w:bCs w:val="0"/>
                <w:i w:val="0"/>
                <w:iCs w:val="0"/>
                <w:color w:val="auto"/>
                <w:sz w:val="24"/>
                <w:szCs w:val="24"/>
                <w:highlight w:val="none"/>
                <w:lang w:val="en-US" w:eastAsia="zh-CN"/>
              </w:rPr>
              <w:t>注：本项目专门面向中小企业采购，不在执行价格评审优惠政策。</w:t>
            </w:r>
          </w:p>
        </w:tc>
      </w:tr>
      <w:tr w14:paraId="01605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0" w:hRule="atLeast"/>
        </w:trPr>
        <w:tc>
          <w:tcPr>
            <w:tcW w:w="970" w:type="dxa"/>
            <w:tcBorders>
              <w:top w:val="single" w:color="auto" w:sz="2" w:space="0"/>
              <w:left w:val="single" w:color="auto" w:sz="2" w:space="0"/>
              <w:bottom w:val="single" w:color="auto" w:sz="2" w:space="0"/>
              <w:right w:val="single" w:color="auto" w:sz="2" w:space="0"/>
            </w:tcBorders>
            <w:vAlign w:val="center"/>
          </w:tcPr>
          <w:p w14:paraId="790F1479">
            <w:pPr>
              <w:pStyle w:val="52"/>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42.9</w:t>
            </w:r>
          </w:p>
        </w:tc>
        <w:tc>
          <w:tcPr>
            <w:tcW w:w="1971" w:type="dxa"/>
            <w:tcBorders>
              <w:top w:val="single" w:color="auto" w:sz="2" w:space="0"/>
              <w:left w:val="single" w:color="auto" w:sz="2" w:space="0"/>
              <w:bottom w:val="single" w:color="auto" w:sz="2" w:space="0"/>
              <w:right w:val="single" w:color="auto" w:sz="2" w:space="0"/>
            </w:tcBorders>
            <w:vAlign w:val="center"/>
          </w:tcPr>
          <w:p w14:paraId="4DEF3B1D">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标的所属行业</w:t>
            </w:r>
          </w:p>
          <w:p w14:paraId="2A0D024C">
            <w:pPr>
              <w:pStyle w:val="52"/>
              <w:rPr>
                <w:rFonts w:hint="eastAsia" w:ascii="宋体" w:hAnsi="宋体" w:eastAsia="宋体" w:cs="宋体"/>
                <w:i w:val="0"/>
                <w:iCs w:val="0"/>
                <w:color w:val="auto"/>
                <w:sz w:val="24"/>
                <w:szCs w:val="24"/>
                <w:highlight w:val="none"/>
              </w:rPr>
            </w:pPr>
            <w:r>
              <w:rPr>
                <w:rStyle w:val="38"/>
                <w:rFonts w:hint="eastAsia" w:ascii="宋体" w:hAnsi="宋体" w:eastAsia="宋体" w:cs="宋体"/>
                <w:b w:val="0"/>
                <w:i w:val="0"/>
                <w:iCs w:val="0"/>
                <w:color w:val="auto"/>
                <w:sz w:val="24"/>
                <w:szCs w:val="24"/>
                <w:highlight w:val="none"/>
                <w:lang w:val="en-US" w:eastAsia="zh-CN"/>
              </w:rPr>
              <w:t>（参照后附</w:t>
            </w:r>
            <w:r>
              <w:rPr>
                <w:rStyle w:val="38"/>
                <w:rFonts w:hint="eastAsia" w:ascii="宋体" w:hAnsi="宋体" w:eastAsia="宋体" w:cs="宋体"/>
                <w:b w:val="0"/>
                <w:i w:val="0"/>
                <w:iCs w:val="0"/>
                <w:color w:val="auto"/>
                <w:sz w:val="24"/>
                <w:szCs w:val="24"/>
                <w:highlight w:val="none"/>
                <w:lang w:eastAsia="zh-CN"/>
              </w:rPr>
              <w:t>《</w:t>
            </w:r>
            <w:r>
              <w:rPr>
                <w:rStyle w:val="38"/>
                <w:rFonts w:hint="eastAsia" w:ascii="宋体" w:hAnsi="宋体" w:eastAsia="宋体" w:cs="宋体"/>
                <w:b w:val="0"/>
                <w:i w:val="0"/>
                <w:iCs w:val="0"/>
                <w:color w:val="auto"/>
                <w:sz w:val="24"/>
                <w:szCs w:val="24"/>
                <w:highlight w:val="none"/>
              </w:rPr>
              <w:t>工信部联企业〔2011〕300号</w:t>
            </w:r>
            <w:r>
              <w:rPr>
                <w:rStyle w:val="38"/>
                <w:rFonts w:hint="eastAsia" w:ascii="宋体" w:hAnsi="宋体" w:eastAsia="宋体" w:cs="宋体"/>
                <w:b w:val="0"/>
                <w:i w:val="0"/>
                <w:iCs w:val="0"/>
                <w:color w:val="auto"/>
                <w:sz w:val="24"/>
                <w:szCs w:val="24"/>
                <w:highlight w:val="none"/>
                <w:lang w:eastAsia="zh-CN"/>
              </w:rPr>
              <w:t>》）</w:t>
            </w:r>
          </w:p>
        </w:tc>
        <w:tc>
          <w:tcPr>
            <w:tcW w:w="6450" w:type="dxa"/>
            <w:tcBorders>
              <w:top w:val="single" w:color="auto" w:sz="2" w:space="0"/>
              <w:left w:val="single" w:color="auto" w:sz="2" w:space="0"/>
              <w:bottom w:val="single" w:color="auto" w:sz="2" w:space="0"/>
              <w:right w:val="single" w:color="auto" w:sz="2" w:space="0"/>
            </w:tcBorders>
            <w:vAlign w:val="center"/>
          </w:tcPr>
          <w:p w14:paraId="73639D39">
            <w:pPr>
              <w:keepNext w:val="0"/>
              <w:keepLines w:val="0"/>
              <w:widowControl/>
              <w:suppressLineNumbers w:val="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本项目采购标的对应的中小企业划分标准所属行业： </w:t>
            </w:r>
          </w:p>
          <w:tbl>
            <w:tblPr>
              <w:tblStyle w:val="36"/>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7" w:type="dxa"/>
                  <w:vAlign w:val="center"/>
                </w:tcPr>
                <w:p w14:paraId="6A664177">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包号</w:t>
                  </w:r>
                </w:p>
              </w:tc>
              <w:tc>
                <w:tcPr>
                  <w:tcW w:w="1824" w:type="dxa"/>
                  <w:vAlign w:val="center"/>
                </w:tcPr>
                <w:p w14:paraId="0AD36816">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3245" w:type="dxa"/>
                  <w:vAlign w:val="center"/>
                </w:tcPr>
                <w:p w14:paraId="2C78D772">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5DA92CB">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第1包</w:t>
                  </w:r>
                </w:p>
              </w:tc>
              <w:tc>
                <w:tcPr>
                  <w:tcW w:w="1824" w:type="dxa"/>
                  <w:vAlign w:val="center"/>
                </w:tcPr>
                <w:p w14:paraId="7B94C3FE">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第三师融媒体中心2025年度食堂服务采购项目</w:t>
                  </w:r>
                </w:p>
              </w:tc>
              <w:tc>
                <w:tcPr>
                  <w:tcW w:w="3245" w:type="dxa"/>
                  <w:vAlign w:val="center"/>
                </w:tcPr>
                <w:p w14:paraId="33535D95">
                  <w:pPr>
                    <w:keepNext w:val="0"/>
                    <w:keepLines w:val="0"/>
                    <w:widowControl/>
                    <w:suppressLineNumbers w:val="0"/>
                    <w:jc w:val="center"/>
                    <w:rPr>
                      <w:rFonts w:hint="default" w:ascii="宋体" w:hAnsi="宋体" w:eastAsia="宋体"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餐饮业</w:t>
                  </w:r>
                </w:p>
              </w:tc>
            </w:tr>
          </w:tbl>
          <w:p w14:paraId="4176FC14">
            <w:pPr>
              <w:pStyle w:val="52"/>
              <w:rPr>
                <w:rFonts w:hint="eastAsia" w:ascii="宋体" w:hAnsi="宋体" w:eastAsia="宋体" w:cs="宋体"/>
                <w:i w:val="0"/>
                <w:iCs w:val="0"/>
                <w:color w:val="auto"/>
                <w:sz w:val="24"/>
                <w:szCs w:val="24"/>
                <w:highlight w:val="none"/>
              </w:rPr>
            </w:pPr>
          </w:p>
        </w:tc>
      </w:tr>
      <w:tr w14:paraId="255D9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EF21B18">
            <w:pPr>
              <w:pStyle w:val="52"/>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43.5</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4E9700F5">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优先采购创新节能环保产品</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1E29B3FF">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产品纳入创新产品应用示范推荐目录内企业、所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产品获得节能产品或环境标志产品认证证书的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报价给予</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的价格扣除。</w:t>
            </w:r>
          </w:p>
        </w:tc>
      </w:tr>
      <w:tr w14:paraId="5DE88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786DB02">
            <w:pPr>
              <w:pStyle w:val="52"/>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2" w:space="0"/>
            </w:tcBorders>
            <w:shd w:val="clear" w:color="auto" w:fill="auto"/>
            <w:vAlign w:val="center"/>
          </w:tcPr>
          <w:p w14:paraId="1F7BC457">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2BEF7B44">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合同融资政策</w:t>
            </w:r>
          </w:p>
        </w:tc>
        <w:tc>
          <w:tcPr>
            <w:tcW w:w="6450" w:type="dxa"/>
            <w:tcBorders>
              <w:top w:val="single" w:color="auto" w:sz="2" w:space="0"/>
              <w:left w:val="single" w:color="auto" w:sz="2" w:space="0"/>
              <w:bottom w:val="single" w:color="auto" w:sz="2" w:space="0"/>
              <w:right w:val="single" w:color="auto" w:sz="2" w:space="0"/>
            </w:tcBorders>
            <w:shd w:val="clear" w:color="auto" w:fill="auto"/>
            <w:vAlign w:val="center"/>
          </w:tcPr>
          <w:p w14:paraId="26C388BA">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  1.</w:t>
            </w:r>
            <w:r>
              <w:rPr>
                <w:rFonts w:hint="eastAsia" w:ascii="宋体" w:hAnsi="宋体" w:eastAsia="宋体" w:cs="宋体"/>
                <w:i w:val="0"/>
                <w:iCs w:val="0"/>
                <w:color w:val="auto"/>
                <w:sz w:val="24"/>
                <w:szCs w:val="24"/>
                <w:highlight w:val="none"/>
              </w:rPr>
              <w:t>有融资需求的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人在获得政府采购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通知书后，即可向开展“政采贷”业务的金融机构提出申请，金融机构依据政府采购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通知书和政府采购合同，为中小微企业提供融资服务。</w:t>
            </w:r>
          </w:p>
          <w:p w14:paraId="3C6F71B4">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渠道和方式：</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rPr>
              <w:t>。</w:t>
            </w:r>
          </w:p>
          <w:p w14:paraId="6795BCBE">
            <w:pPr>
              <w:pStyle w:val="52"/>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 xml:space="preserve">  2.</w:t>
            </w:r>
            <w:r>
              <w:rPr>
                <w:rFonts w:hint="eastAsia" w:ascii="宋体" w:hAnsi="宋体" w:eastAsia="宋体" w:cs="宋体"/>
                <w:i w:val="0"/>
                <w:iCs w:val="0"/>
                <w:color w:val="auto"/>
                <w:sz w:val="24"/>
                <w:szCs w:val="24"/>
                <w:highlight w:val="none"/>
                <w:lang w:eastAsia="zh-CN"/>
              </w:rPr>
              <w:t>“政采贷”融资指引：在取得政府采购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通知书后，可访问“</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，查看和联系第三方平台或者金融机构，商洽融资事项，确定融资意向。</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人签署政府采购</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eastAsia="zh-CN"/>
              </w:rPr>
              <w:t>合同后，登录“</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，选择意向产品进行申请，并填写相关信息，“</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lang w:eastAsia="zh-CN"/>
              </w:rPr>
              <w:t>政采贷</w:t>
            </w:r>
            <w:r>
              <w:rPr>
                <w:rFonts w:hint="eastAsia" w:ascii="宋体" w:hAnsi="宋体" w:eastAsia="宋体" w:cs="宋体"/>
                <w:i w:val="0"/>
                <w:iCs w:val="0"/>
                <w:color w:val="auto"/>
                <w:sz w:val="24"/>
                <w:szCs w:val="24"/>
                <w:highlight w:val="none"/>
                <w:lang w:val="en-US" w:eastAsia="zh-CN"/>
              </w:rPr>
              <w:t>融资服务平台”</w:t>
            </w:r>
            <w:r>
              <w:rPr>
                <w:rFonts w:hint="eastAsia" w:ascii="宋体" w:hAnsi="宋体" w:eastAsia="宋体" w:cs="宋体"/>
                <w:i w:val="0"/>
                <w:iCs w:val="0"/>
                <w:color w:val="auto"/>
                <w:sz w:val="24"/>
                <w:szCs w:val="24"/>
                <w:highlight w:val="none"/>
                <w:lang w:eastAsia="zh-CN"/>
              </w:rPr>
              <w:t>将中标人融资申请信息推送第三方平台、意向金融机构。</w:t>
            </w:r>
          </w:p>
        </w:tc>
      </w:tr>
      <w:tr w14:paraId="54F8D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51" w:hRule="atLeast"/>
        </w:trPr>
        <w:tc>
          <w:tcPr>
            <w:tcW w:w="970" w:type="dxa"/>
            <w:tcBorders>
              <w:top w:val="single" w:color="auto" w:sz="2" w:space="0"/>
              <w:left w:val="single" w:color="auto" w:sz="2" w:space="0"/>
              <w:bottom w:val="single" w:color="auto" w:sz="2" w:space="0"/>
              <w:right w:val="single" w:color="auto" w:sz="4" w:space="0"/>
            </w:tcBorders>
            <w:vAlign w:val="center"/>
          </w:tcPr>
          <w:p w14:paraId="342D37A4">
            <w:pPr>
              <w:pStyle w:val="52"/>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w:t>
            </w:r>
          </w:p>
        </w:tc>
        <w:tc>
          <w:tcPr>
            <w:tcW w:w="1971" w:type="dxa"/>
            <w:tcBorders>
              <w:top w:val="single" w:color="auto" w:sz="2" w:space="0"/>
              <w:left w:val="single" w:color="auto" w:sz="2" w:space="0"/>
              <w:bottom w:val="single" w:color="auto" w:sz="2" w:space="0"/>
              <w:right w:val="single" w:color="auto" w:sz="4" w:space="0"/>
            </w:tcBorders>
            <w:vAlign w:val="center"/>
          </w:tcPr>
          <w:p w14:paraId="57A459C3">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需要补充的其他内容</w:t>
            </w:r>
          </w:p>
        </w:tc>
        <w:tc>
          <w:tcPr>
            <w:tcW w:w="6450" w:type="dxa"/>
            <w:tcBorders>
              <w:top w:val="single" w:color="auto" w:sz="2" w:space="0"/>
              <w:left w:val="single" w:color="auto" w:sz="4" w:space="0"/>
              <w:bottom w:val="single" w:color="auto" w:sz="2" w:space="0"/>
              <w:right w:val="single" w:color="auto" w:sz="2" w:space="0"/>
            </w:tcBorders>
            <w:vAlign w:val="center"/>
          </w:tcPr>
          <w:p w14:paraId="01A78EB7">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1、本磋商文件中描述供应商的“公章”是指供应商通过指定电子化政府采购平台办理数字证书（CA 认证）获得的以法定主体行为名称制作的带有编码的电子印章。</w:t>
            </w:r>
          </w:p>
          <w:p w14:paraId="3E10E87F">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2、本磋商文件中描述供应商的“签字”是指供应商通过指定电子化政府采购平台办理数字证书（CA 认证）获得的以供应商法定代表人或者委托代理人姓名制作的电子印章或手写签字。</w:t>
            </w:r>
          </w:p>
          <w:p w14:paraId="2A967EFD">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8477000">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4、自然人竞标的，磋商文件规定盖公章处由自然人摁手指指印。本磋商文件所称的“以上”“以下”“以内”“届满”，包括本数； 所称的“不满”“超过”“以外”，不包括本数。</w:t>
            </w:r>
          </w:p>
          <w:p w14:paraId="568140C4">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投标人应依照招标文件要求在投标文件中提供相关材料原件的扫描件。无论何种原因，即使投标人开标时携带了相关材料的原件，但在投标文件中未提供与之内容完全一致的扫描件，评标委员会可以视同其未提供。</w:t>
            </w:r>
          </w:p>
          <w:p w14:paraId="0AB2CDF5">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6、投标人必须严格遵守，如有违反，将按相关规定予以处理。</w:t>
            </w:r>
          </w:p>
          <w:p w14:paraId="33E00D4C">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投标文件中有弄虚作假的内容，其投标文件作废，（如假证书、假业绩、假合同、隐瞒不良行为记录、夸大荣誉、使用非本单位在职员工的相关证件及不符合招标文件规定的条款等）；在签订合同之前，复查原件</w:t>
            </w:r>
            <w:r>
              <w:rPr>
                <w:rFonts w:hint="eastAsia" w:ascii="宋体" w:hAnsi="宋体" w:eastAsia="宋体" w:cs="宋体"/>
                <w:i w:val="0"/>
                <w:iCs w:val="0"/>
                <w:color w:val="auto"/>
                <w:sz w:val="24"/>
                <w:szCs w:val="24"/>
                <w:highlight w:val="none"/>
                <w:lang w:val="en-US" w:eastAsia="zh-CN"/>
              </w:rPr>
              <w:t>及本项目所要求的资格证明材料</w:t>
            </w:r>
            <w:r>
              <w:rPr>
                <w:rFonts w:hint="eastAsia" w:ascii="宋体" w:hAnsi="宋体" w:eastAsia="宋体" w:cs="宋体"/>
                <w:i w:val="0"/>
                <w:iCs w:val="0"/>
                <w:color w:val="auto"/>
                <w:sz w:val="24"/>
                <w:szCs w:val="24"/>
                <w:highlight w:val="none"/>
              </w:rPr>
              <w:t>，如发现投标人的投标文件有弄虚作假内容，招标人可拒绝与其签订合同。以上情形将书面上报财政部门，按照《政府采购法》第七十七条规定处理。</w:t>
            </w:r>
          </w:p>
          <w:p w14:paraId="08A26939">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的同时不得耽误本项目供货。</w:t>
            </w:r>
          </w:p>
          <w:p w14:paraId="0646E230">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本项目所述时间以政府采购云平台服务器时间为准。</w:t>
            </w:r>
          </w:p>
          <w:p w14:paraId="42F6DA9F">
            <w:pPr>
              <w:pStyle w:val="52"/>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10、中标单位在合同签订前将投标文件打印（正本</w:t>
            </w:r>
            <w:r>
              <w:rPr>
                <w:rFonts w:hint="eastAsia" w:ascii="宋体" w:hAnsi="宋体" w:eastAsia="宋体" w:cs="宋体"/>
                <w:i w:val="0"/>
                <w:iCs w:val="0"/>
                <w:color w:val="auto"/>
                <w:sz w:val="24"/>
                <w:szCs w:val="24"/>
                <w:highlight w:val="none"/>
                <w:lang w:eastAsia="zh-CN"/>
              </w:rPr>
              <w:t>二</w:t>
            </w:r>
            <w:r>
              <w:rPr>
                <w:rFonts w:hint="eastAsia" w:ascii="宋体" w:hAnsi="宋体" w:eastAsia="宋体" w:cs="宋体"/>
                <w:i w:val="0"/>
                <w:iCs w:val="0"/>
                <w:color w:val="auto"/>
                <w:sz w:val="24"/>
                <w:szCs w:val="24"/>
                <w:highlight w:val="none"/>
              </w:rPr>
              <w:t>份）胶装及盖章、格式为PDF的电子响应文件</w:t>
            </w:r>
            <w:r>
              <w:rPr>
                <w:rFonts w:hint="eastAsia" w:ascii="宋体" w:hAnsi="宋体" w:eastAsia="宋体" w:cs="宋体"/>
                <w:i w:val="0"/>
                <w:iCs w:val="0"/>
                <w:color w:val="auto"/>
                <w:sz w:val="24"/>
                <w:szCs w:val="24"/>
                <w:highlight w:val="none"/>
                <w:lang w:eastAsia="zh-CN"/>
              </w:rPr>
              <w:t>二</w:t>
            </w:r>
            <w:r>
              <w:rPr>
                <w:rFonts w:hint="eastAsia" w:ascii="宋体" w:hAnsi="宋体" w:eastAsia="宋体" w:cs="宋体"/>
                <w:i w:val="0"/>
                <w:iCs w:val="0"/>
                <w:color w:val="auto"/>
                <w:sz w:val="24"/>
                <w:szCs w:val="24"/>
                <w:highlight w:val="none"/>
              </w:rPr>
              <w:t>份（U盘存储），交由招标代理公司领取中标通知书。签订合同后2日内将合同原件扫描件交由招标代理公司，由招标代理公司上传至政采云网站，经中标单位审核发布政采云网站后给予退还</w:t>
            </w:r>
            <w:r>
              <w:rPr>
                <w:rFonts w:hint="eastAsia" w:ascii="宋体" w:hAnsi="宋体" w:eastAsia="宋体" w:cs="宋体"/>
                <w:i w:val="0"/>
                <w:iCs w:val="0"/>
                <w:color w:val="auto"/>
                <w:sz w:val="24"/>
                <w:szCs w:val="24"/>
                <w:highlight w:val="none"/>
                <w:lang w:eastAsia="zh-CN"/>
              </w:rPr>
              <w:t>。</w:t>
            </w:r>
          </w:p>
          <w:p w14:paraId="5963383F">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意：开标现场需携带制作上传投标文件的CA数字证书，如因供应商自身原因导致在规定时间内无法正常解密的（如：浏览器故障、未安装相关驱动、网络故障、加密CA与解密CA不一致等），采购中心/代理机构不予异常处理，视为供应商自动弃标。</w:t>
            </w:r>
          </w:p>
          <w:p w14:paraId="44A0DB56">
            <w:pPr>
              <w:pStyle w:val="52"/>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 xml:space="preserve">11、争议的解决提交图木舒克市人民法院仲裁 </w:t>
            </w:r>
            <w:r>
              <w:rPr>
                <w:rFonts w:hint="eastAsia" w:ascii="宋体" w:hAnsi="宋体" w:eastAsia="宋体" w:cs="宋体"/>
                <w:i w:val="0"/>
                <w:iCs w:val="0"/>
                <w:color w:val="auto"/>
                <w:sz w:val="24"/>
                <w:szCs w:val="24"/>
                <w:highlight w:val="none"/>
                <w:lang w:eastAsia="zh-CN"/>
              </w:rPr>
              <w:t>。</w:t>
            </w:r>
          </w:p>
          <w:p w14:paraId="34CCD2F4">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12、专门面向</w:t>
            </w:r>
            <w:r>
              <w:rPr>
                <w:rFonts w:hint="eastAsia" w:cs="宋体"/>
                <w:i w:val="0"/>
                <w:iCs w:val="0"/>
                <w:color w:val="auto"/>
                <w:sz w:val="24"/>
                <w:szCs w:val="24"/>
                <w:highlight w:val="none"/>
                <w:lang w:val="en-US" w:eastAsia="zh-CN"/>
              </w:rPr>
              <w:t>中小</w:t>
            </w:r>
            <w:r>
              <w:rPr>
                <w:rFonts w:hint="eastAsia" w:ascii="宋体" w:hAnsi="宋体" w:eastAsia="宋体" w:cs="宋体"/>
                <w:i w:val="0"/>
                <w:iCs w:val="0"/>
                <w:color w:val="auto"/>
                <w:sz w:val="24"/>
                <w:szCs w:val="24"/>
                <w:highlight w:val="none"/>
              </w:rPr>
              <w:t>企业采购的项目或者采购包，不再执行价格评审优惠的扶持政策。</w:t>
            </w:r>
          </w:p>
          <w:p w14:paraId="73FA445E">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13、投标文件目录中未提供格式的可以自行拟定。</w:t>
            </w:r>
          </w:p>
          <w:p w14:paraId="18A21352">
            <w:pPr>
              <w:pStyle w:val="52"/>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14、</w:t>
            </w:r>
            <w:r>
              <w:rPr>
                <w:rFonts w:hint="eastAsia" w:ascii="宋体" w:hAnsi="宋体" w:eastAsia="宋体" w:cs="宋体"/>
                <w:i w:val="0"/>
                <w:iCs w:val="0"/>
                <w:color w:val="auto"/>
                <w:sz w:val="24"/>
                <w:szCs w:val="24"/>
                <w:highlight w:val="none"/>
                <w:lang w:val="en-US" w:eastAsia="zh-CN"/>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不同版本之间有不一致的，以形成时间在后者为准；更正公告（澄清公告）与同步更新的谈判文件不一致时以更正公告（澄清公告）为准。若招标文件其他部分描述与前附表不一致的，以前附表为准。按本款前述规定仍不能形成结论的，由采购人或者采购代理机构负责解释。</w:t>
            </w:r>
          </w:p>
          <w:p w14:paraId="62F606AA">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法律责任：</w:t>
            </w:r>
          </w:p>
          <w:p w14:paraId="4282B2FE">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13026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51" w:hRule="atLeast"/>
        </w:trPr>
        <w:tc>
          <w:tcPr>
            <w:tcW w:w="970" w:type="dxa"/>
            <w:tcBorders>
              <w:top w:val="single" w:color="auto" w:sz="2" w:space="0"/>
              <w:left w:val="single" w:color="auto" w:sz="2" w:space="0"/>
              <w:bottom w:val="single" w:color="auto" w:sz="2" w:space="0"/>
              <w:right w:val="single" w:color="auto" w:sz="4" w:space="0"/>
            </w:tcBorders>
            <w:vAlign w:val="center"/>
          </w:tcPr>
          <w:p w14:paraId="05FA3098">
            <w:pPr>
              <w:pStyle w:val="52"/>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49</w:t>
            </w:r>
          </w:p>
        </w:tc>
        <w:tc>
          <w:tcPr>
            <w:tcW w:w="1971" w:type="dxa"/>
            <w:tcBorders>
              <w:top w:val="single" w:color="auto" w:sz="2" w:space="0"/>
              <w:left w:val="single" w:color="auto" w:sz="2" w:space="0"/>
              <w:bottom w:val="single" w:color="auto" w:sz="2" w:space="0"/>
              <w:right w:val="single" w:color="auto" w:sz="4" w:space="0"/>
            </w:tcBorders>
            <w:vAlign w:val="center"/>
          </w:tcPr>
          <w:p w14:paraId="6414ABD4">
            <w:pPr>
              <w:pStyle w:val="52"/>
              <w:rPr>
                <w:rFonts w:hint="eastAsia" w:ascii="宋体" w:hAnsi="宋体" w:eastAsia="宋体" w:cs="宋体"/>
                <w:i w:val="0"/>
                <w:iCs w:val="0"/>
                <w:color w:val="auto"/>
                <w:sz w:val="24"/>
                <w:szCs w:val="24"/>
                <w:highlight w:val="none"/>
              </w:rPr>
            </w:pPr>
            <w:r>
              <w:rPr>
                <w:rFonts w:hint="eastAsia" w:ascii="宋体" w:hAnsi="宋体" w:eastAsia="宋体" w:cs="宋体"/>
                <w:b/>
                <w:bCs/>
                <w:color w:val="auto"/>
                <w:sz w:val="21"/>
                <w:szCs w:val="21"/>
              </w:rPr>
              <w:t>供应商的资格要求</w:t>
            </w:r>
          </w:p>
        </w:tc>
        <w:tc>
          <w:tcPr>
            <w:tcW w:w="6450" w:type="dxa"/>
            <w:tcBorders>
              <w:top w:val="single" w:color="auto" w:sz="2" w:space="0"/>
              <w:left w:val="single" w:color="auto" w:sz="4" w:space="0"/>
              <w:bottom w:val="single" w:color="auto" w:sz="2" w:space="0"/>
              <w:right w:val="single" w:color="auto" w:sz="2" w:space="0"/>
            </w:tcBorders>
            <w:vAlign w:val="center"/>
          </w:tcPr>
          <w:p w14:paraId="33775A11">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1、投标人资格要求</w:t>
            </w:r>
          </w:p>
          <w:p w14:paraId="7F3ED638">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（1）符合《中华人民共和国政府采购法》第二十二条规定：供应商须在响应文件中提供完整、准确、真实的兵团政府采购供应商信用承诺函</w:t>
            </w:r>
          </w:p>
          <w:p w14:paraId="2EFDEDFF">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投标人法人营业执照或事业单位法人证书或个体工商户营业执照或有效的自然人身份证明、组织机构代码证扫描件（投标人按“三证合一”登记制度办理营业执照的，组织机构代码证和税务登记证以投标人所提供的营业执照扫描件为准。投标人法定代表人身份证明；法定代表人授权代表委托书（如有）原件扫描件。</w:t>
            </w:r>
          </w:p>
          <w:p w14:paraId="2037E09D">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采购人有权按《中华人民共和国政府采购法》第二十二条规定核查兵团政府采购供应商信用承诺函中标单位资格，如若发现虚假信用承诺，视为“提供虚假材料谋取中标、成交”行为，按照《政府采购法》第七十七条规定予以处罚。核查内容如下：</w:t>
            </w:r>
          </w:p>
          <w:p w14:paraId="320B30F0">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投标人法人营业执照或事业单位法人证书或个体工商户营业执照或有效的自然人身份证明、组织机构代码证扫描件（投标人按“三证合一”登记制度办理营业执照的，组织机构代码证和税务登记证以投标人所提供的营业执照扫描件为准。投标人法定代表人身份证明；法定代表人授权代表委托书（如有）原件扫描件。</w:t>
            </w:r>
          </w:p>
          <w:p w14:paraId="64916F6E">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2）具有良好的商业信誉和健全的财务会计制度（202</w:t>
            </w:r>
            <w:r>
              <w:rPr>
                <w:rFonts w:hint="eastAsia"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年度）经第三方审计的财务审计报告，如供应商无法提供经第三方审计的财务审计报告，则需提供供应商基本账户银行出具的资信证明（递交投标文件截止时间前三个月内）的扫描件，银行出具的存款证明不能作为银行资信证明。</w:t>
            </w:r>
          </w:p>
          <w:p w14:paraId="4022CB43">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3）具有履行合同所必需的设备和专业技术能力（提供具有履行合同所必需的设备和专业技术能力相关证明或提供具有履行合同所必需的设备和专业技术能力的承诺（承诺函需签章））；</w:t>
            </w:r>
          </w:p>
          <w:p w14:paraId="1AC85375">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提供（递交投标文件截止时间前）近6个月内任意1个月的缴纳税收的凭据证明材料扫描件以及缴纳社会保险的凭据证明材料扫描件；新成立企业提供依法缴纳税收承诺书和依法缴纳社会保障资金承诺函；如依法免税或依法不需要缴纳社会保障资金的，应提供的相应文件证明其依法免税或依法不需要缴纳社会保障资金。</w:t>
            </w:r>
          </w:p>
          <w:p w14:paraId="11C2419C">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5）参加政府采购活动前3年内，在经营活动中没有重大违法记录（提供参加政府采购活动前3年内在经营活动中没有重大违法记录的书面声明）。</w:t>
            </w:r>
          </w:p>
          <w:p w14:paraId="61457E0A">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注：参加政府采购活动前指：递交投标文件截止时间前起算。</w:t>
            </w:r>
          </w:p>
          <w:p w14:paraId="12EBB853">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6）供应商除满足《中华人民共和国政府采购法》第二十二条、《中华人民共和国政府采购法实施条例》第十七条的规定条件以外不满足政府采购类其他法律法规的情形。</w:t>
            </w:r>
          </w:p>
          <w:p w14:paraId="1E84D312">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供应商参加政府采购活动前三年内（2021年01月01日至投标截止时间前未被“信用中国”www.creditchina.gov.cn）、中国政府采购网（www.ccgp.gov.cn）列入失信被执行人、重大税收违法案件当事人名单、政府采购严重违法失信行为记录名单,投标人如在“信用中国”网站或中国政府采购网被列入严重违法失信行为记录名单的（尚在处罚期内的），将拒绝其参加本次政府采购活动；在资格审查时由采购人或采购代理机构查询并保留截图。</w:t>
            </w:r>
          </w:p>
          <w:p w14:paraId="0DE1C1A1">
            <w:pPr>
              <w:pStyle w:val="52"/>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、落实政府采购政策需要满足的资格要求：本项目专门面向</w:t>
            </w:r>
            <w:r>
              <w:rPr>
                <w:rFonts w:hint="eastAsia" w:cs="宋体"/>
                <w:i w:val="0"/>
                <w:iCs w:val="0"/>
                <w:color w:val="auto"/>
                <w:sz w:val="24"/>
                <w:szCs w:val="24"/>
                <w:highlight w:val="none"/>
                <w:lang w:val="en-US" w:eastAsia="zh-CN"/>
              </w:rPr>
              <w:t>中小</w:t>
            </w:r>
            <w:r>
              <w:rPr>
                <w:rFonts w:hint="eastAsia" w:ascii="宋体" w:hAnsi="宋体" w:eastAsia="宋体" w:cs="宋体"/>
                <w:i w:val="0"/>
                <w:iCs w:val="0"/>
                <w:color w:val="auto"/>
                <w:sz w:val="24"/>
                <w:szCs w:val="24"/>
                <w:highlight w:val="none"/>
                <w:lang w:val="en-US" w:eastAsia="zh-CN"/>
              </w:rPr>
              <w:t>企业采购，不在执行价格评审优惠政策；（包括符合中小企业划分标准的个体工商户）采购，具体要求详见《政府采购促进中小企业发展管理办法》（财库〔2020〕46号）及其相关规定，此外，监狱企业、残疾人福利性单位在本项目采购活动中视同小型、微型企业）。</w:t>
            </w:r>
          </w:p>
          <w:p w14:paraId="32ACE471">
            <w:pPr>
              <w:pStyle w:val="52"/>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5.本项目的特定资格要求：</w:t>
            </w:r>
            <w:r>
              <w:rPr>
                <w:rFonts w:hint="eastAsia" w:cs="宋体"/>
                <w:i w:val="0"/>
                <w:iCs w:val="0"/>
                <w:color w:val="auto"/>
                <w:sz w:val="24"/>
                <w:szCs w:val="24"/>
                <w:highlight w:val="none"/>
                <w:lang w:val="en-US" w:eastAsia="zh-CN"/>
              </w:rPr>
              <w:t>须具备有效的《食品经营许可证》</w:t>
            </w:r>
            <w:r>
              <w:rPr>
                <w:rFonts w:hint="eastAsia" w:ascii="宋体" w:hAnsi="宋体" w:eastAsia="宋体" w:cs="宋体"/>
                <w:i w:val="0"/>
                <w:iCs w:val="0"/>
                <w:color w:val="auto"/>
                <w:sz w:val="24"/>
                <w:szCs w:val="24"/>
                <w:highlight w:val="none"/>
                <w:lang w:val="en-US" w:eastAsia="zh-CN"/>
              </w:rPr>
              <w:t>。。</w:t>
            </w:r>
          </w:p>
        </w:tc>
      </w:tr>
      <w:tr w14:paraId="2EBCE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4" w:space="0"/>
            </w:tcBorders>
            <w:vAlign w:val="center"/>
          </w:tcPr>
          <w:p w14:paraId="669CD5FD">
            <w:pPr>
              <w:pStyle w:val="52"/>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50</w:t>
            </w:r>
          </w:p>
        </w:tc>
        <w:tc>
          <w:tcPr>
            <w:tcW w:w="1971" w:type="dxa"/>
            <w:tcBorders>
              <w:top w:val="single" w:color="auto" w:sz="2" w:space="0"/>
              <w:left w:val="single" w:color="auto" w:sz="2" w:space="0"/>
              <w:bottom w:val="single" w:color="auto" w:sz="2" w:space="0"/>
              <w:right w:val="single" w:color="auto" w:sz="4" w:space="0"/>
            </w:tcBorders>
            <w:vAlign w:val="center"/>
          </w:tcPr>
          <w:p w14:paraId="26EE149C">
            <w:pPr>
              <w:pStyle w:val="52"/>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tc>
        <w:tc>
          <w:tcPr>
            <w:tcW w:w="6450" w:type="dxa"/>
            <w:tcBorders>
              <w:top w:val="single" w:color="auto" w:sz="2" w:space="0"/>
              <w:left w:val="single" w:color="auto" w:sz="4" w:space="0"/>
              <w:bottom w:val="single" w:color="auto" w:sz="2" w:space="0"/>
              <w:right w:val="single" w:color="auto" w:sz="2" w:space="0"/>
            </w:tcBorders>
            <w:vAlign w:val="center"/>
          </w:tcPr>
          <w:p w14:paraId="24891A7D">
            <w:pPr>
              <w:pStyle w:val="52"/>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本项目投标报价应为含税全包（大包）价,包括各项配合费、服务费、风险费、管理费、验收、保险、税费、售后服务及其他为完成本项目所必需的全部费用和按本合同相关责任和义务等须承担的全部费用、保障相关工作内容,总价包干。采购人不再支付任何关于本项目的费用。</w:t>
            </w:r>
          </w:p>
          <w:p w14:paraId="559CD6B2">
            <w:pPr>
              <w:pStyle w:val="52"/>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（2）报价中应考虑响应文件中要求投标人承担的风险范围以及相关的费用。</w:t>
            </w:r>
          </w:p>
          <w:p w14:paraId="3F005866">
            <w:pPr>
              <w:pStyle w:val="52"/>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（3）本项目总价为投标人在响应文件中提出的各项支付金额的总和,包括实施、完成招标内容并修补缺陷以及履行采购文件中约定的风险范围内的所有责任和义务所发生的全部费用。</w:t>
            </w:r>
          </w:p>
          <w:p w14:paraId="50289A24">
            <w:pPr>
              <w:pStyle w:val="52"/>
              <w:rPr>
                <w:rFonts w:hint="eastAsia"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（4）超出最高投标限价及投标报价格式不响应采购文件的视为无效投标。1、磋商轮数：一轮（第二次报价为最终报价）；</w:t>
            </w:r>
          </w:p>
          <w:p w14:paraId="28B55786">
            <w:pPr>
              <w:pStyle w:val="52"/>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（5）兵团政府采购第二次报价请在政采云系统规定的20分钟内报价,评审过程中投标人请不要远离电脑，确保网络畅通，待开启二次报价后,供应商请按政采云系统规定的20分钟内进行报价。</w:t>
            </w:r>
          </w:p>
        </w:tc>
      </w:tr>
      <w:tr w14:paraId="1707F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391" w:type="dxa"/>
            <w:gridSpan w:val="3"/>
            <w:tcBorders>
              <w:top w:val="single" w:color="auto" w:sz="2" w:space="0"/>
              <w:left w:val="single" w:color="auto" w:sz="2" w:space="0"/>
              <w:bottom w:val="single" w:color="auto" w:sz="2" w:space="0"/>
              <w:right w:val="single" w:color="auto" w:sz="2" w:space="0"/>
            </w:tcBorders>
            <w:vAlign w:val="center"/>
          </w:tcPr>
          <w:p w14:paraId="45AC7FA3">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27269E57">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本竞争性磋商文件所称的“以上”、“以下”、“内”、“以内”，包括本数；所称的“不足”，不包括本数。</w:t>
            </w:r>
          </w:p>
          <w:p w14:paraId="1DEF553E">
            <w:pPr>
              <w:pStyle w:val="52"/>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3、前后不一致时以须知前附表为准。</w:t>
            </w:r>
          </w:p>
        </w:tc>
      </w:tr>
      <w:bookmarkEnd w:id="90"/>
    </w:tbl>
    <w:p w14:paraId="7DF1652A">
      <w:pPr>
        <w:rPr>
          <w:i w:val="0"/>
          <w:iCs w:val="0"/>
          <w:color w:val="auto"/>
          <w:highlight w:val="none"/>
        </w:rPr>
      </w:pPr>
    </w:p>
    <w:p w14:paraId="6F9A8DEB">
      <w:pPr>
        <w:rPr>
          <w:i w:val="0"/>
          <w:iCs w:val="0"/>
          <w:color w:val="auto"/>
          <w:highlight w:val="none"/>
        </w:rPr>
        <w:sectPr>
          <w:footerReference r:id="rId7" w:type="default"/>
          <w:pgSz w:w="11906" w:h="16838"/>
          <w:pgMar w:top="1440" w:right="1800" w:bottom="1440" w:left="1800" w:header="851" w:footer="652" w:gutter="0"/>
          <w:pgNumType w:fmt="numberInDash"/>
          <w:cols w:space="0" w:num="1"/>
          <w:rtlGutter w:val="0"/>
          <w:docGrid w:type="lines" w:linePitch="312" w:charSpace="0"/>
        </w:sectPr>
      </w:pPr>
    </w:p>
    <w:p w14:paraId="1CF0D4F4">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92" w:name="_Toc185"/>
      <w:r>
        <w:rPr>
          <w:rFonts w:hint="eastAsia" w:eastAsia="宋体" w:asciiTheme="majorHAnsi" w:hAnsiTheme="majorHAnsi" w:cstheme="majorBidi"/>
          <w:b/>
          <w:bCs/>
          <w:i w:val="0"/>
          <w:iCs w:val="0"/>
          <w:color w:val="auto"/>
          <w:kern w:val="2"/>
          <w:sz w:val="28"/>
          <w:szCs w:val="28"/>
          <w:highlight w:val="none"/>
          <w:lang w:val="en-US" w:eastAsia="zh-CN" w:bidi="ar-SA"/>
        </w:rPr>
        <w:t>二、供应商须知</w:t>
      </w:r>
      <w:bookmarkEnd w:id="92"/>
    </w:p>
    <w:p w14:paraId="04978FCD">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93" w:name="_Toc109900370"/>
      <w:bookmarkStart w:id="94" w:name="_Toc109899532"/>
      <w:bookmarkStart w:id="95" w:name="_Toc109899951"/>
      <w:bookmarkStart w:id="96" w:name="_Toc163493611"/>
      <w:bookmarkStart w:id="97" w:name="_Toc109897433"/>
      <w:bookmarkStart w:id="98" w:name="_Toc46771638"/>
      <w:bookmarkStart w:id="99" w:name="_Toc21767"/>
      <w:bookmarkStart w:id="100" w:name="_Toc470172694"/>
      <w:r>
        <w:rPr>
          <w:rFonts w:hint="eastAsia" w:ascii="宋体" w:hAnsi="宋体" w:eastAsia="宋体" w:cs="宋体"/>
          <w:b/>
          <w:bCs/>
          <w:i w:val="0"/>
          <w:iCs w:val="0"/>
          <w:color w:val="auto"/>
          <w:kern w:val="2"/>
          <w:sz w:val="24"/>
          <w:szCs w:val="24"/>
          <w:highlight w:val="none"/>
          <w:lang w:val="en-US" w:eastAsia="zh-CN" w:bidi="ar-SA"/>
        </w:rPr>
        <w:t>（一）总则</w:t>
      </w:r>
      <w:bookmarkEnd w:id="93"/>
      <w:bookmarkEnd w:id="94"/>
      <w:bookmarkEnd w:id="95"/>
      <w:bookmarkEnd w:id="96"/>
      <w:bookmarkEnd w:id="97"/>
      <w:bookmarkEnd w:id="98"/>
      <w:bookmarkEnd w:id="99"/>
    </w:p>
    <w:p w14:paraId="18977FA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01" w:name="_Toc52960552"/>
      <w:bookmarkStart w:id="102" w:name="_Toc470172664"/>
      <w:bookmarkStart w:id="103" w:name="_Toc109899952"/>
      <w:bookmarkStart w:id="104" w:name="_Toc48846108"/>
      <w:bookmarkStart w:id="105" w:name="_Toc51674210"/>
      <w:bookmarkStart w:id="106" w:name="_Toc109900371"/>
      <w:bookmarkStart w:id="107" w:name="_Toc46771639"/>
      <w:bookmarkStart w:id="108" w:name="_Toc109897434"/>
      <w:bookmarkStart w:id="109" w:name="_Toc46772240"/>
      <w:bookmarkStart w:id="110" w:name="_Toc27243"/>
      <w:bookmarkStart w:id="111" w:name="_Toc52962726"/>
      <w:bookmarkStart w:id="112" w:name="_Toc48688788"/>
      <w:bookmarkStart w:id="113" w:name="_Toc109899533"/>
      <w:r>
        <w:rPr>
          <w:rFonts w:hint="eastAsia" w:ascii="宋体" w:hAnsi="宋体" w:eastAsia="宋体" w:cs="宋体"/>
          <w:b/>
          <w:bCs/>
          <w:i w:val="0"/>
          <w:iCs w:val="0"/>
          <w:color w:val="auto"/>
          <w:kern w:val="2"/>
          <w:sz w:val="24"/>
          <w:szCs w:val="24"/>
          <w:highlight w:val="none"/>
          <w:lang w:val="en-US" w:eastAsia="zh-CN" w:bidi="ar-SA"/>
        </w:rPr>
        <w:t>1.适用范围</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3FAC17DD">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1.1本竞争性磋商文件（也称磋商文件或采购文件）仅适用于本次竞争性磋商中所述项目的采购活动。</w:t>
      </w:r>
    </w:p>
    <w:p w14:paraId="34F0841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14" w:name="_Toc163492824"/>
      <w:r>
        <w:rPr>
          <w:rFonts w:hint="eastAsia" w:ascii="宋体" w:hAnsi="宋体" w:eastAsia="宋体" w:cs="宋体"/>
          <w:b/>
          <w:bCs/>
          <w:i w:val="0"/>
          <w:iCs w:val="0"/>
          <w:color w:val="auto"/>
          <w:kern w:val="2"/>
          <w:sz w:val="24"/>
          <w:szCs w:val="24"/>
          <w:highlight w:val="none"/>
          <w:lang w:val="en-US" w:eastAsia="zh-CN" w:bidi="ar-SA"/>
        </w:rPr>
        <w:t>2.基本定义</w:t>
      </w:r>
      <w:bookmarkEnd w:id="114"/>
    </w:p>
    <w:p w14:paraId="768D70C2">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2.1根据《中华人民共和国政府采购法》及其实施条例等有关法律、法规和规章的规定，制定本竞争性磋商文件。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sz w:val="24"/>
          <w:szCs w:val="24"/>
          <w:highlight w:val="none"/>
          <w:lang w:val="en-US" w:eastAsia="zh-CN"/>
        </w:rPr>
        <w:t>委托的采购代理机构</w:t>
      </w:r>
      <w:r>
        <w:rPr>
          <w:rFonts w:hint="eastAsia" w:ascii="宋体" w:hAnsi="宋体" w:eastAsia="宋体" w:cs="宋体"/>
          <w:i w:val="0"/>
          <w:iCs w:val="0"/>
          <w:color w:val="auto"/>
          <w:sz w:val="24"/>
          <w:szCs w:val="24"/>
          <w:highlight w:val="none"/>
        </w:rPr>
        <w:t>。</w:t>
      </w:r>
    </w:p>
    <w:p w14:paraId="26D50742">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2.5 服务内容见</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w:t>
      </w:r>
    </w:p>
    <w:p w14:paraId="359C340E">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2.6供应商（也称“申请人”）：指向采购人提供货物、工程或者服务的法人、其他组织或者自然人。</w:t>
      </w:r>
      <w:r>
        <w:rPr>
          <w:rFonts w:hint="eastAsia" w:ascii="宋体" w:hAnsi="宋体" w:eastAsia="宋体" w:cs="宋体"/>
          <w:i w:val="0"/>
          <w:iCs w:val="0"/>
          <w:color w:val="auto"/>
          <w:sz w:val="24"/>
          <w:szCs w:val="24"/>
          <w:highlight w:val="none"/>
        </w:rPr>
        <w:t>分支机构不得参加政府采购活动，但银行、保险、石油石化、电力、电信等</w:t>
      </w:r>
      <w:r>
        <w:rPr>
          <w:rFonts w:hint="eastAsia" w:ascii="宋体" w:hAnsi="宋体" w:eastAsia="宋体" w:cs="宋体"/>
          <w:i w:val="0"/>
          <w:iCs w:val="0"/>
          <w:color w:val="auto"/>
          <w:sz w:val="24"/>
          <w:szCs w:val="24"/>
          <w:highlight w:val="none"/>
          <w:lang w:val="en-US" w:eastAsia="zh-CN"/>
        </w:rPr>
        <w:t>有</w:t>
      </w:r>
      <w:r>
        <w:rPr>
          <w:rFonts w:hint="eastAsia" w:ascii="宋体" w:hAnsi="宋体" w:eastAsia="宋体" w:cs="宋体"/>
          <w:i w:val="0"/>
          <w:iCs w:val="0"/>
          <w:color w:val="auto"/>
          <w:sz w:val="24"/>
          <w:szCs w:val="24"/>
          <w:highlight w:val="none"/>
        </w:rPr>
        <w:t>行业特殊</w:t>
      </w:r>
      <w:r>
        <w:rPr>
          <w:rFonts w:hint="eastAsia" w:ascii="宋体" w:hAnsi="宋体" w:eastAsia="宋体" w:cs="宋体"/>
          <w:i w:val="0"/>
          <w:iCs w:val="0"/>
          <w:color w:val="auto"/>
          <w:sz w:val="24"/>
          <w:szCs w:val="24"/>
          <w:highlight w:val="none"/>
          <w:lang w:val="en-US" w:eastAsia="zh-CN"/>
        </w:rPr>
        <w:t>情况的</w:t>
      </w:r>
      <w:r>
        <w:rPr>
          <w:rFonts w:hint="eastAsia" w:ascii="宋体" w:hAnsi="宋体" w:eastAsia="宋体" w:cs="宋体"/>
          <w:i w:val="0"/>
          <w:iCs w:val="0"/>
          <w:color w:val="auto"/>
          <w:sz w:val="24"/>
          <w:szCs w:val="24"/>
          <w:highlight w:val="none"/>
        </w:rPr>
        <w:t>除外。本项目的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须满足以下条件：</w:t>
      </w:r>
    </w:p>
    <w:p w14:paraId="074A806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具备《中华人民共和国政府采购法》第二十二条规定的</w:t>
      </w:r>
      <w:r>
        <w:rPr>
          <w:rFonts w:hint="eastAsia" w:ascii="宋体" w:hAnsi="宋体" w:eastAsia="宋体" w:cs="宋体"/>
          <w:i w:val="0"/>
          <w:iCs w:val="0"/>
          <w:color w:val="auto"/>
          <w:sz w:val="24"/>
          <w:szCs w:val="24"/>
          <w:highlight w:val="none"/>
          <w:lang w:val="en-US" w:eastAsia="zh-CN"/>
        </w:rPr>
        <w:t>条件</w:t>
      </w:r>
      <w:r>
        <w:rPr>
          <w:rFonts w:hint="eastAsia" w:ascii="宋体" w:hAnsi="宋体" w:eastAsia="宋体" w:cs="宋体"/>
          <w:i w:val="0"/>
          <w:iCs w:val="0"/>
          <w:color w:val="auto"/>
          <w:sz w:val="24"/>
          <w:szCs w:val="24"/>
          <w:highlight w:val="none"/>
        </w:rPr>
        <w:t>，遵守本项目采购人本级和上级财政部门政府采购的有关规定。</w:t>
      </w:r>
    </w:p>
    <w:p w14:paraId="323DC0B9">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以</w:t>
      </w:r>
      <w:r>
        <w:rPr>
          <w:rFonts w:hint="eastAsia" w:ascii="宋体" w:hAnsi="宋体" w:eastAsia="宋体" w:cs="宋体"/>
          <w:i w:val="0"/>
          <w:iCs w:val="0"/>
          <w:color w:val="auto"/>
          <w:sz w:val="24"/>
          <w:szCs w:val="24"/>
          <w:highlight w:val="none"/>
          <w:lang w:val="en-US" w:eastAsia="zh-CN"/>
        </w:rPr>
        <w:t>竞争性磋商公告中发布</w:t>
      </w:r>
      <w:r>
        <w:rPr>
          <w:rFonts w:hint="eastAsia" w:ascii="宋体" w:hAnsi="宋体" w:eastAsia="宋体" w:cs="宋体"/>
          <w:i w:val="0"/>
          <w:iCs w:val="0"/>
          <w:color w:val="auto"/>
          <w:sz w:val="24"/>
          <w:szCs w:val="24"/>
          <w:highlight w:val="none"/>
        </w:rPr>
        <w:t>的方式</w:t>
      </w:r>
      <w:r>
        <w:rPr>
          <w:rFonts w:hint="eastAsia" w:ascii="宋体" w:hAnsi="宋体" w:eastAsia="宋体" w:cs="宋体"/>
          <w:i w:val="0"/>
          <w:iCs w:val="0"/>
          <w:color w:val="auto"/>
          <w:sz w:val="24"/>
          <w:szCs w:val="24"/>
          <w:highlight w:val="none"/>
          <w:lang w:eastAsia="zh-CN"/>
        </w:rPr>
        <w:t>依法</w:t>
      </w:r>
      <w:r>
        <w:rPr>
          <w:rFonts w:hint="eastAsia" w:ascii="宋体" w:hAnsi="宋体" w:eastAsia="宋体" w:cs="宋体"/>
          <w:i w:val="0"/>
          <w:iCs w:val="0"/>
          <w:color w:val="auto"/>
          <w:sz w:val="24"/>
          <w:szCs w:val="24"/>
          <w:highlight w:val="none"/>
        </w:rPr>
        <w:t>获得了本项目的</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w:t>
      </w:r>
    </w:p>
    <w:p w14:paraId="07B83632">
      <w:pPr>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2.6.3符合本磋商文件规定并参加磋商的供应商。</w:t>
      </w:r>
    </w:p>
    <w:p w14:paraId="08F81926">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2.7</w:t>
      </w:r>
      <w:r>
        <w:rPr>
          <w:rFonts w:hint="eastAsia" w:ascii="宋体" w:hAnsi="宋体" w:eastAsia="宋体" w:cs="宋体"/>
          <w:i w:val="0"/>
          <w:iCs w:val="0"/>
          <w:color w:val="auto"/>
          <w:sz w:val="24"/>
          <w:szCs w:val="24"/>
          <w:highlight w:val="none"/>
          <w:shd w:val="clear" w:color="auto" w:fill="FFFFFF" w:themeFill="background1"/>
        </w:rPr>
        <w:t>潜在供应商</w:t>
      </w:r>
      <w:r>
        <w:rPr>
          <w:rFonts w:hint="eastAsia" w:ascii="宋体" w:hAnsi="宋体" w:eastAsia="宋体" w:cs="宋体"/>
          <w:i w:val="0"/>
          <w:iCs w:val="0"/>
          <w:color w:val="auto"/>
          <w:sz w:val="24"/>
          <w:szCs w:val="24"/>
          <w:highlight w:val="none"/>
          <w:shd w:val="clear" w:color="auto" w:fill="FFFFFF" w:themeFill="background1"/>
          <w:lang w:eastAsia="zh-CN"/>
        </w:rPr>
        <w:t>：</w:t>
      </w:r>
      <w:r>
        <w:rPr>
          <w:rFonts w:hint="eastAsia" w:ascii="宋体" w:hAnsi="宋体" w:eastAsia="宋体" w:cs="宋体"/>
          <w:i w:val="0"/>
          <w:iCs w:val="0"/>
          <w:color w:val="auto"/>
          <w:sz w:val="24"/>
          <w:szCs w:val="24"/>
          <w:highlight w:val="none"/>
          <w:shd w:val="clear" w:color="auto" w:fill="FFFFFF" w:themeFill="background1"/>
          <w:lang w:val="en-US" w:eastAsia="zh-CN"/>
        </w:rPr>
        <w:t>指</w:t>
      </w:r>
      <w:r>
        <w:rPr>
          <w:rFonts w:hint="eastAsia" w:ascii="宋体" w:hAnsi="宋体" w:eastAsia="宋体" w:cs="宋体"/>
          <w:i w:val="0"/>
          <w:iCs w:val="0"/>
          <w:color w:val="auto"/>
          <w:sz w:val="24"/>
          <w:szCs w:val="24"/>
          <w:highlight w:val="none"/>
          <w:lang w:val="en-US" w:eastAsia="zh-CN"/>
        </w:rPr>
        <w:t>符合本磋商文件规定的供应商</w:t>
      </w:r>
      <w:r>
        <w:rPr>
          <w:rFonts w:hint="eastAsia" w:ascii="宋体" w:hAnsi="宋体" w:eastAsia="宋体" w:cs="宋体"/>
          <w:i w:val="0"/>
          <w:iCs w:val="0"/>
          <w:color w:val="auto"/>
          <w:sz w:val="24"/>
          <w:szCs w:val="24"/>
          <w:highlight w:val="none"/>
        </w:rPr>
        <w:t>。</w:t>
      </w:r>
    </w:p>
    <w:p w14:paraId="4FFEB4B0">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15" w:name="_Toc109899536"/>
      <w:bookmarkStart w:id="116" w:name="_Toc46772243"/>
      <w:bookmarkStart w:id="117" w:name="_Toc470172667"/>
      <w:bookmarkStart w:id="118" w:name="_Toc52960555"/>
      <w:bookmarkStart w:id="119" w:name="_Toc9974"/>
      <w:bookmarkStart w:id="120" w:name="_Toc109899955"/>
      <w:bookmarkStart w:id="121" w:name="_Toc48688791"/>
      <w:bookmarkStart w:id="122" w:name="_Toc109900374"/>
      <w:bookmarkStart w:id="123" w:name="_Toc46771642"/>
      <w:bookmarkStart w:id="124" w:name="_Toc52962729"/>
      <w:bookmarkStart w:id="125" w:name="_Toc51674213"/>
      <w:bookmarkStart w:id="126" w:name="_Toc109897437"/>
      <w:bookmarkStart w:id="127" w:name="_Toc48846111"/>
      <w:r>
        <w:rPr>
          <w:rFonts w:hint="eastAsia" w:ascii="宋体" w:hAnsi="宋体" w:eastAsia="宋体" w:cs="宋体"/>
          <w:b/>
          <w:bCs/>
          <w:i w:val="0"/>
          <w:iCs w:val="0"/>
          <w:color w:val="auto"/>
          <w:kern w:val="2"/>
          <w:sz w:val="24"/>
          <w:szCs w:val="24"/>
          <w:highlight w:val="none"/>
          <w:lang w:val="en-US" w:eastAsia="zh-CN" w:bidi="ar-SA"/>
        </w:rPr>
        <w:t>3.资金来源</w:t>
      </w:r>
    </w:p>
    <w:p w14:paraId="7E10FE0B">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3.1资金来源：</w:t>
      </w:r>
      <w:r>
        <w:rPr>
          <w:rFonts w:hint="eastAsia" w:ascii="宋体" w:hAnsi="宋体" w:eastAsia="宋体" w:cs="宋体"/>
          <w:i w:val="0"/>
          <w:iCs w:val="0"/>
          <w:color w:val="auto"/>
          <w:sz w:val="24"/>
          <w:szCs w:val="24"/>
          <w:highlight w:val="none"/>
          <w:lang w:val="en-US" w:eastAsia="zh-CN"/>
        </w:rPr>
        <w:t>为财政性资金即</w:t>
      </w:r>
      <w:r>
        <w:rPr>
          <w:rFonts w:hint="eastAsia" w:ascii="宋体" w:hAnsi="宋体" w:eastAsia="宋体" w:cs="宋体"/>
          <w:i w:val="0"/>
          <w:iCs w:val="0"/>
          <w:color w:val="auto"/>
          <w:sz w:val="24"/>
          <w:szCs w:val="24"/>
          <w:highlight w:val="none"/>
        </w:rPr>
        <w:t>纳入预算管理的资金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5B4402E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4.供应商资格要求</w:t>
      </w:r>
    </w:p>
    <w:p w14:paraId="0254842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4.1</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资格要求：见“</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p>
    <w:p w14:paraId="0BD49E7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lang w:val="zh-CN" w:eastAsia="zh-CN"/>
        </w:rPr>
        <w:t>”规定接受联合体</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lang w:val="zh-CN" w:eastAsia="zh-CN"/>
        </w:rPr>
        <w:t>的，还应遵守以下规定：</w:t>
      </w:r>
    </w:p>
    <w:p w14:paraId="313C07E9">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1两个以上的自然人、法人或者其他组织可以组成一个联合体，以一个供应商的身份共同参加政府采购。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以联合体形式进行政府采购的，参加联合体的供应商均应当具备《政府采购法》第二十二条规定的条件。</w:t>
      </w:r>
    </w:p>
    <w:p w14:paraId="01B629AE">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2.2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联合体各方应按竞争性磋商文件提供的格式签订联合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作为</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文件的一部分提交，该协议书对联合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均具有法律约束力。</w:t>
      </w:r>
    </w:p>
    <w:p w14:paraId="7A48C239">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4.2.3</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6B55F83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同一合同项下的磋商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，否则相关</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将被认定为</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w:t>
      </w:r>
      <w:r>
        <w:rPr>
          <w:rFonts w:hint="eastAsia" w:ascii="宋体" w:hAnsi="宋体" w:eastAsia="宋体" w:cs="宋体"/>
          <w:b/>
          <w:bCs/>
          <w:i w:val="0"/>
          <w:iCs w:val="0"/>
          <w:color w:val="auto"/>
          <w:kern w:val="2"/>
          <w:sz w:val="24"/>
          <w:szCs w:val="24"/>
          <w:highlight w:val="none"/>
          <w:shd w:val="clear" w:color="auto" w:fill="FFFFFF" w:themeFill="background1"/>
          <w:lang w:val="zh-CN" w:eastAsia="zh-CN" w:bidi="ar-SA"/>
        </w:rPr>
        <w:t>无效</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1D414EDE">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协议</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书</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体磋商合同</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总金额的比例。</w:t>
      </w:r>
    </w:p>
    <w:p w14:paraId="6036569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.6</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成交</w:t>
      </w:r>
      <w:r>
        <w:rPr>
          <w:rFonts w:hint="eastAsia" w:ascii="宋体" w:hAnsi="宋体" w:eastAsia="宋体" w:cs="宋体"/>
          <w:i w:val="0"/>
          <w:iCs w:val="0"/>
          <w:color w:val="auto"/>
          <w:kern w:val="2"/>
          <w:sz w:val="24"/>
          <w:szCs w:val="24"/>
          <w:highlight w:val="none"/>
          <w:u w:val="none"/>
          <w:shd w:val="clear" w:color="auto" w:fill="FFFFFF" w:themeFill="background1"/>
          <w:lang w:val="en-US" w:eastAsia="zh-CN" w:bidi="ar-SA"/>
        </w:rPr>
        <w:t>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采购</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加盖</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联合体</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并</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5BF2FA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.7</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人</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书面同意并且须遵守相关法律、法规、本次</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的全部相关规定。</w:t>
      </w:r>
    </w:p>
    <w:p w14:paraId="1C0E489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zh-CN"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4.2</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8</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对联合体</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磋商</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的其他资格要求见“</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第一章 竞争性磋商公告</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中的“二、供应商的</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资格</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要求”</w:t>
      </w:r>
      <w:r>
        <w:rPr>
          <w:rFonts w:hint="eastAsia" w:ascii="宋体" w:hAnsi="宋体" w:eastAsia="宋体" w:cs="宋体"/>
          <w:i w:val="0"/>
          <w:iCs w:val="0"/>
          <w:color w:val="auto"/>
          <w:kern w:val="2"/>
          <w:sz w:val="24"/>
          <w:szCs w:val="24"/>
          <w:highlight w:val="none"/>
          <w:shd w:val="clear" w:color="auto" w:fill="FFFFFF" w:themeFill="background1"/>
          <w:lang w:val="zh-CN" w:eastAsia="zh-CN" w:bidi="ar-SA"/>
        </w:rPr>
        <w:t>。</w:t>
      </w:r>
    </w:p>
    <w:p w14:paraId="485F496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5.费用</w:t>
      </w:r>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bCs/>
          <w:i w:val="0"/>
          <w:iCs w:val="0"/>
          <w:color w:val="auto"/>
          <w:kern w:val="2"/>
          <w:sz w:val="24"/>
          <w:szCs w:val="24"/>
          <w:highlight w:val="none"/>
          <w:lang w:val="en-US" w:eastAsia="zh-CN" w:bidi="ar-SA"/>
        </w:rPr>
        <w:t>承担</w:t>
      </w:r>
    </w:p>
    <w:p w14:paraId="3C6741ED">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5.1</w:t>
      </w:r>
      <w:r>
        <w:rPr>
          <w:rFonts w:hint="eastAsia" w:ascii="宋体" w:hAnsi="宋体" w:eastAsia="宋体" w:cs="宋体"/>
          <w:i w:val="0"/>
          <w:iCs w:val="0"/>
          <w:snapToGrid w:val="0"/>
          <w:color w:val="auto"/>
          <w:sz w:val="24"/>
          <w:szCs w:val="24"/>
          <w:highlight w:val="none"/>
          <w:lang w:val="zh-CN" w:eastAsia="zh-CN"/>
        </w:rPr>
        <w:t>不论</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的结果如何，</w:t>
      </w:r>
      <w:r>
        <w:rPr>
          <w:rFonts w:hint="eastAsia" w:ascii="宋体" w:hAnsi="宋体" w:eastAsia="宋体" w:cs="宋体"/>
          <w:i w:val="0"/>
          <w:iCs w:val="0"/>
          <w:snapToGrid w:val="0"/>
          <w:color w:val="auto"/>
          <w:sz w:val="24"/>
          <w:szCs w:val="24"/>
          <w:highlight w:val="none"/>
          <w:lang w:val="en-US" w:eastAsia="zh-CN"/>
        </w:rPr>
        <w:t>供应商</w:t>
      </w:r>
      <w:r>
        <w:rPr>
          <w:rFonts w:hint="eastAsia" w:ascii="宋体" w:hAnsi="宋体" w:eastAsia="宋体" w:cs="宋体"/>
          <w:i w:val="0"/>
          <w:iCs w:val="0"/>
          <w:snapToGrid w:val="0"/>
          <w:color w:val="auto"/>
          <w:sz w:val="24"/>
          <w:szCs w:val="24"/>
          <w:highlight w:val="none"/>
          <w:lang w:val="zh-CN" w:eastAsia="zh-CN"/>
        </w:rPr>
        <w:t>应承担所有与准备和参加</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有关的费用。</w:t>
      </w:r>
    </w:p>
    <w:p w14:paraId="6DDD89B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28" w:name="_Toc140132761"/>
      <w:bookmarkStart w:id="129" w:name="_Toc161600293"/>
      <w:r>
        <w:rPr>
          <w:rFonts w:hint="eastAsia" w:ascii="宋体" w:hAnsi="宋体" w:eastAsia="宋体" w:cs="宋体"/>
          <w:b/>
          <w:bCs/>
          <w:i w:val="0"/>
          <w:iCs w:val="0"/>
          <w:color w:val="auto"/>
          <w:kern w:val="2"/>
          <w:sz w:val="24"/>
          <w:szCs w:val="24"/>
          <w:highlight w:val="none"/>
          <w:lang w:val="en-US" w:eastAsia="zh-CN" w:bidi="ar-SA"/>
        </w:rPr>
        <w:t>6.保密</w:t>
      </w:r>
      <w:bookmarkEnd w:id="128"/>
      <w:bookmarkEnd w:id="129"/>
    </w:p>
    <w:p w14:paraId="2E37681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6.1</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参与磋商活动的各方应对竞争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磋商文件和响应文件中的商业和技术等秘密保密，否则应承担相应的法律责任。</w:t>
      </w:r>
    </w:p>
    <w:p w14:paraId="23555BD0">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2 供应商</w:t>
      </w:r>
      <w:r>
        <w:rPr>
          <w:rFonts w:hint="eastAsia" w:ascii="宋体" w:hAnsi="宋体" w:eastAsia="宋体" w:cs="宋体"/>
          <w:i w:val="0"/>
          <w:iCs w:val="0"/>
          <w:color w:val="auto"/>
          <w:kern w:val="2"/>
          <w:sz w:val="24"/>
          <w:szCs w:val="24"/>
          <w:highlight w:val="none"/>
        </w:rPr>
        <w:t>自领取竞争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磋商文件之日起，须承担本竞争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磋商项目保密义务，不得将因本次竞争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磋商获得的信息向第三人外传。由采购人向</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磋商结束后，应采购人要求，</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应归还所有从采购人处获得的保密资料。</w:t>
      </w:r>
    </w:p>
    <w:p w14:paraId="67907078">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3 </w:t>
      </w:r>
      <w:r>
        <w:rPr>
          <w:rFonts w:hint="eastAsia" w:ascii="宋体" w:hAnsi="宋体" w:eastAsia="宋体" w:cs="宋体"/>
          <w:i w:val="0"/>
          <w:iCs w:val="0"/>
          <w:color w:val="auto"/>
          <w:kern w:val="2"/>
          <w:sz w:val="24"/>
          <w:szCs w:val="24"/>
          <w:highlight w:val="none"/>
        </w:rPr>
        <w:t>采购代理机构有权将</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提供的所有资料向有关政府部门或竞争</w:t>
      </w:r>
      <w:r>
        <w:rPr>
          <w:rFonts w:hint="eastAsia" w:ascii="宋体" w:hAnsi="宋体" w:eastAsia="宋体" w:cs="宋体"/>
          <w:i w:val="0"/>
          <w:iCs w:val="0"/>
          <w:color w:val="auto"/>
          <w:kern w:val="2"/>
          <w:sz w:val="24"/>
          <w:szCs w:val="24"/>
          <w:highlight w:val="none"/>
          <w:lang w:val="en-US" w:eastAsia="zh-CN"/>
        </w:rPr>
        <w:t>性</w:t>
      </w:r>
      <w:r>
        <w:rPr>
          <w:rFonts w:hint="eastAsia" w:ascii="宋体" w:hAnsi="宋体" w:eastAsia="宋体" w:cs="宋体"/>
          <w:i w:val="0"/>
          <w:iCs w:val="0"/>
          <w:color w:val="auto"/>
          <w:kern w:val="2"/>
          <w:sz w:val="24"/>
          <w:szCs w:val="24"/>
          <w:highlight w:val="none"/>
        </w:rPr>
        <w:t>磋商的有关人员披露。</w:t>
      </w:r>
    </w:p>
    <w:p w14:paraId="232A1AD6">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sz w:val="24"/>
          <w:szCs w:val="24"/>
          <w:highlight w:val="none"/>
        </w:rPr>
        <w:t xml:space="preserve"> </w:t>
      </w:r>
    </w:p>
    <w:p w14:paraId="47EBAEFC">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0" w:name="_Toc161600294"/>
      <w:bookmarkStart w:id="131" w:name="_Toc140132762"/>
      <w:r>
        <w:rPr>
          <w:rFonts w:hint="eastAsia" w:ascii="宋体" w:hAnsi="宋体" w:eastAsia="宋体" w:cs="宋体"/>
          <w:b/>
          <w:bCs/>
          <w:i w:val="0"/>
          <w:iCs w:val="0"/>
          <w:color w:val="auto"/>
          <w:kern w:val="2"/>
          <w:sz w:val="24"/>
          <w:szCs w:val="24"/>
          <w:highlight w:val="none"/>
          <w:lang w:val="en-US" w:eastAsia="zh-CN" w:bidi="ar-SA"/>
        </w:rPr>
        <w:t>7.语言文字</w:t>
      </w:r>
      <w:bookmarkEnd w:id="130"/>
      <w:bookmarkEnd w:id="131"/>
    </w:p>
    <w:p w14:paraId="3121AAF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7.1竞争</w:t>
      </w:r>
      <w:r>
        <w:rPr>
          <w:rFonts w:hint="eastAsia" w:ascii="宋体" w:hAnsi="宋体" w:eastAsia="宋体" w:cs="宋体"/>
          <w:i w:val="0"/>
          <w:iCs w:val="0"/>
          <w:color w:val="auto"/>
          <w:sz w:val="24"/>
          <w:szCs w:val="24"/>
          <w:highlight w:val="none"/>
          <w:lang w:val="en-US" w:eastAsia="zh-CN"/>
        </w:rPr>
        <w:t>性</w:t>
      </w:r>
      <w:r>
        <w:rPr>
          <w:rFonts w:hint="eastAsia" w:ascii="宋体" w:hAnsi="宋体" w:eastAsia="宋体" w:cs="宋体"/>
          <w:i w:val="0"/>
          <w:iCs w:val="0"/>
          <w:color w:val="auto"/>
          <w:sz w:val="24"/>
          <w:szCs w:val="24"/>
          <w:highlight w:val="none"/>
        </w:rPr>
        <w:t>磋商</w:t>
      </w:r>
      <w:r>
        <w:rPr>
          <w:rFonts w:hint="eastAsia" w:ascii="宋体" w:hAnsi="宋体" w:eastAsia="宋体" w:cs="宋体"/>
          <w:i w:val="0"/>
          <w:iCs w:val="0"/>
          <w:color w:val="auto"/>
          <w:sz w:val="24"/>
          <w:szCs w:val="24"/>
          <w:highlight w:val="none"/>
          <w:lang w:val="en-US" w:eastAsia="zh-CN"/>
        </w:rPr>
        <w:t>文件及响应</w:t>
      </w:r>
      <w:r>
        <w:rPr>
          <w:rFonts w:hint="eastAsia" w:ascii="宋体" w:hAnsi="宋体" w:eastAsia="宋体" w:cs="宋体"/>
          <w:i w:val="0"/>
          <w:iCs w:val="0"/>
          <w:color w:val="auto"/>
          <w:sz w:val="24"/>
          <w:szCs w:val="24"/>
          <w:highlight w:val="none"/>
        </w:rPr>
        <w:t>文件使用的语言文字为中文。专用术语使用外文的，应附有中文注释。</w:t>
      </w:r>
      <w:r>
        <w:rPr>
          <w:rFonts w:hint="eastAsia" w:ascii="宋体" w:hAnsi="宋体" w:eastAsia="宋体" w:cs="宋体"/>
          <w:i w:val="0"/>
          <w:iCs w:val="0"/>
          <w:color w:val="auto"/>
          <w:sz w:val="24"/>
          <w:szCs w:val="24"/>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670762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2" w:name="_Toc161600295"/>
      <w:bookmarkStart w:id="133" w:name="_Toc140132763"/>
      <w:r>
        <w:rPr>
          <w:rFonts w:hint="eastAsia" w:ascii="宋体" w:hAnsi="宋体" w:eastAsia="宋体" w:cs="宋体"/>
          <w:b/>
          <w:bCs/>
          <w:i w:val="0"/>
          <w:iCs w:val="0"/>
          <w:color w:val="auto"/>
          <w:kern w:val="2"/>
          <w:sz w:val="24"/>
          <w:szCs w:val="24"/>
          <w:highlight w:val="none"/>
          <w:lang w:val="en-US" w:eastAsia="zh-CN" w:bidi="ar-SA"/>
        </w:rPr>
        <w:t>8.计量单位</w:t>
      </w:r>
      <w:bookmarkEnd w:id="132"/>
      <w:bookmarkEnd w:id="133"/>
    </w:p>
    <w:p w14:paraId="0DC441D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8.1所有计量均采用中华人民共和国法定计量单位。</w:t>
      </w:r>
    </w:p>
    <w:p w14:paraId="37E10A0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4" w:name="_Toc140132764"/>
      <w:bookmarkStart w:id="135" w:name="_Toc161600296"/>
      <w:r>
        <w:rPr>
          <w:rFonts w:hint="eastAsia" w:ascii="宋体" w:hAnsi="宋体" w:eastAsia="宋体" w:cs="宋体"/>
          <w:b/>
          <w:bCs/>
          <w:i w:val="0"/>
          <w:iCs w:val="0"/>
          <w:color w:val="auto"/>
          <w:kern w:val="2"/>
          <w:sz w:val="24"/>
          <w:szCs w:val="24"/>
          <w:highlight w:val="none"/>
          <w:lang w:val="en-US" w:eastAsia="zh-CN" w:bidi="ar-SA"/>
        </w:rPr>
        <w:t>9.现场考察和答疑会</w:t>
      </w:r>
      <w:bookmarkEnd w:id="134"/>
      <w:bookmarkEnd w:id="135"/>
    </w:p>
    <w:p w14:paraId="70E7733A">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136" w:name="_Hlk143529198"/>
      <w:r>
        <w:rPr>
          <w:rFonts w:hint="eastAsia" w:ascii="宋体" w:hAnsi="宋体" w:eastAsia="宋体" w:cs="宋体"/>
          <w:i w:val="0"/>
          <w:iCs w:val="0"/>
          <w:color w:val="auto"/>
          <w:sz w:val="24"/>
          <w:szCs w:val="24"/>
          <w:highlight w:val="none"/>
        </w:rPr>
        <w:t xml:space="preserve">9.1 “供应商须知前附表”规定组织现场考察的，采购代理机构按“供应商须知前附表”规定的时间、地点组织供应商项目现场考察。 </w:t>
      </w:r>
    </w:p>
    <w:p w14:paraId="473C15DA">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9.2 供应商现场考察发生的费用自理。</w:t>
      </w:r>
    </w:p>
    <w:p w14:paraId="417B1E0B">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9.3 在现场考察中，因供应商自身原因发生的人员伤亡和财产损失，由供应商自行负责。</w:t>
      </w:r>
    </w:p>
    <w:p w14:paraId="2BF7B5CD">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9.4 采购人在现场考察中介绍的项目场地和相关的周边环境情况，仅供供应商在编制响应文件时参考，采购人和采购代理机构不对供应商据此作出的判断和决策负责。</w:t>
      </w:r>
    </w:p>
    <w:p w14:paraId="521951E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9.5 “供应商须知前附表”规定召开答疑会的，采购代理机构按“供应商须知前附表”规定的时间和地点召开答疑会，澄清供应商提出的问题。</w:t>
      </w:r>
    </w:p>
    <w:p w14:paraId="7BC8ED9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36"/>
    <w:p w14:paraId="020D8BF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7" w:name="_Toc161600298"/>
      <w:bookmarkStart w:id="138" w:name="_Toc155185858"/>
      <w:r>
        <w:rPr>
          <w:rFonts w:hint="eastAsia" w:ascii="宋体" w:hAnsi="宋体" w:eastAsia="宋体" w:cs="宋体"/>
          <w:b/>
          <w:bCs/>
          <w:i w:val="0"/>
          <w:iCs w:val="0"/>
          <w:color w:val="auto"/>
          <w:kern w:val="2"/>
          <w:sz w:val="24"/>
          <w:szCs w:val="24"/>
          <w:highlight w:val="none"/>
          <w:lang w:val="en-US" w:eastAsia="zh-CN" w:bidi="ar-SA"/>
        </w:rPr>
        <w:t>10.电子标说明</w:t>
      </w:r>
      <w:bookmarkEnd w:id="137"/>
      <w:bookmarkEnd w:id="138"/>
    </w:p>
    <w:p w14:paraId="410950EB">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10.1 本次采购采用电子交易方式，电子交易平台为兵团政府采购电子交易云平台（网址：https://www.zcygov.cn/）。供应商参与本项目电子交易活动前，</w:t>
      </w:r>
      <w:r>
        <w:rPr>
          <w:rFonts w:hint="eastAsia" w:ascii="宋体" w:hAnsi="宋体" w:eastAsia="宋体" w:cs="宋体"/>
          <w:i w:val="0"/>
          <w:iCs w:val="0"/>
          <w:color w:val="auto"/>
          <w:sz w:val="24"/>
          <w:szCs w:val="24"/>
          <w:highlight w:val="none"/>
        </w:rPr>
        <w:t>应</w:t>
      </w:r>
      <w:r>
        <w:rPr>
          <w:rFonts w:hint="eastAsia" w:ascii="宋体" w:hAnsi="宋体" w:eastAsia="宋体" w:cs="宋体"/>
          <w:i w:val="0"/>
          <w:iCs w:val="0"/>
          <w:color w:val="auto"/>
          <w:sz w:val="24"/>
          <w:szCs w:val="24"/>
          <w:highlight w:val="none"/>
          <w:lang w:val="en-US" w:eastAsia="zh-CN"/>
        </w:rPr>
        <w:t>在</w:t>
      </w:r>
      <w:r>
        <w:rPr>
          <w:rFonts w:hint="eastAsia" w:ascii="宋体" w:hAnsi="宋体" w:eastAsia="宋体" w:cs="宋体"/>
          <w:i w:val="0"/>
          <w:iCs w:val="0"/>
          <w:color w:val="auto"/>
          <w:sz w:val="24"/>
          <w:szCs w:val="24"/>
          <w:highlight w:val="none"/>
        </w:rPr>
        <w:t>政</w:t>
      </w:r>
      <w:r>
        <w:rPr>
          <w:rFonts w:hint="eastAsia" w:ascii="宋体" w:hAnsi="宋体" w:eastAsia="宋体" w:cs="宋体"/>
          <w:i w:val="0"/>
          <w:iCs w:val="0"/>
          <w:color w:val="auto"/>
          <w:sz w:val="24"/>
          <w:szCs w:val="24"/>
          <w:highlight w:val="none"/>
          <w:lang w:val="en-US" w:eastAsia="zh-CN"/>
        </w:rPr>
        <w:t>采</w:t>
      </w:r>
      <w:r>
        <w:rPr>
          <w:rFonts w:hint="eastAsia" w:ascii="宋体" w:hAnsi="宋体" w:eastAsia="宋体" w:cs="宋体"/>
          <w:i w:val="0"/>
          <w:iCs w:val="0"/>
          <w:color w:val="auto"/>
          <w:sz w:val="24"/>
          <w:szCs w:val="24"/>
          <w:highlight w:val="none"/>
          <w:lang w:val="en-US"/>
        </w:rPr>
        <w:t>云</w:t>
      </w:r>
      <w:r>
        <w:rPr>
          <w:rFonts w:hint="eastAsia" w:ascii="宋体" w:hAnsi="宋体" w:eastAsia="宋体" w:cs="宋体"/>
          <w:i w:val="0"/>
          <w:iCs w:val="0"/>
          <w:color w:val="auto"/>
          <w:sz w:val="24"/>
          <w:szCs w:val="24"/>
          <w:highlight w:val="none"/>
        </w:rPr>
        <w:t>平台</w:t>
      </w:r>
      <w:r>
        <w:rPr>
          <w:rFonts w:hint="eastAsia" w:ascii="宋体" w:hAnsi="宋体" w:eastAsia="宋体" w:cs="宋体"/>
          <w:i w:val="0"/>
          <w:iCs w:val="0"/>
          <w:color w:val="auto"/>
          <w:sz w:val="24"/>
          <w:szCs w:val="24"/>
          <w:highlight w:val="none"/>
          <w:lang w:val="en-US" w:eastAsia="zh-CN"/>
        </w:rPr>
        <w:t>上</w:t>
      </w:r>
      <w:r>
        <w:rPr>
          <w:rFonts w:hint="eastAsia" w:ascii="宋体" w:hAnsi="宋体" w:eastAsia="宋体" w:cs="宋体"/>
          <w:i w:val="0"/>
          <w:iCs w:val="0"/>
          <w:color w:val="auto"/>
          <w:sz w:val="24"/>
          <w:szCs w:val="24"/>
          <w:highlight w:val="none"/>
        </w:rPr>
        <w:t>注册</w:t>
      </w:r>
      <w:r>
        <w:rPr>
          <w:rFonts w:hint="eastAsia" w:ascii="宋体" w:hAnsi="宋体" w:eastAsia="宋体" w:cs="宋体"/>
          <w:i w:val="0"/>
          <w:iCs w:val="0"/>
          <w:color w:val="auto"/>
          <w:sz w:val="24"/>
          <w:szCs w:val="24"/>
          <w:highlight w:val="none"/>
          <w:lang w:val="en-US" w:eastAsia="zh-CN"/>
        </w:rPr>
        <w:t>供应商账号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兵团政府采购网“供应商注册”—“新疆生产建设兵团政府采购供应商入驻登记”—“立即登记”进行自助注册绑定。</w:t>
      </w:r>
    </w:p>
    <w:p w14:paraId="15920268">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10.2 供应商将兵团政府采购电子交易云平台电子交易客户端下载、安装完成后，可通过账号密码或CA登录客户端进行响应文件制作。在使用政采云投标客户端时，建议使用WIN7及以上操作系统。供应商登录兵团政府采购网“下载专区”—“电子招投标客户端下载”下载相关客户端，如有问题可拨打政采云客户服务热线95763进行咨询。</w:t>
      </w:r>
    </w:p>
    <w:p w14:paraId="1BDAF1A8">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10.3 加密的电子响应文件应在响应文件递交截止时间前通过政采云平台上传完成。逾期上传或者未上传指定地点的响应文件，不予受理。</w:t>
      </w:r>
    </w:p>
    <w:p w14:paraId="69FF5CC2">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5C559BCB">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10.5 如遇“兵团政府采购电子交易云平台（网址：https://www.zcygov.cn/）”电子交易规则调整，以最新要求为准。</w:t>
      </w:r>
    </w:p>
    <w:p w14:paraId="552450FD">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2B30589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17FBA29F">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39" w:name="_Toc163493612"/>
      <w:bookmarkStart w:id="140" w:name="_Toc109897438"/>
      <w:bookmarkStart w:id="141" w:name="_Toc109899956"/>
      <w:bookmarkStart w:id="142" w:name="_Toc109899537"/>
      <w:bookmarkStart w:id="143" w:name="_Toc28430"/>
      <w:bookmarkStart w:id="144" w:name="_Toc109900375"/>
      <w:bookmarkStart w:id="145" w:name="_Toc470172668"/>
      <w:bookmarkStart w:id="146" w:name="_Toc46771643"/>
      <w:r>
        <w:rPr>
          <w:rFonts w:hint="eastAsia" w:ascii="宋体" w:hAnsi="宋体" w:eastAsia="宋体" w:cs="宋体"/>
          <w:b/>
          <w:bCs/>
          <w:i w:val="0"/>
          <w:iCs w:val="0"/>
          <w:color w:val="auto"/>
          <w:kern w:val="2"/>
          <w:sz w:val="24"/>
          <w:szCs w:val="24"/>
          <w:highlight w:val="none"/>
          <w:lang w:val="en-US" w:eastAsia="zh-CN" w:bidi="ar-SA"/>
        </w:rPr>
        <w:t>（二）磋商文件</w:t>
      </w:r>
      <w:bookmarkEnd w:id="139"/>
      <w:bookmarkEnd w:id="140"/>
      <w:bookmarkEnd w:id="141"/>
      <w:bookmarkEnd w:id="142"/>
      <w:bookmarkEnd w:id="143"/>
      <w:bookmarkEnd w:id="144"/>
      <w:bookmarkEnd w:id="145"/>
      <w:bookmarkEnd w:id="146"/>
    </w:p>
    <w:p w14:paraId="02C74752">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47" w:name="_Toc109897439"/>
      <w:bookmarkStart w:id="148" w:name="_Toc470172669"/>
      <w:bookmarkStart w:id="149" w:name="_Toc52962731"/>
      <w:bookmarkStart w:id="150" w:name="_Toc46771644"/>
      <w:bookmarkStart w:id="151" w:name="_Toc48688793"/>
      <w:bookmarkStart w:id="152" w:name="_Toc52960557"/>
      <w:bookmarkStart w:id="153" w:name="_Toc109899538"/>
      <w:bookmarkStart w:id="154" w:name="_Toc48846113"/>
      <w:bookmarkStart w:id="155" w:name="_Toc109900376"/>
      <w:bookmarkStart w:id="156" w:name="_Toc4547"/>
      <w:bookmarkStart w:id="157" w:name="_Toc46772245"/>
      <w:bookmarkStart w:id="158" w:name="_Toc109899957"/>
      <w:bookmarkStart w:id="159" w:name="_Toc51674215"/>
      <w:r>
        <w:rPr>
          <w:rFonts w:hint="eastAsia" w:ascii="宋体" w:hAnsi="宋体" w:eastAsia="宋体" w:cs="宋体"/>
          <w:b/>
          <w:bCs/>
          <w:i w:val="0"/>
          <w:iCs w:val="0"/>
          <w:color w:val="auto"/>
          <w:kern w:val="2"/>
          <w:sz w:val="24"/>
          <w:szCs w:val="24"/>
          <w:highlight w:val="none"/>
          <w:lang w:val="en-US" w:eastAsia="zh-CN" w:bidi="ar-SA"/>
        </w:rPr>
        <w:t>11.磋商文件的构成</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4909DE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lang w:eastAsia="zh-CN"/>
        </w:rPr>
      </w:pPr>
      <w:bookmarkStart w:id="160" w:name="_Toc46772246"/>
      <w:bookmarkStart w:id="161" w:name="_Toc48688794"/>
      <w:bookmarkStart w:id="162" w:name="_Toc478415174"/>
      <w:bookmarkStart w:id="163" w:name="_Toc46771645"/>
      <w:bookmarkStart w:id="164" w:name="_Toc52960558"/>
      <w:bookmarkStart w:id="165" w:name="_Toc109897440"/>
      <w:bookmarkStart w:id="166" w:name="_Toc109900377"/>
      <w:bookmarkStart w:id="167" w:name="_Toc51674216"/>
      <w:bookmarkStart w:id="168" w:name="_Toc52962732"/>
      <w:bookmarkStart w:id="169" w:name="_Toc109899958"/>
      <w:bookmarkStart w:id="170" w:name="_Toc109899539"/>
      <w:bookmarkStart w:id="171" w:name="_Toc48846114"/>
      <w:r>
        <w:rPr>
          <w:rFonts w:hint="eastAsia" w:ascii="宋体" w:hAnsi="宋体" w:eastAsia="宋体" w:cs="宋体"/>
          <w:i w:val="0"/>
          <w:iCs w:val="0"/>
          <w:color w:val="auto"/>
          <w:sz w:val="24"/>
          <w:szCs w:val="24"/>
          <w:highlight w:val="none"/>
        </w:rPr>
        <w:t>第一章 竞争性磋商</w:t>
      </w:r>
      <w:r>
        <w:rPr>
          <w:rFonts w:hint="eastAsia" w:ascii="宋体" w:hAnsi="宋体" w:eastAsia="宋体" w:cs="宋体"/>
          <w:i w:val="0"/>
          <w:iCs w:val="0"/>
          <w:color w:val="auto"/>
          <w:sz w:val="24"/>
          <w:szCs w:val="24"/>
          <w:highlight w:val="none"/>
          <w:lang w:val="en-US" w:eastAsia="zh-CN"/>
        </w:rPr>
        <w:t>公告</w:t>
      </w:r>
    </w:p>
    <w:p w14:paraId="7147E8B4">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第二章 供应商须知</w:t>
      </w:r>
    </w:p>
    <w:p w14:paraId="61D89D7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p>
    <w:p w14:paraId="6D7BF4E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第四章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47AC85E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第五章 合同草案</w:t>
      </w:r>
    </w:p>
    <w:p w14:paraId="5706B4C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第六章 响应文件的格式</w:t>
      </w:r>
    </w:p>
    <w:p w14:paraId="2FA3C6F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12.磋商文件的澄清或修改</w:t>
      </w:r>
      <w:bookmarkEnd w:id="160"/>
      <w:bookmarkEnd w:id="161"/>
      <w:bookmarkEnd w:id="162"/>
      <w:bookmarkEnd w:id="163"/>
      <w:bookmarkEnd w:id="164"/>
      <w:bookmarkEnd w:id="165"/>
      <w:bookmarkEnd w:id="166"/>
      <w:bookmarkEnd w:id="167"/>
      <w:bookmarkEnd w:id="168"/>
      <w:bookmarkEnd w:id="169"/>
      <w:bookmarkEnd w:id="170"/>
      <w:bookmarkEnd w:id="171"/>
    </w:p>
    <w:p w14:paraId="6CD5473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文件询问的答复，在必要时将以澄清形式推送给每个获取竞争性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(答复中不包括问题的来源)。</w:t>
      </w:r>
    </w:p>
    <w:p w14:paraId="16247DA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供应商在规定的时间内未对竞争性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文件提出疑问或要求澄清的，采购代理机构将视其为同意，对在“供应商须知前附表”中“</w:t>
      </w:r>
      <w:r>
        <w:rPr>
          <w:rFonts w:hint="eastAsia" w:ascii="宋体" w:hAnsi="宋体" w:eastAsia="宋体" w:cs="宋体"/>
          <w:i w:val="0"/>
          <w:iCs w:val="0"/>
          <w:color w:val="auto"/>
          <w:sz w:val="24"/>
          <w:szCs w:val="24"/>
          <w:highlight w:val="none"/>
          <w:lang w:val="en-US" w:eastAsia="zh-CN"/>
        </w:rPr>
        <w:t>提出询问的</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之</w:t>
      </w:r>
      <w:r>
        <w:rPr>
          <w:rFonts w:hint="eastAsia" w:ascii="宋体" w:hAnsi="宋体" w:eastAsia="宋体" w:cs="宋体"/>
          <w:i w:val="0"/>
          <w:iCs w:val="0"/>
          <w:color w:val="auto"/>
          <w:sz w:val="24"/>
          <w:szCs w:val="24"/>
          <w:highlight w:val="none"/>
        </w:rPr>
        <w:t>后就竞争性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文件内容提出的疑问及澄清要求将不予受理。</w:t>
      </w:r>
    </w:p>
    <w:p w14:paraId="13C40F6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.2 采购人或者采购代理机构可以对已发出的竞争性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文件进行必要的澄清或者修改。澄清或修改的内容为竞争性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文件的组成部分，并对所有获取竞争性</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文件的潜在供应商具有约束力。</w:t>
      </w:r>
    </w:p>
    <w:p w14:paraId="254B1BD2">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.3 竞争性磋商文件的澄清或者修</w:t>
      </w:r>
      <w:r>
        <w:rPr>
          <w:rFonts w:hint="eastAsia" w:ascii="宋体" w:hAnsi="宋体" w:eastAsia="宋体" w:cs="宋体"/>
          <w:i w:val="0"/>
          <w:iCs w:val="0"/>
          <w:snapToGrid w:val="0"/>
          <w:color w:val="auto"/>
          <w:sz w:val="24"/>
          <w:szCs w:val="24"/>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auto"/>
          <w:sz w:val="24"/>
          <w:szCs w:val="24"/>
          <w:highlight w:val="none"/>
        </w:rPr>
        <w:t>竞争性</w:t>
      </w:r>
      <w:r>
        <w:rPr>
          <w:rFonts w:hint="eastAsia" w:ascii="宋体" w:hAnsi="宋体" w:eastAsia="宋体" w:cs="宋体"/>
          <w:i w:val="0"/>
          <w:iCs w:val="0"/>
          <w:snapToGrid w:val="0"/>
          <w:color w:val="auto"/>
          <w:sz w:val="24"/>
          <w:szCs w:val="24"/>
          <w:highlight w:val="none"/>
          <w:lang w:val="zh-CN"/>
        </w:rPr>
        <w:t>磋商文件的供应商，不足5日的，应当顺延提交首次响应文件</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截止时间</w:t>
      </w:r>
      <w:r>
        <w:rPr>
          <w:rFonts w:hint="eastAsia" w:ascii="宋体" w:hAnsi="宋体" w:eastAsia="宋体" w:cs="宋体"/>
          <w:i w:val="0"/>
          <w:iCs w:val="0"/>
          <w:color w:val="auto"/>
          <w:sz w:val="24"/>
          <w:szCs w:val="24"/>
          <w:highlight w:val="none"/>
        </w:rPr>
        <w:t>。</w:t>
      </w:r>
    </w:p>
    <w:p w14:paraId="58FA56D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 xml:space="preserve">.4 </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须知”所称“书面形式”包括系统消息、政府采购</w:t>
      </w:r>
      <w:r>
        <w:rPr>
          <w:rFonts w:hint="eastAsia" w:ascii="宋体" w:hAnsi="宋体" w:eastAsia="宋体" w:cs="宋体"/>
          <w:i w:val="0"/>
          <w:iCs w:val="0"/>
          <w:color w:val="auto"/>
          <w:sz w:val="24"/>
          <w:szCs w:val="24"/>
          <w:highlight w:val="none"/>
          <w:lang w:val="en-US" w:eastAsia="zh-CN"/>
        </w:rPr>
        <w:t>云平台</w:t>
      </w:r>
      <w:r>
        <w:rPr>
          <w:rFonts w:hint="eastAsia" w:ascii="宋体" w:hAnsi="宋体" w:eastAsia="宋体" w:cs="宋体"/>
          <w:i w:val="0"/>
          <w:iCs w:val="0"/>
          <w:color w:val="auto"/>
          <w:sz w:val="24"/>
          <w:szCs w:val="24"/>
          <w:highlight w:val="none"/>
        </w:rPr>
        <w:t>发布的公告。</w:t>
      </w:r>
    </w:p>
    <w:p w14:paraId="7222E92B">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5</w:t>
      </w:r>
      <w:r>
        <w:rPr>
          <w:rFonts w:hint="eastAsia" w:ascii="宋体" w:hAnsi="宋体" w:eastAsia="宋体" w:cs="宋体"/>
          <w:i w:val="0"/>
          <w:iCs w:val="0"/>
          <w:color w:val="auto"/>
          <w:kern w:val="2"/>
          <w:sz w:val="24"/>
          <w:szCs w:val="24"/>
          <w:highlight w:val="none"/>
        </w:rPr>
        <w:t>采购代理机构一旦对竞争性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文件的组成部分，对所有现实的或潜在的</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均具有约束力，而无论是否已经实际收到上述文件。同时，采购代理机构和</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的权利及义务将受到新的截止期的约束。</w:t>
      </w:r>
    </w:p>
    <w:p w14:paraId="6E542BA8">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2</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6</w:t>
      </w:r>
      <w:r>
        <w:rPr>
          <w:rFonts w:hint="eastAsia" w:ascii="宋体" w:hAnsi="宋体" w:eastAsia="宋体" w:cs="宋体"/>
          <w:i w:val="0"/>
          <w:iCs w:val="0"/>
          <w:color w:val="auto"/>
          <w:kern w:val="2"/>
          <w:sz w:val="24"/>
          <w:szCs w:val="24"/>
          <w:highlight w:val="none"/>
        </w:rPr>
        <w:t>采购代理机构对竞争性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文件作出的澄清、修改在平台内进行披露，请</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及时关注并获取相关资料。因登记有误、线路故障或其它任何意外情形，导致</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未及时获取的，采购代理机构不因此承担任何责任，且有关的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活动继续有效地进行。当竞争性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文件的澄清、修改及进行其他答复等就同一内容的表述不一致时，以最后发布的内容为准。</w:t>
      </w:r>
    </w:p>
    <w:p w14:paraId="7D17D0F6">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72" w:name="_Toc109899960"/>
      <w:bookmarkStart w:id="173" w:name="_Toc109897442"/>
      <w:bookmarkStart w:id="174" w:name="_Toc46771647"/>
      <w:bookmarkStart w:id="175" w:name="_Toc109899541"/>
      <w:bookmarkStart w:id="176" w:name="_Toc109900379"/>
      <w:bookmarkStart w:id="177" w:name="_Toc163493613"/>
      <w:bookmarkStart w:id="178" w:name="_Toc13211"/>
      <w:bookmarkStart w:id="179" w:name="_Toc470172672"/>
      <w:r>
        <w:rPr>
          <w:rFonts w:hint="eastAsia" w:ascii="宋体" w:hAnsi="宋体" w:eastAsia="宋体" w:cs="宋体"/>
          <w:b/>
          <w:bCs/>
          <w:i w:val="0"/>
          <w:iCs w:val="0"/>
          <w:color w:val="auto"/>
          <w:kern w:val="2"/>
          <w:sz w:val="24"/>
          <w:szCs w:val="24"/>
          <w:highlight w:val="none"/>
          <w:lang w:val="en-US" w:eastAsia="zh-CN" w:bidi="ar-SA"/>
        </w:rPr>
        <w:t>（三）响应文件</w:t>
      </w:r>
      <w:bookmarkEnd w:id="172"/>
      <w:bookmarkEnd w:id="173"/>
      <w:bookmarkEnd w:id="174"/>
      <w:bookmarkEnd w:id="175"/>
      <w:bookmarkEnd w:id="176"/>
      <w:bookmarkEnd w:id="177"/>
      <w:bookmarkEnd w:id="178"/>
      <w:bookmarkEnd w:id="179"/>
    </w:p>
    <w:p w14:paraId="3A231C5B">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80" w:name="_Toc109899543"/>
      <w:bookmarkStart w:id="181" w:name="_Toc32272"/>
      <w:bookmarkStart w:id="182" w:name="_Toc109899962"/>
      <w:bookmarkStart w:id="183" w:name="_Toc52960562"/>
      <w:bookmarkStart w:id="184" w:name="_Toc46772250"/>
      <w:bookmarkStart w:id="185" w:name="_Toc48688798"/>
      <w:bookmarkStart w:id="186" w:name="_Toc48846118"/>
      <w:bookmarkStart w:id="187" w:name="_Toc470172674"/>
      <w:bookmarkStart w:id="188" w:name="_Toc51674220"/>
      <w:bookmarkStart w:id="189" w:name="_Toc109897444"/>
      <w:bookmarkStart w:id="190" w:name="_Toc46771649"/>
      <w:bookmarkStart w:id="191" w:name="_Toc109900381"/>
      <w:bookmarkStart w:id="192" w:name="_Toc52962736"/>
      <w:r>
        <w:rPr>
          <w:rFonts w:hint="eastAsia" w:ascii="宋体" w:hAnsi="宋体" w:eastAsia="宋体" w:cs="宋体"/>
          <w:b/>
          <w:bCs/>
          <w:i w:val="0"/>
          <w:iCs w:val="0"/>
          <w:color w:val="auto"/>
          <w:kern w:val="2"/>
          <w:sz w:val="24"/>
          <w:szCs w:val="24"/>
          <w:highlight w:val="none"/>
          <w:lang w:val="en-US" w:eastAsia="zh-CN" w:bidi="ar-SA"/>
        </w:rPr>
        <w:t>13.响应文件的</w:t>
      </w:r>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宋体"/>
          <w:b/>
          <w:bCs/>
          <w:i w:val="0"/>
          <w:iCs w:val="0"/>
          <w:color w:val="auto"/>
          <w:kern w:val="2"/>
          <w:sz w:val="24"/>
          <w:szCs w:val="24"/>
          <w:highlight w:val="none"/>
          <w:lang w:val="en-US" w:eastAsia="zh-CN" w:bidi="ar-SA"/>
        </w:rPr>
        <w:t>组成</w:t>
      </w:r>
    </w:p>
    <w:p w14:paraId="174A0A3D">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rPr>
        <w:t>13</w:t>
      </w: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应完整地按竞争性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文件提供的</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文件格式及要求编写</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文件，具体内容详见</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lang w:val="en-US" w:eastAsia="zh-CN"/>
        </w:rPr>
        <w:t>第六章 响应</w:t>
      </w:r>
      <w:r>
        <w:rPr>
          <w:rFonts w:hint="eastAsia" w:ascii="宋体" w:hAnsi="宋体" w:eastAsia="宋体" w:cs="宋体"/>
          <w:i w:val="0"/>
          <w:iCs w:val="0"/>
          <w:color w:val="auto"/>
          <w:kern w:val="2"/>
          <w:sz w:val="24"/>
          <w:szCs w:val="24"/>
          <w:highlight w:val="none"/>
        </w:rPr>
        <w:t>文件</w:t>
      </w:r>
      <w:r>
        <w:rPr>
          <w:rFonts w:hint="eastAsia" w:ascii="宋体" w:hAnsi="宋体" w:eastAsia="宋体" w:cs="宋体"/>
          <w:i w:val="0"/>
          <w:iCs w:val="0"/>
          <w:color w:val="auto"/>
          <w:kern w:val="2"/>
          <w:sz w:val="24"/>
          <w:szCs w:val="24"/>
          <w:highlight w:val="none"/>
          <w:lang w:val="en-US" w:eastAsia="zh-CN"/>
        </w:rPr>
        <w:t>的</w:t>
      </w:r>
      <w:r>
        <w:rPr>
          <w:rFonts w:hint="eastAsia" w:ascii="宋体" w:hAnsi="宋体" w:eastAsia="宋体" w:cs="宋体"/>
          <w:i w:val="0"/>
          <w:iCs w:val="0"/>
          <w:color w:val="auto"/>
          <w:kern w:val="2"/>
          <w:sz w:val="24"/>
          <w:szCs w:val="24"/>
          <w:highlight w:val="none"/>
        </w:rPr>
        <w:t>格式</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的相关内容。</w:t>
      </w:r>
    </w:p>
    <w:p w14:paraId="3BB3A0B7">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13.2供应商</w:t>
      </w:r>
      <w:r>
        <w:rPr>
          <w:rFonts w:hint="eastAsia" w:ascii="宋体" w:hAnsi="宋体" w:eastAsia="宋体" w:cs="宋体"/>
          <w:i w:val="0"/>
          <w:iCs w:val="0"/>
          <w:color w:val="auto"/>
          <w:kern w:val="2"/>
          <w:sz w:val="24"/>
          <w:szCs w:val="24"/>
          <w:highlight w:val="none"/>
        </w:rPr>
        <w:t>应提交竞争性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文件要求的证明文件，证明其</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内容符合竞争性</w:t>
      </w:r>
      <w:r>
        <w:rPr>
          <w:rFonts w:hint="eastAsia" w:ascii="宋体" w:hAnsi="宋体" w:eastAsia="宋体" w:cs="宋体"/>
          <w:i w:val="0"/>
          <w:iCs w:val="0"/>
          <w:color w:val="auto"/>
          <w:kern w:val="2"/>
          <w:sz w:val="24"/>
          <w:szCs w:val="24"/>
          <w:highlight w:val="none"/>
          <w:lang w:val="zh-CN"/>
        </w:rPr>
        <w:t>磋商</w:t>
      </w:r>
      <w:r>
        <w:rPr>
          <w:rFonts w:hint="eastAsia" w:ascii="宋体" w:hAnsi="宋体" w:eastAsia="宋体" w:cs="宋体"/>
          <w:i w:val="0"/>
          <w:iCs w:val="0"/>
          <w:color w:val="auto"/>
          <w:kern w:val="2"/>
          <w:sz w:val="24"/>
          <w:szCs w:val="24"/>
          <w:highlight w:val="none"/>
        </w:rPr>
        <w:t>文件规定</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该证明文件是</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文件的一部分</w:t>
      </w:r>
      <w:r>
        <w:rPr>
          <w:rFonts w:hint="eastAsia" w:ascii="宋体" w:hAnsi="宋体" w:eastAsia="宋体" w:cs="宋体"/>
          <w:i w:val="0"/>
          <w:iCs w:val="0"/>
          <w:color w:val="auto"/>
          <w:kern w:val="2"/>
          <w:sz w:val="24"/>
          <w:szCs w:val="24"/>
          <w:highlight w:val="none"/>
          <w:lang w:eastAsia="zh-CN"/>
        </w:rPr>
        <w:t>。</w:t>
      </w:r>
      <w:r>
        <w:rPr>
          <w:rFonts w:hint="eastAsia" w:ascii="宋体" w:hAnsi="宋体" w:eastAsia="宋体" w:cs="宋体"/>
          <w:i w:val="0"/>
          <w:iCs w:val="0"/>
          <w:color w:val="auto"/>
          <w:kern w:val="2"/>
          <w:sz w:val="24"/>
          <w:szCs w:val="24"/>
          <w:highlight w:val="none"/>
        </w:rPr>
        <w:t>证明文件</w:t>
      </w:r>
      <w:r>
        <w:rPr>
          <w:rFonts w:hint="eastAsia" w:ascii="宋体" w:hAnsi="宋体" w:eastAsia="宋体" w:cs="宋体"/>
          <w:i w:val="0"/>
          <w:iCs w:val="0"/>
          <w:color w:val="auto"/>
          <w:kern w:val="2"/>
          <w:sz w:val="24"/>
          <w:szCs w:val="24"/>
          <w:highlight w:val="none"/>
          <w:lang w:val="en-US" w:eastAsia="zh-CN"/>
        </w:rPr>
        <w:t>形式</w:t>
      </w:r>
      <w:r>
        <w:rPr>
          <w:rFonts w:hint="eastAsia" w:ascii="宋体" w:hAnsi="宋体" w:eastAsia="宋体" w:cs="宋体"/>
          <w:i w:val="0"/>
          <w:iCs w:val="0"/>
          <w:color w:val="auto"/>
          <w:kern w:val="2"/>
          <w:sz w:val="24"/>
          <w:szCs w:val="24"/>
          <w:highlight w:val="none"/>
        </w:rPr>
        <w:t>可以是文字资料、图纸和数据</w:t>
      </w:r>
      <w:bookmarkStart w:id="193" w:name="_Hlk11703583"/>
      <w:r>
        <w:rPr>
          <w:rFonts w:hint="eastAsia" w:ascii="宋体" w:hAnsi="宋体" w:eastAsia="宋体" w:cs="宋体"/>
          <w:i w:val="0"/>
          <w:iCs w:val="0"/>
          <w:color w:val="auto"/>
          <w:kern w:val="2"/>
          <w:sz w:val="24"/>
          <w:szCs w:val="24"/>
          <w:highlight w:val="none"/>
          <w:lang w:val="en-US" w:eastAsia="zh-CN"/>
        </w:rPr>
        <w:t>等。</w:t>
      </w:r>
    </w:p>
    <w:bookmarkEnd w:id="193"/>
    <w:p w14:paraId="781BBAEB">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lang w:val="en-US" w:eastAsia="zh-CN"/>
        </w:rPr>
      </w:pPr>
      <w:r>
        <w:rPr>
          <w:rFonts w:hint="eastAsia" w:ascii="宋体" w:hAnsi="宋体" w:eastAsia="宋体" w:cs="宋体"/>
          <w:i w:val="0"/>
          <w:iCs w:val="0"/>
          <w:color w:val="auto"/>
          <w:kern w:val="2"/>
          <w:sz w:val="24"/>
          <w:szCs w:val="24"/>
          <w:highlight w:val="none"/>
          <w:lang w:val="en-US" w:eastAsia="zh-CN"/>
        </w:rPr>
        <w:t>13.3</w:t>
      </w:r>
      <w:r>
        <w:rPr>
          <w:rFonts w:hint="eastAsia" w:ascii="宋体" w:hAnsi="宋体" w:eastAsia="宋体" w:cs="宋体"/>
          <w:i w:val="0"/>
          <w:iCs w:val="0"/>
          <w:color w:val="auto"/>
          <w:kern w:val="2"/>
          <w:sz w:val="24"/>
          <w:szCs w:val="24"/>
          <w:highlight w:val="none"/>
        </w:rPr>
        <w:t>为保证公平公正，除非</w:t>
      </w:r>
      <w:r>
        <w:rPr>
          <w:rFonts w:hint="eastAsia" w:ascii="宋体" w:hAnsi="宋体" w:eastAsia="宋体" w:cs="宋体"/>
          <w:i w:val="0"/>
          <w:iCs w:val="0"/>
          <w:color w:val="auto"/>
          <w:kern w:val="2"/>
          <w:sz w:val="24"/>
          <w:szCs w:val="24"/>
          <w:highlight w:val="none"/>
          <w:lang w:val="en-US" w:eastAsia="zh-CN"/>
        </w:rPr>
        <w:t>本磋商文件</w:t>
      </w:r>
      <w:r>
        <w:rPr>
          <w:rFonts w:hint="eastAsia" w:ascii="宋体" w:hAnsi="宋体" w:eastAsia="宋体" w:cs="宋体"/>
          <w:i w:val="0"/>
          <w:iCs w:val="0"/>
          <w:color w:val="auto"/>
          <w:kern w:val="2"/>
          <w:sz w:val="24"/>
          <w:szCs w:val="24"/>
          <w:highlight w:val="none"/>
        </w:rPr>
        <w:t>另有规定或说明，</w:t>
      </w:r>
      <w:r>
        <w:rPr>
          <w:rFonts w:hint="eastAsia" w:ascii="宋体" w:hAnsi="宋体" w:eastAsia="宋体" w:cs="宋体"/>
          <w:i w:val="0"/>
          <w:iCs w:val="0"/>
          <w:color w:val="auto"/>
          <w:kern w:val="2"/>
          <w:sz w:val="24"/>
          <w:szCs w:val="24"/>
          <w:highlight w:val="none"/>
          <w:lang w:val="en-US" w:eastAsia="zh-CN"/>
        </w:rPr>
        <w:t>供应商</w:t>
      </w:r>
      <w:r>
        <w:rPr>
          <w:rFonts w:hint="eastAsia" w:ascii="宋体" w:hAnsi="宋体" w:eastAsia="宋体" w:cs="宋体"/>
          <w:i w:val="0"/>
          <w:iCs w:val="0"/>
          <w:color w:val="auto"/>
          <w:kern w:val="2"/>
          <w:sz w:val="24"/>
          <w:szCs w:val="24"/>
          <w:highlight w:val="none"/>
        </w:rPr>
        <w:t>对同一项目</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时，不得同时提供备选</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方案。</w:t>
      </w:r>
    </w:p>
    <w:p w14:paraId="5C8E7CA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194" w:name="_Toc109897446"/>
      <w:bookmarkStart w:id="195" w:name="_Toc48846120"/>
      <w:bookmarkStart w:id="196" w:name="_Toc52960564"/>
      <w:bookmarkStart w:id="197" w:name="_Toc24544"/>
      <w:bookmarkStart w:id="198" w:name="_Toc109899964"/>
      <w:bookmarkStart w:id="199" w:name="_Toc48688800"/>
      <w:bookmarkStart w:id="200" w:name="_Toc46771651"/>
      <w:bookmarkStart w:id="201" w:name="_Toc51674222"/>
      <w:bookmarkStart w:id="202" w:name="_Toc109899545"/>
      <w:bookmarkStart w:id="203" w:name="_Toc46772252"/>
      <w:bookmarkStart w:id="204" w:name="_Toc470172676"/>
      <w:bookmarkStart w:id="205" w:name="_Toc52962738"/>
      <w:bookmarkStart w:id="206" w:name="_Toc109900383"/>
      <w:bookmarkStart w:id="207" w:name="_Toc46771650"/>
      <w:bookmarkStart w:id="208" w:name="_Toc109899544"/>
      <w:bookmarkStart w:id="209" w:name="_Toc52962737"/>
      <w:bookmarkStart w:id="210" w:name="_Toc48688799"/>
      <w:bookmarkStart w:id="211" w:name="_Toc48846119"/>
      <w:bookmarkStart w:id="212" w:name="_Toc109899963"/>
      <w:bookmarkStart w:id="213" w:name="_Toc470172675"/>
      <w:bookmarkStart w:id="214" w:name="_Toc25217"/>
      <w:bookmarkStart w:id="215" w:name="_Toc51674221"/>
      <w:bookmarkStart w:id="216" w:name="_Toc52960563"/>
      <w:bookmarkStart w:id="217" w:name="_Toc109897445"/>
      <w:bookmarkStart w:id="218" w:name="_Toc46772251"/>
      <w:bookmarkStart w:id="219" w:name="_Toc109900382"/>
      <w:r>
        <w:rPr>
          <w:rFonts w:hint="eastAsia" w:ascii="宋体" w:hAnsi="宋体" w:eastAsia="宋体" w:cs="宋体"/>
          <w:b/>
          <w:bCs/>
          <w:i w:val="0"/>
          <w:iCs w:val="0"/>
          <w:color w:val="auto"/>
          <w:kern w:val="2"/>
          <w:sz w:val="24"/>
          <w:szCs w:val="24"/>
          <w:highlight w:val="none"/>
          <w:lang w:val="en-US" w:eastAsia="zh-CN" w:bidi="ar-SA"/>
        </w:rPr>
        <w:t>14.磋商报价</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0640D6E7">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auto"/>
          <w:sz w:val="24"/>
          <w:szCs w:val="24"/>
          <w:highlight w:val="none"/>
          <w:lang w:val="en-US" w:eastAsia="zh-CN"/>
        </w:rPr>
        <w:t>且均</w:t>
      </w:r>
      <w:r>
        <w:rPr>
          <w:rFonts w:hint="eastAsia" w:ascii="宋体" w:hAnsi="宋体" w:eastAsia="宋体" w:cs="宋体"/>
          <w:i w:val="0"/>
          <w:iCs w:val="0"/>
          <w:color w:val="auto"/>
          <w:sz w:val="24"/>
          <w:szCs w:val="24"/>
          <w:highlight w:val="none"/>
        </w:rPr>
        <w:t>不得超过</w:t>
      </w:r>
      <w:bookmarkStart w:id="220" w:name="_Hlk161703672"/>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”中规定</w:t>
      </w:r>
      <w:bookmarkEnd w:id="220"/>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最高限价或者预算金额</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snapToGrid w:val="0"/>
          <w:color w:val="auto"/>
          <w:sz w:val="24"/>
          <w:szCs w:val="24"/>
          <w:highlight w:val="none"/>
          <w:lang w:val="zh-CN"/>
        </w:rPr>
        <w:t>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300639D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p>
    <w:p w14:paraId="487FB39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snapToGrid w:val="0"/>
          <w:color w:val="auto"/>
          <w:sz w:val="24"/>
          <w:szCs w:val="24"/>
          <w:highlight w:val="none"/>
          <w:lang w:val="en-US" w:eastAsia="zh-CN"/>
        </w:rPr>
        <w:t>14.3</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kern w:val="2"/>
          <w:sz w:val="24"/>
          <w:szCs w:val="24"/>
          <w:highlight w:val="none"/>
          <w:lang w:val="en-US" w:eastAsia="zh-CN"/>
        </w:rPr>
        <w:t>的报价应包括为完成本项目所发生的一切费用和税费，采购人将不再支付报价以外的任何费用。</w:t>
      </w:r>
      <w:r>
        <w:rPr>
          <w:rFonts w:hint="eastAsia" w:ascii="宋体" w:hAnsi="宋体" w:eastAsia="宋体" w:cs="宋体"/>
          <w:i w:val="0"/>
          <w:iCs w:val="0"/>
          <w:color w:val="auto"/>
          <w:kern w:val="2"/>
          <w:sz w:val="24"/>
          <w:szCs w:val="24"/>
          <w:highlight w:val="none"/>
        </w:rPr>
        <w:t>只要投报了一个确定数额的总价，无论分项价格是否全部填报了相应的金额或免费字样，</w:t>
      </w:r>
      <w:r>
        <w:rPr>
          <w:rFonts w:hint="eastAsia" w:ascii="宋体" w:hAnsi="宋体" w:eastAsia="宋体" w:cs="宋体"/>
          <w:i w:val="0"/>
          <w:iCs w:val="0"/>
          <w:color w:val="auto"/>
          <w:kern w:val="2"/>
          <w:sz w:val="24"/>
          <w:szCs w:val="24"/>
          <w:highlight w:val="none"/>
          <w:lang w:val="en-US" w:eastAsia="zh-CN"/>
        </w:rPr>
        <w:t>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i w:val="0"/>
          <w:iCs w:val="0"/>
          <w:color w:val="auto"/>
          <w:kern w:val="2"/>
          <w:sz w:val="24"/>
          <w:szCs w:val="24"/>
          <w:highlight w:val="none"/>
        </w:rPr>
        <w:t>。</w:t>
      </w:r>
    </w:p>
    <w:p w14:paraId="2ACD190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color w:val="auto"/>
          <w:kern w:val="2"/>
          <w:sz w:val="24"/>
          <w:szCs w:val="24"/>
          <w:highlight w:val="none"/>
          <w:lang w:val="en-US" w:eastAsia="zh-CN" w:bidi="ar-SA"/>
        </w:rPr>
        <w:t>14.4供应商的报价应包括但不限于按照竞争性磋商文件要求完成本项目的全部相关费用</w:t>
      </w:r>
      <w:r>
        <w:rPr>
          <w:rFonts w:hint="eastAsia" w:ascii="宋体" w:hAnsi="宋体" w:eastAsia="宋体" w:cs="宋体"/>
          <w:i w:val="0"/>
          <w:iCs w:val="0"/>
          <w:color w:val="auto"/>
          <w:kern w:val="2"/>
          <w:sz w:val="24"/>
          <w:szCs w:val="24"/>
          <w:highlight w:val="none"/>
          <w:lang w:val="en-US" w:eastAsia="zh-CN"/>
        </w:rPr>
        <w:t>。</w:t>
      </w:r>
    </w:p>
    <w:p w14:paraId="11C9B78F">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5供应商须严格按照分项报价表规定的内容填写服务单价以及其他事项。供应商应根据本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文件的规定和要求、市场价格水平及其走势、供应商的管理水平、供应商的方案和由这些因素决定的供应商之于本项目的成本水平等提出自己的报价。报价应合理，并包含完成本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文件采购需求全部内容的所有费用，所有根据本</w:t>
      </w:r>
      <w:r>
        <w:rPr>
          <w:rFonts w:hint="eastAsia" w:ascii="宋体" w:hAnsi="宋体" w:eastAsia="宋体" w:cs="宋体"/>
          <w:i w:val="0"/>
          <w:iCs w:val="0"/>
          <w:color w:val="auto"/>
          <w:kern w:val="2"/>
          <w:sz w:val="24"/>
          <w:szCs w:val="24"/>
          <w:highlight w:val="none"/>
          <w:lang w:val="en-US" w:eastAsia="zh-CN" w:bidi="ar-SA"/>
        </w:rPr>
        <w:t>竞争性磋商</w:t>
      </w:r>
      <w:r>
        <w:rPr>
          <w:rFonts w:hint="eastAsia" w:ascii="宋体" w:hAnsi="宋体" w:eastAsia="宋体" w:cs="宋体"/>
          <w:i w:val="0"/>
          <w:iCs w:val="0"/>
          <w:snapToGrid w:val="0"/>
          <w:color w:val="auto"/>
          <w:sz w:val="24"/>
          <w:szCs w:val="24"/>
          <w:highlight w:val="none"/>
          <w:lang w:val="en-US" w:eastAsia="zh-CN"/>
        </w:rPr>
        <w:t>文件或其它原因应由供应商支付的税款和其他应交纳的费用都应包括在供应商提交的响应报价中</w:t>
      </w:r>
      <w:r>
        <w:rPr>
          <w:rFonts w:hint="eastAsia" w:ascii="宋体" w:hAnsi="宋体" w:eastAsia="宋体" w:cs="宋体"/>
          <w:i w:val="0"/>
          <w:iCs w:val="0"/>
          <w:snapToGrid w:val="0"/>
          <w:color w:val="auto"/>
          <w:sz w:val="24"/>
          <w:szCs w:val="24"/>
          <w:highlight w:val="none"/>
          <w:lang w:val="zh-CN"/>
        </w:rPr>
        <w:t>。</w:t>
      </w:r>
    </w:p>
    <w:p w14:paraId="3DB7F19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6</w:t>
      </w:r>
      <w:r>
        <w:rPr>
          <w:rFonts w:hint="eastAsia" w:ascii="宋体" w:hAnsi="宋体" w:eastAsia="宋体" w:cs="宋体"/>
          <w:i w:val="0"/>
          <w:iCs w:val="0"/>
          <w:snapToGrid w:val="0"/>
          <w:color w:val="auto"/>
          <w:sz w:val="24"/>
          <w:szCs w:val="24"/>
          <w:highlight w:val="none"/>
          <w:lang w:val="zh-CN"/>
        </w:rPr>
        <w:t>供应商在响应文件中注明免费的项目将视为包含在报价中。</w:t>
      </w:r>
    </w:p>
    <w:p w14:paraId="5A2E805F">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每一种采购内容只允许有一个报价，否则其响应文件将被视为</w:t>
      </w:r>
      <w:r>
        <w:rPr>
          <w:rFonts w:hint="eastAsia" w:ascii="宋体" w:hAnsi="宋体" w:eastAsia="宋体" w:cs="宋体"/>
          <w:b/>
          <w:bCs/>
          <w:i w:val="0"/>
          <w:iCs w:val="0"/>
          <w:snapToGrid w:val="0"/>
          <w:color w:val="auto"/>
          <w:sz w:val="24"/>
          <w:szCs w:val="24"/>
          <w:highlight w:val="none"/>
          <w:lang w:val="zh-CN"/>
        </w:rPr>
        <w:t>无效文件</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color w:val="auto"/>
          <w:kern w:val="2"/>
          <w:sz w:val="24"/>
          <w:szCs w:val="24"/>
          <w:highlight w:val="none"/>
        </w:rPr>
        <w:t>除非</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文件另有规定，不接受可选择或可调整的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方案和报价，任何有选择的或可调整的</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方案和报价将被视为非响应性</w:t>
      </w:r>
      <w:r>
        <w:rPr>
          <w:rFonts w:hint="eastAsia" w:ascii="宋体" w:hAnsi="宋体" w:eastAsia="宋体" w:cs="宋体"/>
          <w:i w:val="0"/>
          <w:iCs w:val="0"/>
          <w:color w:val="auto"/>
          <w:kern w:val="2"/>
          <w:sz w:val="24"/>
          <w:szCs w:val="24"/>
          <w:highlight w:val="none"/>
          <w:lang w:val="en-US" w:eastAsia="zh-CN"/>
        </w:rPr>
        <w:t>磋商</w:t>
      </w:r>
      <w:r>
        <w:rPr>
          <w:rFonts w:hint="eastAsia" w:ascii="宋体" w:hAnsi="宋体" w:eastAsia="宋体" w:cs="宋体"/>
          <w:i w:val="0"/>
          <w:iCs w:val="0"/>
          <w:color w:val="auto"/>
          <w:kern w:val="2"/>
          <w:sz w:val="24"/>
          <w:szCs w:val="24"/>
          <w:highlight w:val="none"/>
        </w:rPr>
        <w:t>而被拒绝。</w:t>
      </w:r>
    </w:p>
    <w:p w14:paraId="2D8474D4">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8 </w:t>
      </w:r>
      <w:r>
        <w:rPr>
          <w:rFonts w:hint="eastAsia" w:ascii="宋体" w:hAnsi="宋体" w:eastAsia="宋体" w:cs="宋体"/>
          <w:i w:val="0"/>
          <w:iCs w:val="0"/>
          <w:color w:val="auto"/>
          <w:kern w:val="2"/>
          <w:sz w:val="24"/>
          <w:szCs w:val="24"/>
          <w:highlight w:val="none"/>
          <w:lang w:val="zh-CN" w:eastAsia="zh-CN"/>
        </w:rPr>
        <w:t>供应商</w:t>
      </w:r>
      <w:r>
        <w:rPr>
          <w:rFonts w:hint="eastAsia" w:ascii="宋体" w:hAnsi="宋体" w:eastAsia="宋体" w:cs="宋体"/>
          <w:i w:val="0"/>
          <w:iCs w:val="0"/>
          <w:color w:val="auto"/>
          <w:kern w:val="2"/>
          <w:sz w:val="24"/>
          <w:szCs w:val="24"/>
          <w:highlight w:val="none"/>
          <w:lang w:val="en-US" w:eastAsia="zh-CN"/>
        </w:rPr>
        <w:t>对磋商</w:t>
      </w:r>
      <w:r>
        <w:rPr>
          <w:rFonts w:hint="eastAsia" w:ascii="宋体" w:hAnsi="宋体" w:eastAsia="宋体" w:cs="宋体"/>
          <w:i w:val="0"/>
          <w:iCs w:val="0"/>
          <w:color w:val="auto"/>
          <w:kern w:val="2"/>
          <w:sz w:val="24"/>
          <w:szCs w:val="24"/>
          <w:highlight w:val="none"/>
        </w:rPr>
        <w:t>报价若有说明应在</w:t>
      </w:r>
      <w:r>
        <w:rPr>
          <w:rFonts w:hint="eastAsia" w:ascii="宋体" w:hAnsi="宋体" w:eastAsia="宋体" w:cs="宋体"/>
          <w:i w:val="0"/>
          <w:iCs w:val="0"/>
          <w:color w:val="auto"/>
          <w:kern w:val="2"/>
          <w:sz w:val="24"/>
          <w:szCs w:val="24"/>
          <w:highlight w:val="none"/>
          <w:lang w:val="en-US" w:eastAsia="zh-CN"/>
        </w:rPr>
        <w:t>响应</w:t>
      </w:r>
      <w:r>
        <w:rPr>
          <w:rFonts w:hint="eastAsia" w:ascii="宋体" w:hAnsi="宋体" w:eastAsia="宋体" w:cs="宋体"/>
          <w:i w:val="0"/>
          <w:iCs w:val="0"/>
          <w:color w:val="auto"/>
          <w:kern w:val="2"/>
          <w:sz w:val="24"/>
          <w:szCs w:val="24"/>
          <w:highlight w:val="none"/>
        </w:rPr>
        <w:t>文件中显著处注明。</w:t>
      </w:r>
    </w:p>
    <w:p w14:paraId="1719007D">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除政策性文件规定以外，</w:t>
      </w:r>
      <w:r>
        <w:rPr>
          <w:rFonts w:hint="eastAsia" w:ascii="宋体" w:hAnsi="宋体" w:eastAsia="宋体" w:cs="宋体"/>
          <w:i w:val="0"/>
          <w:iCs w:val="0"/>
          <w:color w:val="auto"/>
          <w:kern w:val="2"/>
          <w:sz w:val="24"/>
          <w:szCs w:val="24"/>
          <w:highlight w:val="none"/>
          <w:lang w:val="zh-CN"/>
        </w:rPr>
        <w:t>供应商</w:t>
      </w:r>
      <w:r>
        <w:rPr>
          <w:rFonts w:hint="eastAsia" w:ascii="宋体" w:hAnsi="宋体" w:eastAsia="宋体" w:cs="宋体"/>
          <w:i w:val="0"/>
          <w:iCs w:val="0"/>
          <w:color w:val="auto"/>
          <w:kern w:val="2"/>
          <w:sz w:val="24"/>
          <w:szCs w:val="24"/>
          <w:highlight w:val="none"/>
        </w:rPr>
        <w:t>所报价格在合同实施期间不因市场变化因素而变动。</w:t>
      </w:r>
    </w:p>
    <w:p w14:paraId="0B64FFBB">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rPr>
        <w:t>1</w:t>
      </w:r>
      <w:r>
        <w:rPr>
          <w:rFonts w:hint="eastAsia" w:ascii="宋体" w:hAnsi="宋体" w:eastAsia="宋体" w:cs="宋体"/>
          <w:i w:val="0"/>
          <w:iCs w:val="0"/>
          <w:color w:val="auto"/>
          <w:kern w:val="2"/>
          <w:sz w:val="24"/>
          <w:szCs w:val="24"/>
          <w:highlight w:val="none"/>
          <w:lang w:val="en-US" w:eastAsia="zh-CN"/>
        </w:rPr>
        <w:t>4</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lang w:val="en-US" w:eastAsia="zh-CN"/>
        </w:rPr>
        <w:t xml:space="preserve">9 </w:t>
      </w:r>
      <w:r>
        <w:rPr>
          <w:rFonts w:hint="eastAsia" w:ascii="宋体" w:hAnsi="宋体" w:eastAsia="宋体" w:cs="宋体"/>
          <w:i w:val="0"/>
          <w:iCs w:val="0"/>
          <w:color w:val="auto"/>
          <w:kern w:val="2"/>
          <w:sz w:val="24"/>
          <w:szCs w:val="24"/>
          <w:highlight w:val="none"/>
        </w:rPr>
        <w:t>最低报价不能作为</w:t>
      </w:r>
      <w:r>
        <w:rPr>
          <w:rFonts w:hint="eastAsia" w:ascii="宋体" w:hAnsi="宋体" w:eastAsia="宋体" w:cs="宋体"/>
          <w:i w:val="0"/>
          <w:iCs w:val="0"/>
          <w:color w:val="auto"/>
          <w:kern w:val="2"/>
          <w:sz w:val="24"/>
          <w:szCs w:val="24"/>
          <w:highlight w:val="none"/>
          <w:lang w:val="en-US" w:eastAsia="zh-CN"/>
        </w:rPr>
        <w:t>成交</w:t>
      </w:r>
      <w:r>
        <w:rPr>
          <w:rFonts w:hint="eastAsia" w:ascii="宋体" w:hAnsi="宋体" w:eastAsia="宋体" w:cs="宋体"/>
          <w:i w:val="0"/>
          <w:iCs w:val="0"/>
          <w:color w:val="auto"/>
          <w:kern w:val="2"/>
          <w:sz w:val="24"/>
          <w:szCs w:val="24"/>
          <w:highlight w:val="none"/>
        </w:rPr>
        <w:t>的保证。</w:t>
      </w:r>
    </w:p>
    <w:p w14:paraId="2AA144B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2"/>
          <w:sz w:val="24"/>
          <w:szCs w:val="24"/>
          <w:highlight w:val="none"/>
          <w:lang w:val="en-US" w:eastAsia="zh-CN"/>
        </w:rPr>
        <w:t>14.10</w:t>
      </w:r>
      <w:r>
        <w:rPr>
          <w:rFonts w:hint="eastAsia" w:ascii="宋体" w:hAnsi="宋体" w:eastAsia="宋体" w:cs="宋体"/>
          <w:i w:val="0"/>
          <w:iCs w:val="0"/>
          <w:color w:val="auto"/>
          <w:kern w:val="0"/>
          <w:sz w:val="24"/>
          <w:szCs w:val="24"/>
          <w:highlight w:val="none"/>
          <w:lang w:val="en-US" w:eastAsia="zh-CN" w:bidi="ar"/>
        </w:rPr>
        <w:t>采购人不得向供应商索要或者接受其给予的赠品、回扣或者与采购无关的其他商品、服务。</w:t>
      </w:r>
    </w:p>
    <w:p w14:paraId="3E3AFFE7">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14.11供应商不能提供任何有选择性或可调整的报价（磋商文件另有规定的除外），否则其</w:t>
      </w:r>
      <w:r>
        <w:rPr>
          <w:rFonts w:hint="eastAsia" w:ascii="宋体" w:hAnsi="宋体" w:eastAsia="宋体" w:cs="宋体"/>
          <w:b/>
          <w:bCs/>
          <w:i w:val="0"/>
          <w:iCs w:val="0"/>
          <w:color w:val="auto"/>
          <w:kern w:val="0"/>
          <w:sz w:val="24"/>
          <w:szCs w:val="24"/>
          <w:highlight w:val="none"/>
          <w:lang w:val="en-US" w:eastAsia="zh-CN" w:bidi="ar"/>
        </w:rPr>
        <w:t>响应无效</w:t>
      </w:r>
      <w:r>
        <w:rPr>
          <w:rFonts w:hint="eastAsia" w:ascii="宋体" w:hAnsi="宋体" w:eastAsia="宋体" w:cs="宋体"/>
          <w:i w:val="0"/>
          <w:iCs w:val="0"/>
          <w:color w:val="auto"/>
          <w:kern w:val="0"/>
          <w:sz w:val="24"/>
          <w:szCs w:val="24"/>
          <w:highlight w:val="none"/>
          <w:lang w:val="en-US" w:eastAsia="zh-CN" w:bidi="ar"/>
        </w:rPr>
        <w:t>。</w:t>
      </w:r>
    </w:p>
    <w:p w14:paraId="0CD8AEF2">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21" w:name="_Toc46771657"/>
      <w:bookmarkStart w:id="222" w:name="_Toc48688806"/>
      <w:bookmarkStart w:id="223" w:name="_Toc470172682"/>
      <w:bookmarkStart w:id="224" w:name="_Toc109899969"/>
      <w:bookmarkStart w:id="225" w:name="_Toc109900388"/>
      <w:bookmarkStart w:id="226" w:name="_Toc52962744"/>
      <w:bookmarkStart w:id="227" w:name="_Toc51674228"/>
      <w:bookmarkStart w:id="228" w:name="_Toc46772258"/>
      <w:bookmarkStart w:id="229" w:name="_Toc48846126"/>
      <w:bookmarkStart w:id="230" w:name="_Toc52960570"/>
      <w:bookmarkStart w:id="231" w:name="_Toc5668"/>
      <w:bookmarkStart w:id="232" w:name="_Toc109899550"/>
      <w:bookmarkStart w:id="233" w:name="_Toc109897451"/>
      <w:bookmarkStart w:id="234" w:name="_Toc52962740"/>
      <w:bookmarkStart w:id="235" w:name="_Toc109897448"/>
      <w:bookmarkStart w:id="236" w:name="_Toc52960566"/>
      <w:bookmarkStart w:id="237" w:name="_Toc46771653"/>
      <w:bookmarkStart w:id="238" w:name="_Toc3324"/>
      <w:bookmarkStart w:id="239" w:name="_Toc51674224"/>
      <w:bookmarkStart w:id="240" w:name="_Toc48688802"/>
      <w:bookmarkStart w:id="241" w:name="_Toc109899966"/>
      <w:bookmarkStart w:id="242" w:name="_Toc48846122"/>
      <w:bookmarkStart w:id="243" w:name="_Toc46772254"/>
      <w:bookmarkStart w:id="244" w:name="_Toc109899547"/>
      <w:bookmarkStart w:id="245" w:name="_Toc470172678"/>
      <w:bookmarkStart w:id="246" w:name="_Toc109900385"/>
      <w:r>
        <w:rPr>
          <w:rFonts w:hint="eastAsia" w:ascii="宋体" w:hAnsi="宋体" w:eastAsia="宋体" w:cs="宋体"/>
          <w:b/>
          <w:bCs/>
          <w:i w:val="0"/>
          <w:iCs w:val="0"/>
          <w:color w:val="auto"/>
          <w:kern w:val="2"/>
          <w:sz w:val="24"/>
          <w:szCs w:val="24"/>
          <w:highlight w:val="none"/>
          <w:lang w:val="en-US" w:eastAsia="zh-CN" w:bidi="ar-SA"/>
        </w:rPr>
        <w:t>15.响应文件有效期</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C3E470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供应商提交的</w:t>
      </w:r>
      <w:r>
        <w:rPr>
          <w:rFonts w:hint="eastAsia" w:ascii="宋体" w:hAnsi="宋体" w:eastAsia="宋体" w:cs="宋体"/>
          <w:i w:val="0"/>
          <w:iCs w:val="0"/>
          <w:snapToGrid w:val="0"/>
          <w:color w:val="auto"/>
          <w:sz w:val="24"/>
          <w:szCs w:val="24"/>
          <w:highlight w:val="none"/>
          <w:lang w:val="zh-CN"/>
        </w:rPr>
        <w:t>响应文件有效期见“供应商须知前附表”，磋商供应商承诺的响应文件</w:t>
      </w:r>
      <w:r>
        <w:rPr>
          <w:rFonts w:hint="eastAsia" w:ascii="宋体" w:hAnsi="宋体" w:eastAsia="宋体" w:cs="宋体"/>
          <w:i w:val="0"/>
          <w:iCs w:val="0"/>
          <w:snapToGrid w:val="0"/>
          <w:color w:val="auto"/>
          <w:sz w:val="24"/>
          <w:szCs w:val="24"/>
          <w:highlight w:val="none"/>
          <w:lang w:val="zh-CN" w:eastAsia="zh-CN"/>
        </w:rPr>
        <w:t>有效期少于</w:t>
      </w:r>
      <w:r>
        <w:rPr>
          <w:rFonts w:hint="eastAsia" w:ascii="宋体" w:hAnsi="宋体" w:eastAsia="宋体" w:cs="宋体"/>
          <w:i w:val="0"/>
          <w:iCs w:val="0"/>
          <w:snapToGrid w:val="0"/>
          <w:color w:val="auto"/>
          <w:sz w:val="24"/>
          <w:szCs w:val="24"/>
          <w:highlight w:val="none"/>
          <w:lang w:val="en-US" w:eastAsia="zh-CN"/>
        </w:rPr>
        <w:t>磋商</w:t>
      </w:r>
      <w:r>
        <w:rPr>
          <w:rFonts w:hint="eastAsia" w:ascii="宋体" w:hAnsi="宋体" w:eastAsia="宋体" w:cs="宋体"/>
          <w:i w:val="0"/>
          <w:iCs w:val="0"/>
          <w:snapToGrid w:val="0"/>
          <w:color w:val="auto"/>
          <w:sz w:val="24"/>
          <w:szCs w:val="24"/>
          <w:highlight w:val="none"/>
          <w:lang w:val="zh-CN" w:eastAsia="zh-CN"/>
        </w:rPr>
        <w:t>文件规定期限的，其</w:t>
      </w:r>
      <w:r>
        <w:rPr>
          <w:rFonts w:hint="eastAsia" w:ascii="宋体" w:hAnsi="宋体" w:eastAsia="宋体" w:cs="宋体"/>
          <w:b/>
          <w:bCs/>
          <w:i w:val="0"/>
          <w:iCs w:val="0"/>
          <w:snapToGrid w:val="0"/>
          <w:color w:val="auto"/>
          <w:sz w:val="24"/>
          <w:szCs w:val="24"/>
          <w:highlight w:val="none"/>
          <w:lang w:val="en-US" w:eastAsia="zh-CN"/>
        </w:rPr>
        <w:t>响应</w:t>
      </w:r>
      <w:r>
        <w:rPr>
          <w:rFonts w:hint="eastAsia" w:ascii="宋体" w:hAnsi="宋体" w:eastAsia="宋体" w:cs="宋体"/>
          <w:b/>
          <w:bCs/>
          <w:i w:val="0"/>
          <w:iCs w:val="0"/>
          <w:snapToGrid w:val="0"/>
          <w:color w:val="auto"/>
          <w:sz w:val="24"/>
          <w:szCs w:val="24"/>
          <w:highlight w:val="none"/>
          <w:lang w:val="zh-CN" w:eastAsia="zh-CN"/>
        </w:rPr>
        <w:t>无效</w:t>
      </w:r>
      <w:r>
        <w:rPr>
          <w:rFonts w:hint="eastAsia" w:ascii="宋体" w:hAnsi="宋体" w:eastAsia="宋体" w:cs="宋体"/>
          <w:i w:val="0"/>
          <w:iCs w:val="0"/>
          <w:snapToGrid w:val="0"/>
          <w:color w:val="auto"/>
          <w:sz w:val="24"/>
          <w:szCs w:val="24"/>
          <w:highlight w:val="none"/>
          <w:lang w:val="zh-CN" w:eastAsia="zh-CN"/>
        </w:rPr>
        <w:t>。</w:t>
      </w:r>
    </w:p>
    <w:p w14:paraId="4DFC2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4"/>
          <w:highlight w:val="none"/>
          <w:lang w:val="en-US" w:eastAsia="zh-CN" w:bidi="ar-SA"/>
        </w:rPr>
      </w:pPr>
      <w:r>
        <w:rPr>
          <w:rFonts w:hint="eastAsia" w:ascii="宋体" w:hAnsi="宋体" w:eastAsia="宋体" w:cs="宋体"/>
          <w:i w:val="0"/>
          <w:iCs w:val="0"/>
          <w:snapToGrid w:val="0"/>
          <w:color w:val="auto"/>
          <w:kern w:val="2"/>
          <w:sz w:val="24"/>
          <w:szCs w:val="24"/>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414B33F5">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kern w:val="2"/>
          <w:sz w:val="24"/>
          <w:szCs w:val="24"/>
          <w:highlight w:val="none"/>
          <w:lang w:val="zh-CN" w:eastAsia="zh-CN" w:bidi="ar-SA"/>
        </w:rPr>
        <w:t>1</w:t>
      </w:r>
      <w:r>
        <w:rPr>
          <w:rFonts w:hint="eastAsia" w:ascii="宋体" w:hAnsi="宋体" w:eastAsia="宋体" w:cs="宋体"/>
          <w:i w:val="0"/>
          <w:iCs w:val="0"/>
          <w:snapToGrid w:val="0"/>
          <w:color w:val="auto"/>
          <w:kern w:val="2"/>
          <w:sz w:val="24"/>
          <w:szCs w:val="24"/>
          <w:highlight w:val="none"/>
          <w:lang w:val="en-US" w:eastAsia="zh-CN" w:bidi="ar-SA"/>
        </w:rPr>
        <w:t>5</w:t>
      </w:r>
      <w:r>
        <w:rPr>
          <w:rFonts w:hint="eastAsia" w:ascii="宋体" w:hAnsi="宋体" w:eastAsia="宋体" w:cs="宋体"/>
          <w:i w:val="0"/>
          <w:iCs w:val="0"/>
          <w:snapToGrid w:val="0"/>
          <w:color w:val="auto"/>
          <w:kern w:val="2"/>
          <w:sz w:val="24"/>
          <w:szCs w:val="24"/>
          <w:highlight w:val="none"/>
          <w:lang w:val="zh-CN" w:eastAsia="zh-CN" w:bidi="ar-SA"/>
        </w:rPr>
        <w:t>.</w:t>
      </w:r>
      <w:r>
        <w:rPr>
          <w:rFonts w:hint="eastAsia" w:ascii="宋体" w:hAnsi="宋体" w:eastAsia="宋体" w:cs="宋体"/>
          <w:i w:val="0"/>
          <w:iCs w:val="0"/>
          <w:snapToGrid w:val="0"/>
          <w:color w:val="auto"/>
          <w:kern w:val="2"/>
          <w:sz w:val="24"/>
          <w:szCs w:val="24"/>
          <w:highlight w:val="none"/>
          <w:lang w:val="en-US" w:eastAsia="zh-CN" w:bidi="ar-SA"/>
        </w:rPr>
        <w:t>3</w:t>
      </w:r>
      <w:r>
        <w:rPr>
          <w:rFonts w:hint="eastAsia" w:ascii="宋体" w:hAnsi="宋体" w:eastAsia="宋体" w:cs="宋体"/>
          <w:i w:val="0"/>
          <w:iCs w:val="0"/>
          <w:snapToGrid w:val="0"/>
          <w:color w:val="auto"/>
          <w:kern w:val="2"/>
          <w:sz w:val="24"/>
          <w:szCs w:val="24"/>
          <w:highlight w:val="none"/>
          <w:lang w:val="zh-CN" w:eastAsia="zh-CN" w:bidi="ar-SA"/>
        </w:rPr>
        <w:t>特殊情况下，在原响应文件有效期截止之前，采购代理机构或采购人</w:t>
      </w:r>
      <w:r>
        <w:rPr>
          <w:rFonts w:hint="eastAsia" w:ascii="宋体" w:hAnsi="宋体" w:eastAsia="宋体" w:cs="宋体"/>
          <w:i w:val="0"/>
          <w:iCs w:val="0"/>
          <w:snapToGrid w:val="0"/>
          <w:color w:val="auto"/>
          <w:sz w:val="24"/>
          <w:szCs w:val="24"/>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3803927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供应商同意延长的，</w:t>
      </w:r>
      <w:r>
        <w:rPr>
          <w:rFonts w:hint="eastAsia" w:ascii="宋体" w:hAnsi="宋体" w:eastAsia="宋体" w:cs="宋体"/>
          <w:i w:val="0"/>
          <w:iCs w:val="0"/>
          <w:snapToGrid w:val="0"/>
          <w:color w:val="auto"/>
          <w:sz w:val="24"/>
          <w:szCs w:val="24"/>
          <w:highlight w:val="none"/>
          <w:lang w:val="en-US" w:eastAsia="zh-CN"/>
        </w:rPr>
        <w:t>其磋商</w:t>
      </w:r>
      <w:r>
        <w:rPr>
          <w:rFonts w:hint="eastAsia" w:ascii="宋体" w:hAnsi="宋体" w:eastAsia="宋体" w:cs="宋体"/>
          <w:i w:val="0"/>
          <w:iCs w:val="0"/>
          <w:snapToGrid w:val="0"/>
          <w:color w:val="auto"/>
          <w:sz w:val="24"/>
          <w:szCs w:val="24"/>
          <w:highlight w:val="none"/>
          <w:lang w:val="zh-CN"/>
        </w:rPr>
        <w:t>保证金的有效期也相应延长</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但其提交的磋商保证金可予以退还</w:t>
      </w:r>
      <w:r>
        <w:rPr>
          <w:rFonts w:hint="eastAsia" w:ascii="宋体" w:hAnsi="宋体" w:eastAsia="宋体" w:cs="宋体"/>
          <w:i w:val="0"/>
          <w:iCs w:val="0"/>
          <w:snapToGrid w:val="0"/>
          <w:color w:val="auto"/>
          <w:sz w:val="24"/>
          <w:szCs w:val="24"/>
          <w:highlight w:val="none"/>
          <w:lang w:val="zh-CN"/>
        </w:rPr>
        <w:t>。</w:t>
      </w:r>
    </w:p>
    <w:bookmarkEnd w:id="234"/>
    <w:bookmarkEnd w:id="235"/>
    <w:bookmarkEnd w:id="236"/>
    <w:bookmarkEnd w:id="237"/>
    <w:bookmarkEnd w:id="238"/>
    <w:bookmarkEnd w:id="239"/>
    <w:bookmarkEnd w:id="240"/>
    <w:bookmarkEnd w:id="241"/>
    <w:bookmarkEnd w:id="242"/>
    <w:bookmarkEnd w:id="243"/>
    <w:bookmarkEnd w:id="244"/>
    <w:bookmarkEnd w:id="245"/>
    <w:bookmarkEnd w:id="246"/>
    <w:p w14:paraId="26D695E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16.响应文件的编制</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710ABAB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文件应在供应商客户端中进行编制，在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文件中要求加盖印章的，除有特殊说明之外，</w:t>
      </w:r>
      <w:r>
        <w:rPr>
          <w:rFonts w:hint="eastAsia" w:ascii="宋体" w:hAnsi="宋体" w:eastAsia="宋体" w:cs="宋体"/>
          <w:i w:val="0"/>
          <w:iCs w:val="0"/>
          <w:color w:val="auto"/>
          <w:sz w:val="24"/>
          <w:szCs w:val="24"/>
          <w:highlight w:val="none"/>
          <w:lang w:val="en-US" w:eastAsia="zh-CN"/>
        </w:rPr>
        <w:t>可</w:t>
      </w:r>
      <w:r>
        <w:rPr>
          <w:rFonts w:hint="eastAsia" w:ascii="宋体" w:hAnsi="宋体" w:eastAsia="宋体" w:cs="宋体"/>
          <w:i w:val="0"/>
          <w:iCs w:val="0"/>
          <w:color w:val="auto"/>
          <w:sz w:val="24"/>
          <w:szCs w:val="24"/>
          <w:highlight w:val="none"/>
        </w:rPr>
        <w:t>使用电子签章签署。</w:t>
      </w:r>
    </w:p>
    <w:p w14:paraId="6FD5FFC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在供应商客户端中按照供应商客户端中的格式要求填写响应内容后，生成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须按照</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文件的要求使用电子签章对要求加盖印章的部分逐一进行签章。</w:t>
      </w:r>
    </w:p>
    <w:p w14:paraId="4BB9824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3供应商</w:t>
      </w:r>
      <w:r>
        <w:rPr>
          <w:rFonts w:hint="eastAsia" w:ascii="宋体" w:hAnsi="宋体" w:eastAsia="宋体" w:cs="宋体"/>
          <w:i w:val="0"/>
          <w:iCs w:val="0"/>
          <w:color w:val="auto"/>
          <w:sz w:val="24"/>
          <w:szCs w:val="24"/>
          <w:highlight w:val="none"/>
        </w:rPr>
        <w:t>应详细阅读</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文件的全部内容。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文件须对</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文件中的内容作出实质性和完整的响应，如果</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文件填报的内容不详，或没有提供</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文件中所要求的全部资料及数据，将可能</w:t>
      </w:r>
      <w:r>
        <w:rPr>
          <w:rFonts w:hint="eastAsia" w:ascii="宋体" w:hAnsi="宋体" w:eastAsia="宋体" w:cs="宋体"/>
          <w:b/>
          <w:bCs/>
          <w:i w:val="0"/>
          <w:iCs w:val="0"/>
          <w:color w:val="auto"/>
          <w:sz w:val="24"/>
          <w:szCs w:val="24"/>
          <w:highlight w:val="none"/>
        </w:rPr>
        <w:t>导致</w:t>
      </w:r>
      <w:r>
        <w:rPr>
          <w:rFonts w:hint="eastAsia" w:ascii="宋体" w:hAnsi="宋体" w:eastAsia="宋体" w:cs="宋体"/>
          <w:b/>
          <w:bCs/>
          <w:i w:val="0"/>
          <w:iCs w:val="0"/>
          <w:color w:val="auto"/>
          <w:sz w:val="24"/>
          <w:szCs w:val="24"/>
          <w:highlight w:val="none"/>
          <w:lang w:val="en-US" w:eastAsia="zh-CN"/>
        </w:rPr>
        <w:t>其响应无效</w:t>
      </w:r>
      <w:r>
        <w:rPr>
          <w:rFonts w:hint="eastAsia" w:ascii="宋体" w:hAnsi="宋体" w:eastAsia="宋体" w:cs="宋体"/>
          <w:i w:val="0"/>
          <w:iCs w:val="0"/>
          <w:color w:val="auto"/>
          <w:sz w:val="24"/>
          <w:szCs w:val="24"/>
          <w:highlight w:val="none"/>
        </w:rPr>
        <w:t>。</w:t>
      </w:r>
    </w:p>
    <w:p w14:paraId="2084E86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4响应</w:t>
      </w:r>
      <w:r>
        <w:rPr>
          <w:rFonts w:hint="eastAsia" w:ascii="宋体" w:hAnsi="宋体" w:eastAsia="宋体" w:cs="宋体"/>
          <w:i w:val="0"/>
          <w:iCs w:val="0"/>
          <w:color w:val="auto"/>
          <w:sz w:val="24"/>
          <w:szCs w:val="24"/>
          <w:highlight w:val="none"/>
        </w:rPr>
        <w:t>文件须严格按照</w:t>
      </w:r>
      <w:r>
        <w:rPr>
          <w:rFonts w:hint="eastAsia" w:ascii="宋体" w:hAnsi="宋体" w:eastAsia="宋体" w:cs="宋体"/>
          <w:i w:val="0"/>
          <w:iCs w:val="0"/>
          <w:color w:val="auto"/>
          <w:sz w:val="24"/>
          <w:szCs w:val="24"/>
          <w:highlight w:val="none"/>
          <w:lang w:val="en-US" w:eastAsia="zh-CN"/>
        </w:rPr>
        <w:t>本竞争性磋商</w:t>
      </w:r>
      <w:r>
        <w:rPr>
          <w:rFonts w:hint="eastAsia" w:ascii="宋体" w:hAnsi="宋体" w:eastAsia="宋体" w:cs="宋体"/>
          <w:i w:val="0"/>
          <w:iCs w:val="0"/>
          <w:color w:val="auto"/>
          <w:sz w:val="24"/>
          <w:szCs w:val="24"/>
          <w:highlight w:val="none"/>
        </w:rPr>
        <w:t>文件第</w:t>
      </w:r>
      <w:r>
        <w:rPr>
          <w:rFonts w:hint="eastAsia" w:ascii="宋体" w:hAnsi="宋体" w:eastAsia="宋体" w:cs="宋体"/>
          <w:i w:val="0"/>
          <w:iCs w:val="0"/>
          <w:color w:val="auto"/>
          <w:sz w:val="24"/>
          <w:szCs w:val="24"/>
          <w:highlight w:val="none"/>
          <w:lang w:val="en-US" w:eastAsia="zh-CN"/>
        </w:rPr>
        <w:t>六章</w:t>
      </w:r>
      <w:r>
        <w:rPr>
          <w:rFonts w:hint="eastAsia" w:ascii="宋体" w:hAnsi="宋体" w:eastAsia="宋体" w:cs="宋体"/>
          <w:i w:val="0"/>
          <w:iCs w:val="0"/>
          <w:color w:val="auto"/>
          <w:sz w:val="24"/>
          <w:szCs w:val="24"/>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文件被误读或查找不到，其责任由</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承担。</w:t>
      </w:r>
    </w:p>
    <w:p w14:paraId="71265CA2">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须注意：为合理节约政府采购评审成本，提倡诚实信用的</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行为，特别要求</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应本着诚信精神，在本次</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文件的偏离表中，均以审慎的态度明确、清楚地披露各项偏离。若</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没有在偏离表中明确、清楚地披露的事项，包括可能属于被</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在偏离表中遗漏披露的事项，一旦在评审中被发现存在偏离或被认定为属于偏离，则评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委员会有权视具体情形评审时予以处理，</w:t>
      </w:r>
      <w:r>
        <w:rPr>
          <w:rFonts w:hint="eastAsia" w:ascii="宋体" w:hAnsi="宋体" w:eastAsia="宋体" w:cs="宋体"/>
          <w:b/>
          <w:bCs/>
          <w:i w:val="0"/>
          <w:iCs w:val="0"/>
          <w:color w:val="auto"/>
          <w:sz w:val="24"/>
          <w:szCs w:val="24"/>
          <w:highlight w:val="none"/>
        </w:rPr>
        <w:t>将可能导致</w:t>
      </w:r>
      <w:r>
        <w:rPr>
          <w:rFonts w:hint="eastAsia" w:ascii="宋体" w:hAnsi="宋体" w:eastAsia="宋体" w:cs="宋体"/>
          <w:b/>
          <w:bCs/>
          <w:i w:val="0"/>
          <w:iCs w:val="0"/>
          <w:color w:val="auto"/>
          <w:sz w:val="24"/>
          <w:szCs w:val="24"/>
          <w:highlight w:val="none"/>
          <w:lang w:eastAsia="zh-CN"/>
        </w:rPr>
        <w:t>响应</w:t>
      </w:r>
      <w:r>
        <w:rPr>
          <w:rFonts w:hint="eastAsia" w:ascii="宋体" w:hAnsi="宋体" w:eastAsia="宋体" w:cs="宋体"/>
          <w:b/>
          <w:bCs/>
          <w:i w:val="0"/>
          <w:iCs w:val="0"/>
          <w:color w:val="auto"/>
          <w:sz w:val="24"/>
          <w:szCs w:val="24"/>
          <w:highlight w:val="none"/>
          <w:lang w:val="en-US" w:eastAsia="zh-CN"/>
        </w:rPr>
        <w:t>无效</w:t>
      </w:r>
      <w:r>
        <w:rPr>
          <w:rFonts w:hint="eastAsia" w:ascii="宋体" w:hAnsi="宋体" w:eastAsia="宋体" w:cs="宋体"/>
          <w:i w:val="0"/>
          <w:iCs w:val="0"/>
          <w:color w:val="auto"/>
          <w:sz w:val="24"/>
          <w:szCs w:val="24"/>
          <w:highlight w:val="none"/>
        </w:rPr>
        <w:t>。</w:t>
      </w:r>
    </w:p>
    <w:p w14:paraId="54FCBEF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6供应商</w:t>
      </w:r>
      <w:r>
        <w:rPr>
          <w:rFonts w:hint="eastAsia" w:ascii="宋体" w:hAnsi="宋体" w:eastAsia="宋体" w:cs="宋体"/>
          <w:i w:val="0"/>
          <w:iCs w:val="0"/>
          <w:color w:val="auto"/>
          <w:sz w:val="24"/>
          <w:szCs w:val="24"/>
          <w:highlight w:val="none"/>
        </w:rPr>
        <w:t>必须保证</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文件所提供的全部资料真实可靠，并接受采购</w:t>
      </w:r>
      <w:r>
        <w:rPr>
          <w:rFonts w:hint="eastAsia" w:ascii="宋体" w:hAnsi="宋体" w:eastAsia="宋体" w:cs="宋体"/>
          <w:i w:val="0"/>
          <w:iCs w:val="0"/>
          <w:color w:val="auto"/>
          <w:sz w:val="24"/>
          <w:szCs w:val="24"/>
          <w:highlight w:val="none"/>
          <w:lang w:val="en-US" w:eastAsia="zh-CN"/>
        </w:rPr>
        <w:t>人、采购</w:t>
      </w:r>
      <w:r>
        <w:rPr>
          <w:rFonts w:hint="eastAsia" w:ascii="宋体" w:hAnsi="宋体" w:eastAsia="宋体" w:cs="宋体"/>
          <w:i w:val="0"/>
          <w:iCs w:val="0"/>
          <w:color w:val="auto"/>
          <w:sz w:val="24"/>
          <w:szCs w:val="24"/>
          <w:highlight w:val="none"/>
        </w:rPr>
        <w:t>代理机构或评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委员会对其中任何资料进一步审查的要求。</w:t>
      </w:r>
    </w:p>
    <w:p w14:paraId="7064EC3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7供应商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bCs/>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处理。</w:t>
      </w:r>
    </w:p>
    <w:p w14:paraId="4071B617">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16.8电子响应文件的编制</w:t>
      </w:r>
    </w:p>
    <w:p w14:paraId="4A87E245">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1D4C561F">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其响应无效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2852751">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47" w:name="_Toc109899971"/>
      <w:bookmarkStart w:id="248" w:name="_Toc109899552"/>
      <w:bookmarkStart w:id="249" w:name="_Toc109897453"/>
      <w:bookmarkStart w:id="250" w:name="_Toc46771659"/>
      <w:bookmarkStart w:id="251" w:name="_Toc109900390"/>
      <w:bookmarkStart w:id="252" w:name="_Toc470172684"/>
      <w:bookmarkStart w:id="253" w:name="_Toc26555"/>
      <w:bookmarkStart w:id="254" w:name="_Toc163493614"/>
      <w:r>
        <w:rPr>
          <w:rFonts w:hint="eastAsia" w:ascii="宋体" w:hAnsi="宋体" w:eastAsia="宋体" w:cs="宋体"/>
          <w:b/>
          <w:bCs/>
          <w:i w:val="0"/>
          <w:iCs w:val="0"/>
          <w:color w:val="auto"/>
          <w:kern w:val="2"/>
          <w:sz w:val="24"/>
          <w:szCs w:val="24"/>
          <w:highlight w:val="none"/>
          <w:lang w:val="en-US" w:eastAsia="zh-CN" w:bidi="ar-SA"/>
        </w:rPr>
        <w:t>（四）响应文件的</w:t>
      </w:r>
      <w:bookmarkEnd w:id="247"/>
      <w:bookmarkEnd w:id="248"/>
      <w:bookmarkEnd w:id="249"/>
      <w:bookmarkEnd w:id="250"/>
      <w:bookmarkEnd w:id="251"/>
      <w:bookmarkEnd w:id="252"/>
      <w:r>
        <w:rPr>
          <w:rFonts w:hint="eastAsia" w:ascii="宋体" w:hAnsi="宋体" w:eastAsia="宋体" w:cs="宋体"/>
          <w:b/>
          <w:bCs/>
          <w:i w:val="0"/>
          <w:iCs w:val="0"/>
          <w:color w:val="auto"/>
          <w:kern w:val="2"/>
          <w:sz w:val="24"/>
          <w:szCs w:val="24"/>
          <w:highlight w:val="none"/>
          <w:lang w:val="en-US" w:eastAsia="zh-CN" w:bidi="ar-SA"/>
        </w:rPr>
        <w:t>递交</w:t>
      </w:r>
      <w:bookmarkEnd w:id="253"/>
      <w:bookmarkEnd w:id="254"/>
    </w:p>
    <w:p w14:paraId="01810122">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55" w:name="_Toc109900070"/>
      <w:bookmarkStart w:id="256" w:name="_Toc109900489"/>
      <w:bookmarkStart w:id="257" w:name="_Toc109899651"/>
      <w:bookmarkStart w:id="258" w:name="_Toc109897552"/>
      <w:bookmarkStart w:id="259" w:name="_Toc155095707"/>
      <w:bookmarkStart w:id="260" w:name="_Toc156490296"/>
      <w:bookmarkStart w:id="261" w:name="_Toc109900071"/>
      <w:bookmarkStart w:id="262" w:name="_Toc109900490"/>
      <w:bookmarkStart w:id="263" w:name="_Toc109899652"/>
      <w:bookmarkStart w:id="264" w:name="_Toc109897553"/>
      <w:bookmarkStart w:id="265" w:name="_Toc156490297"/>
      <w:bookmarkStart w:id="266" w:name="_Toc155095708"/>
      <w:r>
        <w:rPr>
          <w:rFonts w:hint="eastAsia" w:ascii="宋体" w:hAnsi="宋体" w:eastAsia="宋体" w:cs="宋体"/>
          <w:b/>
          <w:bCs/>
          <w:i w:val="0"/>
          <w:iCs w:val="0"/>
          <w:color w:val="auto"/>
          <w:kern w:val="2"/>
          <w:sz w:val="24"/>
          <w:szCs w:val="24"/>
          <w:highlight w:val="none"/>
          <w:lang w:val="en-US" w:eastAsia="zh-CN" w:bidi="ar-SA"/>
        </w:rPr>
        <w:t>17.磋商保证金</w:t>
      </w:r>
    </w:p>
    <w:p w14:paraId="1A207ACD">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17.1供应商应按照竞争性磋商文件“供应商须知前附表”规定的金额及要求交纳磋商保证金。供应商自愿超额缴纳磋商保证金的，响应文件不做无效处理。</w:t>
      </w:r>
    </w:p>
    <w:p w14:paraId="77BF162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r>
        <w:rPr>
          <w:rFonts w:hint="eastAsia" w:ascii="宋体" w:hAnsi="宋体" w:eastAsia="宋体" w:cs="宋体"/>
          <w:i w:val="0"/>
          <w:iCs w:val="0"/>
          <w:color w:val="auto"/>
          <w:sz w:val="24"/>
          <w:szCs w:val="24"/>
          <w:highlight w:val="none"/>
          <w:lang w:val="en-US" w:eastAsia="zh-CN"/>
        </w:rPr>
        <w:t>磋商保证金有效期同响应文件有效期。</w:t>
      </w:r>
    </w:p>
    <w:p w14:paraId="0C3CACC6">
      <w:pPr>
        <w:pStyle w:val="3"/>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原件扫描后作为响应文件的组成部分与响应文件一起上传。由于到账时间晚于响应文件递交截止时间，或者票据错误、印鉴不清等原因导致不能到账的，其</w:t>
      </w:r>
      <w:r>
        <w:rPr>
          <w:rFonts w:hint="eastAsia" w:ascii="宋体" w:hAnsi="宋体" w:eastAsia="宋体" w:cs="宋体"/>
          <w:b/>
          <w:bCs/>
          <w:i w:val="0"/>
          <w:iCs w:val="0"/>
          <w:color w:val="auto"/>
          <w:kern w:val="2"/>
          <w:sz w:val="24"/>
          <w:szCs w:val="24"/>
          <w:highlight w:val="none"/>
          <w:shd w:val="clear" w:color="auto" w:fill="FFFFFF" w:themeFill="background1"/>
          <w:lang w:val="en-US" w:eastAsia="zh-CN" w:bidi="ar-SA"/>
        </w:rPr>
        <w:t>响应无效</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w:t>
      </w:r>
    </w:p>
    <w:p w14:paraId="7EBFBB8B">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17.4 供应商为联合体的，可以由联合体中的一方或者多方共同交纳磋商保证金，其交纳的磋商保证金对联合体各方均具有约束力。 </w:t>
      </w:r>
    </w:p>
    <w:p w14:paraId="6E02FB95">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48C6EAF6">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6C0BF0B3">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17.7 终止磋商的项目已经收取磋商保证金的，自终止采购活动后5个工作日内退还已收取的磋商保证金及其在银行产生的孳息。</w:t>
      </w:r>
    </w:p>
    <w:p w14:paraId="63FB6EE6">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17.8有下列情形之一的，磋商保证金不予退还,</w:t>
      </w:r>
      <w:r>
        <w:rPr>
          <w:rFonts w:hint="eastAsia" w:ascii="宋体" w:hAnsi="宋体" w:eastAsia="宋体" w:cs="宋体"/>
          <w:i w:val="0"/>
          <w:iCs w:val="0"/>
          <w:color w:val="auto"/>
          <w:kern w:val="2"/>
          <w:sz w:val="24"/>
          <w:szCs w:val="24"/>
          <w:highlight w:val="none"/>
        </w:rPr>
        <w:t>情节严重的将其列入不良记录名单</w:t>
      </w: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 </w:t>
      </w:r>
    </w:p>
    <w:p w14:paraId="56909F59">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17.8.1供应商在提交响应文件截止时间后撤回响应文件的； </w:t>
      </w:r>
    </w:p>
    <w:p w14:paraId="6BDEA651">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17.8.2供应商在响应文件中提供虚假材料的； </w:t>
      </w:r>
    </w:p>
    <w:p w14:paraId="120042A8">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17.8.3除因不可抗力或磋商文件认可的情形以外，成交供应商不与采购人签订合同的； </w:t>
      </w:r>
    </w:p>
    <w:p w14:paraId="5C8617B0">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17.8.4供应商与采购人、其他供应商或者采购代理机构恶意串通的； </w:t>
      </w:r>
    </w:p>
    <w:p w14:paraId="17490B0E">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17.8.5磋商文件规定的其他情形。</w:t>
      </w:r>
    </w:p>
    <w:p w14:paraId="17E6CCBD">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7018BCE4">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兵团政府采购网”—顶部通栏“信用融资”或者“兵团政府采购网”首页“政采贷｜电子保函”快捷模块查看：</w:t>
      </w:r>
    </w:p>
    <w:p w14:paraId="1F3A8C5E">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直达链接（电子保函）：</w:t>
      </w:r>
    </w:p>
    <w:p w14:paraId="15E30E92">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65"/>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4"/>
          <w:highlight w:val="none"/>
          <w:shd w:val="clear" w:color="auto" w:fill="FFFFFF" w:themeFill="background1"/>
          <w:lang w:val="en-US" w:eastAsia="zh-CN" w:bidi="ar-SA"/>
        </w:rPr>
      </w:pPr>
      <w:r>
        <w:rPr>
          <w:rFonts w:hint="eastAsia" w:ascii="宋体" w:hAnsi="宋体" w:eastAsia="宋体" w:cs="宋体"/>
          <w:i w:val="0"/>
          <w:iCs w:val="0"/>
          <w:color w:val="auto"/>
          <w:kern w:val="2"/>
          <w:sz w:val="24"/>
          <w:szCs w:val="24"/>
          <w:highlight w:val="none"/>
          <w:shd w:val="clear" w:color="auto" w:fill="FFFFFF" w:themeFill="background1"/>
          <w:lang w:val="en-US" w:eastAsia="zh-CN" w:bidi="ar-SA"/>
        </w:rPr>
        <w:t xml:space="preserve">金融服务支撑热线：0991-2661159     </w:t>
      </w:r>
    </w:p>
    <w:p w14:paraId="784B786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18.响应文件的</w:t>
      </w:r>
      <w:bookmarkEnd w:id="255"/>
      <w:bookmarkEnd w:id="256"/>
      <w:bookmarkEnd w:id="257"/>
      <w:bookmarkEnd w:id="258"/>
      <w:r>
        <w:rPr>
          <w:rFonts w:hint="eastAsia" w:ascii="宋体" w:hAnsi="宋体" w:eastAsia="宋体" w:cs="宋体"/>
          <w:b/>
          <w:bCs/>
          <w:i w:val="0"/>
          <w:iCs w:val="0"/>
          <w:color w:val="auto"/>
          <w:kern w:val="2"/>
          <w:sz w:val="24"/>
          <w:szCs w:val="24"/>
          <w:highlight w:val="none"/>
          <w:lang w:val="en-US" w:eastAsia="zh-CN" w:bidi="ar-SA"/>
        </w:rPr>
        <w:t>加密</w:t>
      </w:r>
      <w:bookmarkEnd w:id="259"/>
      <w:bookmarkEnd w:id="260"/>
    </w:p>
    <w:p w14:paraId="105C769D">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18.1 供应商在供应商客户端中生成响应文件并完成签章之后，使用CA证书在供应商客户端中对响应文件进行加密。</w:t>
      </w:r>
    </w:p>
    <w:p w14:paraId="0AE412D5">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18.2 供应商应在供应商客户端中对加密的响应文件进行解密验证，以防止响应文件加密异常，在开启时无法解密。</w:t>
      </w:r>
    </w:p>
    <w:p w14:paraId="79A877BA">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18.3 供应商应保证加密响应文件的CA证书有效期在开启时间之前。若CA证书有效期临近开启时间，建议供应商提前办理CA证书续期，以免开启时无法进行解密。</w:t>
      </w:r>
    </w:p>
    <w:p w14:paraId="1CDCC9E5">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供应商</w:t>
      </w:r>
      <w:r>
        <w:rPr>
          <w:rFonts w:hint="eastAsia" w:ascii="宋体" w:hAnsi="宋体" w:eastAsia="宋体" w:cs="宋体"/>
          <w:i w:val="0"/>
          <w:iCs w:val="0"/>
          <w:color w:val="auto"/>
          <w:sz w:val="24"/>
          <w:szCs w:val="24"/>
          <w:highlight w:val="none"/>
        </w:rPr>
        <w:t>在</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w:t>
      </w:r>
      <w:r>
        <w:rPr>
          <w:rFonts w:hint="eastAsia" w:ascii="宋体" w:hAnsi="宋体" w:eastAsia="宋体" w:cs="宋体"/>
          <w:i w:val="0"/>
          <w:iCs w:val="0"/>
          <w:color w:val="auto"/>
          <w:sz w:val="24"/>
          <w:szCs w:val="24"/>
          <w:highlight w:val="none"/>
          <w:lang w:val="en-US" w:eastAsia="zh-CN"/>
        </w:rPr>
        <w:t>止</w:t>
      </w:r>
      <w:r>
        <w:rPr>
          <w:rFonts w:hint="eastAsia" w:ascii="宋体" w:hAnsi="宋体" w:eastAsia="宋体" w:cs="宋体"/>
          <w:i w:val="0"/>
          <w:iCs w:val="0"/>
          <w:color w:val="auto"/>
          <w:sz w:val="24"/>
          <w:szCs w:val="24"/>
          <w:highlight w:val="none"/>
        </w:rPr>
        <w:t>时间前通过</w:t>
      </w:r>
      <w:r>
        <w:rPr>
          <w:rFonts w:hint="eastAsia" w:ascii="宋体" w:hAnsi="宋体" w:eastAsia="宋体" w:cs="宋体"/>
          <w:i w:val="0"/>
          <w:iCs w:val="0"/>
          <w:color w:val="auto"/>
          <w:sz w:val="24"/>
          <w:szCs w:val="24"/>
          <w:highlight w:val="none"/>
          <w:lang w:val="en-US" w:eastAsia="zh-CN"/>
        </w:rPr>
        <w:t>兵团</w:t>
      </w:r>
      <w:r>
        <w:rPr>
          <w:rFonts w:hint="eastAsia" w:ascii="宋体" w:hAnsi="宋体" w:eastAsia="宋体" w:cs="宋体"/>
          <w:i w:val="0"/>
          <w:iCs w:val="0"/>
          <w:color w:val="auto"/>
          <w:sz w:val="24"/>
          <w:szCs w:val="24"/>
          <w:highlight w:val="none"/>
        </w:rPr>
        <w:t>政府采购网（http://ccgp-bingtuan.gov.cn/）的”政采云登录入口”登录后，将加密电子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（为.jmbs后缀格式）上传到对应项目的指定位置</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认为有必要提交的其他资料请于</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eastAsia="zh-CN"/>
        </w:rPr>
        <w:t>文件</w:t>
      </w:r>
      <w:r>
        <w:rPr>
          <w:rFonts w:hint="eastAsia" w:ascii="宋体" w:hAnsi="宋体" w:eastAsia="宋体" w:cs="宋体"/>
          <w:i w:val="0"/>
          <w:iCs w:val="0"/>
          <w:color w:val="auto"/>
          <w:sz w:val="24"/>
          <w:szCs w:val="24"/>
          <w:highlight w:val="none"/>
        </w:rPr>
        <w:t>递交截止时间前一并提交。</w:t>
      </w:r>
    </w:p>
    <w:p w14:paraId="3896D47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如果</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未按上述要求</w:t>
      </w:r>
      <w:r>
        <w:rPr>
          <w:rFonts w:hint="eastAsia" w:ascii="宋体" w:hAnsi="宋体" w:eastAsia="宋体" w:cs="宋体"/>
          <w:i w:val="0"/>
          <w:iCs w:val="0"/>
          <w:color w:val="auto"/>
          <w:sz w:val="24"/>
          <w:szCs w:val="24"/>
          <w:highlight w:val="none"/>
          <w:lang w:val="en-US" w:eastAsia="zh-CN"/>
        </w:rPr>
        <w:t>加密并上传</w:t>
      </w:r>
      <w:r>
        <w:rPr>
          <w:rFonts w:hint="eastAsia" w:ascii="宋体" w:hAnsi="宋体" w:eastAsia="宋体" w:cs="宋体"/>
          <w:i w:val="0"/>
          <w:iCs w:val="0"/>
          <w:color w:val="auto"/>
          <w:sz w:val="24"/>
          <w:szCs w:val="24"/>
          <w:highlight w:val="none"/>
        </w:rPr>
        <w:t>，采购代理机构对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文件的误投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无法解密、传输错误等问题</w:t>
      </w:r>
      <w:r>
        <w:rPr>
          <w:rFonts w:hint="eastAsia" w:ascii="宋体" w:hAnsi="宋体" w:eastAsia="宋体" w:cs="宋体"/>
          <w:i w:val="0"/>
          <w:iCs w:val="0"/>
          <w:color w:val="auto"/>
          <w:sz w:val="24"/>
          <w:szCs w:val="24"/>
          <w:highlight w:val="none"/>
        </w:rPr>
        <w:t>概不负责。对由此造成</w:t>
      </w:r>
      <w:r>
        <w:rPr>
          <w:rFonts w:hint="eastAsia" w:ascii="宋体" w:hAnsi="宋体" w:eastAsia="宋体" w:cs="宋体"/>
          <w:i w:val="0"/>
          <w:iCs w:val="0"/>
          <w:color w:val="auto"/>
          <w:sz w:val="24"/>
          <w:szCs w:val="24"/>
          <w:highlight w:val="none"/>
          <w:lang w:val="en-US" w:eastAsia="zh-CN"/>
        </w:rPr>
        <w:t>无法正常开启</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文件，采购代理机构有权予以拒绝，并退回</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w:t>
      </w:r>
    </w:p>
    <w:p w14:paraId="54A49319">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本项目采用不见面开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方式，无需提供电子</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文件U盘。</w:t>
      </w:r>
    </w:p>
    <w:p w14:paraId="0EEE0E8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19.响应文件的</w:t>
      </w:r>
      <w:bookmarkEnd w:id="261"/>
      <w:bookmarkEnd w:id="262"/>
      <w:bookmarkEnd w:id="263"/>
      <w:bookmarkEnd w:id="264"/>
      <w:r>
        <w:rPr>
          <w:rFonts w:hint="eastAsia" w:ascii="宋体" w:hAnsi="宋体" w:eastAsia="宋体" w:cs="宋体"/>
          <w:b/>
          <w:bCs/>
          <w:i w:val="0"/>
          <w:iCs w:val="0"/>
          <w:color w:val="auto"/>
          <w:kern w:val="2"/>
          <w:sz w:val="24"/>
          <w:szCs w:val="24"/>
          <w:highlight w:val="none"/>
          <w:lang w:val="en-US" w:eastAsia="zh-CN" w:bidi="ar-SA"/>
        </w:rPr>
        <w:t>递交</w:t>
      </w:r>
      <w:bookmarkEnd w:id="265"/>
      <w:bookmarkEnd w:id="266"/>
      <w:r>
        <w:rPr>
          <w:rFonts w:hint="eastAsia" w:ascii="宋体" w:hAnsi="宋体" w:eastAsia="宋体" w:cs="宋体"/>
          <w:b/>
          <w:bCs/>
          <w:i w:val="0"/>
          <w:iCs w:val="0"/>
          <w:color w:val="auto"/>
          <w:kern w:val="2"/>
          <w:sz w:val="24"/>
          <w:szCs w:val="24"/>
          <w:highlight w:val="none"/>
          <w:lang w:val="en-US" w:eastAsia="zh-CN" w:bidi="ar-SA"/>
        </w:rPr>
        <w:t>（上传）</w:t>
      </w:r>
    </w:p>
    <w:p w14:paraId="4BB721FA">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19.1 供应商应在“</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”规定的响应文件递交截止时间前递交（上传）响应文件。</w:t>
      </w:r>
    </w:p>
    <w:p w14:paraId="1788DDFE">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19.2 供应商递交（上传）响应文件的地点见“</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p>
    <w:p w14:paraId="74B3F1A5">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投标文件上传）中获取响应文件递交回执单。</w:t>
      </w:r>
    </w:p>
    <w:p w14:paraId="5634F607">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19.4 供应商应在供应商客户端中下载未加密且完成签章的响应文件妥善保存，以便启动应急开启程序时使用。</w:t>
      </w:r>
    </w:p>
    <w:p w14:paraId="6F8BD19B">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19.5供应商所递交的响应文件不予退还。</w:t>
      </w:r>
    </w:p>
    <w:p w14:paraId="03DDA0A8">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67" w:name="_Toc156490298"/>
      <w:bookmarkStart w:id="268" w:name="_Toc155095709"/>
      <w:r>
        <w:rPr>
          <w:rFonts w:hint="eastAsia" w:ascii="宋体" w:hAnsi="宋体" w:eastAsia="宋体" w:cs="宋体"/>
          <w:b/>
          <w:bCs/>
          <w:i w:val="0"/>
          <w:iCs w:val="0"/>
          <w:color w:val="auto"/>
          <w:kern w:val="2"/>
          <w:sz w:val="24"/>
          <w:szCs w:val="24"/>
          <w:highlight w:val="none"/>
          <w:lang w:val="en-US" w:eastAsia="zh-CN" w:bidi="ar-SA"/>
        </w:rPr>
        <w:t>20.拒收</w:t>
      </w:r>
      <w:bookmarkEnd w:id="267"/>
      <w:bookmarkEnd w:id="268"/>
    </w:p>
    <w:p w14:paraId="6764A5C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20.1超过递交响应文件的截止时间或者不按照本章要求加密的响应文件，交易系统应当拒收。</w:t>
      </w:r>
    </w:p>
    <w:p w14:paraId="03C096F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69" w:name="_Toc109897555"/>
      <w:bookmarkStart w:id="270" w:name="_Toc156490299"/>
      <w:bookmarkStart w:id="271" w:name="_Toc155095710"/>
      <w:bookmarkStart w:id="272" w:name="_Toc109900073"/>
      <w:bookmarkStart w:id="273" w:name="_Toc109900492"/>
      <w:bookmarkStart w:id="274" w:name="_Toc109899654"/>
      <w:r>
        <w:rPr>
          <w:rFonts w:hint="eastAsia" w:ascii="宋体" w:hAnsi="宋体" w:eastAsia="宋体" w:cs="宋体"/>
          <w:b/>
          <w:bCs/>
          <w:i w:val="0"/>
          <w:iCs w:val="0"/>
          <w:color w:val="auto"/>
          <w:kern w:val="2"/>
          <w:sz w:val="24"/>
          <w:szCs w:val="24"/>
          <w:highlight w:val="none"/>
          <w:lang w:val="en-US" w:eastAsia="zh-CN" w:bidi="ar-SA"/>
        </w:rPr>
        <w:t>21.响应文件的修改与撤回</w:t>
      </w:r>
      <w:bookmarkEnd w:id="269"/>
      <w:bookmarkEnd w:id="270"/>
      <w:bookmarkEnd w:id="271"/>
      <w:bookmarkEnd w:id="272"/>
      <w:bookmarkEnd w:id="273"/>
      <w:bookmarkEnd w:id="274"/>
    </w:p>
    <w:p w14:paraId="059E1BF2">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zh-CN" w:eastAsia="zh-CN"/>
        </w:rPr>
        <w:t>1</w:t>
      </w:r>
      <w:r>
        <w:rPr>
          <w:rFonts w:hint="eastAsia" w:ascii="宋体" w:hAnsi="宋体" w:eastAsia="宋体" w:cs="宋体"/>
          <w:i w:val="0"/>
          <w:iCs w:val="0"/>
          <w:snapToGrid w:val="0"/>
          <w:color w:val="auto"/>
          <w:sz w:val="24"/>
          <w:szCs w:val="24"/>
          <w:highlight w:val="none"/>
          <w:lang w:val="zh-CN"/>
        </w:rPr>
        <w:t>.1</w:t>
      </w:r>
      <w:bookmarkStart w:id="275" w:name="_Hlk143532466"/>
      <w:r>
        <w:rPr>
          <w:rFonts w:hint="eastAsia" w:ascii="宋体" w:hAnsi="宋体" w:eastAsia="宋体" w:cs="宋体"/>
          <w:i w:val="0"/>
          <w:iCs w:val="0"/>
          <w:snapToGrid w:val="0"/>
          <w:color w:val="auto"/>
          <w:sz w:val="24"/>
          <w:szCs w:val="24"/>
          <w:highlight w:val="none"/>
          <w:lang w:val="zh-CN" w:eastAsia="zh-CN"/>
        </w:rPr>
        <w:t>供应商</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snapToGrid w:val="0"/>
          <w:color w:val="auto"/>
          <w:sz w:val="24"/>
          <w:szCs w:val="24"/>
          <w:highlight w:val="none"/>
          <w:lang w:val="zh-CN" w:eastAsia="zh-CN"/>
        </w:rPr>
        <w:t>”</w:t>
      </w:r>
      <w:r>
        <w:rPr>
          <w:rFonts w:hint="eastAsia" w:ascii="宋体" w:hAnsi="宋体" w:eastAsia="宋体" w:cs="宋体"/>
          <w:i w:val="0"/>
          <w:iCs w:val="0"/>
          <w:snapToGrid w:val="0"/>
          <w:color w:val="auto"/>
          <w:sz w:val="24"/>
          <w:szCs w:val="24"/>
          <w:highlight w:val="none"/>
          <w:lang w:val="zh-CN"/>
        </w:rPr>
        <w:t>规定的</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递交截止时间之前，可在兵团政府采购电子交易云平台上随时撤回已上传的电子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，将修改好的电子</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在</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lang w:val="zh-CN" w:eastAsia="zh-CN"/>
        </w:rPr>
        <w:t>文件</w:t>
      </w:r>
      <w:r>
        <w:rPr>
          <w:rFonts w:hint="eastAsia" w:ascii="宋体" w:hAnsi="宋体" w:eastAsia="宋体" w:cs="宋体"/>
          <w:i w:val="0"/>
          <w:iCs w:val="0"/>
          <w:snapToGrid w:val="0"/>
          <w:color w:val="auto"/>
          <w:sz w:val="24"/>
          <w:szCs w:val="24"/>
          <w:highlight w:val="none"/>
          <w:lang w:val="zh-CN"/>
        </w:rPr>
        <w:t>递交截止时间前重新上传到兵团政府采购电子交易云平台的</w:t>
      </w:r>
      <w:r>
        <w:rPr>
          <w:rFonts w:hint="eastAsia" w:ascii="宋体" w:hAnsi="宋体" w:eastAsia="宋体" w:cs="宋体"/>
          <w:i w:val="0"/>
          <w:iCs w:val="0"/>
          <w:snapToGrid w:val="0"/>
          <w:color w:val="auto"/>
          <w:sz w:val="24"/>
          <w:szCs w:val="24"/>
          <w:highlight w:val="none"/>
          <w:lang w:val="zh-CN" w:eastAsia="zh-CN"/>
        </w:rPr>
        <w:t>指</w:t>
      </w:r>
      <w:r>
        <w:rPr>
          <w:rFonts w:hint="eastAsia" w:ascii="宋体" w:hAnsi="宋体" w:eastAsia="宋体" w:cs="宋体"/>
          <w:i w:val="0"/>
          <w:iCs w:val="0"/>
          <w:snapToGrid w:val="0"/>
          <w:color w:val="auto"/>
          <w:sz w:val="24"/>
          <w:szCs w:val="24"/>
          <w:highlight w:val="none"/>
          <w:lang w:val="zh-CN"/>
        </w:rPr>
        <w:t>定位置。</w:t>
      </w:r>
    </w:p>
    <w:bookmarkEnd w:id="275"/>
    <w:p w14:paraId="4F9C167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76" w:name="_Toc155185973"/>
      <w:bookmarkStart w:id="277" w:name="_Toc158888664"/>
      <w:bookmarkStart w:id="278" w:name="_Toc155185874"/>
      <w:r>
        <w:rPr>
          <w:rFonts w:hint="eastAsia" w:ascii="宋体" w:hAnsi="宋体" w:eastAsia="宋体" w:cs="宋体"/>
          <w:b/>
          <w:bCs/>
          <w:i w:val="0"/>
          <w:iCs w:val="0"/>
          <w:color w:val="auto"/>
          <w:kern w:val="2"/>
          <w:sz w:val="24"/>
          <w:szCs w:val="24"/>
          <w:highlight w:val="none"/>
          <w:lang w:val="en-US" w:eastAsia="zh-CN" w:bidi="ar-SA"/>
        </w:rPr>
        <w:t>22.实物样品</w:t>
      </w:r>
      <w:bookmarkEnd w:id="276"/>
      <w:bookmarkEnd w:id="277"/>
      <w:bookmarkEnd w:id="278"/>
    </w:p>
    <w:p w14:paraId="3015EA96">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22.1“供应商须知前附表”要求提供样品的，样品的具体要求及评审详见“第三章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3F3F84A5">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22.2样品退还：未成交的供应商应</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rPr>
        <w:t>自行联系采购人取回递交样品；成交供应商的样品由采购人进行保管、封存，并作为履约验收的参考（竞争性磋商文件另有规定的从其规定）。</w:t>
      </w:r>
    </w:p>
    <w:p w14:paraId="56366B4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79" w:name="_Toc158888665"/>
      <w:bookmarkStart w:id="280" w:name="_Toc155185875"/>
      <w:bookmarkStart w:id="281" w:name="_Toc155185974"/>
      <w:r>
        <w:rPr>
          <w:rFonts w:hint="eastAsia" w:ascii="宋体" w:hAnsi="宋体" w:eastAsia="宋体" w:cs="宋体"/>
          <w:b/>
          <w:bCs/>
          <w:i w:val="0"/>
          <w:iCs w:val="0"/>
          <w:color w:val="auto"/>
          <w:kern w:val="2"/>
          <w:sz w:val="24"/>
          <w:szCs w:val="24"/>
          <w:highlight w:val="none"/>
          <w:lang w:val="en-US" w:eastAsia="zh-CN" w:bidi="ar-SA"/>
        </w:rPr>
        <w:t>23.项目演示</w:t>
      </w:r>
      <w:bookmarkEnd w:id="279"/>
      <w:bookmarkEnd w:id="280"/>
      <w:bookmarkEnd w:id="281"/>
    </w:p>
    <w:p w14:paraId="3C48391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23.1要求供应商进行演示的，演示要求详见“供应商须知前附表”。</w:t>
      </w:r>
    </w:p>
    <w:p w14:paraId="22102C81">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23.2演示的评审详见“第三章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采购需求”和“第四章 评审</w:t>
      </w:r>
      <w:r>
        <w:rPr>
          <w:rFonts w:hint="eastAsia" w:ascii="宋体" w:hAnsi="宋体" w:eastAsia="宋体" w:cs="宋体"/>
          <w:i w:val="0"/>
          <w:iCs w:val="0"/>
          <w:color w:val="auto"/>
          <w:sz w:val="24"/>
          <w:szCs w:val="24"/>
          <w:highlight w:val="none"/>
          <w:lang w:val="en-US" w:eastAsia="zh-CN"/>
        </w:rPr>
        <w:t>方</w:t>
      </w:r>
      <w:r>
        <w:rPr>
          <w:rFonts w:hint="eastAsia" w:ascii="宋体" w:hAnsi="宋体" w:eastAsia="宋体" w:cs="宋体"/>
          <w:i w:val="0"/>
          <w:iCs w:val="0"/>
          <w:color w:val="auto"/>
          <w:sz w:val="24"/>
          <w:szCs w:val="24"/>
          <w:highlight w:val="none"/>
        </w:rPr>
        <w:t>法及标准”</w:t>
      </w:r>
    </w:p>
    <w:p w14:paraId="6B46A24D">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82" w:name="_Toc163493615"/>
      <w:bookmarkStart w:id="283" w:name="_Toc22772"/>
      <w:bookmarkStart w:id="284" w:name="_Toc109899976"/>
      <w:bookmarkStart w:id="285" w:name="_Toc109897458"/>
      <w:bookmarkStart w:id="286" w:name="_Toc109899557"/>
      <w:bookmarkStart w:id="287" w:name="_Toc46771664"/>
      <w:bookmarkStart w:id="288" w:name="_Toc470172689"/>
      <w:bookmarkStart w:id="289" w:name="_Toc109900395"/>
      <w:r>
        <w:rPr>
          <w:rFonts w:hint="eastAsia" w:ascii="宋体" w:hAnsi="宋体" w:eastAsia="宋体" w:cs="宋体"/>
          <w:b/>
          <w:bCs/>
          <w:i w:val="0"/>
          <w:iCs w:val="0"/>
          <w:color w:val="auto"/>
          <w:kern w:val="2"/>
          <w:sz w:val="24"/>
          <w:szCs w:val="24"/>
          <w:highlight w:val="none"/>
          <w:lang w:val="en-US" w:eastAsia="zh-CN" w:bidi="ar-SA"/>
        </w:rPr>
        <w:t>（五）</w:t>
      </w:r>
      <w:bookmarkEnd w:id="282"/>
      <w:r>
        <w:rPr>
          <w:rFonts w:hint="eastAsia" w:ascii="宋体" w:hAnsi="宋体" w:eastAsia="宋体" w:cs="宋体"/>
          <w:b/>
          <w:bCs/>
          <w:i w:val="0"/>
          <w:iCs w:val="0"/>
          <w:color w:val="auto"/>
          <w:kern w:val="2"/>
          <w:sz w:val="24"/>
          <w:szCs w:val="24"/>
          <w:highlight w:val="none"/>
          <w:lang w:val="en-US" w:eastAsia="zh-CN" w:bidi="ar-SA"/>
        </w:rPr>
        <w:t>响应文件开启</w:t>
      </w:r>
      <w:bookmarkEnd w:id="283"/>
    </w:p>
    <w:p w14:paraId="750D725B">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0" w:name="_Hlk161704700"/>
      <w:r>
        <w:rPr>
          <w:rFonts w:hint="eastAsia" w:ascii="宋体" w:hAnsi="宋体" w:eastAsia="宋体" w:cs="宋体"/>
          <w:b/>
          <w:bCs/>
          <w:i w:val="0"/>
          <w:iCs w:val="0"/>
          <w:color w:val="auto"/>
          <w:kern w:val="2"/>
          <w:sz w:val="24"/>
          <w:szCs w:val="24"/>
          <w:highlight w:val="none"/>
          <w:lang w:val="en-US" w:eastAsia="zh-CN" w:bidi="ar-SA"/>
        </w:rPr>
        <w:t>24.响应文件开启</w:t>
      </w:r>
    </w:p>
    <w:p w14:paraId="30320CCC">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bCs/>
          <w:i w:val="0"/>
          <w:iCs w:val="0"/>
          <w:color w:val="auto"/>
          <w:sz w:val="24"/>
          <w:szCs w:val="24"/>
          <w:highlight w:val="none"/>
        </w:rPr>
      </w:pPr>
      <w:bookmarkStart w:id="291" w:name="_Toc140132781"/>
      <w:r>
        <w:rPr>
          <w:rFonts w:hint="eastAsia" w:ascii="宋体" w:hAnsi="宋体" w:eastAsia="宋体" w:cs="宋体"/>
          <w:i w:val="0"/>
          <w:iCs w:val="0"/>
          <w:color w:val="auto"/>
          <w:sz w:val="24"/>
          <w:szCs w:val="24"/>
          <w:highlight w:val="none"/>
        </w:rPr>
        <w:t>24.1供应商应按照“</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”中的要求参与开启。</w:t>
      </w:r>
      <w:bookmarkEnd w:id="291"/>
    </w:p>
    <w:p w14:paraId="44C062A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2" w:name="_Toc161600316"/>
      <w:bookmarkStart w:id="293" w:name="_Toc140132782"/>
      <w:r>
        <w:rPr>
          <w:rFonts w:hint="eastAsia" w:ascii="宋体" w:hAnsi="宋体" w:eastAsia="宋体" w:cs="宋体"/>
          <w:b/>
          <w:bCs/>
          <w:i w:val="0"/>
          <w:iCs w:val="0"/>
          <w:color w:val="auto"/>
          <w:kern w:val="2"/>
          <w:sz w:val="24"/>
          <w:szCs w:val="24"/>
          <w:highlight w:val="none"/>
          <w:lang w:val="en-US" w:eastAsia="zh-CN" w:bidi="ar-SA"/>
        </w:rPr>
        <w:t>25.开启时间和地点</w:t>
      </w:r>
      <w:bookmarkEnd w:id="292"/>
      <w:bookmarkEnd w:id="293"/>
    </w:p>
    <w:p w14:paraId="19FC62D6">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25.1开启时间和地点</w:t>
      </w:r>
    </w:p>
    <w:p w14:paraId="74263C6D">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响应文件截止时间前，供应商登录供应商客户端，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color w:val="auto"/>
          <w:sz w:val="24"/>
          <w:szCs w:val="24"/>
          <w:highlight w:val="none"/>
        </w:rPr>
        <w:t>“开标大厅”选择所投项目（或采购包）完成项目签到工作。</w:t>
      </w:r>
    </w:p>
    <w:p w14:paraId="485DC310">
      <w:pPr>
        <w:keepNext w:val="0"/>
        <w:keepLines w:val="0"/>
        <w:pageBreakBefore w:val="0"/>
        <w:widowControl w:val="0"/>
        <w:kinsoku/>
        <w:overflowPunct/>
        <w:topLinePunct w:val="0"/>
        <w:bidi w:val="0"/>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（2）在</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第一章 竞争性磋商公告</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规</w:t>
      </w:r>
      <w:r>
        <w:rPr>
          <w:rFonts w:hint="eastAsia" w:ascii="宋体" w:hAnsi="宋体" w:eastAsia="宋体" w:cs="宋体"/>
          <w:i w:val="0"/>
          <w:iCs w:val="0"/>
          <w:color w:val="auto"/>
          <w:sz w:val="24"/>
          <w:szCs w:val="24"/>
          <w:highlight w:val="none"/>
          <w:lang w:val="zh-CN"/>
        </w:rPr>
        <w:t>定的</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lang w:val="zh-CN"/>
        </w:rPr>
        <w:t>响应文件截止时间、开启时间及地点，采购代理机构通过</w:t>
      </w:r>
      <w:r>
        <w:rPr>
          <w:rFonts w:hint="eastAsia" w:ascii="宋体" w:hAnsi="宋体" w:eastAsia="宋体" w:cs="宋体"/>
          <w:i w:val="0"/>
          <w:iCs w:val="0"/>
          <w:color w:val="auto"/>
          <w:sz w:val="24"/>
          <w:szCs w:val="24"/>
          <w:highlight w:val="none"/>
          <w:lang w:val="zh-CN" w:eastAsia="zh-CN"/>
        </w:rPr>
        <w:t>兵团政府采购电子交易云平台</w:t>
      </w:r>
      <w:r>
        <w:rPr>
          <w:rFonts w:hint="eastAsia" w:ascii="宋体" w:hAnsi="宋体" w:eastAsia="宋体" w:cs="宋体"/>
          <w:i w:val="0"/>
          <w:iCs w:val="0"/>
          <w:color w:val="auto"/>
          <w:kern w:val="2"/>
          <w:sz w:val="24"/>
          <w:szCs w:val="24"/>
          <w:highlight w:val="none"/>
        </w:rPr>
        <w:t>的“政采云远程开标大厅”</w:t>
      </w:r>
      <w:r>
        <w:rPr>
          <w:rFonts w:hint="eastAsia" w:ascii="宋体" w:hAnsi="宋体" w:eastAsia="宋体" w:cs="宋体"/>
          <w:i w:val="0"/>
          <w:iCs w:val="0"/>
          <w:color w:val="auto"/>
          <w:sz w:val="24"/>
          <w:szCs w:val="24"/>
          <w:highlight w:val="none"/>
          <w:lang w:val="zh-CN"/>
        </w:rPr>
        <w:t>组织响应文件开启工作。</w:t>
      </w:r>
    </w:p>
    <w:p w14:paraId="66534CB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25.2响应文件开启：</w:t>
      </w:r>
      <w:r>
        <w:rPr>
          <w:rFonts w:hint="eastAsia" w:ascii="宋体" w:hAnsi="宋体" w:eastAsia="宋体" w:cs="宋体"/>
          <w:i w:val="0"/>
          <w:iCs w:val="0"/>
          <w:color w:val="auto"/>
          <w:sz w:val="24"/>
          <w:szCs w:val="24"/>
          <w:highlight w:val="none"/>
          <w:lang w:val="en-US" w:eastAsia="zh-CN"/>
        </w:rPr>
        <w:t>递交</w:t>
      </w:r>
      <w:r>
        <w:rPr>
          <w:rFonts w:hint="eastAsia" w:ascii="宋体" w:hAnsi="宋体" w:eastAsia="宋体" w:cs="宋体"/>
          <w:i w:val="0"/>
          <w:iCs w:val="0"/>
          <w:color w:val="auto"/>
          <w:sz w:val="24"/>
          <w:szCs w:val="24"/>
          <w:highlight w:val="none"/>
        </w:rPr>
        <w:t>响应文件截止时间到后，工作人员启动开始解密指令，供应商应当按照“供应商须知前附表”规定及时进行响应文件解密，完成响应文件开启工作。</w:t>
      </w:r>
    </w:p>
    <w:p w14:paraId="77684B06">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25.3规定的时间内，非因</w:t>
      </w:r>
      <w:r>
        <w:rPr>
          <w:rFonts w:hint="eastAsia" w:ascii="宋体" w:hAnsi="宋体" w:eastAsia="宋体" w:cs="宋体"/>
          <w:i w:val="0"/>
          <w:iCs w:val="0"/>
          <w:color w:val="auto"/>
          <w:sz w:val="24"/>
          <w:szCs w:val="24"/>
          <w:highlight w:val="none"/>
          <w:lang w:val="zh-CN" w:eastAsia="zh-CN"/>
        </w:rPr>
        <w:t>兵团政府采购电子交易云平台</w:t>
      </w:r>
      <w:r>
        <w:rPr>
          <w:rFonts w:hint="eastAsia" w:ascii="宋体" w:hAnsi="宋体" w:eastAsia="宋体" w:cs="宋体"/>
          <w:i w:val="0"/>
          <w:iCs w:val="0"/>
          <w:color w:val="auto"/>
          <w:sz w:val="24"/>
          <w:szCs w:val="24"/>
          <w:highlight w:val="none"/>
        </w:rPr>
        <w:t>原因造成响应文件未解密的，视为供应商撤回响应文件。停止解密后，已解密开启的响应文件不足3家的，应当终止采购活动。</w:t>
      </w:r>
    </w:p>
    <w:p w14:paraId="46075363">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25.4供应商或其授权代表对响应文件开启过程有疑义的，以及认为采购人、采购代理机构相关工作人员有需要回避的情形的，应在开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会议中提出询问或者回避申请。采购人、采购代理机构对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授权代表提出的询问或者回避申请应当及时处理。</w:t>
      </w:r>
    </w:p>
    <w:p w14:paraId="0486AA5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lang w:val="en-US" w:eastAsia="zh-CN"/>
        </w:rPr>
        <w:t>5供应商</w:t>
      </w:r>
      <w:r>
        <w:rPr>
          <w:rFonts w:hint="eastAsia" w:ascii="宋体" w:hAnsi="宋体" w:eastAsia="宋体" w:cs="宋体"/>
          <w:i w:val="0"/>
          <w:iCs w:val="0"/>
          <w:color w:val="auto"/>
          <w:sz w:val="24"/>
          <w:szCs w:val="24"/>
          <w:highlight w:val="none"/>
        </w:rPr>
        <w:t>未参加开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的，视同认可开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结果。</w:t>
      </w:r>
    </w:p>
    <w:bookmarkEnd w:id="284"/>
    <w:bookmarkEnd w:id="285"/>
    <w:bookmarkEnd w:id="286"/>
    <w:bookmarkEnd w:id="287"/>
    <w:bookmarkEnd w:id="288"/>
    <w:bookmarkEnd w:id="289"/>
    <w:bookmarkEnd w:id="290"/>
    <w:p w14:paraId="55D243EF">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4" w:name="_Toc163492854"/>
      <w:bookmarkStart w:id="295" w:name="_Toc155185877"/>
      <w:bookmarkStart w:id="296" w:name="_Toc140132785"/>
      <w:bookmarkStart w:id="297" w:name="_Toc25520"/>
      <w:r>
        <w:rPr>
          <w:rFonts w:hint="eastAsia" w:ascii="宋体" w:hAnsi="宋体" w:eastAsia="宋体" w:cs="宋体"/>
          <w:b/>
          <w:bCs/>
          <w:i w:val="0"/>
          <w:iCs w:val="0"/>
          <w:color w:val="auto"/>
          <w:kern w:val="2"/>
          <w:sz w:val="24"/>
          <w:szCs w:val="24"/>
          <w:highlight w:val="none"/>
          <w:lang w:val="en-US" w:eastAsia="zh-CN" w:bidi="ar-SA"/>
        </w:rPr>
        <w:t>（六）资格审查</w:t>
      </w:r>
      <w:bookmarkEnd w:id="294"/>
      <w:bookmarkEnd w:id="295"/>
      <w:bookmarkEnd w:id="296"/>
      <w:bookmarkEnd w:id="297"/>
    </w:p>
    <w:p w14:paraId="2C1B5FD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298" w:name="_Toc163492855"/>
      <w:r>
        <w:rPr>
          <w:rFonts w:hint="eastAsia" w:ascii="宋体" w:hAnsi="宋体" w:eastAsia="宋体" w:cs="宋体"/>
          <w:b/>
          <w:bCs/>
          <w:i w:val="0"/>
          <w:iCs w:val="0"/>
          <w:color w:val="auto"/>
          <w:kern w:val="2"/>
          <w:sz w:val="24"/>
          <w:szCs w:val="24"/>
          <w:highlight w:val="none"/>
          <w:lang w:val="en-US" w:eastAsia="zh-CN" w:bidi="ar-SA"/>
        </w:rPr>
        <w:t>26.资格审查及审查主体</w:t>
      </w:r>
      <w:bookmarkEnd w:id="298"/>
    </w:p>
    <w:p w14:paraId="3F6E8AD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299" w:name="_Toc140132786"/>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.1开</w:t>
      </w:r>
      <w:r>
        <w:rPr>
          <w:rFonts w:hint="eastAsia" w:ascii="宋体" w:hAnsi="宋体" w:eastAsia="宋体" w:cs="宋体"/>
          <w:i w:val="0"/>
          <w:iCs w:val="0"/>
          <w:color w:val="auto"/>
          <w:sz w:val="24"/>
          <w:szCs w:val="24"/>
          <w:highlight w:val="none"/>
          <w:lang w:val="en-US" w:eastAsia="zh-CN"/>
        </w:rPr>
        <w:t>启</w:t>
      </w:r>
      <w:r>
        <w:rPr>
          <w:rFonts w:hint="eastAsia" w:ascii="宋体" w:hAnsi="宋体" w:eastAsia="宋体" w:cs="宋体"/>
          <w:i w:val="0"/>
          <w:iCs w:val="0"/>
          <w:color w:val="auto"/>
          <w:sz w:val="24"/>
          <w:szCs w:val="24"/>
          <w:highlight w:val="none"/>
        </w:rPr>
        <w:t>结束后，</w:t>
      </w:r>
      <w:r>
        <w:rPr>
          <w:rFonts w:hint="eastAsia" w:ascii="宋体" w:hAnsi="宋体" w:eastAsia="宋体" w:cs="宋体"/>
          <w:i w:val="0"/>
          <w:iCs w:val="0"/>
          <w:color w:val="auto"/>
          <w:sz w:val="24"/>
          <w:szCs w:val="24"/>
          <w:highlight w:val="none"/>
          <w:lang w:val="en-US" w:eastAsia="zh-CN"/>
        </w:rPr>
        <w:t>磋商小组</w:t>
      </w:r>
      <w:r>
        <w:rPr>
          <w:rFonts w:hint="eastAsia" w:ascii="宋体" w:hAnsi="宋体" w:eastAsia="宋体" w:cs="宋体"/>
          <w:i w:val="0"/>
          <w:iCs w:val="0"/>
          <w:color w:val="auto"/>
          <w:sz w:val="24"/>
          <w:szCs w:val="24"/>
          <w:highlight w:val="none"/>
        </w:rPr>
        <w:t>依据法律法规和本</w:t>
      </w:r>
      <w:r>
        <w:rPr>
          <w:rFonts w:hint="eastAsia" w:ascii="宋体" w:hAnsi="宋体" w:eastAsia="宋体"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rPr>
        <w:t>文件的规定，依法对</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资格进行审查，以确定</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是否具备</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资格。</w:t>
      </w:r>
      <w:bookmarkEnd w:id="299"/>
    </w:p>
    <w:p w14:paraId="6F7626D3">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0" w:name="_Toc140132787"/>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.2资格审查按“第四章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snapToGrid w:val="0"/>
          <w:color w:val="auto"/>
          <w:sz w:val="24"/>
          <w:szCs w:val="24"/>
          <w:highlight w:val="none"/>
          <w:lang w:val="zh-CN"/>
        </w:rPr>
        <w:t>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r>
        <w:rPr>
          <w:rFonts w:hint="eastAsia" w:ascii="宋体" w:hAnsi="宋体" w:eastAsia="宋体" w:cs="宋体"/>
          <w:i w:val="0"/>
          <w:iCs w:val="0"/>
          <w:color w:val="auto"/>
          <w:sz w:val="24"/>
          <w:szCs w:val="24"/>
          <w:highlight w:val="none"/>
        </w:rPr>
        <w:t>”的规定进行。</w:t>
      </w:r>
      <w:bookmarkEnd w:id="300"/>
    </w:p>
    <w:p w14:paraId="44D43B82">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bookmarkStart w:id="301" w:name="_Toc140132788"/>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.3资格审查结束后，应及时对资格审查结果进行复核，对资格审查错误进行及时纠正并记录。</w:t>
      </w:r>
      <w:bookmarkEnd w:id="301"/>
    </w:p>
    <w:p w14:paraId="272F167A">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26.4</w:t>
      </w:r>
      <w:r>
        <w:rPr>
          <w:rFonts w:hint="eastAsia" w:ascii="宋体" w:hAnsi="宋体" w:eastAsia="宋体" w:cs="宋体"/>
          <w:i w:val="0"/>
          <w:iCs w:val="0"/>
          <w:color w:val="auto"/>
          <w:sz w:val="24"/>
          <w:szCs w:val="24"/>
          <w:highlight w:val="none"/>
        </w:rPr>
        <w:t>资格审查合格</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不足3家的，不得评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w:t>
      </w:r>
    </w:p>
    <w:p w14:paraId="7A1F7D21">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2" w:name="_Toc163492856"/>
      <w:bookmarkStart w:id="303" w:name="_Toc155185878"/>
      <w:bookmarkStart w:id="304" w:name="_Toc140132789"/>
      <w:bookmarkStart w:id="305" w:name="_Toc21173"/>
      <w:r>
        <w:rPr>
          <w:rFonts w:hint="eastAsia" w:ascii="宋体" w:hAnsi="宋体" w:eastAsia="宋体" w:cs="宋体"/>
          <w:b/>
          <w:bCs/>
          <w:i w:val="0"/>
          <w:iCs w:val="0"/>
          <w:color w:val="auto"/>
          <w:kern w:val="2"/>
          <w:sz w:val="24"/>
          <w:szCs w:val="24"/>
          <w:highlight w:val="none"/>
          <w:lang w:val="en-US" w:eastAsia="zh-CN" w:bidi="ar-SA"/>
        </w:rPr>
        <w:t>（七）项目评</w:t>
      </w:r>
      <w:bookmarkEnd w:id="302"/>
      <w:bookmarkEnd w:id="303"/>
      <w:bookmarkEnd w:id="304"/>
      <w:r>
        <w:rPr>
          <w:rFonts w:hint="eastAsia" w:ascii="宋体" w:hAnsi="宋体" w:eastAsia="宋体" w:cs="宋体"/>
          <w:b/>
          <w:bCs/>
          <w:i w:val="0"/>
          <w:iCs w:val="0"/>
          <w:color w:val="auto"/>
          <w:kern w:val="2"/>
          <w:sz w:val="24"/>
          <w:szCs w:val="24"/>
          <w:highlight w:val="none"/>
          <w:lang w:val="en-US" w:eastAsia="zh-CN" w:bidi="ar-SA"/>
        </w:rPr>
        <w:t>审</w:t>
      </w:r>
      <w:bookmarkEnd w:id="305"/>
    </w:p>
    <w:p w14:paraId="4C04DF4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27.评审方法、程序及标准</w:t>
      </w:r>
    </w:p>
    <w:p w14:paraId="0B5D7D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snapToGrid w:val="0"/>
          <w:color w:val="auto"/>
          <w:sz w:val="24"/>
          <w:szCs w:val="24"/>
          <w:highlight w:val="none"/>
          <w:lang w:val="en-US" w:eastAsia="zh-CN"/>
        </w:rPr>
        <w:t>评审方法：综合评分法。</w:t>
      </w:r>
    </w:p>
    <w:p w14:paraId="1D78CC98">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eastAsia="zh-CN"/>
        </w:rPr>
        <w:t>综合评分法，是指响应文件满足磋商文件全部实质性要求且按评审因素的量化指标评审得分最高的供应商为成交候选供应商的评审方法。</w:t>
      </w:r>
    </w:p>
    <w:p w14:paraId="51EDFC5F">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本</w:t>
      </w:r>
      <w:r>
        <w:rPr>
          <w:rFonts w:hint="eastAsia" w:ascii="宋体" w:hAnsi="宋体" w:eastAsia="宋体" w:cs="宋体"/>
          <w:i w:val="0"/>
          <w:iCs w:val="0"/>
          <w:snapToGrid w:val="0"/>
          <w:color w:val="auto"/>
          <w:sz w:val="24"/>
          <w:szCs w:val="24"/>
          <w:highlight w:val="none"/>
          <w:lang w:val="zh-CN"/>
        </w:rPr>
        <w:t>项目评审方法、程序及标准详见“第</w:t>
      </w:r>
      <w:r>
        <w:rPr>
          <w:rFonts w:hint="eastAsia" w:ascii="宋体" w:hAnsi="宋体" w:eastAsia="宋体" w:cs="宋体"/>
          <w:i w:val="0"/>
          <w:iCs w:val="0"/>
          <w:snapToGrid w:val="0"/>
          <w:color w:val="auto"/>
          <w:sz w:val="24"/>
          <w:szCs w:val="24"/>
          <w:highlight w:val="none"/>
          <w:lang w:val="en-US" w:eastAsia="zh-CN"/>
        </w:rPr>
        <w:t>四</w:t>
      </w:r>
      <w:r>
        <w:rPr>
          <w:rFonts w:hint="eastAsia" w:ascii="宋体" w:hAnsi="宋体" w:eastAsia="宋体" w:cs="宋体"/>
          <w:i w:val="0"/>
          <w:iCs w:val="0"/>
          <w:snapToGrid w:val="0"/>
          <w:color w:val="auto"/>
          <w:sz w:val="24"/>
          <w:szCs w:val="24"/>
          <w:highlight w:val="none"/>
          <w:lang w:val="zh-CN"/>
        </w:rPr>
        <w:t>章 评审</w:t>
      </w:r>
      <w:r>
        <w:rPr>
          <w:rFonts w:hint="eastAsia" w:ascii="宋体" w:hAnsi="宋体" w:eastAsia="宋体" w:cs="宋体"/>
          <w:i w:val="0"/>
          <w:iCs w:val="0"/>
          <w:snapToGrid w:val="0"/>
          <w:color w:val="auto"/>
          <w:sz w:val="24"/>
          <w:szCs w:val="24"/>
          <w:highlight w:val="none"/>
          <w:lang w:val="en-US" w:eastAsia="zh-CN"/>
        </w:rPr>
        <w:t>方</w:t>
      </w:r>
      <w:r>
        <w:rPr>
          <w:rFonts w:hint="eastAsia" w:ascii="宋体" w:hAnsi="宋体" w:eastAsia="宋体" w:cs="宋体"/>
          <w:i w:val="0"/>
          <w:iCs w:val="0"/>
          <w:snapToGrid w:val="0"/>
          <w:color w:val="auto"/>
          <w:sz w:val="24"/>
          <w:szCs w:val="24"/>
          <w:highlight w:val="none"/>
          <w:lang w:val="zh-CN"/>
        </w:rPr>
        <w:t>法及标准”。</w:t>
      </w:r>
    </w:p>
    <w:p w14:paraId="42E7A75C">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2</w:t>
      </w:r>
      <w:r>
        <w:rPr>
          <w:rFonts w:hint="eastAsia" w:ascii="宋体" w:hAnsi="宋体" w:eastAsia="宋体" w:cs="宋体"/>
          <w:i w:val="0"/>
          <w:iCs w:val="0"/>
          <w:snapToGrid w:val="0"/>
          <w:color w:val="auto"/>
          <w:sz w:val="24"/>
          <w:szCs w:val="24"/>
          <w:highlight w:val="none"/>
          <w:lang w:val="en-US" w:eastAsia="zh-CN"/>
        </w:rPr>
        <w:t>7</w:t>
      </w:r>
      <w:r>
        <w:rPr>
          <w:rFonts w:hint="eastAsia" w:ascii="宋体" w:hAnsi="宋体" w:eastAsia="宋体" w:cs="宋体"/>
          <w:i w:val="0"/>
          <w:iCs w:val="0"/>
          <w:snapToGrid w:val="0"/>
          <w:color w:val="auto"/>
          <w:sz w:val="24"/>
          <w:szCs w:val="24"/>
          <w:highlight w:val="none"/>
          <w:lang w:val="zh-CN"/>
        </w:rPr>
        <w:t>.2磋商准备：供应商应当按照“</w:t>
      </w:r>
      <w:r>
        <w:rPr>
          <w:rFonts w:hint="eastAsia" w:ascii="宋体" w:hAnsi="宋体" w:eastAsia="宋体" w:cs="宋体"/>
          <w:i w:val="0"/>
          <w:iCs w:val="0"/>
          <w:snapToGrid w:val="0"/>
          <w:color w:val="auto"/>
          <w:sz w:val="24"/>
          <w:szCs w:val="24"/>
          <w:highlight w:val="none"/>
          <w:lang w:val="zh-CN" w:eastAsia="zh-CN"/>
        </w:rPr>
        <w:t>第</w:t>
      </w:r>
      <w:r>
        <w:rPr>
          <w:rFonts w:hint="eastAsia" w:ascii="宋体" w:hAnsi="宋体" w:eastAsia="宋体" w:cs="宋体"/>
          <w:i w:val="0"/>
          <w:iCs w:val="0"/>
          <w:snapToGrid w:val="0"/>
          <w:color w:val="auto"/>
          <w:sz w:val="24"/>
          <w:szCs w:val="24"/>
          <w:highlight w:val="none"/>
          <w:lang w:val="en-US" w:eastAsia="zh-CN"/>
        </w:rPr>
        <w:t>二</w:t>
      </w:r>
      <w:r>
        <w:rPr>
          <w:rFonts w:hint="eastAsia" w:ascii="宋体" w:hAnsi="宋体" w:eastAsia="宋体" w:cs="宋体"/>
          <w:i w:val="0"/>
          <w:iCs w:val="0"/>
          <w:snapToGrid w:val="0"/>
          <w:color w:val="auto"/>
          <w:sz w:val="24"/>
          <w:szCs w:val="24"/>
          <w:highlight w:val="none"/>
          <w:lang w:val="zh-CN" w:eastAsia="zh-CN"/>
        </w:rPr>
        <w:t xml:space="preserve">章 </w:t>
      </w:r>
      <w:r>
        <w:rPr>
          <w:rFonts w:hint="eastAsia" w:ascii="宋体" w:hAnsi="宋体" w:eastAsia="宋体" w:cs="宋体"/>
          <w:i w:val="0"/>
          <w:iCs w:val="0"/>
          <w:snapToGrid w:val="0"/>
          <w:color w:val="auto"/>
          <w:sz w:val="24"/>
          <w:szCs w:val="24"/>
          <w:highlight w:val="none"/>
          <w:lang w:val="en-US" w:eastAsia="zh-CN"/>
        </w:rPr>
        <w:t>供应商须知</w:t>
      </w:r>
      <w:r>
        <w:rPr>
          <w:rFonts w:hint="eastAsia" w:ascii="宋体" w:hAnsi="宋体" w:eastAsia="宋体" w:cs="宋体"/>
          <w:i w:val="0"/>
          <w:iCs w:val="0"/>
          <w:snapToGrid w:val="0"/>
          <w:color w:val="auto"/>
          <w:sz w:val="24"/>
          <w:szCs w:val="24"/>
          <w:highlight w:val="none"/>
          <w:lang w:val="zh-CN"/>
        </w:rPr>
        <w:t>”</w:t>
      </w:r>
      <w:r>
        <w:rPr>
          <w:rFonts w:hint="eastAsia" w:ascii="宋体" w:hAnsi="宋体" w:eastAsia="宋体" w:cs="宋体"/>
          <w:i w:val="0"/>
          <w:iCs w:val="0"/>
          <w:snapToGrid w:val="0"/>
          <w:color w:val="auto"/>
          <w:sz w:val="24"/>
          <w:szCs w:val="24"/>
          <w:highlight w:val="none"/>
          <w:lang w:val="en-US" w:eastAsia="zh-CN"/>
        </w:rPr>
        <w:t>的</w:t>
      </w:r>
      <w:r>
        <w:rPr>
          <w:rFonts w:hint="eastAsia" w:ascii="宋体" w:hAnsi="宋体" w:eastAsia="宋体" w:cs="宋体"/>
          <w:i w:val="0"/>
          <w:iCs w:val="0"/>
          <w:snapToGrid w:val="0"/>
          <w:color w:val="auto"/>
          <w:sz w:val="24"/>
          <w:szCs w:val="24"/>
          <w:highlight w:val="none"/>
          <w:lang w:val="zh-CN"/>
        </w:rPr>
        <w:t>要求提前准备好磋商所需的设备，确保设备稳定可靠、互联网畅通。</w:t>
      </w:r>
      <w:r>
        <w:rPr>
          <w:rFonts w:hint="eastAsia" w:ascii="宋体" w:hAnsi="宋体" w:eastAsia="宋体" w:cs="宋体"/>
          <w:i w:val="0"/>
          <w:iCs w:val="0"/>
          <w:color w:val="auto"/>
          <w:sz w:val="24"/>
          <w:szCs w:val="24"/>
          <w:highlight w:val="none"/>
        </w:rPr>
        <w:t>供应商登录供应商客户端，</w:t>
      </w:r>
      <w:r>
        <w:rPr>
          <w:rFonts w:hint="eastAsia" w:ascii="宋体" w:hAnsi="宋体" w:eastAsia="宋体" w:cs="宋体"/>
          <w:i w:val="0"/>
          <w:iCs w:val="0"/>
          <w:snapToGrid w:val="0"/>
          <w:color w:val="auto"/>
          <w:sz w:val="24"/>
          <w:szCs w:val="24"/>
          <w:highlight w:val="none"/>
          <w:lang w:val="zh-CN"/>
        </w:rPr>
        <w:t>通过供应商客户端进入交易系统“</w:t>
      </w:r>
      <w:r>
        <w:rPr>
          <w:rFonts w:hint="eastAsia" w:ascii="宋体" w:hAnsi="宋体" w:eastAsia="宋体" w:cs="宋体"/>
          <w:i w:val="0"/>
          <w:iCs w:val="0"/>
          <w:snapToGrid w:val="0"/>
          <w:color w:val="auto"/>
          <w:sz w:val="24"/>
          <w:szCs w:val="24"/>
          <w:highlight w:val="none"/>
          <w:lang w:val="en-US" w:eastAsia="zh-CN"/>
        </w:rPr>
        <w:t>开</w:t>
      </w:r>
      <w:r>
        <w:rPr>
          <w:rFonts w:hint="eastAsia" w:ascii="宋体" w:hAnsi="宋体" w:eastAsia="宋体" w:cs="宋体"/>
          <w:i w:val="0"/>
          <w:iCs w:val="0"/>
          <w:snapToGrid w:val="0"/>
          <w:color w:val="auto"/>
          <w:sz w:val="24"/>
          <w:szCs w:val="24"/>
          <w:highlight w:val="none"/>
          <w:lang w:val="zh-CN"/>
        </w:rPr>
        <w:t>标大厅”，准时参加在线磋商，按照工作人员提示进行相关操作。未按上述要求进行的，导致的后果由供应商自行承担。</w:t>
      </w:r>
    </w:p>
    <w:p w14:paraId="21D93F4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6" w:name="_Toc140132790"/>
      <w:bookmarkStart w:id="307" w:name="_Toc163492857"/>
      <w:r>
        <w:rPr>
          <w:rFonts w:hint="eastAsia" w:ascii="宋体" w:hAnsi="宋体" w:eastAsia="宋体" w:cs="宋体"/>
          <w:b/>
          <w:bCs/>
          <w:i w:val="0"/>
          <w:iCs w:val="0"/>
          <w:color w:val="auto"/>
          <w:kern w:val="2"/>
          <w:sz w:val="24"/>
          <w:szCs w:val="24"/>
          <w:highlight w:val="none"/>
          <w:lang w:val="en-US" w:eastAsia="zh-CN" w:bidi="ar-SA"/>
        </w:rPr>
        <w:t>28.</w:t>
      </w:r>
      <w:bookmarkEnd w:id="306"/>
      <w:bookmarkEnd w:id="307"/>
      <w:r>
        <w:rPr>
          <w:rFonts w:hint="eastAsia" w:ascii="宋体" w:hAnsi="宋体" w:eastAsia="宋体" w:cs="宋体"/>
          <w:b/>
          <w:bCs/>
          <w:i w:val="0"/>
          <w:iCs w:val="0"/>
          <w:color w:val="auto"/>
          <w:kern w:val="2"/>
          <w:sz w:val="24"/>
          <w:szCs w:val="24"/>
          <w:highlight w:val="none"/>
          <w:lang w:val="en-US" w:eastAsia="zh-CN" w:bidi="ar-SA"/>
        </w:rPr>
        <w:t>磋商小组</w:t>
      </w:r>
    </w:p>
    <w:p w14:paraId="6C1089B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1CAD8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.2 磋商小组成员有下列情形之一的，应当回避：</w:t>
      </w:r>
    </w:p>
    <w:p w14:paraId="0656ACE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（1）参加采购活动前3年内与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存在劳动关系；</w:t>
      </w:r>
    </w:p>
    <w:p w14:paraId="55B6A1B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（2）参加采购活动前3年内担任</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的董事、监事；</w:t>
      </w:r>
    </w:p>
    <w:p w14:paraId="61A1D2B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（3）参加采购活动前3年内是</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的控股股东或者实际控制人；</w:t>
      </w:r>
    </w:p>
    <w:p w14:paraId="2961D582">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的法定代表人或者负责人有夫妻、直系血亲、三代以内旁系血亲或者近姻亲关系；</w:t>
      </w:r>
    </w:p>
    <w:p w14:paraId="20FB9B7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（5）与</w:t>
      </w:r>
      <w:r>
        <w:rPr>
          <w:rFonts w:hint="eastAsia" w:ascii="宋体" w:hAnsi="宋体" w:eastAsia="宋体" w:cs="宋体"/>
          <w:i w:val="0"/>
          <w:iCs w:val="0"/>
          <w:color w:val="auto"/>
          <w:sz w:val="24"/>
          <w:szCs w:val="24"/>
          <w:highlight w:val="none"/>
          <w:lang w:val="en-US" w:eastAsia="zh-CN"/>
        </w:rPr>
        <w:t>磋商供应商</w:t>
      </w:r>
      <w:r>
        <w:rPr>
          <w:rFonts w:hint="eastAsia" w:ascii="宋体" w:hAnsi="宋体" w:eastAsia="宋体" w:cs="宋体"/>
          <w:i w:val="0"/>
          <w:iCs w:val="0"/>
          <w:color w:val="auto"/>
          <w:sz w:val="24"/>
          <w:szCs w:val="24"/>
          <w:highlight w:val="none"/>
        </w:rPr>
        <w:t>有其他可能影响采购活动公平、公正进行的关系。</w:t>
      </w:r>
    </w:p>
    <w:p w14:paraId="25BEA5A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08" w:name="_Toc163492858"/>
      <w:bookmarkStart w:id="309" w:name="_Toc140132791"/>
      <w:r>
        <w:rPr>
          <w:rFonts w:hint="eastAsia" w:ascii="宋体" w:hAnsi="宋体" w:eastAsia="宋体" w:cs="宋体"/>
          <w:b/>
          <w:bCs/>
          <w:i w:val="0"/>
          <w:iCs w:val="0"/>
          <w:color w:val="auto"/>
          <w:kern w:val="2"/>
          <w:sz w:val="24"/>
          <w:szCs w:val="24"/>
          <w:highlight w:val="none"/>
          <w:lang w:val="en-US" w:eastAsia="zh-CN" w:bidi="ar-SA"/>
        </w:rPr>
        <w:t>29.</w:t>
      </w:r>
      <w:bookmarkEnd w:id="308"/>
      <w:bookmarkEnd w:id="309"/>
      <w:r>
        <w:rPr>
          <w:rFonts w:hint="eastAsia" w:ascii="宋体" w:hAnsi="宋体" w:eastAsia="宋体" w:cs="宋体"/>
          <w:b/>
          <w:bCs/>
          <w:i w:val="0"/>
          <w:iCs w:val="0"/>
          <w:color w:val="auto"/>
          <w:kern w:val="2"/>
          <w:sz w:val="24"/>
          <w:szCs w:val="24"/>
          <w:highlight w:val="none"/>
          <w:lang w:val="en-US" w:eastAsia="zh-CN" w:bidi="ar-SA"/>
        </w:rPr>
        <w:t>评审</w:t>
      </w:r>
    </w:p>
    <w:p w14:paraId="418DE4C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1 </w:t>
      </w:r>
      <w:r>
        <w:rPr>
          <w:rFonts w:hint="eastAsia" w:ascii="宋体" w:hAnsi="宋体" w:eastAsia="宋体" w:cs="宋体"/>
          <w:i w:val="0"/>
          <w:iCs w:val="0"/>
          <w:color w:val="auto"/>
          <w:sz w:val="24"/>
          <w:szCs w:val="24"/>
          <w:highlight w:val="none"/>
        </w:rPr>
        <w:t>磋商小组按照“第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w:t>
      </w:r>
      <w:r>
        <w:rPr>
          <w:rFonts w:hint="eastAsia" w:ascii="宋体" w:hAnsi="宋体" w:eastAsia="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rPr>
        <w:t>规定对</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文件进行评审。“第</w:t>
      </w:r>
      <w:r>
        <w:rPr>
          <w:rFonts w:hint="eastAsia" w:ascii="宋体" w:hAnsi="宋体" w:eastAsia="宋体" w:cs="宋体"/>
          <w:i w:val="0"/>
          <w:iCs w:val="0"/>
          <w:color w:val="auto"/>
          <w:sz w:val="24"/>
          <w:szCs w:val="24"/>
          <w:highlight w:val="none"/>
          <w:lang w:val="en-US" w:eastAsia="zh-CN"/>
        </w:rPr>
        <w:t>四</w:t>
      </w:r>
      <w:r>
        <w:rPr>
          <w:rFonts w:hint="eastAsia" w:ascii="宋体" w:hAnsi="宋体" w:eastAsia="宋体" w:cs="宋体"/>
          <w:i w:val="0"/>
          <w:iCs w:val="0"/>
          <w:color w:val="auto"/>
          <w:sz w:val="24"/>
          <w:szCs w:val="24"/>
          <w:highlight w:val="none"/>
        </w:rPr>
        <w:t>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方法及标准”没有规定的方法、评审因素和标准，不作为评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依据。</w:t>
      </w:r>
    </w:p>
    <w:p w14:paraId="1A9007D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 xml:space="preserve">2 </w:t>
      </w:r>
      <w:r>
        <w:rPr>
          <w:rFonts w:hint="eastAsia" w:ascii="宋体" w:hAnsi="宋体" w:eastAsia="宋体" w:cs="宋体"/>
          <w:i w:val="0"/>
          <w:iCs w:val="0"/>
          <w:color w:val="auto"/>
          <w:sz w:val="24"/>
          <w:szCs w:val="24"/>
          <w:highlight w:val="none"/>
        </w:rPr>
        <w:t>磋商小组按“</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须知前附表”规定的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候选人数量在评</w:t>
      </w:r>
      <w:r>
        <w:rPr>
          <w:rFonts w:hint="eastAsia" w:ascii="宋体" w:hAnsi="宋体" w:eastAsia="宋体" w:cs="宋体"/>
          <w:i w:val="0"/>
          <w:iCs w:val="0"/>
          <w:color w:val="auto"/>
          <w:sz w:val="24"/>
          <w:szCs w:val="24"/>
          <w:highlight w:val="none"/>
          <w:lang w:val="en-US" w:eastAsia="zh-CN"/>
        </w:rPr>
        <w:t>审</w:t>
      </w:r>
      <w:r>
        <w:rPr>
          <w:rFonts w:hint="eastAsia" w:ascii="宋体" w:hAnsi="宋体" w:eastAsia="宋体" w:cs="宋体"/>
          <w:i w:val="0"/>
          <w:iCs w:val="0"/>
          <w:color w:val="auto"/>
          <w:sz w:val="24"/>
          <w:szCs w:val="24"/>
          <w:highlight w:val="none"/>
        </w:rPr>
        <w:t>报告中向采购人推荐</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候选人。</w:t>
      </w:r>
    </w:p>
    <w:p w14:paraId="1E63454C">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29.3 开启之后，直到签订合同止，凡是属于审查、澄清、评价和比较磋商的有关资料以及确定成交意向等，均不得向供应商或者其他与评审无关的人员透露。</w:t>
      </w:r>
    </w:p>
    <w:p w14:paraId="57927CBE">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29.4 在确定成交人之前，供应商试图在响应文件审查、澄清、比较和评审时对</w:t>
      </w:r>
      <w:r>
        <w:rPr>
          <w:rFonts w:hint="eastAsia" w:ascii="宋体" w:hAnsi="宋体" w:eastAsia="宋体" w:cs="宋体"/>
          <w:i w:val="0"/>
          <w:iCs w:val="0"/>
          <w:color w:val="auto"/>
          <w:sz w:val="24"/>
          <w:szCs w:val="24"/>
          <w:highlight w:val="none"/>
        </w:rPr>
        <w:t>磋商小组</w:t>
      </w:r>
      <w:r>
        <w:rPr>
          <w:rFonts w:hint="eastAsia" w:ascii="宋体" w:hAnsi="宋体" w:eastAsia="宋体" w:cs="宋体"/>
          <w:i w:val="0"/>
          <w:iCs w:val="0"/>
          <w:color w:val="auto"/>
          <w:sz w:val="24"/>
          <w:szCs w:val="24"/>
          <w:highlight w:val="none"/>
          <w:lang w:val="en-US" w:eastAsia="zh-CN"/>
        </w:rPr>
        <w:t>、采购人和采购代理机构施加任何影响都可能导致其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i w:val="0"/>
          <w:iCs w:val="0"/>
          <w:color w:val="auto"/>
          <w:sz w:val="24"/>
          <w:szCs w:val="24"/>
          <w:highlight w:val="none"/>
          <w:lang w:val="en-US" w:eastAsia="zh-CN"/>
        </w:rPr>
        <w:t>。</w:t>
      </w:r>
    </w:p>
    <w:p w14:paraId="32A3200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 电子招投标的应急措施</w:t>
      </w:r>
    </w:p>
    <w:p w14:paraId="52525CD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29.5.1电子开启、评审如出现下列原因，导致系统无法正常运行或无法正常评审时，应采取应急措施。</w:t>
      </w:r>
    </w:p>
    <w:p w14:paraId="3D99F562">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（1）系统服务器发生故障，无法访问或无法使用系统；</w:t>
      </w:r>
    </w:p>
    <w:p w14:paraId="518B308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（2）系统的软件或数据库出现错误，不能进行正常操作；</w:t>
      </w:r>
    </w:p>
    <w:p w14:paraId="657BA7B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（3）系统发现有安全漏洞，有潜在的泄密危险；</w:t>
      </w:r>
    </w:p>
    <w:p w14:paraId="26B1539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（4）病毒发作或受到外来病毒的攻击；</w:t>
      </w:r>
    </w:p>
    <w:p w14:paraId="6BCA43D9">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（5）出现其他不可抗拒的客观原因造成开评标系统无法正常使用。</w:t>
      </w:r>
    </w:p>
    <w:p w14:paraId="2BA3CE0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出现上述情况时，应对未开启的暂停开启。已在系统内开启、评审的立即停止。采取应急措施时，必须对原有资料及信息作出妥善保密处理。</w:t>
      </w:r>
    </w:p>
    <w:p w14:paraId="791CC4F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29.5.2因系统原因导致供应商均无法解密电子响应文件时，采购代理机构可在开启现场直接导入供应商在递交响应文件截止时间前递交的未加密的电子响应文件进行开启、评审。</w:t>
      </w:r>
    </w:p>
    <w:p w14:paraId="28CD45E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 供应商瑕疵滞后发现的处理规则</w:t>
      </w:r>
    </w:p>
    <w:p w14:paraId="11E85EA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29.6.1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5000462B">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0" w:name="_Toc109899563"/>
      <w:bookmarkStart w:id="311" w:name="_Toc109897464"/>
      <w:bookmarkStart w:id="312" w:name="_Toc163493616"/>
      <w:bookmarkStart w:id="313" w:name="_Toc109900401"/>
      <w:bookmarkStart w:id="314" w:name="_Toc46771670"/>
      <w:bookmarkStart w:id="315" w:name="_Toc470172692"/>
      <w:bookmarkStart w:id="316" w:name="_Toc6316"/>
      <w:bookmarkStart w:id="317" w:name="_Toc109899982"/>
      <w:r>
        <w:rPr>
          <w:rFonts w:hint="eastAsia" w:ascii="宋体" w:hAnsi="宋体" w:eastAsia="宋体" w:cs="宋体"/>
          <w:b/>
          <w:bCs/>
          <w:i w:val="0"/>
          <w:iCs w:val="0"/>
          <w:color w:val="auto"/>
          <w:kern w:val="2"/>
          <w:sz w:val="24"/>
          <w:szCs w:val="24"/>
          <w:highlight w:val="none"/>
          <w:lang w:val="en-US" w:eastAsia="zh-CN" w:bidi="ar-SA"/>
        </w:rPr>
        <w:t>（八）成交</w:t>
      </w:r>
      <w:bookmarkEnd w:id="310"/>
      <w:bookmarkEnd w:id="311"/>
      <w:bookmarkEnd w:id="312"/>
      <w:bookmarkEnd w:id="313"/>
      <w:bookmarkEnd w:id="314"/>
      <w:bookmarkEnd w:id="315"/>
      <w:bookmarkEnd w:id="316"/>
      <w:bookmarkEnd w:id="317"/>
    </w:p>
    <w:p w14:paraId="59C81E92">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18" w:name="_Toc48846140"/>
      <w:bookmarkStart w:id="319" w:name="_Toc109900402"/>
      <w:bookmarkStart w:id="320" w:name="_Toc52960584"/>
      <w:bookmarkStart w:id="321" w:name="_Toc51674242"/>
      <w:bookmarkStart w:id="322" w:name="_Toc48688820"/>
      <w:bookmarkStart w:id="323" w:name="_Toc52962758"/>
      <w:bookmarkStart w:id="324" w:name="_Toc46771671"/>
      <w:bookmarkStart w:id="325" w:name="_Toc109897465"/>
      <w:bookmarkStart w:id="326" w:name="_Toc46772272"/>
      <w:bookmarkStart w:id="327" w:name="_Toc109899983"/>
      <w:bookmarkStart w:id="328" w:name="_Toc109899564"/>
      <w:bookmarkStart w:id="329" w:name="_Hlk143533953"/>
      <w:r>
        <w:rPr>
          <w:rFonts w:hint="eastAsia" w:ascii="宋体" w:hAnsi="宋体" w:eastAsia="宋体" w:cs="宋体"/>
          <w:b/>
          <w:bCs/>
          <w:i w:val="0"/>
          <w:iCs w:val="0"/>
          <w:color w:val="auto"/>
          <w:kern w:val="2"/>
          <w:sz w:val="24"/>
          <w:szCs w:val="24"/>
          <w:highlight w:val="none"/>
          <w:lang w:val="en-US" w:eastAsia="zh-CN" w:bidi="ar-SA"/>
        </w:rPr>
        <w:t>30.确定成交供应商</w:t>
      </w:r>
      <w:bookmarkEnd w:id="318"/>
      <w:bookmarkEnd w:id="319"/>
      <w:bookmarkEnd w:id="320"/>
      <w:bookmarkEnd w:id="321"/>
      <w:bookmarkEnd w:id="322"/>
      <w:bookmarkEnd w:id="323"/>
      <w:bookmarkEnd w:id="324"/>
      <w:bookmarkEnd w:id="325"/>
      <w:bookmarkEnd w:id="326"/>
      <w:bookmarkEnd w:id="327"/>
      <w:bookmarkEnd w:id="328"/>
    </w:p>
    <w:p w14:paraId="2A96CF82">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30</w:t>
      </w:r>
      <w:r>
        <w:rPr>
          <w:rFonts w:hint="eastAsia" w:ascii="宋体" w:hAnsi="宋体" w:eastAsia="宋体" w:cs="宋体"/>
          <w:i w:val="0"/>
          <w:iCs w:val="0"/>
          <w:snapToGrid w:val="0"/>
          <w:color w:val="auto"/>
          <w:sz w:val="24"/>
          <w:szCs w:val="24"/>
          <w:highlight w:val="none"/>
          <w:lang w:val="zh-CN"/>
        </w:rPr>
        <w:t>.1确定成交供应商详见”供应商须知前附表”。</w:t>
      </w:r>
    </w:p>
    <w:p w14:paraId="4B64349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31.成交结果公告</w:t>
      </w:r>
    </w:p>
    <w:p w14:paraId="32E98E3A">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i w:val="0"/>
          <w:iCs w:val="0"/>
          <w:snapToGrid w:val="0"/>
          <w:color w:val="auto"/>
          <w:sz w:val="24"/>
          <w:szCs w:val="24"/>
          <w:highlight w:val="none"/>
          <w:lang w:val="en-US" w:eastAsia="zh-CN"/>
        </w:rPr>
        <w:t>31</w:t>
      </w:r>
      <w:r>
        <w:rPr>
          <w:rFonts w:hint="eastAsia" w:ascii="宋体" w:hAnsi="宋体" w:eastAsia="宋体" w:cs="宋体"/>
          <w:i w:val="0"/>
          <w:iCs w:val="0"/>
          <w:snapToGrid w:val="0"/>
          <w:color w:val="auto"/>
          <w:sz w:val="24"/>
          <w:szCs w:val="24"/>
          <w:highlight w:val="none"/>
          <w:lang w:val="zh-CN"/>
        </w:rPr>
        <w:t>.1</w:t>
      </w:r>
      <w:r>
        <w:rPr>
          <w:rFonts w:hint="eastAsia" w:ascii="宋体" w:hAnsi="宋体" w:eastAsia="宋体" w:cs="宋体"/>
          <w:i w:val="0"/>
          <w:iCs w:val="0"/>
          <w:color w:val="auto"/>
          <w:sz w:val="24"/>
          <w:szCs w:val="24"/>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auto"/>
          <w:sz w:val="24"/>
          <w:szCs w:val="24"/>
          <w:highlight w:val="none"/>
          <w:lang w:eastAsia="zh-CN" w:bidi="ar"/>
        </w:rPr>
        <w:t>、</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供应商的评审总得分</w:t>
      </w:r>
      <w:r>
        <w:rPr>
          <w:rFonts w:hint="eastAsia" w:ascii="宋体" w:hAnsi="宋体" w:eastAsia="宋体" w:cs="宋体"/>
          <w:i w:val="0"/>
          <w:iCs w:val="0"/>
          <w:color w:val="auto"/>
          <w:sz w:val="24"/>
          <w:szCs w:val="24"/>
          <w:highlight w:val="none"/>
          <w:lang w:bidi="ar"/>
        </w:rPr>
        <w:t>随成交结果同时公告。</w:t>
      </w:r>
    </w:p>
    <w:p w14:paraId="25AD9E9E">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bidi="ar"/>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1</w:t>
      </w:r>
      <w:r>
        <w:rPr>
          <w:rFonts w:hint="eastAsia" w:ascii="宋体" w:hAnsi="宋体" w:eastAsia="宋体" w:cs="宋体"/>
          <w:bCs/>
          <w:i w:val="0"/>
          <w:iCs w:val="0"/>
          <w:color w:val="auto"/>
          <w:sz w:val="24"/>
          <w:szCs w:val="24"/>
          <w:highlight w:val="none"/>
        </w:rPr>
        <w:t>.2</w:t>
      </w:r>
      <w:r>
        <w:rPr>
          <w:rFonts w:hint="eastAsia" w:ascii="宋体" w:hAnsi="宋体" w:eastAsia="宋体" w:cs="宋体"/>
          <w:bCs/>
          <w:i w:val="0"/>
          <w:iCs w:val="0"/>
          <w:color w:val="auto"/>
          <w:sz w:val="24"/>
          <w:szCs w:val="24"/>
          <w:highlight w:val="none"/>
          <w:lang w:eastAsia="zh-CN"/>
        </w:rPr>
        <w:t>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为中小企业</w:t>
      </w:r>
      <w:r>
        <w:rPr>
          <w:rFonts w:hint="eastAsia" w:ascii="宋体" w:hAnsi="宋体" w:eastAsia="宋体" w:cs="宋体"/>
          <w:bCs/>
          <w:i w:val="0"/>
          <w:iCs w:val="0"/>
          <w:color w:val="auto"/>
          <w:sz w:val="24"/>
          <w:szCs w:val="24"/>
          <w:highlight w:val="none"/>
          <w:lang w:val="en-US" w:eastAsia="zh-CN"/>
        </w:rPr>
        <w:t>享受中小企业扶持政策的</w:t>
      </w:r>
      <w:r>
        <w:rPr>
          <w:rFonts w:hint="eastAsia" w:ascii="宋体" w:hAnsi="宋体" w:eastAsia="宋体" w:cs="宋体"/>
          <w:bCs/>
          <w:i w:val="0"/>
          <w:iCs w:val="0"/>
          <w:color w:val="auto"/>
          <w:sz w:val="24"/>
          <w:szCs w:val="24"/>
          <w:highlight w:val="none"/>
          <w:lang w:eastAsia="zh-CN"/>
        </w:rPr>
        <w:t>，其“中小企业声明函”随成交结果同时公告。成交</w:t>
      </w:r>
      <w:r>
        <w:rPr>
          <w:rFonts w:hint="eastAsia" w:ascii="宋体" w:hAnsi="宋体" w:eastAsia="宋体" w:cs="宋体"/>
          <w:bCs/>
          <w:i w:val="0"/>
          <w:iCs w:val="0"/>
          <w:color w:val="auto"/>
          <w:sz w:val="24"/>
          <w:szCs w:val="24"/>
          <w:highlight w:val="none"/>
          <w:lang w:val="en-US" w:eastAsia="zh-CN"/>
        </w:rPr>
        <w:t>人</w:t>
      </w:r>
      <w:r>
        <w:rPr>
          <w:rFonts w:hint="eastAsia" w:ascii="宋体" w:hAnsi="宋体" w:eastAsia="宋体" w:cs="宋体"/>
          <w:bCs/>
          <w:i w:val="0"/>
          <w:iCs w:val="0"/>
          <w:color w:val="auto"/>
          <w:sz w:val="24"/>
          <w:szCs w:val="24"/>
          <w:highlight w:val="none"/>
          <w:lang w:eastAsia="zh-CN"/>
        </w:rPr>
        <w:t>为残疾人福利性单位的，其“残疾人福利性单位声明函”随成交结果同时公告。</w:t>
      </w:r>
    </w:p>
    <w:p w14:paraId="4CB6B36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32.成交通知书</w:t>
      </w:r>
    </w:p>
    <w:p w14:paraId="3F3AC502">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en-US" w:eastAsia="zh-CN"/>
        </w:rPr>
        <w:t>32</w:t>
      </w:r>
      <w:r>
        <w:rPr>
          <w:rFonts w:hint="eastAsia" w:ascii="宋体" w:hAnsi="宋体" w:eastAsia="宋体" w:cs="宋体"/>
          <w:i w:val="0"/>
          <w:iCs w:val="0"/>
          <w:snapToGrid w:val="0"/>
          <w:color w:val="auto"/>
          <w:sz w:val="24"/>
          <w:szCs w:val="24"/>
          <w:highlight w:val="none"/>
          <w:lang w:val="zh-CN"/>
        </w:rPr>
        <w:t>.1发布成交结果公告同时向成交供应商发出成交通知书。成交通知书是合同的组成部分,对成交供应商和采购人具有同等法律效力。</w:t>
      </w:r>
    </w:p>
    <w:p w14:paraId="3E2C2D81">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0" w:name="_Toc163493617"/>
      <w:bookmarkStart w:id="331" w:name="_Toc2979"/>
      <w:r>
        <w:rPr>
          <w:rFonts w:hint="eastAsia" w:ascii="宋体" w:hAnsi="宋体" w:eastAsia="宋体" w:cs="宋体"/>
          <w:b/>
          <w:bCs/>
          <w:i w:val="0"/>
          <w:iCs w:val="0"/>
          <w:color w:val="auto"/>
          <w:kern w:val="2"/>
          <w:sz w:val="24"/>
          <w:szCs w:val="24"/>
          <w:highlight w:val="none"/>
          <w:lang w:val="en-US" w:eastAsia="zh-CN" w:bidi="ar-SA"/>
        </w:rPr>
        <w:t>（九）签订合同</w:t>
      </w:r>
      <w:bookmarkEnd w:id="330"/>
      <w:bookmarkEnd w:id="331"/>
    </w:p>
    <w:p w14:paraId="6F871425">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32" w:name="_Toc52960585"/>
      <w:bookmarkStart w:id="333" w:name="_Toc46771672"/>
      <w:bookmarkStart w:id="334" w:name="_Toc109899984"/>
      <w:bookmarkStart w:id="335" w:name="_Toc52962759"/>
      <w:bookmarkStart w:id="336" w:name="_Toc46772273"/>
      <w:bookmarkStart w:id="337" w:name="_Toc109897466"/>
      <w:bookmarkStart w:id="338" w:name="_Toc109899565"/>
      <w:bookmarkStart w:id="339" w:name="_Toc51674243"/>
      <w:bookmarkStart w:id="340" w:name="_Toc48846141"/>
      <w:bookmarkStart w:id="341" w:name="_Toc109900403"/>
      <w:bookmarkStart w:id="342" w:name="_Toc48688821"/>
      <w:r>
        <w:rPr>
          <w:rFonts w:hint="eastAsia" w:ascii="宋体" w:hAnsi="宋体" w:eastAsia="宋体" w:cs="宋体"/>
          <w:b/>
          <w:bCs/>
          <w:i w:val="0"/>
          <w:iCs w:val="0"/>
          <w:color w:val="auto"/>
          <w:kern w:val="2"/>
          <w:sz w:val="24"/>
          <w:szCs w:val="24"/>
          <w:highlight w:val="none"/>
          <w:lang w:val="en-US" w:eastAsia="zh-CN" w:bidi="ar-SA"/>
        </w:rPr>
        <w:t>33.履约保证金</w:t>
      </w:r>
    </w:p>
    <w:p w14:paraId="2934878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.1在签订合同前，成交供应商应按“供应商须知前附表”规定的金额、担保形式和采购人认可的履约担保格式向采购人提交履约保证金。</w:t>
      </w:r>
    </w:p>
    <w:p w14:paraId="429BB4A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.2成交供应商不能按本章第3</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.1项要求提交履约担保的，视为放弃成交，给采购人造成损失的，成交供应商还应当承担民事责任。</w:t>
      </w:r>
    </w:p>
    <w:p w14:paraId="2B0382DC">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34.签订合同</w:t>
      </w:r>
      <w:bookmarkEnd w:id="332"/>
      <w:bookmarkEnd w:id="333"/>
      <w:bookmarkEnd w:id="334"/>
      <w:bookmarkEnd w:id="335"/>
      <w:bookmarkEnd w:id="336"/>
      <w:bookmarkEnd w:id="337"/>
      <w:bookmarkEnd w:id="338"/>
      <w:bookmarkEnd w:id="339"/>
      <w:bookmarkEnd w:id="340"/>
      <w:bookmarkEnd w:id="341"/>
      <w:bookmarkEnd w:id="342"/>
    </w:p>
    <w:p w14:paraId="77507EBB">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zh-CN"/>
        </w:rPr>
        <w:t>3</w:t>
      </w:r>
      <w:r>
        <w:rPr>
          <w:rFonts w:hint="eastAsia" w:ascii="宋体" w:hAnsi="宋体" w:eastAsia="宋体" w:cs="宋体"/>
          <w:i w:val="0"/>
          <w:iCs w:val="0"/>
          <w:snapToGrid w:val="0"/>
          <w:color w:val="auto"/>
          <w:sz w:val="24"/>
          <w:szCs w:val="24"/>
          <w:highlight w:val="none"/>
          <w:lang w:val="en-US" w:eastAsia="zh-CN"/>
        </w:rPr>
        <w:t>4</w:t>
      </w:r>
      <w:r>
        <w:rPr>
          <w:rFonts w:hint="eastAsia" w:ascii="宋体" w:hAnsi="宋体" w:eastAsia="宋体" w:cs="宋体"/>
          <w:i w:val="0"/>
          <w:iCs w:val="0"/>
          <w:snapToGrid w:val="0"/>
          <w:color w:val="auto"/>
          <w:sz w:val="24"/>
          <w:szCs w:val="24"/>
          <w:highlight w:val="none"/>
          <w:lang w:val="zh-CN"/>
        </w:rPr>
        <w:t>.1采购人与成交供应商应当在成交通知书发出之日起</w:t>
      </w:r>
      <w:r>
        <w:rPr>
          <w:rFonts w:hint="eastAsia" w:ascii="宋体" w:hAnsi="宋体" w:eastAsia="宋体" w:cs="宋体"/>
          <w:i w:val="0"/>
          <w:iCs w:val="0"/>
          <w:snapToGrid w:val="0"/>
          <w:color w:val="auto"/>
          <w:sz w:val="24"/>
          <w:szCs w:val="24"/>
          <w:highlight w:val="none"/>
          <w:lang w:val="en-US" w:eastAsia="zh-CN"/>
        </w:rPr>
        <w:t>25</w:t>
      </w:r>
      <w:r>
        <w:rPr>
          <w:rFonts w:hint="eastAsia" w:ascii="宋体" w:hAnsi="宋体" w:eastAsia="宋体" w:cs="宋体"/>
          <w:i w:val="0"/>
          <w:iCs w:val="0"/>
          <w:snapToGrid w:val="0"/>
          <w:color w:val="auto"/>
          <w:sz w:val="24"/>
          <w:szCs w:val="24"/>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auto"/>
          <w:sz w:val="24"/>
          <w:szCs w:val="24"/>
          <w:highlight w:val="none"/>
        </w:rPr>
        <w:t>采购人因不可抗力原因迟延签订合同的，应当自不可抗力事由消除之日起7日内完成合同签订事宜。所签订的合同不得对</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文件和</w:t>
      </w:r>
      <w:r>
        <w:rPr>
          <w:rFonts w:hint="eastAsia" w:ascii="宋体" w:hAnsi="宋体" w:eastAsia="宋体" w:cs="宋体"/>
          <w:i w:val="0"/>
          <w:iCs w:val="0"/>
          <w:color w:val="auto"/>
          <w:sz w:val="24"/>
          <w:szCs w:val="24"/>
          <w:highlight w:val="none"/>
          <w:lang w:val="en-US" w:eastAsia="zh-CN"/>
        </w:rPr>
        <w:t>成交供应商响应</w:t>
      </w:r>
      <w:r>
        <w:rPr>
          <w:rFonts w:hint="eastAsia" w:ascii="宋体" w:hAnsi="宋体" w:eastAsia="宋体" w:cs="宋体"/>
          <w:i w:val="0"/>
          <w:iCs w:val="0"/>
          <w:color w:val="auto"/>
          <w:sz w:val="24"/>
          <w:szCs w:val="24"/>
          <w:highlight w:val="none"/>
        </w:rPr>
        <w:t>文件作实质性修改。</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人无正当理由拒签合同，给采购人造成损失的，</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人还应当承担民事责任。</w:t>
      </w:r>
    </w:p>
    <w:p w14:paraId="631AC2E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zh-CN"/>
        </w:rPr>
        <w:t>成交供应商拒绝签订政府采购合同的，采购人可以</w:t>
      </w:r>
      <w:r>
        <w:rPr>
          <w:rFonts w:hint="eastAsia" w:ascii="宋体" w:hAnsi="宋体" w:eastAsia="宋体" w:cs="宋体"/>
          <w:i w:val="0"/>
          <w:iCs w:val="0"/>
          <w:color w:val="auto"/>
          <w:sz w:val="24"/>
          <w:szCs w:val="24"/>
          <w:highlight w:val="none"/>
          <w:lang w:val="en-US" w:eastAsia="zh-CN"/>
        </w:rPr>
        <w:t>按照</w:t>
      </w:r>
      <w:r>
        <w:rPr>
          <w:rFonts w:hint="eastAsia" w:ascii="宋体" w:hAnsi="宋体" w:eastAsia="宋体" w:cs="宋体"/>
          <w:i w:val="0"/>
          <w:iCs w:val="0"/>
          <w:color w:val="auto"/>
          <w:sz w:val="24"/>
          <w:szCs w:val="24"/>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116F4558">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bCs/>
          <w:i w:val="0"/>
          <w:iCs w:val="0"/>
          <w:color w:val="auto"/>
          <w:sz w:val="24"/>
          <w:szCs w:val="24"/>
          <w:highlight w:val="none"/>
        </w:rPr>
        <w:t>.3</w:t>
      </w:r>
      <w:r>
        <w:rPr>
          <w:rFonts w:hint="eastAsia" w:ascii="宋体" w:hAnsi="宋体" w:eastAsia="宋体" w:cs="宋体"/>
          <w:i w:val="0"/>
          <w:iCs w:val="0"/>
          <w:color w:val="auto"/>
          <w:sz w:val="24"/>
          <w:szCs w:val="24"/>
          <w:highlight w:val="none"/>
        </w:rPr>
        <w:t>采购人和</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供应商不得向对方提出任何不合理的要求，作为签订合同的条件，双方不得私下订立背离合同实质性内容的协议。</w:t>
      </w:r>
    </w:p>
    <w:p w14:paraId="1585C775">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34.4联合体成交的，联合体各方应当共同与采购人签订合同，就采购合同约定的事项向采购人承担连带责任。</w:t>
      </w:r>
    </w:p>
    <w:p w14:paraId="53A85602">
      <w:pPr>
        <w:pStyle w:val="41"/>
        <w:keepNext w:val="0"/>
        <w:keepLines w:val="0"/>
        <w:pageBreakBefore w:val="0"/>
        <w:widowControl w:val="0"/>
        <w:kinsoku/>
        <w:overflowPunct/>
        <w:topLinePunct w:val="0"/>
        <w:bidi w:val="0"/>
        <w:ind w:firstLine="48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34.5本项目的非主体、非关键性工作是否允许分包，见“供应商须知前附表”。</w:t>
      </w:r>
      <w:r>
        <w:rPr>
          <w:rFonts w:hint="eastAsia" w:ascii="宋体" w:hAnsi="宋体" w:eastAsia="宋体" w:cs="宋体"/>
          <w:i w:val="0"/>
          <w:iCs w:val="0"/>
          <w:color w:val="auto"/>
          <w:sz w:val="24"/>
          <w:szCs w:val="24"/>
          <w:highlight w:val="none"/>
        </w:rPr>
        <w:t>供应商未遵守竞争性磋商文件分包规定的，其</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auto"/>
          <w:sz w:val="24"/>
          <w:szCs w:val="24"/>
          <w:highlight w:val="none"/>
          <w:lang w:val="en-US" w:eastAsia="zh-CN"/>
        </w:rPr>
        <w:t>成交无效</w:t>
      </w:r>
      <w:r>
        <w:rPr>
          <w:rFonts w:hint="eastAsia" w:ascii="宋体" w:hAnsi="宋体" w:eastAsia="宋体" w:cs="宋体"/>
          <w:i w:val="0"/>
          <w:iCs w:val="0"/>
          <w:color w:val="auto"/>
          <w:sz w:val="24"/>
          <w:szCs w:val="24"/>
          <w:highlight w:val="none"/>
          <w:lang w:val="en-US" w:eastAsia="zh-CN"/>
        </w:rPr>
        <w:t>。成交供应商就采购项目和分包项目向采购人负责，分包供应商就分包项目承担责任。</w:t>
      </w:r>
      <w:r>
        <w:rPr>
          <w:rFonts w:hint="eastAsia" w:ascii="宋体" w:hAnsi="宋体" w:eastAsia="宋体" w:cs="宋体"/>
          <w:b/>
          <w:bCs/>
          <w:i w:val="0"/>
          <w:iCs w:val="0"/>
          <w:color w:val="auto"/>
          <w:sz w:val="24"/>
          <w:szCs w:val="24"/>
          <w:highlight w:val="none"/>
          <w:lang w:val="en-US" w:eastAsia="zh-CN"/>
        </w:rPr>
        <w:t>政府采购合同不能转包。</w:t>
      </w:r>
    </w:p>
    <w:p w14:paraId="1346853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采购合同履行中，采购人需追加与合同标的相同的</w:t>
      </w:r>
      <w:r>
        <w:rPr>
          <w:rFonts w:hint="eastAsia" w:ascii="宋体" w:hAnsi="宋体" w:eastAsia="宋体" w:cs="宋体"/>
          <w:i w:val="0"/>
          <w:iCs w:val="0"/>
          <w:color w:val="auto"/>
          <w:sz w:val="24"/>
          <w:szCs w:val="24"/>
          <w:highlight w:val="none"/>
          <w:lang w:val="en-US" w:eastAsia="zh-CN"/>
        </w:rPr>
        <w:t>货物、工程或者服务</w:t>
      </w:r>
      <w:r>
        <w:rPr>
          <w:rFonts w:hint="eastAsia" w:ascii="宋体" w:hAnsi="宋体" w:eastAsia="宋体" w:cs="宋体"/>
          <w:i w:val="0"/>
          <w:iCs w:val="0"/>
          <w:color w:val="auto"/>
          <w:sz w:val="24"/>
          <w:szCs w:val="24"/>
          <w:highlight w:val="none"/>
        </w:rPr>
        <w:t>的，在不改变合同其他条款的前提下，可以与成交供应商协商签订补充合同，但所有补充合同的采购金额不得超过原合同采购金额的百分之十。</w:t>
      </w:r>
    </w:p>
    <w:p w14:paraId="43E904D8">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34.7采购人应于签订合同之日起2个工作日内在政采云平台备案公示。</w:t>
      </w:r>
    </w:p>
    <w:bookmarkEnd w:id="329"/>
    <w:p w14:paraId="4252B453">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43" w:name="_Toc10843"/>
      <w:bookmarkStart w:id="344" w:name="_Toc109900404"/>
      <w:bookmarkStart w:id="345" w:name="_Toc163493618"/>
      <w:bookmarkStart w:id="346" w:name="_Toc46771673"/>
      <w:bookmarkStart w:id="347" w:name="_Toc109897467"/>
      <w:bookmarkStart w:id="348" w:name="_Toc109899566"/>
      <w:bookmarkStart w:id="349" w:name="_Toc109899985"/>
      <w:bookmarkStart w:id="350" w:name="_Toc470172693"/>
      <w:r>
        <w:rPr>
          <w:rFonts w:hint="eastAsia" w:ascii="宋体" w:hAnsi="宋体" w:eastAsia="宋体" w:cs="宋体"/>
          <w:b/>
          <w:bCs/>
          <w:i w:val="0"/>
          <w:iCs w:val="0"/>
          <w:color w:val="auto"/>
          <w:kern w:val="2"/>
          <w:sz w:val="24"/>
          <w:szCs w:val="24"/>
          <w:highlight w:val="none"/>
          <w:lang w:val="en-US" w:eastAsia="zh-CN" w:bidi="ar-SA"/>
        </w:rPr>
        <w:t>（十）质疑和投诉</w:t>
      </w:r>
      <w:bookmarkEnd w:id="343"/>
      <w:bookmarkEnd w:id="344"/>
      <w:bookmarkEnd w:id="345"/>
      <w:bookmarkEnd w:id="346"/>
      <w:bookmarkEnd w:id="347"/>
      <w:bookmarkEnd w:id="348"/>
      <w:bookmarkEnd w:id="349"/>
    </w:p>
    <w:p w14:paraId="000ACFE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51" w:name="_Toc52960587"/>
      <w:bookmarkStart w:id="352" w:name="_Toc109900405"/>
      <w:bookmarkStart w:id="353" w:name="_Toc48688823"/>
      <w:bookmarkStart w:id="354" w:name="_Toc109899986"/>
      <w:bookmarkStart w:id="355" w:name="_Toc46771674"/>
      <w:bookmarkStart w:id="356" w:name="_Toc51674245"/>
      <w:bookmarkStart w:id="357" w:name="_Toc109899567"/>
      <w:bookmarkStart w:id="358" w:name="_Toc52962761"/>
      <w:bookmarkStart w:id="359" w:name="_Toc48846143"/>
      <w:bookmarkStart w:id="360" w:name="_Toc46772275"/>
      <w:bookmarkStart w:id="361" w:name="_Toc109897468"/>
      <w:r>
        <w:rPr>
          <w:rFonts w:hint="eastAsia" w:ascii="宋体" w:hAnsi="宋体" w:eastAsia="宋体" w:cs="宋体"/>
          <w:b/>
          <w:bCs/>
          <w:i w:val="0"/>
          <w:iCs w:val="0"/>
          <w:color w:val="auto"/>
          <w:kern w:val="2"/>
          <w:sz w:val="24"/>
          <w:szCs w:val="24"/>
          <w:highlight w:val="none"/>
          <w:lang w:val="en-US" w:eastAsia="zh-CN" w:bidi="ar-SA"/>
        </w:rPr>
        <w:t>35.质疑</w:t>
      </w:r>
      <w:bookmarkEnd w:id="351"/>
      <w:bookmarkEnd w:id="352"/>
      <w:bookmarkEnd w:id="353"/>
      <w:bookmarkEnd w:id="354"/>
      <w:bookmarkEnd w:id="355"/>
      <w:bookmarkEnd w:id="356"/>
      <w:bookmarkEnd w:id="357"/>
      <w:bookmarkEnd w:id="358"/>
      <w:bookmarkEnd w:id="359"/>
      <w:bookmarkEnd w:id="360"/>
      <w:bookmarkEnd w:id="361"/>
    </w:p>
    <w:bookmarkEnd w:id="100"/>
    <w:bookmarkEnd w:id="350"/>
    <w:p w14:paraId="522F842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bookmarkStart w:id="362" w:name="_Toc109899568"/>
      <w:bookmarkStart w:id="363" w:name="_Toc51674246"/>
      <w:bookmarkStart w:id="364" w:name="_Toc52960588"/>
      <w:bookmarkStart w:id="365" w:name="_Toc46772276"/>
      <w:bookmarkStart w:id="366" w:name="_Toc109897469"/>
      <w:bookmarkStart w:id="367" w:name="_Toc52962762"/>
      <w:bookmarkStart w:id="368" w:name="_Toc48688824"/>
      <w:bookmarkStart w:id="369" w:name="_Toc48846144"/>
      <w:bookmarkStart w:id="370" w:name="_Toc109899987"/>
      <w:bookmarkStart w:id="371" w:name="_Toc46771675"/>
      <w:bookmarkStart w:id="372" w:name="_Toc109900406"/>
      <w:bookmarkStart w:id="373" w:name="_Toc163493619"/>
      <w:bookmarkStart w:id="374" w:name="_Toc109900408"/>
      <w:bookmarkStart w:id="375" w:name="_Toc109899570"/>
      <w:bookmarkStart w:id="376" w:name="_Toc109897471"/>
      <w:bookmarkStart w:id="377" w:name="_Toc109899989"/>
      <w:bookmarkStart w:id="378" w:name="_Hlk60570485"/>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.1供应商认为</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w:t>
      </w:r>
      <w:r>
        <w:rPr>
          <w:rFonts w:hint="eastAsia" w:ascii="宋体" w:hAnsi="宋体" w:eastAsia="宋体" w:cs="宋体"/>
          <w:i w:val="0"/>
          <w:iCs w:val="0"/>
          <w:color w:val="auto"/>
          <w:sz w:val="24"/>
          <w:szCs w:val="24"/>
          <w:highlight w:val="none"/>
          <w:lang w:eastAsia="zh-CN"/>
        </w:rPr>
        <w:t>评审</w:t>
      </w:r>
      <w:r>
        <w:rPr>
          <w:rFonts w:hint="eastAsia" w:ascii="宋体" w:hAnsi="宋体" w:eastAsia="宋体" w:cs="宋体"/>
          <w:i w:val="0"/>
          <w:iCs w:val="0"/>
          <w:color w:val="auto"/>
          <w:sz w:val="24"/>
          <w:szCs w:val="24"/>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详见“供应商须知前附表”</w:t>
      </w:r>
      <w:r>
        <w:rPr>
          <w:rFonts w:hint="eastAsia" w:ascii="宋体" w:hAnsi="宋体" w:eastAsia="宋体" w:cs="宋体"/>
          <w:i w:val="0"/>
          <w:iCs w:val="0"/>
          <w:color w:val="auto"/>
          <w:sz w:val="24"/>
          <w:szCs w:val="24"/>
          <w:highlight w:val="none"/>
        </w:rPr>
        <w:t>。供应商在法定质疑期内一次性提出针对同一采购程序环节的质疑。</w:t>
      </w:r>
    </w:p>
    <w:p w14:paraId="2723D96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.2提出质疑的供应商（以下简称质疑供应商）应当是参与所质疑项目采购活动的供应商。</w:t>
      </w:r>
    </w:p>
    <w:p w14:paraId="09DCB02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35.3</w:t>
      </w:r>
      <w:r>
        <w:rPr>
          <w:rFonts w:hint="eastAsia" w:ascii="宋体" w:hAnsi="宋体" w:eastAsia="宋体" w:cs="宋体"/>
          <w:i w:val="0"/>
          <w:iCs w:val="0"/>
          <w:color w:val="auto"/>
          <w:sz w:val="24"/>
          <w:szCs w:val="24"/>
          <w:highlight w:val="none"/>
        </w:rPr>
        <w:t>潜在供应商已依法获取其可质疑的</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文件的，可以对该文件提出质疑。对</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文件提出质疑的，应当在获取</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文件或者</w:t>
      </w:r>
      <w:r>
        <w:rPr>
          <w:rFonts w:hint="eastAsia" w:ascii="宋体" w:hAnsi="宋体" w:eastAsia="宋体" w:cs="宋体"/>
          <w:i w:val="0"/>
          <w:iCs w:val="0"/>
          <w:color w:val="auto"/>
          <w:sz w:val="24"/>
          <w:szCs w:val="24"/>
          <w:highlight w:val="none"/>
          <w:lang w:eastAsia="zh-CN"/>
        </w:rPr>
        <w:t>磋商</w:t>
      </w:r>
      <w:r>
        <w:rPr>
          <w:rFonts w:hint="eastAsia" w:ascii="宋体" w:hAnsi="宋体" w:eastAsia="宋体" w:cs="宋体"/>
          <w:i w:val="0"/>
          <w:iCs w:val="0"/>
          <w:color w:val="auto"/>
          <w:sz w:val="24"/>
          <w:szCs w:val="24"/>
          <w:highlight w:val="none"/>
        </w:rPr>
        <w:t>文件公告期限届满之日起7个工作日内提出。</w:t>
      </w:r>
    </w:p>
    <w:p w14:paraId="331319BB">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35.4</w:t>
      </w:r>
      <w:r>
        <w:rPr>
          <w:rFonts w:hint="eastAsia" w:ascii="宋体" w:hAnsi="宋体" w:eastAsia="宋体" w:cs="宋体"/>
          <w:i w:val="0"/>
          <w:iCs w:val="0"/>
          <w:color w:val="auto"/>
          <w:sz w:val="24"/>
          <w:szCs w:val="24"/>
          <w:highlight w:val="none"/>
        </w:rPr>
        <w:t>供应商提出质疑应当提交质疑函和必要的证明材料。质疑函应当包括下列内容：</w:t>
      </w:r>
    </w:p>
    <w:p w14:paraId="5E0912E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）供应商的姓名或者名称、地址、邮编、联系人及联系电话；</w:t>
      </w:r>
    </w:p>
    <w:p w14:paraId="649F7F4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）质疑项目的名称、</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23F85E7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）具体、明确的质疑事项和与质疑事项相关的请求；</w:t>
      </w:r>
    </w:p>
    <w:p w14:paraId="1C83B1C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67C848AB">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）必要的法律依据；</w:t>
      </w:r>
    </w:p>
    <w:p w14:paraId="6BCFEC3E">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）提出质疑的日期。</w:t>
      </w:r>
    </w:p>
    <w:p w14:paraId="2623B52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供应商为自然人的，应当由本人签字；供应商为法人或者其他组织的，应当由法定代表人、主要负责人，或者其授权代表签字或者盖章，并加盖公章。</w:t>
      </w:r>
    </w:p>
    <w:p w14:paraId="5F1352A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.5质疑函不符合上述要求的，采购人或代理机构应书面告知具体事项，质疑人应当按要求进行修改或补充，并在质疑有效期限内提交。</w:t>
      </w:r>
    </w:p>
    <w:p w14:paraId="76BD2AC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rPr>
        <w:t>3</w:t>
      </w:r>
      <w:r>
        <w:rPr>
          <w:rFonts w:hint="eastAsia" w:ascii="宋体" w:hAnsi="宋体" w:eastAsia="宋体" w:cs="宋体"/>
          <w:i w:val="0"/>
          <w:iCs w:val="0"/>
          <w:snapToGrid w:val="0"/>
          <w:color w:val="auto"/>
          <w:sz w:val="24"/>
          <w:szCs w:val="24"/>
          <w:highlight w:val="none"/>
          <w:lang w:val="en-US" w:eastAsia="zh-CN"/>
        </w:rPr>
        <w:t>5</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6供应商</w:t>
      </w:r>
      <w:r>
        <w:rPr>
          <w:rFonts w:hint="eastAsia" w:ascii="宋体" w:hAnsi="宋体" w:eastAsia="宋体" w:cs="宋体"/>
          <w:i w:val="0"/>
          <w:iCs w:val="0"/>
          <w:snapToGrid w:val="0"/>
          <w:color w:val="auto"/>
          <w:sz w:val="24"/>
          <w:szCs w:val="24"/>
          <w:highlight w:val="none"/>
        </w:rPr>
        <w:t>进行虚假和恶意</w:t>
      </w:r>
      <w:r>
        <w:rPr>
          <w:rFonts w:hint="eastAsia" w:ascii="宋体" w:hAnsi="宋体" w:eastAsia="宋体" w:cs="宋体"/>
          <w:i w:val="0"/>
          <w:iCs w:val="0"/>
          <w:snapToGrid w:val="0"/>
          <w:color w:val="auto"/>
          <w:sz w:val="24"/>
          <w:szCs w:val="24"/>
          <w:highlight w:val="none"/>
          <w:lang w:val="en-US" w:eastAsia="zh-CN"/>
        </w:rPr>
        <w:t>质疑投诉</w:t>
      </w:r>
      <w:r>
        <w:rPr>
          <w:rFonts w:hint="eastAsia" w:ascii="宋体" w:hAnsi="宋体" w:eastAsia="宋体" w:cs="宋体"/>
          <w:i w:val="0"/>
          <w:iCs w:val="0"/>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06C8AD2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35.7</w:t>
      </w:r>
      <w:r>
        <w:rPr>
          <w:rFonts w:hint="eastAsia" w:ascii="宋体" w:hAnsi="宋体" w:eastAsia="宋体" w:cs="宋体"/>
          <w:i w:val="0"/>
          <w:iCs w:val="0"/>
          <w:color w:val="auto"/>
          <w:sz w:val="24"/>
          <w:szCs w:val="24"/>
          <w:highlight w:val="none"/>
        </w:rPr>
        <w:t>质疑函</w:t>
      </w:r>
      <w:r>
        <w:rPr>
          <w:rFonts w:hint="eastAsia" w:ascii="宋体" w:hAnsi="宋体" w:eastAsia="宋体" w:cs="宋体"/>
          <w:i w:val="0"/>
          <w:iCs w:val="0"/>
          <w:color w:val="auto"/>
          <w:sz w:val="24"/>
          <w:szCs w:val="24"/>
          <w:highlight w:val="none"/>
          <w:lang w:val="en-US" w:eastAsia="zh-CN"/>
        </w:rPr>
        <w:t>应当使用中文，并采用财政部门制定的范本。</w:t>
      </w:r>
    </w:p>
    <w:p w14:paraId="03C1D51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36.质疑答复</w:t>
      </w:r>
      <w:bookmarkEnd w:id="362"/>
      <w:bookmarkEnd w:id="363"/>
      <w:bookmarkEnd w:id="364"/>
      <w:bookmarkEnd w:id="365"/>
      <w:bookmarkEnd w:id="366"/>
      <w:bookmarkEnd w:id="367"/>
      <w:bookmarkEnd w:id="368"/>
      <w:bookmarkEnd w:id="369"/>
      <w:bookmarkEnd w:id="370"/>
      <w:bookmarkEnd w:id="371"/>
      <w:bookmarkEnd w:id="372"/>
    </w:p>
    <w:p w14:paraId="4E8601B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bookmarkStart w:id="379" w:name="_Toc109897470"/>
      <w:bookmarkStart w:id="380" w:name="_Toc109899988"/>
      <w:bookmarkStart w:id="381" w:name="_Toc109899569"/>
      <w:bookmarkStart w:id="382" w:name="_Toc48688825"/>
      <w:bookmarkStart w:id="383" w:name="_Toc52960589"/>
      <w:bookmarkStart w:id="384" w:name="_Toc48846145"/>
      <w:bookmarkStart w:id="385" w:name="_Toc51674247"/>
      <w:bookmarkStart w:id="386" w:name="_Toc52962763"/>
      <w:bookmarkStart w:id="387" w:name="_Toc46771676"/>
      <w:bookmarkStart w:id="388" w:name="_Toc109900407"/>
      <w:bookmarkStart w:id="389" w:name="_Toc46772277"/>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5D718B09">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36.2供应商对评审过程、成交结果提出质疑的，采购人、采购代理机构可以组织原竞争性磋商小组协助答复质疑。</w:t>
      </w:r>
    </w:p>
    <w:p w14:paraId="093BA48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质疑答复应当包括下列内容：</w:t>
      </w:r>
    </w:p>
    <w:p w14:paraId="4A69D1BC">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val="zh-CN" w:eastAsia="zh-CN"/>
        </w:rPr>
        <w:t>）质疑供应商的姓名或者名称；</w:t>
      </w:r>
    </w:p>
    <w:p w14:paraId="5DAA627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zh-CN" w:eastAsia="zh-CN"/>
        </w:rPr>
        <w:t>）收到质疑函的日期、质疑项目名称及</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lang w:val="zh-CN" w:eastAsia="zh-CN"/>
        </w:rPr>
        <w:t>编号/包号；</w:t>
      </w:r>
    </w:p>
    <w:p w14:paraId="57B0732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zh-CN" w:eastAsia="zh-CN"/>
        </w:rPr>
        <w:t>）质疑事项、质疑答复的具体内容、事实依据和法律依据；</w:t>
      </w:r>
    </w:p>
    <w:p w14:paraId="797EB669">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zh-CN" w:eastAsia="zh-CN"/>
        </w:rPr>
        <w:t>）告知质疑供应商依法投诉的权利；</w:t>
      </w:r>
    </w:p>
    <w:p w14:paraId="7BAD87B4">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zh-CN" w:eastAsia="zh-CN"/>
        </w:rPr>
        <w:t>）质疑答复人名称；</w:t>
      </w:r>
    </w:p>
    <w:p w14:paraId="0A463F5C">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zh-CN" w:eastAsia="zh-CN"/>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zh-CN" w:eastAsia="zh-CN"/>
        </w:rPr>
        <w:t>）答复质疑的日期。</w:t>
      </w:r>
    </w:p>
    <w:p w14:paraId="68DAC335">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color w:val="auto"/>
          <w:sz w:val="24"/>
          <w:szCs w:val="24"/>
          <w:highlight w:val="none"/>
          <w:lang w:val="en-US" w:eastAsia="zh-CN"/>
        </w:rPr>
        <w:t>36.3</w:t>
      </w:r>
      <w:r>
        <w:rPr>
          <w:rFonts w:hint="eastAsia" w:ascii="宋体" w:hAnsi="宋体" w:eastAsia="宋体" w:cs="宋体"/>
          <w:i w:val="0"/>
          <w:iCs w:val="0"/>
          <w:color w:val="auto"/>
          <w:sz w:val="24"/>
          <w:szCs w:val="24"/>
          <w:highlight w:val="none"/>
          <w:lang w:val="zh-CN" w:eastAsia="zh-CN"/>
        </w:rPr>
        <w:t>质疑答复的内容不得涉及商业秘密。</w:t>
      </w:r>
    </w:p>
    <w:p w14:paraId="668690D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37.投诉</w:t>
      </w:r>
      <w:bookmarkEnd w:id="379"/>
      <w:bookmarkEnd w:id="380"/>
      <w:bookmarkEnd w:id="381"/>
      <w:bookmarkEnd w:id="382"/>
      <w:bookmarkEnd w:id="383"/>
      <w:bookmarkEnd w:id="384"/>
      <w:bookmarkEnd w:id="385"/>
      <w:bookmarkEnd w:id="386"/>
      <w:bookmarkEnd w:id="387"/>
      <w:bookmarkEnd w:id="388"/>
      <w:bookmarkEnd w:id="389"/>
    </w:p>
    <w:p w14:paraId="34C5EAA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37.1</w:t>
      </w:r>
      <w:r>
        <w:rPr>
          <w:rFonts w:hint="eastAsia" w:ascii="宋体" w:hAnsi="宋体" w:eastAsia="宋体" w:cs="宋体"/>
          <w:i w:val="0"/>
          <w:iCs w:val="0"/>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auto"/>
          <w:sz w:val="24"/>
          <w:szCs w:val="24"/>
          <w:highlight w:val="none"/>
          <w:lang w:val="en-US" w:eastAsia="zh-CN"/>
        </w:rPr>
        <w:t>同级政府采购监督管理部门</w:t>
      </w:r>
      <w:r>
        <w:rPr>
          <w:rFonts w:hint="eastAsia" w:ascii="宋体" w:hAnsi="宋体" w:eastAsia="宋体" w:cs="宋体"/>
          <w:i w:val="0"/>
          <w:iCs w:val="0"/>
          <w:color w:val="auto"/>
          <w:sz w:val="24"/>
          <w:szCs w:val="24"/>
          <w:highlight w:val="none"/>
        </w:rPr>
        <w:t>提起投诉。</w:t>
      </w:r>
    </w:p>
    <w:p w14:paraId="7AE3C0F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37.2</w:t>
      </w:r>
      <w:r>
        <w:rPr>
          <w:rFonts w:hint="eastAsia" w:ascii="宋体" w:hAnsi="宋体" w:eastAsia="宋体" w:cs="宋体"/>
          <w:i w:val="0"/>
          <w:iCs w:val="0"/>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）投诉人和被投诉人的姓名或者名称、通讯地址、邮编、联系人及联系电话；</w:t>
      </w:r>
    </w:p>
    <w:p w14:paraId="1A65A10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）质疑和质疑答复情况说明及相关证明材料；</w:t>
      </w:r>
    </w:p>
    <w:p w14:paraId="675A6D9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）具体、明确的投诉事项和与投诉事项相关的投诉请求；</w:t>
      </w:r>
    </w:p>
    <w:p w14:paraId="4A0C159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）事实依据；</w:t>
      </w:r>
    </w:p>
    <w:p w14:paraId="4CFD3E0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）法律依据；</w:t>
      </w:r>
    </w:p>
    <w:p w14:paraId="35FA6A4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）提起投诉的日期。</w:t>
      </w:r>
    </w:p>
    <w:p w14:paraId="4FC7C3AB">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37.3</w:t>
      </w:r>
      <w:r>
        <w:rPr>
          <w:rFonts w:hint="eastAsia" w:ascii="宋体" w:hAnsi="宋体" w:eastAsia="宋体" w:cs="宋体"/>
          <w:i w:val="0"/>
          <w:iCs w:val="0"/>
          <w:color w:val="auto"/>
          <w:sz w:val="24"/>
          <w:szCs w:val="24"/>
          <w:highlight w:val="none"/>
        </w:rPr>
        <w:t>供应商</w:t>
      </w:r>
      <w:r>
        <w:rPr>
          <w:rFonts w:hint="eastAsia" w:ascii="宋体" w:hAnsi="宋体" w:eastAsia="宋体" w:cs="宋体"/>
          <w:i w:val="0"/>
          <w:iCs w:val="0"/>
          <w:color w:val="auto"/>
          <w:sz w:val="24"/>
          <w:szCs w:val="24"/>
          <w:highlight w:val="none"/>
          <w:lang w:val="en-US" w:eastAsia="zh-CN"/>
        </w:rPr>
        <w:t>质疑、</w:t>
      </w:r>
      <w:r>
        <w:rPr>
          <w:rFonts w:hint="eastAsia" w:ascii="宋体" w:hAnsi="宋体" w:eastAsia="宋体" w:cs="宋体"/>
          <w:i w:val="0"/>
          <w:iCs w:val="0"/>
          <w:color w:val="auto"/>
          <w:sz w:val="24"/>
          <w:szCs w:val="24"/>
          <w:highlight w:val="none"/>
        </w:rPr>
        <w:t>投诉</w:t>
      </w:r>
      <w:r>
        <w:rPr>
          <w:rFonts w:hint="eastAsia" w:ascii="宋体" w:hAnsi="宋体" w:eastAsia="宋体" w:cs="宋体"/>
          <w:i w:val="0"/>
          <w:iCs w:val="0"/>
          <w:color w:val="auto"/>
          <w:sz w:val="24"/>
          <w:szCs w:val="24"/>
          <w:highlight w:val="none"/>
          <w:lang w:val="en-US" w:eastAsia="zh-CN"/>
        </w:rPr>
        <w:t>应当有明确的请求和必要的证明材料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供应商投诉的事项不得超出</w:t>
      </w:r>
      <w:r>
        <w:rPr>
          <w:rFonts w:hint="eastAsia" w:ascii="宋体" w:hAnsi="宋体" w:eastAsia="宋体" w:cs="宋体"/>
          <w:i w:val="0"/>
          <w:iCs w:val="0"/>
          <w:color w:val="auto"/>
          <w:sz w:val="24"/>
          <w:szCs w:val="24"/>
          <w:highlight w:val="none"/>
          <w:lang w:val="en-US" w:eastAsia="zh-CN"/>
        </w:rPr>
        <w:t>已</w:t>
      </w:r>
      <w:r>
        <w:rPr>
          <w:rFonts w:hint="eastAsia" w:ascii="宋体" w:hAnsi="宋体" w:eastAsia="宋体" w:cs="宋体"/>
          <w:i w:val="0"/>
          <w:iCs w:val="0"/>
          <w:color w:val="auto"/>
          <w:sz w:val="24"/>
          <w:szCs w:val="24"/>
          <w:highlight w:val="none"/>
        </w:rPr>
        <w:t>质疑事项的范围，但基于质疑答复内容提出的投诉事项除外</w:t>
      </w:r>
      <w:r>
        <w:rPr>
          <w:rFonts w:hint="eastAsia" w:ascii="宋体" w:hAnsi="宋体" w:eastAsia="宋体" w:cs="宋体"/>
          <w:bCs/>
          <w:i w:val="0"/>
          <w:iCs w:val="0"/>
          <w:color w:val="auto"/>
          <w:sz w:val="24"/>
          <w:szCs w:val="24"/>
          <w:highlight w:val="none"/>
        </w:rPr>
        <w:t>。</w:t>
      </w:r>
    </w:p>
    <w:p w14:paraId="2A3BCE0B">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color w:val="auto"/>
          <w:sz w:val="24"/>
          <w:szCs w:val="24"/>
          <w:highlight w:val="none"/>
          <w:lang w:val="zh-CN" w:eastAsia="zh-CN"/>
        </w:rPr>
      </w:pPr>
      <w:r>
        <w:rPr>
          <w:rFonts w:hint="eastAsia" w:ascii="宋体" w:hAnsi="宋体" w:eastAsia="宋体" w:cs="宋体"/>
          <w:i w:val="0"/>
          <w:iCs w:val="0"/>
          <w:snapToGrid w:val="0"/>
          <w:color w:val="auto"/>
          <w:sz w:val="24"/>
          <w:szCs w:val="24"/>
          <w:highlight w:val="none"/>
          <w:lang w:val="en-US" w:eastAsia="zh-CN"/>
        </w:rPr>
        <w:t>37.4</w:t>
      </w:r>
      <w:r>
        <w:rPr>
          <w:rFonts w:hint="eastAsia" w:ascii="宋体" w:hAnsi="宋体" w:eastAsia="宋体" w:cs="宋体"/>
          <w:i w:val="0"/>
          <w:iCs w:val="0"/>
          <w:color w:val="auto"/>
          <w:sz w:val="24"/>
          <w:szCs w:val="24"/>
          <w:highlight w:val="none"/>
          <w:lang w:val="en-US" w:eastAsia="zh-CN"/>
        </w:rPr>
        <w:t>投诉书应当使用中文，并采用财政部门制定的范本</w:t>
      </w:r>
      <w:r>
        <w:rPr>
          <w:rFonts w:hint="eastAsia" w:ascii="宋体" w:hAnsi="宋体" w:eastAsia="宋体" w:cs="宋体"/>
          <w:i w:val="0"/>
          <w:iCs w:val="0"/>
          <w:color w:val="auto"/>
          <w:sz w:val="24"/>
          <w:szCs w:val="24"/>
          <w:highlight w:val="none"/>
          <w:lang w:val="zh-CN" w:eastAsia="zh-CN"/>
        </w:rPr>
        <w:t>。</w:t>
      </w:r>
    </w:p>
    <w:p w14:paraId="072EB102">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0" w:name="_Toc21708"/>
      <w:r>
        <w:rPr>
          <w:rFonts w:hint="eastAsia" w:ascii="宋体" w:hAnsi="宋体" w:eastAsia="宋体" w:cs="宋体"/>
          <w:b/>
          <w:bCs/>
          <w:i w:val="0"/>
          <w:iCs w:val="0"/>
          <w:color w:val="auto"/>
          <w:kern w:val="2"/>
          <w:sz w:val="24"/>
          <w:szCs w:val="24"/>
          <w:highlight w:val="none"/>
          <w:lang w:val="en-US" w:eastAsia="zh-CN" w:bidi="ar-SA"/>
        </w:rPr>
        <w:t>（十一）采购代理服务费</w:t>
      </w:r>
      <w:bookmarkEnd w:id="373"/>
      <w:bookmarkEnd w:id="390"/>
    </w:p>
    <w:p w14:paraId="3283230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38.收取方式和标准</w:t>
      </w:r>
    </w:p>
    <w:p w14:paraId="0F0CA96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w:t>
      </w:r>
      <w:r>
        <w:rPr>
          <w:rFonts w:hint="eastAsia" w:ascii="宋体" w:hAnsi="宋体" w:eastAsia="宋体" w:cs="宋体"/>
          <w:bCs/>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.1采购代理机构按“供应商须知前附表”规定的方式和标准收取采购代理服务费。</w:t>
      </w:r>
    </w:p>
    <w:p w14:paraId="5E6F9613">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1" w:name="_Toc163493620"/>
      <w:bookmarkStart w:id="392" w:name="_Toc14684"/>
      <w:r>
        <w:rPr>
          <w:rFonts w:hint="eastAsia" w:ascii="宋体" w:hAnsi="宋体" w:eastAsia="宋体" w:cs="宋体"/>
          <w:b/>
          <w:bCs/>
          <w:i w:val="0"/>
          <w:iCs w:val="0"/>
          <w:color w:val="auto"/>
          <w:kern w:val="2"/>
          <w:sz w:val="24"/>
          <w:szCs w:val="24"/>
          <w:highlight w:val="none"/>
          <w:lang w:val="en-US" w:eastAsia="zh-CN" w:bidi="ar-SA"/>
        </w:rPr>
        <w:t>（十二）无效响应和终止采购活动</w:t>
      </w:r>
      <w:bookmarkEnd w:id="391"/>
      <w:bookmarkEnd w:id="392"/>
    </w:p>
    <w:p w14:paraId="02780A3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3" w:name="_Toc161600338"/>
      <w:bookmarkStart w:id="394" w:name="_Toc140132806"/>
      <w:r>
        <w:rPr>
          <w:rFonts w:hint="eastAsia" w:ascii="宋体" w:hAnsi="宋体" w:eastAsia="宋体" w:cs="宋体"/>
          <w:b/>
          <w:bCs/>
          <w:i w:val="0"/>
          <w:iCs w:val="0"/>
          <w:color w:val="auto"/>
          <w:kern w:val="2"/>
          <w:sz w:val="24"/>
          <w:szCs w:val="24"/>
          <w:highlight w:val="none"/>
          <w:lang w:val="en-US" w:eastAsia="zh-CN" w:bidi="ar-SA"/>
        </w:rPr>
        <w:t>39.无效</w:t>
      </w:r>
      <w:bookmarkEnd w:id="393"/>
      <w:bookmarkEnd w:id="394"/>
      <w:r>
        <w:rPr>
          <w:rFonts w:hint="eastAsia" w:ascii="宋体" w:hAnsi="宋体" w:eastAsia="宋体" w:cs="宋体"/>
          <w:b/>
          <w:bCs/>
          <w:i w:val="0"/>
          <w:iCs w:val="0"/>
          <w:color w:val="auto"/>
          <w:kern w:val="2"/>
          <w:sz w:val="24"/>
          <w:szCs w:val="24"/>
          <w:highlight w:val="none"/>
          <w:lang w:val="en-US" w:eastAsia="zh-CN" w:bidi="ar-SA"/>
        </w:rPr>
        <w:t>响应</w:t>
      </w:r>
    </w:p>
    <w:p w14:paraId="132D1B41">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.1响应文件存在“第四章</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评审方法及标准”规定的</w:t>
      </w:r>
      <w:r>
        <w:rPr>
          <w:rFonts w:hint="eastAsia" w:ascii="宋体" w:hAnsi="宋体" w:eastAsia="宋体" w:cs="宋体"/>
          <w:b/>
          <w:bCs/>
          <w:i w:val="0"/>
          <w:iCs w:val="0"/>
          <w:color w:val="auto"/>
          <w:sz w:val="24"/>
          <w:szCs w:val="24"/>
          <w:highlight w:val="none"/>
        </w:rPr>
        <w:t>响应无效</w:t>
      </w:r>
      <w:r>
        <w:rPr>
          <w:rFonts w:hint="eastAsia" w:ascii="宋体" w:hAnsi="宋体" w:eastAsia="宋体" w:cs="宋体"/>
          <w:i w:val="0"/>
          <w:iCs w:val="0"/>
          <w:color w:val="auto"/>
          <w:sz w:val="24"/>
          <w:szCs w:val="24"/>
          <w:highlight w:val="none"/>
        </w:rPr>
        <w:t>情形的，做</w:t>
      </w:r>
      <w:r>
        <w:rPr>
          <w:rFonts w:hint="eastAsia" w:ascii="宋体" w:hAnsi="宋体" w:eastAsia="宋体" w:cs="宋体"/>
          <w:b/>
          <w:bCs/>
          <w:i w:val="0"/>
          <w:iCs w:val="0"/>
          <w:color w:val="auto"/>
          <w:sz w:val="24"/>
          <w:szCs w:val="24"/>
          <w:highlight w:val="none"/>
        </w:rPr>
        <w:t>无效响应</w:t>
      </w:r>
      <w:r>
        <w:rPr>
          <w:rFonts w:hint="eastAsia" w:ascii="宋体" w:hAnsi="宋体" w:eastAsia="宋体" w:cs="宋体"/>
          <w:i w:val="0"/>
          <w:iCs w:val="0"/>
          <w:color w:val="auto"/>
          <w:sz w:val="24"/>
          <w:szCs w:val="24"/>
          <w:highlight w:val="none"/>
        </w:rPr>
        <w:t>处理。</w:t>
      </w:r>
    </w:p>
    <w:p w14:paraId="631C56D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40.终止采购活动</w:t>
      </w:r>
    </w:p>
    <w:p w14:paraId="6F5166E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w:t>
      </w:r>
      <w:r>
        <w:rPr>
          <w:rFonts w:hint="eastAsia" w:ascii="宋体" w:hAnsi="宋体" w:eastAsia="宋体" w:cs="宋体"/>
          <w:i w:val="0"/>
          <w:iCs w:val="0"/>
          <w:color w:val="auto"/>
          <w:sz w:val="24"/>
          <w:szCs w:val="24"/>
          <w:highlight w:val="none"/>
        </w:rPr>
        <w:t>.1出现下列情形之一的，应当终止竞争性磋商采购活动，发布项目终止公告并说明原因，重新开展采购活动：</w:t>
      </w:r>
    </w:p>
    <w:p w14:paraId="09E00DE2">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（1）因情况变化，不再符合规定的竞争性磋商采购方式适用情形的；</w:t>
      </w:r>
    </w:p>
    <w:p w14:paraId="5FD9540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（2）出现影响采购公正的违法、违规行为的；</w:t>
      </w:r>
    </w:p>
    <w:p w14:paraId="7598E364">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3EDE2978">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40.2在采购活动中因重大变故，采购任务取消的，采购人或者采购代理机构应当终止采购活动，通知所有参加采购活动的供应商，并将项目实施情况和采购任务取消原因报送本级财政部门。</w:t>
      </w:r>
    </w:p>
    <w:p w14:paraId="35C9F5A9">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5" w:name="_Toc161600340"/>
      <w:bookmarkStart w:id="396" w:name="_Toc163493621"/>
      <w:bookmarkStart w:id="397" w:name="_Toc140132766"/>
      <w:bookmarkStart w:id="398" w:name="_Toc14581"/>
      <w:r>
        <w:rPr>
          <w:rFonts w:hint="eastAsia" w:ascii="宋体" w:hAnsi="宋体" w:eastAsia="宋体" w:cs="宋体"/>
          <w:b/>
          <w:bCs/>
          <w:i w:val="0"/>
          <w:iCs w:val="0"/>
          <w:color w:val="auto"/>
          <w:kern w:val="2"/>
          <w:sz w:val="24"/>
          <w:szCs w:val="24"/>
          <w:highlight w:val="none"/>
          <w:lang w:val="en-US" w:eastAsia="zh-CN" w:bidi="ar-SA"/>
        </w:rPr>
        <w:t>（十三）落实政府采购政策</w:t>
      </w:r>
      <w:bookmarkEnd w:id="395"/>
      <w:bookmarkEnd w:id="396"/>
      <w:bookmarkEnd w:id="397"/>
      <w:r>
        <w:rPr>
          <w:rFonts w:hint="eastAsia" w:ascii="宋体" w:hAnsi="宋体" w:eastAsia="宋体" w:cs="宋体"/>
          <w:b/>
          <w:bCs/>
          <w:i w:val="0"/>
          <w:iCs w:val="0"/>
          <w:color w:val="auto"/>
          <w:kern w:val="2"/>
          <w:sz w:val="24"/>
          <w:szCs w:val="24"/>
          <w:highlight w:val="none"/>
          <w:lang w:val="en-US" w:eastAsia="zh-CN" w:bidi="ar-SA"/>
        </w:rPr>
        <w:t>（包括但不限于下列具体政策要求）</w:t>
      </w:r>
      <w:bookmarkEnd w:id="398"/>
    </w:p>
    <w:p w14:paraId="1D377CD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399" w:name="_Toc161600341"/>
      <w:r>
        <w:rPr>
          <w:rFonts w:hint="eastAsia" w:ascii="宋体" w:hAnsi="宋体" w:eastAsia="宋体" w:cs="宋体"/>
          <w:b/>
          <w:bCs/>
          <w:i w:val="0"/>
          <w:iCs w:val="0"/>
          <w:color w:val="auto"/>
          <w:kern w:val="2"/>
          <w:sz w:val="24"/>
          <w:szCs w:val="24"/>
          <w:highlight w:val="none"/>
          <w:lang w:val="en-US" w:eastAsia="zh-CN" w:bidi="ar-SA"/>
        </w:rPr>
        <w:t>41.支持国产和进口产品审批</w:t>
      </w:r>
      <w:bookmarkEnd w:id="399"/>
    </w:p>
    <w:p w14:paraId="3194662E">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41.1除“供应商须知前附表”另有规定外，政府采购应当采购本国货物、工程和服务，确需采购进口产品的，采购人应当按照《政府采购进口产品管理办法》（财库〔2007〕119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号文）、《关于政府采购进口产品管理有关问题的通知》（财办库〔2008〕248号）规定执行进口产品审批制，科研院所监管部门另有规定的从其规定。项目若涉及采购进口产品的，具体要求详见“第三章 项目采购需求”。</w:t>
      </w:r>
    </w:p>
    <w:p w14:paraId="135B393E">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41.2进口产品指通过中国海关报关验放进入中国境内且产自关境外的产品，包括已经进入中国境内的进口产品。</w:t>
      </w:r>
    </w:p>
    <w:p w14:paraId="0C404CE2">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41.3若采购需求中写明允许采购进口产品，供应商应保证所响应产品可履行合法报通关手续进入中国关境内。</w:t>
      </w:r>
    </w:p>
    <w:p w14:paraId="3D077042">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41.4若采购需求中未写明允许采购进口产品，如供应商所响应产品为进口产品，其响应将被认定为</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w:t>
      </w:r>
    </w:p>
    <w:p w14:paraId="1F7E860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0" w:name="_Toc161600342"/>
      <w:r>
        <w:rPr>
          <w:rFonts w:hint="eastAsia" w:ascii="宋体" w:hAnsi="宋体" w:eastAsia="宋体" w:cs="宋体"/>
          <w:b/>
          <w:bCs/>
          <w:i w:val="0"/>
          <w:iCs w:val="0"/>
          <w:color w:val="auto"/>
          <w:kern w:val="2"/>
          <w:sz w:val="24"/>
          <w:szCs w:val="24"/>
          <w:highlight w:val="none"/>
          <w:lang w:val="en-US" w:eastAsia="zh-CN" w:bidi="ar-SA"/>
        </w:rPr>
        <w:t>42.中小企业、监狱企业及残疾人福利性单位</w:t>
      </w:r>
      <w:bookmarkEnd w:id="400"/>
    </w:p>
    <w:p w14:paraId="3DC30D3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6EB577E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eastAsia="zh-CN"/>
        </w:rPr>
      </w:pPr>
      <w:r>
        <w:rPr>
          <w:rFonts w:hint="eastAsia" w:ascii="宋体" w:hAnsi="宋体" w:eastAsia="宋体" w:cs="宋体"/>
          <w:i w:val="0"/>
          <w:iCs w:val="0"/>
          <w:snapToGrid w:val="0"/>
          <w:color w:val="auto"/>
          <w:sz w:val="24"/>
          <w:szCs w:val="24"/>
          <w:highlight w:val="none"/>
          <w:lang w:val="en-US" w:eastAsia="zh-CN"/>
        </w:rPr>
        <w:t>42</w:t>
      </w:r>
      <w:r>
        <w:rPr>
          <w:rFonts w:hint="eastAsia" w:ascii="宋体" w:hAnsi="宋体" w:eastAsia="宋体" w:cs="宋体"/>
          <w:i w:val="0"/>
          <w:iCs w:val="0"/>
          <w:snapToGrid w:val="0"/>
          <w:color w:val="auto"/>
          <w:sz w:val="24"/>
          <w:szCs w:val="24"/>
          <w:highlight w:val="none"/>
        </w:rPr>
        <w:t>.</w:t>
      </w:r>
      <w:r>
        <w:rPr>
          <w:rFonts w:hint="eastAsia" w:ascii="宋体" w:hAnsi="宋体" w:eastAsia="宋体" w:cs="宋体"/>
          <w:i w:val="0"/>
          <w:iCs w:val="0"/>
          <w:snapToGrid w:val="0"/>
          <w:color w:val="auto"/>
          <w:sz w:val="24"/>
          <w:szCs w:val="24"/>
          <w:highlight w:val="none"/>
          <w:lang w:val="en-US" w:eastAsia="zh-CN"/>
        </w:rPr>
        <w:t>2</w:t>
      </w:r>
      <w:r>
        <w:rPr>
          <w:rFonts w:hint="eastAsia" w:ascii="宋体" w:hAnsi="宋体" w:eastAsia="宋体" w:cs="宋体"/>
          <w:i w:val="0"/>
          <w:iCs w:val="0"/>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auto"/>
          <w:sz w:val="24"/>
          <w:szCs w:val="24"/>
          <w:highlight w:val="none"/>
          <w:lang w:eastAsia="zh-CN"/>
        </w:rPr>
        <w:t>需享受中小企业相关政策的，且</w:t>
      </w:r>
      <w:r>
        <w:rPr>
          <w:rFonts w:hint="eastAsia" w:ascii="宋体" w:hAnsi="宋体" w:eastAsia="宋体" w:cs="宋体"/>
          <w:i w:val="0"/>
          <w:iCs w:val="0"/>
          <w:snapToGrid w:val="0"/>
          <w:color w:val="auto"/>
          <w:sz w:val="24"/>
          <w:szCs w:val="24"/>
          <w:highlight w:val="none"/>
        </w:rPr>
        <w:t>符合上述文件规定的，</w:t>
      </w:r>
      <w:r>
        <w:rPr>
          <w:rFonts w:hint="eastAsia" w:ascii="宋体" w:hAnsi="宋体" w:eastAsia="宋体" w:cs="宋体"/>
          <w:i w:val="0"/>
          <w:iCs w:val="0"/>
          <w:snapToGrid w:val="0"/>
          <w:color w:val="auto"/>
          <w:sz w:val="24"/>
          <w:szCs w:val="24"/>
          <w:highlight w:val="none"/>
          <w:lang w:eastAsia="zh-CN"/>
        </w:rPr>
        <w:t>应按本磋商文件规定格式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，评审时，磋商小组将依据</w:t>
      </w:r>
      <w:r>
        <w:rPr>
          <w:rFonts w:hint="eastAsia" w:ascii="宋体" w:hAnsi="宋体" w:eastAsia="宋体" w:cs="宋体"/>
          <w:i w:val="0"/>
          <w:iCs w:val="0"/>
          <w:snapToGrid w:val="0"/>
          <w:color w:val="auto"/>
          <w:sz w:val="24"/>
          <w:szCs w:val="24"/>
          <w:highlight w:val="none"/>
          <w:lang w:eastAsia="zh-CN"/>
        </w:rPr>
        <w:t>本磋商文件</w:t>
      </w:r>
      <w:r>
        <w:rPr>
          <w:rFonts w:hint="eastAsia" w:ascii="宋体" w:hAnsi="宋体" w:eastAsia="宋体" w:cs="宋体"/>
          <w:i w:val="0"/>
          <w:iCs w:val="0"/>
          <w:snapToGrid w:val="0"/>
          <w:color w:val="auto"/>
          <w:sz w:val="24"/>
          <w:szCs w:val="24"/>
          <w:highlight w:val="none"/>
        </w:rPr>
        <w:t>“供应商须知前附表”规定的报价扣除比例，对供应商报价进行价格扣除，用扣除后的价格参与评审</w:t>
      </w:r>
      <w:r>
        <w:rPr>
          <w:rFonts w:hint="eastAsia" w:ascii="宋体" w:hAnsi="宋体" w:eastAsia="宋体" w:cs="宋体"/>
          <w:i w:val="0"/>
          <w:iCs w:val="0"/>
          <w:snapToGrid w:val="0"/>
          <w:color w:val="auto"/>
          <w:sz w:val="24"/>
          <w:szCs w:val="24"/>
          <w:highlight w:val="none"/>
          <w:lang w:eastAsia="zh-CN"/>
        </w:rPr>
        <w:t>；磋商公告中明确项目专门面向中小企业采购的，“</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”为资格要求文件，</w:t>
      </w:r>
      <w:r>
        <w:rPr>
          <w:rFonts w:hint="eastAsia" w:ascii="宋体" w:hAnsi="宋体" w:eastAsia="宋体" w:cs="宋体"/>
          <w:i w:val="0"/>
          <w:iCs w:val="0"/>
          <w:snapToGrid w:val="0"/>
          <w:color w:val="auto"/>
          <w:sz w:val="24"/>
          <w:szCs w:val="24"/>
          <w:highlight w:val="none"/>
        </w:rPr>
        <w:t>供应商</w:t>
      </w:r>
      <w:r>
        <w:rPr>
          <w:rFonts w:hint="eastAsia" w:ascii="宋体" w:hAnsi="宋体" w:eastAsia="宋体" w:cs="宋体"/>
          <w:i w:val="0"/>
          <w:iCs w:val="0"/>
          <w:snapToGrid w:val="0"/>
          <w:color w:val="auto"/>
          <w:sz w:val="24"/>
          <w:szCs w:val="24"/>
          <w:highlight w:val="none"/>
          <w:lang w:eastAsia="zh-CN"/>
        </w:rPr>
        <w:t>参与磋商须按本磋商文件规定格式</w:t>
      </w:r>
      <w:r>
        <w:rPr>
          <w:rFonts w:hint="eastAsia" w:ascii="宋体" w:hAnsi="宋体" w:eastAsia="宋体" w:cs="宋体"/>
          <w:i w:val="0"/>
          <w:iCs w:val="0"/>
          <w:snapToGrid w:val="0"/>
          <w:color w:val="auto"/>
          <w:sz w:val="24"/>
          <w:szCs w:val="24"/>
          <w:highlight w:val="none"/>
        </w:rPr>
        <w:t>提供</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rPr>
        <w:t>中小企业声明函</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监狱企业证明文件</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或“</w:t>
      </w:r>
      <w:r>
        <w:rPr>
          <w:rFonts w:hint="eastAsia" w:ascii="宋体" w:hAnsi="宋体" w:eastAsia="宋体" w:cs="宋体"/>
          <w:i w:val="0"/>
          <w:iCs w:val="0"/>
          <w:snapToGrid w:val="0"/>
          <w:color w:val="auto"/>
          <w:sz w:val="24"/>
          <w:szCs w:val="24"/>
          <w:highlight w:val="none"/>
        </w:rPr>
        <w:t>残疾人福利性单位声明函</w:t>
      </w:r>
      <w:r>
        <w:rPr>
          <w:rFonts w:hint="eastAsia" w:ascii="宋体" w:hAnsi="宋体" w:eastAsia="宋体" w:cs="宋体"/>
          <w:i w:val="0"/>
          <w:iCs w:val="0"/>
          <w:snapToGrid w:val="0"/>
          <w:color w:val="auto"/>
          <w:sz w:val="24"/>
          <w:szCs w:val="24"/>
          <w:highlight w:val="none"/>
          <w:lang w:eastAsia="zh-CN"/>
        </w:rPr>
        <w:t>”等作为资格证明文件。</w:t>
      </w:r>
    </w:p>
    <w:p w14:paraId="61ADCD5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42.3供应商提供的货物、工程或者服务符合下列情形的，享受中小企业扶持政策： </w:t>
      </w:r>
    </w:p>
    <w:p w14:paraId="41D81885">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42.3.1在货物采购项目中，货物由中小企业制造，即货物由中小企业生产且使用该中小企业商号或者注册商标； </w:t>
      </w:r>
    </w:p>
    <w:p w14:paraId="4287B4C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42.3.2在工程采购项目中，工程由中小企业承建，即工程施工单位为中小企业； </w:t>
      </w:r>
    </w:p>
    <w:p w14:paraId="504BBF1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42.3.3在服务采购项目中，服务由中小企业承接，即提供服务的人员为中小企业依照《中华人民共和国劳动合同法》订立劳动合同的从业人员。</w:t>
      </w:r>
    </w:p>
    <w:p w14:paraId="28FED95B">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42.4 在货物采购项目中，供应商提供的货物既有中小企业制造货物，也有大型企业制造货物的，不享受中小企业扶持政策。 </w:t>
      </w:r>
    </w:p>
    <w:p w14:paraId="182B8EB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42.5 以联合体形式参加政府采购活动，联合体各方均为中小企业的，联合体视同中小企业。其中，联合体各方均为小微企业的，联合体视同小微企业。      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15AEA5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0F65A30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145068A4">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42.7.2 依法与安置的每位残疾人签订了1年以上（含1年）的劳动合同或服务协议； </w:t>
      </w:r>
    </w:p>
    <w:p w14:paraId="4AFBBA50">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4487EF6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66EBECD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556BC0B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3B39EECD">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42.8 本项目是否专门面向中小企业预留采购份额见“第一章 竞争性磋商邀请”。</w:t>
      </w:r>
    </w:p>
    <w:p w14:paraId="5A70CB6C">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42.9 采购标的对应的中小企业划分标准所属行业见“供应商须知前附表”。    42.10小微企业价格评审优惠的政策调整：见“第四章 评审方法及标准”。</w:t>
      </w:r>
    </w:p>
    <w:p w14:paraId="76C0345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1" w:name="_Toc161600343"/>
      <w:r>
        <w:rPr>
          <w:rFonts w:hint="eastAsia" w:ascii="宋体" w:hAnsi="宋体" w:eastAsia="宋体" w:cs="宋体"/>
          <w:b/>
          <w:bCs/>
          <w:i w:val="0"/>
          <w:iCs w:val="0"/>
          <w:color w:val="auto"/>
          <w:kern w:val="2"/>
          <w:sz w:val="24"/>
          <w:szCs w:val="24"/>
          <w:highlight w:val="none"/>
          <w:lang w:val="en-US" w:eastAsia="zh-CN" w:bidi="ar-SA"/>
        </w:rPr>
        <w:t>43.政府采购节能产品、环境标志产品</w:t>
      </w:r>
      <w:bookmarkEnd w:id="401"/>
    </w:p>
    <w:p w14:paraId="74D83274">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017FF1A4">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379730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 xml:space="preserve">。 </w:t>
      </w:r>
    </w:p>
    <w:p w14:paraId="73ADF02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43.4 非政府强制采购的节能产品或环境标志产品，依据品目清单和认证证书实施政府优先采购。优先采购的具体规定见“第四章 评审方法及标准”（如涉及）。</w:t>
      </w:r>
    </w:p>
    <w:p w14:paraId="1E54CD45">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43.5 供应商</w:t>
      </w:r>
      <w:r>
        <w:rPr>
          <w:rFonts w:hint="eastAsia" w:ascii="宋体" w:hAnsi="宋体" w:eastAsia="宋体" w:cs="宋体"/>
          <w:i w:val="0"/>
          <w:iCs w:val="0"/>
          <w:snapToGrid w:val="0"/>
          <w:color w:val="auto"/>
          <w:sz w:val="24"/>
          <w:szCs w:val="24"/>
          <w:highlight w:val="none"/>
        </w:rPr>
        <w:t>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auto"/>
          <w:sz w:val="24"/>
          <w:szCs w:val="24"/>
          <w:highlight w:val="none"/>
          <w:lang w:val="en-US" w:eastAsia="zh-CN"/>
        </w:rPr>
        <w:t>报</w:t>
      </w:r>
      <w:r>
        <w:rPr>
          <w:rFonts w:hint="eastAsia" w:ascii="宋体" w:hAnsi="宋体" w:eastAsia="宋体" w:cs="宋体"/>
          <w:i w:val="0"/>
          <w:iCs w:val="0"/>
          <w:snapToGrid w:val="0"/>
          <w:color w:val="auto"/>
          <w:sz w:val="24"/>
          <w:szCs w:val="24"/>
          <w:highlight w:val="none"/>
        </w:rPr>
        <w:t>产品不一致的，视为未提供。属于政府强制采购产品的，已作为</w:t>
      </w:r>
      <w:r>
        <w:rPr>
          <w:rFonts w:hint="eastAsia" w:ascii="宋体" w:hAnsi="宋体" w:eastAsia="宋体" w:cs="宋体"/>
          <w:i w:val="0"/>
          <w:iCs w:val="0"/>
          <w:snapToGrid w:val="0"/>
          <w:color w:val="auto"/>
          <w:sz w:val="24"/>
          <w:szCs w:val="24"/>
          <w:highlight w:val="none"/>
          <w:lang w:val="en-US" w:eastAsia="zh-CN"/>
        </w:rPr>
        <w:t>响应</w:t>
      </w:r>
      <w:r>
        <w:rPr>
          <w:rFonts w:hint="eastAsia" w:ascii="宋体" w:hAnsi="宋体" w:eastAsia="宋体" w:cs="宋体"/>
          <w:i w:val="0"/>
          <w:iCs w:val="0"/>
          <w:snapToGrid w:val="0"/>
          <w:color w:val="auto"/>
          <w:sz w:val="24"/>
          <w:szCs w:val="24"/>
          <w:highlight w:val="none"/>
        </w:rPr>
        <w:t>时强制性要求不再给予</w:t>
      </w:r>
      <w:r>
        <w:rPr>
          <w:rFonts w:hint="eastAsia" w:ascii="宋体" w:hAnsi="宋体" w:eastAsia="宋体" w:cs="宋体"/>
          <w:i w:val="0"/>
          <w:iCs w:val="0"/>
          <w:snapToGrid w:val="0"/>
          <w:color w:val="auto"/>
          <w:sz w:val="24"/>
          <w:szCs w:val="24"/>
          <w:highlight w:val="none"/>
          <w:lang w:val="en-US" w:eastAsia="zh-CN"/>
        </w:rPr>
        <w:t>价格评审优惠</w:t>
      </w:r>
      <w:r>
        <w:rPr>
          <w:rFonts w:hint="eastAsia" w:ascii="宋体" w:hAnsi="宋体" w:eastAsia="宋体" w:cs="宋体"/>
          <w:i w:val="0"/>
          <w:iCs w:val="0"/>
          <w:snapToGrid w:val="0"/>
          <w:color w:val="auto"/>
          <w:sz w:val="24"/>
          <w:szCs w:val="24"/>
          <w:highlight w:val="none"/>
        </w:rPr>
        <w:t>，未提供认证证书的视为</w:t>
      </w:r>
      <w:r>
        <w:rPr>
          <w:rFonts w:hint="eastAsia" w:ascii="宋体" w:hAnsi="宋体" w:eastAsia="宋体" w:cs="宋体"/>
          <w:b/>
          <w:bCs/>
          <w:i w:val="0"/>
          <w:iCs w:val="0"/>
          <w:snapToGrid w:val="0"/>
          <w:color w:val="auto"/>
          <w:sz w:val="24"/>
          <w:szCs w:val="24"/>
          <w:highlight w:val="none"/>
        </w:rPr>
        <w:t>无效响应</w:t>
      </w:r>
      <w:r>
        <w:rPr>
          <w:rFonts w:hint="eastAsia" w:ascii="宋体" w:hAnsi="宋体" w:eastAsia="宋体" w:cs="宋体"/>
          <w:i w:val="0"/>
          <w:iCs w:val="0"/>
          <w:snapToGrid w:val="0"/>
          <w:color w:val="auto"/>
          <w:sz w:val="24"/>
          <w:szCs w:val="24"/>
          <w:highlight w:val="none"/>
        </w:rPr>
        <w:t>。属于</w:t>
      </w:r>
      <w:r>
        <w:rPr>
          <w:rFonts w:hint="eastAsia" w:ascii="宋体" w:hAnsi="宋体" w:eastAsia="宋体" w:cs="宋体"/>
          <w:i w:val="0"/>
          <w:iCs w:val="0"/>
          <w:snapToGrid w:val="0"/>
          <w:color w:val="auto"/>
          <w:sz w:val="24"/>
          <w:szCs w:val="24"/>
          <w:highlight w:val="none"/>
          <w:lang w:val="en-US" w:eastAsia="zh-CN"/>
        </w:rPr>
        <w:t>优先采购</w:t>
      </w:r>
      <w:r>
        <w:rPr>
          <w:rFonts w:hint="eastAsia" w:ascii="宋体" w:hAnsi="宋体" w:eastAsia="宋体" w:cs="宋体"/>
          <w:i w:val="0"/>
          <w:iCs w:val="0"/>
          <w:snapToGrid w:val="0"/>
          <w:color w:val="auto"/>
          <w:sz w:val="24"/>
          <w:szCs w:val="24"/>
          <w:highlight w:val="none"/>
        </w:rPr>
        <w:t>节能产品政府采购品目清单、环境标志产品政府采购品目清单</w:t>
      </w:r>
      <w:r>
        <w:rPr>
          <w:rFonts w:hint="eastAsia" w:ascii="宋体" w:hAnsi="宋体" w:eastAsia="宋体" w:cs="宋体"/>
          <w:i w:val="0"/>
          <w:iCs w:val="0"/>
          <w:snapToGrid w:val="0"/>
          <w:color w:val="auto"/>
          <w:sz w:val="24"/>
          <w:szCs w:val="24"/>
          <w:highlight w:val="none"/>
          <w:lang w:eastAsia="zh-CN"/>
        </w:rPr>
        <w:t>、</w:t>
      </w:r>
      <w:r>
        <w:rPr>
          <w:rFonts w:hint="eastAsia" w:ascii="宋体" w:hAnsi="宋体" w:eastAsia="宋体" w:cs="宋体"/>
          <w:i w:val="0"/>
          <w:iCs w:val="0"/>
          <w:snapToGrid w:val="0"/>
          <w:color w:val="auto"/>
          <w:sz w:val="24"/>
          <w:szCs w:val="24"/>
          <w:highlight w:val="none"/>
          <w:lang w:val="en-US" w:eastAsia="zh-CN"/>
        </w:rPr>
        <w:t>创新产品</w:t>
      </w:r>
      <w:r>
        <w:rPr>
          <w:rFonts w:hint="eastAsia" w:ascii="宋体" w:hAnsi="宋体" w:eastAsia="宋体" w:cs="宋体"/>
          <w:i w:val="0"/>
          <w:iCs w:val="0"/>
          <w:snapToGrid w:val="0"/>
          <w:color w:val="auto"/>
          <w:sz w:val="24"/>
          <w:szCs w:val="24"/>
          <w:highlight w:val="none"/>
        </w:rPr>
        <w:t>范围的，按照“</w:t>
      </w:r>
      <w:r>
        <w:rPr>
          <w:rFonts w:hint="eastAsia" w:ascii="宋体" w:hAnsi="宋体" w:eastAsia="宋体" w:cs="宋体"/>
          <w:i w:val="0"/>
          <w:iCs w:val="0"/>
          <w:snapToGrid w:val="0"/>
          <w:color w:val="auto"/>
          <w:sz w:val="24"/>
          <w:szCs w:val="24"/>
          <w:highlight w:val="none"/>
          <w:lang w:val="en-US" w:eastAsia="zh-CN"/>
        </w:rPr>
        <w:t>第四章 评审方法及标准</w:t>
      </w:r>
      <w:r>
        <w:rPr>
          <w:rFonts w:hint="eastAsia" w:ascii="宋体" w:hAnsi="宋体" w:eastAsia="宋体" w:cs="宋体"/>
          <w:i w:val="0"/>
          <w:iCs w:val="0"/>
          <w:snapToGrid w:val="0"/>
          <w:color w:val="auto"/>
          <w:sz w:val="24"/>
          <w:szCs w:val="24"/>
          <w:highlight w:val="none"/>
        </w:rPr>
        <w:t>”中相关规定</w:t>
      </w:r>
      <w:r>
        <w:rPr>
          <w:rFonts w:hint="eastAsia" w:ascii="宋体" w:hAnsi="宋体" w:eastAsia="宋体" w:cs="宋体"/>
          <w:i w:val="0"/>
          <w:iCs w:val="0"/>
          <w:color w:val="auto"/>
          <w:sz w:val="24"/>
          <w:szCs w:val="24"/>
          <w:highlight w:val="none"/>
          <w:lang w:val="en-US" w:eastAsia="zh-CN"/>
        </w:rPr>
        <w:t>在评审时给予价格评审优惠，具体详见</w:t>
      </w:r>
      <w:r>
        <w:rPr>
          <w:rFonts w:hint="eastAsia" w:ascii="宋体" w:hAnsi="宋体" w:eastAsia="宋体" w:cs="宋体"/>
          <w:i w:val="0"/>
          <w:iCs w:val="0"/>
          <w:snapToGrid w:val="0"/>
          <w:color w:val="auto"/>
          <w:sz w:val="24"/>
          <w:szCs w:val="24"/>
          <w:highlight w:val="none"/>
          <w:lang w:val="en-US" w:eastAsia="zh-CN"/>
        </w:rPr>
        <w:t>“供应商须知前附表”及</w:t>
      </w:r>
      <w:r>
        <w:rPr>
          <w:rFonts w:hint="eastAsia" w:ascii="宋体" w:hAnsi="宋体" w:eastAsia="宋体" w:cs="宋体"/>
          <w:i w:val="0"/>
          <w:iCs w:val="0"/>
          <w:color w:val="auto"/>
          <w:sz w:val="24"/>
          <w:szCs w:val="24"/>
          <w:highlight w:val="none"/>
          <w:lang w:val="en-US" w:eastAsia="zh-CN"/>
        </w:rPr>
        <w:t>“第四章 评审方法及标准”</w:t>
      </w:r>
      <w:r>
        <w:rPr>
          <w:rFonts w:hint="eastAsia" w:ascii="宋体" w:hAnsi="宋体" w:eastAsia="宋体" w:cs="宋体"/>
          <w:i w:val="0"/>
          <w:iCs w:val="0"/>
          <w:color w:val="auto"/>
          <w:sz w:val="24"/>
          <w:szCs w:val="24"/>
          <w:highlight w:val="none"/>
        </w:rPr>
        <w:t>。</w:t>
      </w:r>
    </w:p>
    <w:p w14:paraId="17C511E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44.正版软件</w:t>
      </w:r>
    </w:p>
    <w:p w14:paraId="1F0E8307">
      <w:pPr>
        <w:pStyle w:val="41"/>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i w:val="0"/>
          <w:iCs w:val="0"/>
          <w:snapToGrid w:val="0"/>
          <w:color w:val="auto"/>
          <w:sz w:val="24"/>
          <w:szCs w:val="24"/>
          <w:highlight w:val="none"/>
          <w:lang w:val="en-US" w:eastAsia="zh-CN"/>
        </w:rPr>
        <w:t>响应无效</w:t>
      </w:r>
      <w:r>
        <w:rPr>
          <w:rFonts w:hint="eastAsia" w:ascii="宋体" w:hAnsi="宋体" w:eastAsia="宋体" w:cs="宋体"/>
          <w:i w:val="0"/>
          <w:iCs w:val="0"/>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480636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 xml:space="preserve">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A1724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 xml:space="preserve">45.网络安全专用产品 </w:t>
      </w:r>
    </w:p>
    <w:p w14:paraId="13C0877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4911AC78">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w:t>
      </w:r>
    </w:p>
    <w:p w14:paraId="05D0648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 xml:space="preserve">46.采购需求标准 </w:t>
      </w:r>
    </w:p>
    <w:bookmarkEnd w:id="374"/>
    <w:bookmarkEnd w:id="375"/>
    <w:bookmarkEnd w:id="376"/>
    <w:bookmarkEnd w:id="377"/>
    <w:bookmarkEnd w:id="378"/>
    <w:p w14:paraId="1251808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bookmarkStart w:id="402" w:name="_Toc109899574"/>
      <w:bookmarkStart w:id="403" w:name="_Toc163493622"/>
      <w:bookmarkStart w:id="404" w:name="_Toc109899993"/>
      <w:bookmarkStart w:id="405" w:name="_Toc109897475"/>
      <w:bookmarkStart w:id="406" w:name="_Toc109900412"/>
      <w:r>
        <w:rPr>
          <w:rFonts w:hint="eastAsia" w:ascii="宋体" w:hAnsi="宋体" w:eastAsia="宋体" w:cs="宋体"/>
          <w:i w:val="0"/>
          <w:iCs w:val="0"/>
          <w:snapToGrid w:val="0"/>
          <w:color w:val="auto"/>
          <w:sz w:val="24"/>
          <w:szCs w:val="24"/>
          <w:highlight w:val="none"/>
          <w:lang w:val="en-US" w:eastAsia="zh-CN"/>
        </w:rPr>
        <w:t xml:space="preserve">46.1 商品包装、快递包装政府采购需求标准（试行） </w:t>
      </w:r>
    </w:p>
    <w:p w14:paraId="527BC2D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 xml:space="preserve">。 </w:t>
      </w:r>
    </w:p>
    <w:p w14:paraId="088B5DEF">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 xml:space="preserve">46.2 绿色数据中心政府采购需求标准（试行） </w:t>
      </w:r>
    </w:p>
    <w:p w14:paraId="2BAD2545">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为加快数据中心绿色转型，根据财政部 生态环境部 工业和信息化部关于印发《绿色数据中心政府采购需求标准（试行）》的通知（财库〔2023〕7 号），本项目如涉及绿色数据中心，则具体要求见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 xml:space="preserve">。 </w:t>
      </w:r>
    </w:p>
    <w:p w14:paraId="33C6F27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46.3台式计算机政府采购需求标准</w:t>
      </w:r>
    </w:p>
    <w:p w14:paraId="7FE94F3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83C9A6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46.4便携式计算机政府采购需求标准</w:t>
      </w:r>
    </w:p>
    <w:p w14:paraId="56D621A3">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48ED666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46.5一体式计算机政府采购需求标准</w:t>
      </w:r>
    </w:p>
    <w:p w14:paraId="7A06F60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AA36A4C">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46.6工作站政府采购需求标准</w:t>
      </w:r>
    </w:p>
    <w:p w14:paraId="401E4836">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6AA55F4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46.7通用服务器政府采购需求标准</w:t>
      </w:r>
    </w:p>
    <w:p w14:paraId="6FE6FE7A">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5E799E3E">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46.8操作系统政府采购需求标准</w:t>
      </w:r>
    </w:p>
    <w:p w14:paraId="71E70859">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757FBE3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46.9数据库政府采购需求标准</w:t>
      </w:r>
    </w:p>
    <w:p w14:paraId="4096E2F1">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0F23144D">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46.10物业管理服务政府采购需求标准（办公场所类）（试行）</w:t>
      </w:r>
    </w:p>
    <w:p w14:paraId="0169F247">
      <w:pPr>
        <w:pStyle w:val="41"/>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 w:val="0"/>
          <w:iCs w:val="0"/>
          <w:snapToGrid w:val="0"/>
          <w:color w:val="auto"/>
          <w:sz w:val="24"/>
          <w:szCs w:val="24"/>
          <w:highlight w:val="none"/>
          <w:lang w:val="en-US" w:eastAsia="zh-CN"/>
        </w:rPr>
      </w:pPr>
      <w:r>
        <w:rPr>
          <w:rFonts w:hint="eastAsia" w:ascii="宋体" w:hAnsi="宋体" w:eastAsia="宋体" w:cs="宋体"/>
          <w:i w:val="0"/>
          <w:iCs w:val="0"/>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w:t>
      </w:r>
      <w:r>
        <w:rPr>
          <w:rFonts w:hint="eastAsia" w:ascii="宋体" w:hAnsi="宋体" w:eastAsia="宋体" w:cs="宋体"/>
          <w:i w:val="0"/>
          <w:iCs w:val="0"/>
          <w:color w:val="auto"/>
          <w:sz w:val="24"/>
          <w:szCs w:val="24"/>
          <w:highlight w:val="none"/>
        </w:rPr>
        <w:t xml:space="preserve">“第三章 </w:t>
      </w:r>
      <w:r>
        <w:rPr>
          <w:rFonts w:hint="eastAsia" w:ascii="宋体" w:hAnsi="宋体" w:eastAsia="宋体" w:cs="宋体"/>
          <w:i w:val="0"/>
          <w:iCs w:val="0"/>
          <w:color w:val="auto"/>
          <w:sz w:val="24"/>
          <w:szCs w:val="24"/>
          <w:highlight w:val="none"/>
          <w:lang w:val="en-US" w:eastAsia="zh-CN"/>
        </w:rPr>
        <w:t>项目</w:t>
      </w:r>
      <w:r>
        <w:rPr>
          <w:rFonts w:hint="eastAsia" w:ascii="宋体" w:hAnsi="宋体" w:eastAsia="宋体" w:cs="宋体"/>
          <w:i w:val="0"/>
          <w:iCs w:val="0"/>
          <w:color w:val="auto"/>
          <w:sz w:val="24"/>
          <w:szCs w:val="24"/>
          <w:highlight w:val="none"/>
        </w:rPr>
        <w:t>采购需求”</w:t>
      </w:r>
      <w:r>
        <w:rPr>
          <w:rFonts w:hint="eastAsia" w:ascii="宋体" w:hAnsi="宋体" w:eastAsia="宋体" w:cs="宋体"/>
          <w:i w:val="0"/>
          <w:iCs w:val="0"/>
          <w:snapToGrid w:val="0"/>
          <w:color w:val="auto"/>
          <w:sz w:val="24"/>
          <w:szCs w:val="24"/>
          <w:highlight w:val="none"/>
          <w:lang w:val="en-US" w:eastAsia="zh-CN"/>
        </w:rPr>
        <w:t>。</w:t>
      </w:r>
    </w:p>
    <w:p w14:paraId="38AF6858">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7" w:name="_Toc26488"/>
      <w:r>
        <w:rPr>
          <w:rFonts w:hint="eastAsia" w:ascii="宋体" w:hAnsi="宋体" w:eastAsia="宋体" w:cs="宋体"/>
          <w:b/>
          <w:bCs/>
          <w:i w:val="0"/>
          <w:iCs w:val="0"/>
          <w:color w:val="auto"/>
          <w:kern w:val="2"/>
          <w:sz w:val="24"/>
          <w:szCs w:val="24"/>
          <w:highlight w:val="none"/>
          <w:lang w:val="en-US" w:eastAsia="zh-CN" w:bidi="ar-SA"/>
        </w:rPr>
        <w:t>（十四）政府采购合同融资政策</w:t>
      </w:r>
      <w:bookmarkEnd w:id="402"/>
      <w:bookmarkEnd w:id="403"/>
      <w:bookmarkEnd w:id="404"/>
      <w:bookmarkEnd w:id="405"/>
      <w:bookmarkEnd w:id="406"/>
      <w:bookmarkEnd w:id="407"/>
    </w:p>
    <w:p w14:paraId="78CE466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08" w:name="_Toc161600345"/>
      <w:bookmarkStart w:id="409" w:name="_Toc109897476"/>
      <w:r>
        <w:rPr>
          <w:rFonts w:hint="eastAsia" w:ascii="宋体" w:hAnsi="宋体" w:eastAsia="宋体" w:cs="宋体"/>
          <w:b/>
          <w:bCs/>
          <w:i w:val="0"/>
          <w:iCs w:val="0"/>
          <w:color w:val="auto"/>
          <w:kern w:val="2"/>
          <w:sz w:val="24"/>
          <w:szCs w:val="24"/>
          <w:highlight w:val="none"/>
          <w:lang w:val="en-US" w:eastAsia="zh-CN" w:bidi="ar-SA"/>
        </w:rPr>
        <w:t>47.政府采购合同融资政策</w:t>
      </w:r>
      <w:bookmarkEnd w:id="408"/>
    </w:p>
    <w:p w14:paraId="59269D30">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.1政府采购合同融资政策：见供应商须知前附表。</w:t>
      </w:r>
    </w:p>
    <w:p w14:paraId="032E5A3C">
      <w:pPr>
        <w:pStyle w:val="5"/>
        <w:keepNext w:val="0"/>
        <w:keepLines w:val="0"/>
        <w:pageBreakBefore w:val="0"/>
        <w:widowControl w:val="0"/>
        <w:numPr>
          <w:ilvl w:val="0"/>
          <w:numId w:val="0"/>
        </w:numPr>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0" w:name="_Toc163493623"/>
      <w:bookmarkStart w:id="411" w:name="_Toc109899994"/>
      <w:bookmarkStart w:id="412" w:name="_Toc29816"/>
      <w:bookmarkStart w:id="413" w:name="_Toc109900413"/>
      <w:bookmarkStart w:id="414" w:name="_Toc109899575"/>
      <w:r>
        <w:rPr>
          <w:rFonts w:hint="eastAsia" w:ascii="宋体" w:hAnsi="宋体" w:eastAsia="宋体" w:cs="宋体"/>
          <w:b/>
          <w:bCs/>
          <w:i w:val="0"/>
          <w:iCs w:val="0"/>
          <w:color w:val="auto"/>
          <w:kern w:val="2"/>
          <w:sz w:val="24"/>
          <w:szCs w:val="24"/>
          <w:highlight w:val="none"/>
          <w:lang w:val="en-US" w:eastAsia="zh-CN" w:bidi="ar-SA"/>
        </w:rPr>
        <w:t>（十五）其他</w:t>
      </w:r>
      <w:bookmarkEnd w:id="409"/>
      <w:bookmarkEnd w:id="410"/>
      <w:bookmarkEnd w:id="411"/>
      <w:bookmarkEnd w:id="412"/>
      <w:bookmarkEnd w:id="413"/>
      <w:bookmarkEnd w:id="414"/>
    </w:p>
    <w:p w14:paraId="0C2C4C1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5" w:name="_Toc161600347"/>
      <w:r>
        <w:rPr>
          <w:rFonts w:hint="eastAsia" w:ascii="宋体" w:hAnsi="宋体" w:eastAsia="宋体" w:cs="宋体"/>
          <w:b/>
          <w:bCs/>
          <w:i w:val="0"/>
          <w:iCs w:val="0"/>
          <w:color w:val="auto"/>
          <w:kern w:val="2"/>
          <w:sz w:val="24"/>
          <w:szCs w:val="24"/>
          <w:highlight w:val="none"/>
          <w:lang w:val="en-US" w:eastAsia="zh-CN" w:bidi="ar-SA"/>
        </w:rPr>
        <w:t>48.需要补充的其他内容</w:t>
      </w:r>
      <w:bookmarkEnd w:id="415"/>
    </w:p>
    <w:p w14:paraId="3957C993">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.1需要补充的其他内容：见供应商须知前附表。</w:t>
      </w:r>
    </w:p>
    <w:p w14:paraId="740594B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16" w:name="_Toc109899576"/>
      <w:bookmarkStart w:id="417" w:name="_Toc109897477"/>
      <w:bookmarkStart w:id="418" w:name="_Toc109899995"/>
      <w:bookmarkStart w:id="419" w:name="_Toc109900414"/>
      <w:r>
        <w:rPr>
          <w:rFonts w:hint="eastAsia" w:ascii="宋体" w:hAnsi="宋体" w:eastAsia="宋体" w:cs="宋体"/>
          <w:b/>
          <w:bCs/>
          <w:i w:val="0"/>
          <w:iCs w:val="0"/>
          <w:color w:val="auto"/>
          <w:kern w:val="2"/>
          <w:sz w:val="24"/>
          <w:szCs w:val="24"/>
          <w:highlight w:val="none"/>
          <w:lang w:val="en-US" w:eastAsia="zh-CN" w:bidi="ar-SA"/>
        </w:rPr>
        <w:t>49.适用法律</w:t>
      </w:r>
      <w:bookmarkEnd w:id="416"/>
      <w:bookmarkEnd w:id="417"/>
      <w:bookmarkEnd w:id="418"/>
      <w:bookmarkEnd w:id="419"/>
    </w:p>
    <w:p w14:paraId="48B6B3FD">
      <w:pPr>
        <w:keepNext w:val="0"/>
        <w:keepLines w:val="0"/>
        <w:pageBreakBefore w:val="0"/>
        <w:widowControl w:val="0"/>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w:t>
      </w:r>
      <w:r>
        <w:rPr>
          <w:rFonts w:hint="eastAsia" w:ascii="宋体" w:hAnsi="宋体" w:eastAsia="宋体" w:cs="宋体"/>
          <w:i w:val="0"/>
          <w:iCs w:val="0"/>
          <w:snapToGrid w:val="0"/>
          <w:color w:val="auto"/>
          <w:sz w:val="24"/>
          <w:szCs w:val="24"/>
          <w:highlight w:val="none"/>
          <w:lang w:val="en-US" w:eastAsia="zh-CN"/>
        </w:rPr>
        <w:t>9</w:t>
      </w:r>
      <w:r>
        <w:rPr>
          <w:rFonts w:hint="eastAsia" w:ascii="宋体" w:hAnsi="宋体" w:eastAsia="宋体" w:cs="宋体"/>
          <w:i w:val="0"/>
          <w:iCs w:val="0"/>
          <w:snapToGrid w:val="0"/>
          <w:color w:val="auto"/>
          <w:sz w:val="24"/>
          <w:szCs w:val="24"/>
          <w:highlight w:val="none"/>
          <w:lang w:val="zh-CN"/>
        </w:rPr>
        <w:t>.1采购人、采购代理机构及供应商的一切采购活动均适用《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政府采购法实施条例》、</w:t>
      </w:r>
      <w:r>
        <w:rPr>
          <w:rFonts w:hint="eastAsia" w:ascii="宋体" w:hAnsi="宋体" w:eastAsia="宋体" w:cs="宋体"/>
          <w:i w:val="0"/>
          <w:iCs w:val="0"/>
          <w:color w:val="auto"/>
          <w:sz w:val="24"/>
          <w:szCs w:val="24"/>
          <w:highlight w:val="none"/>
        </w:rPr>
        <w:t>《政府采购竞争性磋商采购方式管理暂行办法》（财库〔2014〕214号）</w:t>
      </w:r>
      <w:r>
        <w:rPr>
          <w:rFonts w:hint="eastAsia" w:ascii="宋体" w:hAnsi="宋体" w:eastAsia="宋体" w:cs="宋体"/>
          <w:i w:val="0"/>
          <w:iCs w:val="0"/>
          <w:snapToGrid w:val="0"/>
          <w:color w:val="auto"/>
          <w:sz w:val="24"/>
          <w:szCs w:val="24"/>
          <w:highlight w:val="none"/>
          <w:lang w:val="zh-CN"/>
        </w:rPr>
        <w:t>及相关法律法规。</w:t>
      </w:r>
    </w:p>
    <w:p w14:paraId="7EF83039">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lang w:val="zh-CN"/>
        </w:rPr>
      </w:pPr>
      <w:r>
        <w:rPr>
          <w:rFonts w:hint="eastAsia" w:ascii="宋体" w:hAnsi="宋体" w:eastAsia="宋体" w:cs="宋体"/>
          <w:i w:val="0"/>
          <w:iCs w:val="0"/>
          <w:snapToGrid w:val="0"/>
          <w:color w:val="auto"/>
          <w:sz w:val="24"/>
          <w:szCs w:val="24"/>
          <w:highlight w:val="none"/>
          <w:lang w:val="zh-CN"/>
        </w:rPr>
        <w:t>4</w:t>
      </w:r>
      <w:r>
        <w:rPr>
          <w:rFonts w:hint="eastAsia" w:ascii="宋体" w:hAnsi="宋体" w:eastAsia="宋体" w:cs="宋体"/>
          <w:i w:val="0"/>
          <w:iCs w:val="0"/>
          <w:snapToGrid w:val="0"/>
          <w:color w:val="auto"/>
          <w:sz w:val="24"/>
          <w:szCs w:val="24"/>
          <w:highlight w:val="none"/>
          <w:lang w:val="en-US" w:eastAsia="zh-CN"/>
        </w:rPr>
        <w:t>9</w:t>
      </w:r>
      <w:r>
        <w:rPr>
          <w:rFonts w:hint="eastAsia" w:ascii="宋体" w:hAnsi="宋体" w:eastAsia="宋体" w:cs="宋体"/>
          <w:i w:val="0"/>
          <w:iCs w:val="0"/>
          <w:snapToGrid w:val="0"/>
          <w:color w:val="auto"/>
          <w:sz w:val="24"/>
          <w:szCs w:val="24"/>
          <w:highlight w:val="none"/>
          <w:lang w:val="zh-CN"/>
        </w:rPr>
        <w:t>.2政府采购合同的履行、违约责任和解决争议的方法等适用《</w:t>
      </w:r>
      <w:r>
        <w:rPr>
          <w:rFonts w:hint="eastAsia" w:ascii="宋体" w:hAnsi="宋体" w:eastAsia="宋体" w:cs="宋体"/>
          <w:i w:val="0"/>
          <w:iCs w:val="0"/>
          <w:snapToGrid w:val="0"/>
          <w:color w:val="auto"/>
          <w:sz w:val="24"/>
          <w:szCs w:val="24"/>
          <w:highlight w:val="none"/>
        </w:rPr>
        <w:t>中华人民共和国</w:t>
      </w:r>
      <w:r>
        <w:rPr>
          <w:rFonts w:hint="eastAsia" w:ascii="宋体" w:hAnsi="宋体" w:eastAsia="宋体" w:cs="宋体"/>
          <w:i w:val="0"/>
          <w:iCs w:val="0"/>
          <w:snapToGrid w:val="0"/>
          <w:color w:val="auto"/>
          <w:sz w:val="24"/>
          <w:szCs w:val="24"/>
          <w:highlight w:val="none"/>
          <w:lang w:val="zh-CN"/>
        </w:rPr>
        <w:t>民法典》。</w:t>
      </w:r>
    </w:p>
    <w:p w14:paraId="5A914310">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20" w:name="_Toc161600349"/>
      <w:bookmarkStart w:id="421" w:name="_Toc155185887"/>
      <w:r>
        <w:rPr>
          <w:rFonts w:hint="eastAsia" w:ascii="宋体" w:hAnsi="宋体" w:eastAsia="宋体" w:cs="宋体"/>
          <w:b/>
          <w:bCs/>
          <w:i w:val="0"/>
          <w:iCs w:val="0"/>
          <w:color w:val="auto"/>
          <w:kern w:val="2"/>
          <w:sz w:val="24"/>
          <w:szCs w:val="24"/>
          <w:highlight w:val="none"/>
          <w:lang w:val="en-US" w:eastAsia="zh-CN" w:bidi="ar-SA"/>
        </w:rPr>
        <w:t>50.解释权</w:t>
      </w:r>
      <w:bookmarkEnd w:id="420"/>
      <w:bookmarkEnd w:id="421"/>
    </w:p>
    <w:p w14:paraId="02BEF40F">
      <w:pPr>
        <w:pStyle w:val="41"/>
        <w:keepNext w:val="0"/>
        <w:keepLines w:val="0"/>
        <w:pageBreakBefore w:val="0"/>
        <w:widowControl w:val="0"/>
        <w:kinsoku/>
        <w:overflowPunct/>
        <w:topLinePunct w:val="0"/>
        <w:bidi w:val="0"/>
        <w:ind w:firstLine="480"/>
        <w:textAlignment w:val="auto"/>
        <w:rPr>
          <w:rFonts w:hint="eastAsia" w:ascii="宋体" w:hAnsi="宋体" w:eastAsia="宋体" w:cs="宋体"/>
          <w:i w:val="0"/>
          <w:iCs w:val="0"/>
          <w:snapToGrid w:val="0"/>
          <w:color w:val="auto"/>
          <w:sz w:val="24"/>
          <w:szCs w:val="24"/>
          <w:highlight w:val="none"/>
        </w:rPr>
      </w:pPr>
      <w:r>
        <w:rPr>
          <w:rFonts w:hint="eastAsia" w:ascii="宋体" w:hAnsi="宋体" w:eastAsia="宋体" w:cs="宋体"/>
          <w:i w:val="0"/>
          <w:iCs w:val="0"/>
          <w:snapToGrid w:val="0"/>
          <w:color w:val="auto"/>
          <w:sz w:val="24"/>
          <w:szCs w:val="24"/>
          <w:highlight w:val="none"/>
          <w:lang w:val="en-US" w:eastAsia="zh-CN"/>
        </w:rPr>
        <w:t>50</w:t>
      </w:r>
      <w:r>
        <w:rPr>
          <w:rFonts w:hint="eastAsia" w:ascii="宋体" w:hAnsi="宋体" w:eastAsia="宋体" w:cs="宋体"/>
          <w:i w:val="0"/>
          <w:iCs w:val="0"/>
          <w:snapToGrid w:val="0"/>
          <w:color w:val="auto"/>
          <w:sz w:val="24"/>
          <w:szCs w:val="24"/>
          <w:highlight w:val="none"/>
        </w:rPr>
        <w:t>.1本竞争性磋商文件最终解释权归采购人或采购代理机构所有。</w:t>
      </w:r>
    </w:p>
    <w:p w14:paraId="6A67B13D">
      <w:pPr>
        <w:pStyle w:val="41"/>
        <w:ind w:firstLine="480"/>
        <w:rPr>
          <w:rFonts w:hint="eastAsia" w:ascii="宋体" w:hAnsi="宋体" w:eastAsia="宋体" w:cs="宋体"/>
          <w:i w:val="0"/>
          <w:iCs w:val="0"/>
          <w:color w:val="auto"/>
          <w:sz w:val="24"/>
          <w:szCs w:val="24"/>
          <w:highlight w:val="none"/>
        </w:rPr>
      </w:pPr>
    </w:p>
    <w:p w14:paraId="216F1C6D">
      <w:pPr>
        <w:pStyle w:val="41"/>
        <w:ind w:firstLine="480"/>
        <w:rPr>
          <w:i w:val="0"/>
          <w:iCs w:val="0"/>
          <w:color w:val="auto"/>
          <w:highlight w:val="none"/>
        </w:rPr>
      </w:pPr>
    </w:p>
    <w:p w14:paraId="22C74F72">
      <w:pPr>
        <w:pStyle w:val="41"/>
        <w:ind w:firstLine="480"/>
        <w:rPr>
          <w:i w:val="0"/>
          <w:iCs w:val="0"/>
          <w:color w:val="auto"/>
          <w:highlight w:val="none"/>
        </w:rPr>
        <w:sectPr>
          <w:pgSz w:w="11906" w:h="16838"/>
          <w:pgMar w:top="1440" w:right="1800" w:bottom="1440" w:left="1800" w:header="851" w:footer="652" w:gutter="0"/>
          <w:pgNumType w:fmt="numberInDash"/>
          <w:cols w:space="0" w:num="1"/>
          <w:rtlGutter w:val="0"/>
          <w:docGrid w:type="lines" w:linePitch="312" w:charSpace="0"/>
        </w:sectPr>
      </w:pPr>
    </w:p>
    <w:p w14:paraId="398BAAE6">
      <w:pPr>
        <w:pStyle w:val="4"/>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i w:val="0"/>
          <w:iCs w:val="0"/>
          <w:color w:val="auto"/>
          <w:sz w:val="24"/>
          <w:szCs w:val="24"/>
          <w:highlight w:val="none"/>
        </w:rPr>
      </w:pPr>
      <w:bookmarkStart w:id="422" w:name="_Toc25233"/>
      <w:r>
        <w:rPr>
          <w:rFonts w:hint="eastAsia" w:ascii="宋体" w:hAnsi="宋体" w:eastAsia="宋体" w:cs="宋体"/>
          <w:b/>
          <w:bCs/>
          <w:i w:val="0"/>
          <w:iCs w:val="0"/>
          <w:color w:val="auto"/>
          <w:kern w:val="44"/>
          <w:sz w:val="36"/>
          <w:szCs w:val="36"/>
          <w:highlight w:val="none"/>
          <w:lang w:val="en-US" w:eastAsia="zh-CN" w:bidi="ar-SA"/>
        </w:rPr>
        <w:t>第三章 项目采购需求</w:t>
      </w:r>
      <w:bookmarkEnd w:id="422"/>
    </w:p>
    <w:p w14:paraId="2C43F922">
      <w:pPr>
        <w:pStyle w:val="41"/>
        <w:keepNext w:val="0"/>
        <w:keepLines w:val="0"/>
        <w:pageBreakBefore w:val="0"/>
        <w:widowControl w:val="0"/>
        <w:kinsoku/>
        <w:overflowPunct/>
        <w:topLinePunct w:val="0"/>
        <w:autoSpaceDE/>
        <w:autoSpaceDN/>
        <w:bidi w:val="0"/>
        <w:adjustRightInd/>
        <w:textAlignment w:val="auto"/>
        <w:rPr>
          <w:rFonts w:hint="eastAsia"/>
          <w:b/>
          <w:bCs/>
          <w:i w:val="0"/>
          <w:iCs w:val="0"/>
          <w:snapToGrid w:val="0"/>
          <w:color w:val="auto"/>
          <w:sz w:val="24"/>
          <w:szCs w:val="24"/>
          <w:highlight w:val="none"/>
          <w:lang w:val="en-US" w:eastAsia="zh-CN"/>
        </w:rPr>
      </w:pPr>
      <w:bookmarkStart w:id="423" w:name="_Toc140132812"/>
      <w:bookmarkStart w:id="424" w:name="_Toc155185889"/>
      <w:bookmarkStart w:id="425" w:name="_Toc163492886"/>
      <w:r>
        <w:rPr>
          <w:rFonts w:hint="eastAsia"/>
          <w:b/>
          <w:bCs/>
          <w:i w:val="0"/>
          <w:iCs w:val="0"/>
          <w:snapToGrid w:val="0"/>
          <w:color w:val="auto"/>
          <w:sz w:val="24"/>
          <w:szCs w:val="24"/>
          <w:highlight w:val="none"/>
          <w:lang w:val="en-US" w:eastAsia="zh-CN"/>
        </w:rPr>
        <w:t xml:space="preserve">说明： </w:t>
      </w:r>
    </w:p>
    <w:p w14:paraId="04A97FB9">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1. 当采购项目涉及数据中心相关设备、运维服务时，采购需求应当符合《绿色数据中心政府采购需求标准（试行）》（财库〔</w:t>
      </w:r>
      <w:r>
        <w:rPr>
          <w:rFonts w:hint="default"/>
          <w:i w:val="0"/>
          <w:iCs w:val="0"/>
          <w:snapToGrid w:val="0"/>
          <w:color w:val="auto"/>
          <w:sz w:val="24"/>
          <w:szCs w:val="24"/>
          <w:highlight w:val="none"/>
          <w:lang w:val="en-US" w:eastAsia="zh-CN"/>
        </w:rPr>
        <w:t>2023</w:t>
      </w:r>
      <w:r>
        <w:rPr>
          <w:rFonts w:hint="eastAsia"/>
          <w:i w:val="0"/>
          <w:iCs w:val="0"/>
          <w:snapToGrid w:val="0"/>
          <w:color w:val="auto"/>
          <w:sz w:val="24"/>
          <w:szCs w:val="24"/>
          <w:highlight w:val="none"/>
          <w:lang w:val="en-US" w:eastAsia="zh-CN"/>
        </w:rPr>
        <w:t>〕</w:t>
      </w:r>
      <w:r>
        <w:rPr>
          <w:rFonts w:hint="default"/>
          <w:i w:val="0"/>
          <w:iCs w:val="0"/>
          <w:snapToGrid w:val="0"/>
          <w:color w:val="auto"/>
          <w:sz w:val="24"/>
          <w:szCs w:val="24"/>
          <w:highlight w:val="none"/>
          <w:lang w:val="en-US" w:eastAsia="zh-CN"/>
        </w:rPr>
        <w:t xml:space="preserve">7 </w:t>
      </w:r>
      <w:r>
        <w:rPr>
          <w:rFonts w:hint="eastAsia"/>
          <w:i w:val="0"/>
          <w:iCs w:val="0"/>
          <w:snapToGrid w:val="0"/>
          <w:color w:val="auto"/>
          <w:sz w:val="24"/>
          <w:szCs w:val="24"/>
          <w:highlight w:val="none"/>
          <w:lang w:val="en-US" w:eastAsia="zh-CN"/>
        </w:rPr>
        <w:t xml:space="preserve">号）的有关要求。 </w:t>
      </w:r>
    </w:p>
    <w:p w14:paraId="19609329">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default"/>
          <w:i w:val="0"/>
          <w:iCs w:val="0"/>
          <w:snapToGrid w:val="0"/>
          <w:color w:val="auto"/>
          <w:sz w:val="24"/>
          <w:szCs w:val="24"/>
          <w:highlight w:val="none"/>
          <w:lang w:val="en-US" w:eastAsia="zh-CN"/>
        </w:rPr>
        <w:t xml:space="preserve">2. </w:t>
      </w:r>
      <w:r>
        <w:rPr>
          <w:rFonts w:hint="eastAsia"/>
          <w:i w:val="0"/>
          <w:iCs w:val="0"/>
          <w:snapToGrid w:val="0"/>
          <w:color w:val="auto"/>
          <w:sz w:val="24"/>
          <w:szCs w:val="24"/>
          <w:highlight w:val="none"/>
          <w:lang w:val="en-US" w:eastAsia="zh-CN"/>
        </w:rPr>
        <w:t>当采购项目涉及政务信息系统时，采购需求应当符合《政务信息系统政府采购管理暂行办法》（财库〔</w:t>
      </w:r>
      <w:r>
        <w:rPr>
          <w:rFonts w:hint="default"/>
          <w:i w:val="0"/>
          <w:iCs w:val="0"/>
          <w:snapToGrid w:val="0"/>
          <w:color w:val="auto"/>
          <w:sz w:val="24"/>
          <w:szCs w:val="24"/>
          <w:highlight w:val="none"/>
          <w:lang w:val="en-US" w:eastAsia="zh-CN"/>
        </w:rPr>
        <w:t>2017</w:t>
      </w:r>
      <w:r>
        <w:rPr>
          <w:rFonts w:hint="eastAsia"/>
          <w:i w:val="0"/>
          <w:iCs w:val="0"/>
          <w:snapToGrid w:val="0"/>
          <w:color w:val="auto"/>
          <w:sz w:val="24"/>
          <w:szCs w:val="24"/>
          <w:highlight w:val="none"/>
          <w:lang w:val="en-US" w:eastAsia="zh-CN"/>
        </w:rPr>
        <w:t>〕</w:t>
      </w:r>
      <w:r>
        <w:rPr>
          <w:rFonts w:hint="default"/>
          <w:i w:val="0"/>
          <w:iCs w:val="0"/>
          <w:snapToGrid w:val="0"/>
          <w:color w:val="auto"/>
          <w:sz w:val="24"/>
          <w:szCs w:val="24"/>
          <w:highlight w:val="none"/>
          <w:lang w:val="en-US" w:eastAsia="zh-CN"/>
        </w:rPr>
        <w:t xml:space="preserve">210 </w:t>
      </w:r>
      <w:r>
        <w:rPr>
          <w:rFonts w:hint="eastAsia"/>
          <w:i w:val="0"/>
          <w:iCs w:val="0"/>
          <w:snapToGrid w:val="0"/>
          <w:color w:val="auto"/>
          <w:sz w:val="24"/>
          <w:szCs w:val="24"/>
          <w:highlight w:val="none"/>
          <w:lang w:val="en-US" w:eastAsia="zh-CN"/>
        </w:rPr>
        <w:t xml:space="preserve">号）的相关要求。 </w:t>
      </w:r>
    </w:p>
    <w:p w14:paraId="74BCECBF">
      <w:pPr>
        <w:pStyle w:val="2"/>
        <w:bidi w:val="0"/>
        <w:spacing w:before="0" w:after="0" w:line="240" w:lineRule="auto"/>
        <w:ind w:firstLine="562" w:firstLineChars="200"/>
        <w:rPr>
          <w:rFonts w:hint="eastAsia"/>
          <w:sz w:val="28"/>
          <w:szCs w:val="28"/>
          <w:lang w:val="en-US" w:eastAsia="zh-CN"/>
        </w:rPr>
      </w:pPr>
      <w:bookmarkStart w:id="426" w:name="_Toc31980"/>
      <w:r>
        <w:rPr>
          <w:rFonts w:hint="eastAsia"/>
          <w:sz w:val="28"/>
          <w:szCs w:val="28"/>
          <w:lang w:val="en-US" w:eastAsia="zh-CN"/>
        </w:rPr>
        <w:t>一、采购标的</w:t>
      </w:r>
      <w:bookmarkEnd w:id="426"/>
      <w:r>
        <w:rPr>
          <w:rFonts w:hint="eastAsia"/>
          <w:sz w:val="28"/>
          <w:szCs w:val="28"/>
          <w:lang w:val="en-US" w:eastAsia="zh-CN"/>
        </w:rPr>
        <w:t xml:space="preserve"> </w:t>
      </w:r>
    </w:p>
    <w:p w14:paraId="1611B4AC">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r>
        <w:rPr>
          <w:rFonts w:hint="default"/>
          <w:i w:val="0"/>
          <w:iCs w:val="0"/>
          <w:snapToGrid w:val="0"/>
          <w:color w:val="auto"/>
          <w:sz w:val="24"/>
          <w:szCs w:val="24"/>
          <w:highlight w:val="none"/>
          <w:lang w:val="en-US" w:eastAsia="zh-CN"/>
        </w:rPr>
        <w:t xml:space="preserve">1. </w:t>
      </w:r>
      <w:r>
        <w:rPr>
          <w:rFonts w:hint="eastAsia"/>
          <w:i w:val="0"/>
          <w:iCs w:val="0"/>
          <w:snapToGrid w:val="0"/>
          <w:color w:val="auto"/>
          <w:sz w:val="24"/>
          <w:szCs w:val="24"/>
          <w:highlight w:val="none"/>
          <w:lang w:val="en-US" w:eastAsia="zh-CN"/>
        </w:rPr>
        <w:t xml:space="preserve">采购标的（第三师融媒体中心2025年度食堂服务采购项目）  </w:t>
      </w:r>
    </w:p>
    <w:p w14:paraId="5A7B1DE9">
      <w:pPr>
        <w:pStyle w:val="41"/>
        <w:keepNext w:val="0"/>
        <w:keepLines w:val="0"/>
        <w:pageBreakBefore w:val="0"/>
        <w:widowControl w:val="0"/>
        <w:kinsoku/>
        <w:overflowPunct/>
        <w:topLinePunct w:val="0"/>
        <w:autoSpaceDE/>
        <w:autoSpaceDN/>
        <w:bidi w:val="0"/>
        <w:adjustRightInd/>
        <w:textAlignment w:val="auto"/>
        <w:rPr>
          <w:rFonts w:hint="default" w:ascii="宋体" w:hAnsi="宋体" w:eastAsia="宋体" w:cs="宋体"/>
          <w:i w:val="0"/>
          <w:iCs w:val="0"/>
          <w:color w:val="auto"/>
          <w:sz w:val="24"/>
          <w:szCs w:val="24"/>
          <w:highlight w:val="none"/>
          <w:u w:val="none"/>
          <w:lang w:val="en-US" w:eastAsia="zh-CN"/>
        </w:rPr>
      </w:pPr>
      <w:r>
        <w:rPr>
          <w:rFonts w:hint="default"/>
          <w:i w:val="0"/>
          <w:iCs w:val="0"/>
          <w:snapToGrid w:val="0"/>
          <w:color w:val="auto"/>
          <w:sz w:val="24"/>
          <w:szCs w:val="24"/>
          <w:highlight w:val="none"/>
          <w:lang w:val="en-US" w:eastAsia="zh-CN"/>
        </w:rPr>
        <w:t xml:space="preserve">2. </w:t>
      </w:r>
      <w:r>
        <w:rPr>
          <w:rFonts w:hint="eastAsia"/>
          <w:i w:val="0"/>
          <w:iCs w:val="0"/>
          <w:snapToGrid w:val="0"/>
          <w:color w:val="auto"/>
          <w:sz w:val="24"/>
          <w:szCs w:val="24"/>
          <w:highlight w:val="none"/>
          <w:lang w:val="en-US" w:eastAsia="zh-CN"/>
        </w:rPr>
        <w:t>项目背景</w:t>
      </w:r>
      <w:r>
        <w:rPr>
          <w:rFonts w:hint="default"/>
          <w:i w:val="0"/>
          <w:iCs w:val="0"/>
          <w:snapToGrid w:val="0"/>
          <w:color w:val="auto"/>
          <w:sz w:val="24"/>
          <w:szCs w:val="24"/>
          <w:highlight w:val="none"/>
          <w:lang w:val="en-US" w:eastAsia="zh-CN"/>
        </w:rPr>
        <w:t>/</w:t>
      </w:r>
      <w:r>
        <w:rPr>
          <w:rFonts w:hint="eastAsia"/>
          <w:i w:val="0"/>
          <w:iCs w:val="0"/>
          <w:snapToGrid w:val="0"/>
          <w:color w:val="auto"/>
          <w:sz w:val="24"/>
          <w:szCs w:val="24"/>
          <w:highlight w:val="none"/>
          <w:lang w:val="en-US" w:eastAsia="zh-CN"/>
        </w:rPr>
        <w:t>项目概述：</w:t>
      </w:r>
      <w:r>
        <w:rPr>
          <w:rFonts w:hint="eastAsia" w:cs="宋体"/>
          <w:i w:val="0"/>
          <w:iCs w:val="0"/>
          <w:color w:val="auto"/>
          <w:sz w:val="24"/>
          <w:szCs w:val="24"/>
          <w:highlight w:val="none"/>
          <w:u w:val="none"/>
          <w:lang w:val="en-US" w:eastAsia="zh-CN"/>
        </w:rPr>
        <w:t>食堂对外承包运营，满足我中心60人左右的用餐需求</w:t>
      </w:r>
      <w:r>
        <w:rPr>
          <w:rFonts w:hint="eastAsia" w:ascii="宋体" w:hAnsi="宋体" w:eastAsia="宋体" w:cs="宋体"/>
          <w:i w:val="0"/>
          <w:iCs w:val="0"/>
          <w:color w:val="auto"/>
          <w:sz w:val="24"/>
          <w:szCs w:val="24"/>
          <w:highlight w:val="none"/>
          <w:u w:val="none"/>
          <w:lang w:val="hr-HR" w:eastAsia="zh-CN"/>
        </w:rPr>
        <w:t>。</w:t>
      </w:r>
    </w:p>
    <w:p w14:paraId="6D523F8D">
      <w:pPr>
        <w:pStyle w:val="2"/>
        <w:bidi w:val="0"/>
        <w:spacing w:before="0" w:after="0" w:line="240" w:lineRule="auto"/>
        <w:ind w:firstLine="562" w:firstLineChars="200"/>
        <w:rPr>
          <w:rFonts w:hint="eastAsia"/>
          <w:sz w:val="28"/>
          <w:szCs w:val="28"/>
          <w:lang w:val="en-US" w:eastAsia="zh-CN"/>
        </w:rPr>
      </w:pPr>
      <w:bookmarkStart w:id="427" w:name="_Toc21526"/>
      <w:r>
        <w:rPr>
          <w:rFonts w:hint="eastAsia"/>
          <w:sz w:val="28"/>
          <w:szCs w:val="28"/>
          <w:lang w:val="en-US" w:eastAsia="zh-CN"/>
        </w:rPr>
        <w:t>二、商务要求</w:t>
      </w:r>
      <w:bookmarkEnd w:id="427"/>
    </w:p>
    <w:p w14:paraId="2A887E83">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sz w:val="28"/>
          <w:szCs w:val="28"/>
          <w:lang w:val="en-US" w:eastAsia="zh-CN"/>
        </w:rPr>
        <w:t>★</w:t>
      </w:r>
      <w:r>
        <w:rPr>
          <w:rFonts w:hint="default"/>
          <w:i w:val="0"/>
          <w:iCs w:val="0"/>
          <w:snapToGrid w:val="0"/>
          <w:color w:val="auto"/>
          <w:sz w:val="24"/>
          <w:szCs w:val="24"/>
          <w:highlight w:val="none"/>
          <w:lang w:val="en-US" w:eastAsia="zh-CN"/>
        </w:rPr>
        <w:t xml:space="preserve">1. </w:t>
      </w:r>
      <w:r>
        <w:rPr>
          <w:rFonts w:hint="eastAsia"/>
          <w:i w:val="0"/>
          <w:iCs w:val="0"/>
          <w:snapToGrid w:val="0"/>
          <w:color w:val="auto"/>
          <w:sz w:val="24"/>
          <w:szCs w:val="24"/>
          <w:highlight w:val="none"/>
          <w:lang w:val="en-US" w:eastAsia="zh-CN"/>
        </w:rPr>
        <w:t>交付（实施）的时间（或服务期限）和地点（范围）：</w:t>
      </w:r>
    </w:p>
    <w:p w14:paraId="0E829CDE">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（1）服务期：签订合同生效之日起一年。</w:t>
      </w:r>
    </w:p>
    <w:p w14:paraId="395092DD">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 xml:space="preserve">（2）服务地点：新疆图木舒克市滨河大道16号融媒体中心食堂 </w:t>
      </w:r>
    </w:p>
    <w:p w14:paraId="2017E928">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sz w:val="28"/>
          <w:szCs w:val="28"/>
          <w:lang w:val="en-US" w:eastAsia="zh-CN"/>
        </w:rPr>
        <w:t>★</w:t>
      </w:r>
      <w:r>
        <w:rPr>
          <w:rFonts w:hint="default"/>
          <w:i w:val="0"/>
          <w:iCs w:val="0"/>
          <w:snapToGrid w:val="0"/>
          <w:color w:val="auto"/>
          <w:sz w:val="24"/>
          <w:szCs w:val="24"/>
          <w:highlight w:val="none"/>
          <w:lang w:val="en-US" w:eastAsia="zh-CN"/>
        </w:rPr>
        <w:t xml:space="preserve">2. </w:t>
      </w:r>
      <w:r>
        <w:rPr>
          <w:rFonts w:hint="eastAsia"/>
          <w:i w:val="0"/>
          <w:iCs w:val="0"/>
          <w:snapToGrid w:val="0"/>
          <w:color w:val="auto"/>
          <w:sz w:val="24"/>
          <w:szCs w:val="24"/>
          <w:highlight w:val="none"/>
          <w:lang w:val="en-US" w:eastAsia="zh-CN"/>
        </w:rPr>
        <w:t>付款条件（进度和方式）：按月付款制，分12个月支付完成按月付款制，支付款为1/12（按月进行考核，考核中发生的扣罚款费用从当月扣除，每月应支付的最终费用由成交供应商向采购人提出书面付款申请，经采购人确认后提供发票支付）。</w:t>
      </w:r>
    </w:p>
    <w:p w14:paraId="29A3F0EA">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sz w:val="28"/>
          <w:szCs w:val="28"/>
          <w:lang w:val="en-US" w:eastAsia="zh-CN"/>
        </w:rPr>
        <w:t>3.</w:t>
      </w:r>
      <w:r>
        <w:rPr>
          <w:rFonts w:hint="eastAsia"/>
          <w:i w:val="0"/>
          <w:iCs w:val="0"/>
          <w:snapToGrid w:val="0"/>
          <w:color w:val="auto"/>
          <w:sz w:val="24"/>
          <w:szCs w:val="24"/>
          <w:highlight w:val="none"/>
          <w:lang w:val="en-US" w:eastAsia="zh-CN"/>
        </w:rPr>
        <w:t>服务要求</w:t>
      </w:r>
    </w:p>
    <w:p w14:paraId="39FB656F">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（一）服务内容：</w:t>
      </w:r>
    </w:p>
    <w:p w14:paraId="6A6B304D">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需成交供应商协助做好食材原材料采购与验收及储藏，负责原材料加工、制作成品、打包等一整套服务；负责食堂周边环境卫生的清理；负责食堂运营管理和资产管理、安全卫生管理、厨具设备保养与维修维护管理、防火防盗管理等。</w:t>
      </w:r>
    </w:p>
    <w:p w14:paraId="22A3472C">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（二）人员安排：</w:t>
      </w:r>
    </w:p>
    <w:p w14:paraId="20792E0E">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成交供应商须安排相对固定的厨师、服务员等人员，食堂从业人员年龄必须在60周岁以下，厨师需有厨师证，服务员需做好职工餐的服务工作，具有健康证，并提供上述人员的相关证件。采购方在管理中要求成交供应商更换相关人员，成交供应商应在7天内更换相对条件优秀的人员到岗，否则采购人按擅自更换人员标准给予成交供应商每人/次一千元处罚，在劳务承包费用中扣除。</w:t>
      </w:r>
    </w:p>
    <w:p w14:paraId="02A6B565">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（三）食品加工：</w:t>
      </w:r>
    </w:p>
    <w:p w14:paraId="294F9161">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按照采购方的需求，提供每日的早、中、晚餐供应。早餐应包括稀饭、面条、鸡蛋、馒头（花卷/油条等）等；中餐应包括荤菜、素菜及汤；晚餐应包括面食、荤菜、素菜及汤；确保健康、卫生、营养、美味，杜绝浪费，具体菜品和数量按实际用餐人数准备。</w:t>
      </w:r>
    </w:p>
    <w:p w14:paraId="60C4B48B">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（四）食品安全和环境卫生管理：</w:t>
      </w:r>
    </w:p>
    <w:p w14:paraId="7F32EF1D">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1.严格执行国家餐饮服务食品安全操作规范，贯彻《食品卫生法》的有关规定，确保饮食卫生安全。有防蚊蝇、防尘措施，严禁提供变质和不合格食品，加强食品贮存管理，严禁浪费食材，严禁食品二次加工，杜绝浪费行为的发生。</w:t>
      </w:r>
    </w:p>
    <w:p w14:paraId="1654AB0E">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2.接受市场监管部门及采购方对卫生环境、菜品制作质量及服务质量的检查、评价与监督。</w:t>
      </w:r>
    </w:p>
    <w:p w14:paraId="095E3D95">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3.成交供应商配备的所有从业人员须具备卫生行业从业人员健康证，厨师需具备厨师证。若不符合有关要求，须立即更换。否则采购人有权终止服务合同。</w:t>
      </w:r>
    </w:p>
    <w:p w14:paraId="70AC73A0">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4.服务人员在工作时佩戴卫生口罩与手套，并做好个人卫生和食堂操作间、餐厅、卫生间卫生，操作间物品及餐厅桌椅要摆放整齐，为就餐者提供清洁良好的就餐环境。</w:t>
      </w:r>
    </w:p>
    <w:p w14:paraId="7676BD20">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5.严格按照相关规定控制泔水、垃圾等餐厨废弃物的流向，做好规范清运工作。</w:t>
      </w:r>
    </w:p>
    <w:p w14:paraId="13710647">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（五）厨房设备的使用与保管：</w:t>
      </w:r>
    </w:p>
    <w:p w14:paraId="0F589806">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成交供应商在服务期间，妥善使用厨房设备，使用过程中，故意损坏、丢失的要照价赔偿。因特殊需要，成交供应商需添置或更换新的设施设备，应按照程序填呈采购申请单，经采购方同意后由采购方购买，成交供应商配合。合同终止后，中标供应商必须保证所有设施设备的完好（无明显人为破坏）。</w:t>
      </w:r>
    </w:p>
    <w:p w14:paraId="4804C47C">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（六）报价要求：</w:t>
      </w:r>
    </w:p>
    <w:p w14:paraId="498415AB">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1.本项目报总价，价格为完成本项目一年（12个月）的劳务费用。成交供应商自行解决员工养老、失业、医疗、工伤、生育、纳税等保险及劳保、工资、福利、员工住宿及上下班交通等有关问题。</w:t>
      </w:r>
    </w:p>
    <w:p w14:paraId="25B90F3B">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r>
        <w:rPr>
          <w:rFonts w:hint="eastAsia"/>
          <w:i w:val="0"/>
          <w:iCs w:val="0"/>
          <w:snapToGrid w:val="0"/>
          <w:color w:val="auto"/>
          <w:sz w:val="24"/>
          <w:szCs w:val="24"/>
          <w:highlight w:val="none"/>
          <w:lang w:val="en-US" w:eastAsia="zh-CN"/>
        </w:rPr>
        <w:t>2.供应商应考虑合同期内政策性费用调整的风险，履约期限内不得以最低工资标准上调以及物价指数上涨等理由增加费用。</w:t>
      </w:r>
    </w:p>
    <w:p w14:paraId="472C32BB">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r>
        <w:rPr>
          <w:rFonts w:hint="eastAsia"/>
          <w:sz w:val="28"/>
          <w:szCs w:val="28"/>
          <w:lang w:val="en-US" w:eastAsia="zh-CN"/>
        </w:rPr>
        <w:t>★</w:t>
      </w:r>
      <w:r>
        <w:rPr>
          <w:rFonts w:hint="eastAsia"/>
          <w:i w:val="0"/>
          <w:iCs w:val="0"/>
          <w:snapToGrid w:val="0"/>
          <w:color w:val="auto"/>
          <w:sz w:val="24"/>
          <w:szCs w:val="24"/>
          <w:highlight w:val="none"/>
          <w:lang w:val="en-US" w:eastAsia="zh-CN"/>
        </w:rPr>
        <w:t>5</w:t>
      </w:r>
      <w:r>
        <w:rPr>
          <w:rFonts w:hint="default"/>
          <w:i w:val="0"/>
          <w:iCs w:val="0"/>
          <w:snapToGrid w:val="0"/>
          <w:color w:val="auto"/>
          <w:sz w:val="24"/>
          <w:szCs w:val="24"/>
          <w:highlight w:val="none"/>
          <w:lang w:val="en-US" w:eastAsia="zh-CN"/>
        </w:rPr>
        <w:t xml:space="preserve">. </w:t>
      </w:r>
      <w:r>
        <w:rPr>
          <w:rFonts w:hint="eastAsia"/>
          <w:i w:val="0"/>
          <w:iCs w:val="0"/>
          <w:snapToGrid w:val="0"/>
          <w:color w:val="auto"/>
          <w:sz w:val="24"/>
          <w:szCs w:val="24"/>
          <w:highlight w:val="none"/>
          <w:lang w:val="en-US" w:eastAsia="zh-CN"/>
        </w:rPr>
        <w:t>售后服务：</w:t>
      </w:r>
      <w:r>
        <w:rPr>
          <w:rFonts w:hint="eastAsia"/>
          <w:i w:val="0"/>
          <w:iCs w:val="0"/>
          <w:snapToGrid w:val="0"/>
          <w:color w:val="auto"/>
          <w:sz w:val="24"/>
          <w:szCs w:val="24"/>
          <w:highlight w:val="none"/>
          <w:u w:val="single"/>
          <w:lang w:val="en-US" w:eastAsia="zh-CN"/>
        </w:rPr>
        <w:t>签订合同生效之日起一年</w:t>
      </w:r>
      <w:r>
        <w:rPr>
          <w:rFonts w:hint="eastAsia"/>
          <w:i w:val="0"/>
          <w:iCs w:val="0"/>
          <w:snapToGrid w:val="0"/>
          <w:color w:val="auto"/>
          <w:sz w:val="24"/>
          <w:szCs w:val="24"/>
          <w:highlight w:val="none"/>
          <w:lang w:val="en-US" w:eastAsia="zh-CN"/>
        </w:rPr>
        <w:t xml:space="preserve">。 </w:t>
      </w:r>
    </w:p>
    <w:p w14:paraId="3DAEFBB2">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r>
        <w:rPr>
          <w:rFonts w:hint="eastAsia"/>
          <w:sz w:val="28"/>
          <w:szCs w:val="28"/>
          <w:lang w:val="en-US" w:eastAsia="zh-CN"/>
        </w:rPr>
        <w:t>★</w:t>
      </w:r>
      <w:r>
        <w:rPr>
          <w:rFonts w:hint="eastAsia"/>
          <w:i w:val="0"/>
          <w:iCs w:val="0"/>
          <w:snapToGrid w:val="0"/>
          <w:color w:val="auto"/>
          <w:sz w:val="24"/>
          <w:szCs w:val="24"/>
          <w:highlight w:val="none"/>
          <w:lang w:val="en-US" w:eastAsia="zh-CN"/>
        </w:rPr>
        <w:t>6.处罚要求：</w:t>
      </w:r>
      <w:r>
        <w:rPr>
          <w:rFonts w:hint="eastAsia" w:ascii="宋体" w:hAnsi="宋体" w:eastAsia="宋体" w:cs="宋体"/>
          <w:color w:val="auto"/>
          <w:spacing w:val="0"/>
          <w:position w:val="0"/>
          <w:sz w:val="24"/>
          <w:szCs w:val="24"/>
          <w:u w:val="single" w:color="auto"/>
          <w:lang w:val="en-US" w:eastAsia="zh-CN"/>
        </w:rPr>
        <w:t>如果有发生投诉情况，核对事实确认无误后，一次扣罚500元，罚款次数不设限制，从当月费用中扣除。</w:t>
      </w:r>
    </w:p>
    <w:p w14:paraId="05E0D52A">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p>
    <w:p w14:paraId="3F90EB44">
      <w:pPr>
        <w:pStyle w:val="2"/>
        <w:bidi w:val="0"/>
        <w:spacing w:before="0" w:after="0" w:line="240" w:lineRule="auto"/>
        <w:ind w:firstLine="562" w:firstLineChars="200"/>
        <w:rPr>
          <w:rFonts w:hint="eastAsia"/>
          <w:sz w:val="28"/>
          <w:szCs w:val="28"/>
          <w:lang w:val="en-US" w:eastAsia="zh-CN"/>
        </w:rPr>
      </w:pPr>
      <w:bookmarkStart w:id="428" w:name="_Toc8025"/>
      <w:r>
        <w:rPr>
          <w:rFonts w:hint="eastAsia"/>
          <w:sz w:val="28"/>
          <w:szCs w:val="28"/>
          <w:lang w:val="en-US" w:eastAsia="zh-CN"/>
        </w:rPr>
        <w:t>三、技术要求</w:t>
      </w:r>
      <w:bookmarkEnd w:id="428"/>
    </w:p>
    <w:p w14:paraId="445DD9B1">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1.食堂食品原材料品种及质量要求</w:t>
      </w:r>
    </w:p>
    <w:p w14:paraId="7A0A34D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1）肉类（含猪肉、鸡肉、牛羊肉等）：猪肉是本市饲养宰杀的新鲜肉，两章两证（检疫合格印章、肉品品质检疫合格印章、检疫合格证、肉品品质检疫合格证、屠宰证明）齐全；鸡肉要去毛除脏的新鲜白条鲜鸡，有检疫合格证；牛羊肉为新鲜精品瘦肉；所有肉类必须是新鲜屠宰，非冷冻链肉品。</w:t>
      </w:r>
    </w:p>
    <w:p w14:paraId="071DD1AF">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2）大米：为一级优质大米，不含添加剂。供应的大米产品必须符合国家检测标准；包装密封完整，包装上并印有生产日期、保质期、产地等相关信息；要求米粒饱满，没有霉变，无其他杂质，每一批次必须要有符合国家标准的质检报告，确保大米产品新鲜程度的质量指标；严禁提供陈化粮和回龙米；严禁提供过期、发霉、变质、重金属超标、以次充优不符合标准的产品。</w:t>
      </w:r>
    </w:p>
    <w:p w14:paraId="04860F41">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3）面粉：为一级特精粉。供应的面粉产品必须符合国家检测标准；包装密封完整，包装上并印有生产日期、保质期、产地等相关信息；面粉标准按照国家标准要求执行，符合国标一级；确保面粉色泽呈乳白色或微黄色；在精度上手感细腻、颗粒均匀；在气味上面粉要有小麦的天然香味；在水分上，优质面粉流散性好，不易变质，用手抓面粉时面粉会从手缝中自然流出，松手后不成团；在味道上，优质面粉做出的食品有浓郁的麦香味，有嚼头、不粘牙、不牙糁，且色泽纯正，蒸煮烤炸各有特色，营养丰富；严禁提供陈化粮加工而成的或其中含有超标准的添加剂，严禁提供过期、发霉、变质、重金属超标、以次充优不符合标准的面粉。</w:t>
      </w:r>
    </w:p>
    <w:p w14:paraId="03B6C2EF">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4）面条：为一级特粉加工的面条。包装密封完整，并印有生产日期、保质期、产地等相关信息；质量按照国家标准要求执行，严禁提供过期、发霉、变质和碎（不成型）、重金属超标、以次充优不符合标准的面条，面条式样按照</w:t>
      </w:r>
      <w:r>
        <w:rPr>
          <w:rFonts w:hint="eastAsia" w:cs="宋体"/>
          <w:color w:val="auto"/>
          <w:spacing w:val="0"/>
          <w:position w:val="0"/>
          <w:sz w:val="24"/>
          <w:szCs w:val="24"/>
          <w:u w:val="single" w:color="auto"/>
          <w:lang w:val="en-US" w:eastAsia="zh-CN"/>
        </w:rPr>
        <w:t>中心</w:t>
      </w:r>
      <w:r>
        <w:rPr>
          <w:rFonts w:hint="eastAsia" w:ascii="宋体" w:hAnsi="宋体" w:eastAsia="宋体" w:cs="宋体"/>
          <w:color w:val="auto"/>
          <w:spacing w:val="0"/>
          <w:position w:val="0"/>
          <w:sz w:val="24"/>
          <w:szCs w:val="24"/>
          <w:u w:val="single" w:color="auto"/>
          <w:lang w:val="en-US" w:eastAsia="zh-CN"/>
        </w:rPr>
        <w:t>的要求供应，供应的面条产品必须符合国家检测标准。</w:t>
      </w:r>
    </w:p>
    <w:p w14:paraId="53F2410B">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5）食用油：为一级压榨菜籽油。供应的食用油产品必须符合国家检测标准；包装为桶装，包装上并贴有符合国标的生产日期、保质期、产地等相关信息的标签；每个食用油品种必须色泽好，透明度高，无浑浊，无沉淀和悬浮物，粘度小，无分层现象，气味正常，无酸臭异味；严格执行国家相关质量标准及卫生安全标准；严禁使用由浸出法生产和用转基因油料生产的产品；严禁提供过期、变质、重金属超标、地沟油、以次充优不符合国标的劣质油等。</w:t>
      </w:r>
    </w:p>
    <w:p w14:paraId="4D8A7471">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（6）蛋类：要求外壳干净完好、新鲜，破开无臭味或其他异味。</w:t>
      </w:r>
    </w:p>
    <w:p w14:paraId="08AC15B6">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（7）时令蔬菜类：要求绿色、新鲜、无破损、无污染、无变质变腐、缺斤少两等现象，抽检符合国家标准。</w:t>
      </w:r>
    </w:p>
    <w:p w14:paraId="1721AA82">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2.食材安全质量保证</w:t>
      </w:r>
    </w:p>
    <w:p w14:paraId="7046EAEF">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（1）食品原材料配送保障。我</w:t>
      </w:r>
      <w:r>
        <w:rPr>
          <w:rFonts w:hint="eastAsia" w:cs="宋体"/>
          <w:color w:val="auto"/>
          <w:spacing w:val="0"/>
          <w:position w:val="0"/>
          <w:sz w:val="24"/>
          <w:szCs w:val="24"/>
          <w:u w:val="single" w:color="auto"/>
          <w:lang w:val="en-US" w:eastAsia="zh-CN"/>
        </w:rPr>
        <w:t>中心</w:t>
      </w:r>
      <w:r>
        <w:rPr>
          <w:rFonts w:hint="eastAsia" w:ascii="宋体" w:hAnsi="宋体" w:eastAsia="宋体" w:cs="宋体"/>
          <w:color w:val="auto"/>
          <w:spacing w:val="0"/>
          <w:position w:val="0"/>
          <w:sz w:val="24"/>
          <w:szCs w:val="24"/>
          <w:u w:val="single" w:color="auto"/>
          <w:lang w:val="en-US" w:eastAsia="zh-CN"/>
        </w:rPr>
        <w:t>于每周五下午17：00前将下一周餐饮计划报送食堂</w:t>
      </w:r>
      <w:r>
        <w:rPr>
          <w:rFonts w:hint="eastAsia" w:cs="宋体"/>
          <w:color w:val="auto"/>
          <w:spacing w:val="0"/>
          <w:position w:val="0"/>
          <w:sz w:val="24"/>
          <w:szCs w:val="24"/>
          <w:u w:val="single" w:color="auto"/>
          <w:lang w:val="en-US" w:eastAsia="zh-CN"/>
        </w:rPr>
        <w:t>运营商</w:t>
      </w:r>
      <w:r>
        <w:rPr>
          <w:rFonts w:hint="eastAsia" w:ascii="宋体" w:hAnsi="宋体" w:eastAsia="宋体" w:cs="宋体"/>
          <w:color w:val="auto"/>
          <w:spacing w:val="0"/>
          <w:position w:val="0"/>
          <w:sz w:val="24"/>
          <w:szCs w:val="24"/>
          <w:u w:val="single" w:color="auto"/>
          <w:lang w:val="en-US" w:eastAsia="zh-CN"/>
        </w:rPr>
        <w:t>，</w:t>
      </w:r>
      <w:r>
        <w:rPr>
          <w:rFonts w:hint="eastAsia" w:cs="宋体"/>
          <w:color w:val="auto"/>
          <w:spacing w:val="0"/>
          <w:position w:val="0"/>
          <w:sz w:val="24"/>
          <w:szCs w:val="24"/>
          <w:u w:val="single" w:color="auto"/>
          <w:lang w:val="en-US" w:eastAsia="zh-CN"/>
        </w:rPr>
        <w:t>运营</w:t>
      </w:r>
      <w:r>
        <w:rPr>
          <w:rFonts w:hint="eastAsia" w:ascii="宋体" w:hAnsi="宋体" w:eastAsia="宋体" w:cs="宋体"/>
          <w:color w:val="auto"/>
          <w:spacing w:val="0"/>
          <w:position w:val="0"/>
          <w:sz w:val="24"/>
          <w:szCs w:val="24"/>
          <w:u w:val="single" w:color="auto"/>
          <w:lang w:val="en-US" w:eastAsia="zh-CN"/>
        </w:rPr>
        <w:t>商在接到</w:t>
      </w:r>
      <w:r>
        <w:rPr>
          <w:rFonts w:hint="eastAsia" w:cs="宋体"/>
          <w:color w:val="auto"/>
          <w:spacing w:val="0"/>
          <w:position w:val="0"/>
          <w:sz w:val="24"/>
          <w:szCs w:val="24"/>
          <w:u w:val="single" w:color="auto"/>
          <w:lang w:val="en-US" w:eastAsia="zh-CN"/>
        </w:rPr>
        <w:t>中心</w:t>
      </w:r>
      <w:r>
        <w:rPr>
          <w:rFonts w:hint="eastAsia" w:ascii="宋体" w:hAnsi="宋体" w:eastAsia="宋体" w:cs="宋体"/>
          <w:color w:val="auto"/>
          <w:spacing w:val="0"/>
          <w:position w:val="0"/>
          <w:sz w:val="24"/>
          <w:szCs w:val="24"/>
          <w:u w:val="single" w:color="auto"/>
          <w:lang w:val="en-US" w:eastAsia="zh-CN"/>
        </w:rPr>
        <w:t>报送计划后，按时按要求保质、保量</w:t>
      </w:r>
      <w:r>
        <w:rPr>
          <w:rFonts w:hint="eastAsia" w:cs="宋体"/>
          <w:color w:val="auto"/>
          <w:spacing w:val="0"/>
          <w:position w:val="0"/>
          <w:sz w:val="24"/>
          <w:szCs w:val="24"/>
          <w:u w:val="single" w:color="auto"/>
          <w:lang w:val="en-US" w:eastAsia="zh-CN"/>
        </w:rPr>
        <w:t>安排餐饮</w:t>
      </w:r>
      <w:r>
        <w:rPr>
          <w:rFonts w:hint="eastAsia" w:ascii="宋体" w:hAnsi="宋体" w:eastAsia="宋体" w:cs="宋体"/>
          <w:color w:val="auto"/>
          <w:spacing w:val="0"/>
          <w:position w:val="0"/>
          <w:sz w:val="24"/>
          <w:szCs w:val="24"/>
          <w:u w:val="single" w:color="auto"/>
          <w:lang w:val="en-US" w:eastAsia="zh-CN"/>
        </w:rPr>
        <w:t>。</w:t>
      </w:r>
    </w:p>
    <w:p w14:paraId="3D98C861">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2）食品原材料质量保障。必须保证质量，不得有腐烂、变质、过期食品。蔬菜需随货提供农药检测合格单，确保新鲜、环保无公害，残余农药达到国家相关标准和要求。肉类产品需随货提供检测合格单。抓好食品原材料配送源头检测工作，确保配送食品全部是正规商家生产、正规商家提供；抓好食品配送过程监测，由市场监督部门定期或不定期对食品质量进行检测，确保出现问题后可追寻可查。</w:t>
      </w:r>
    </w:p>
    <w:p w14:paraId="54571701">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（3）食品堆放科学合理，避免造成食品的交叉污染；如对温度有要求的食品应确定食品的温度。</w:t>
      </w:r>
    </w:p>
    <w:p w14:paraId="611BBAA9">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（4）食品供应链要求：所有食品的来源必须清晰。</w:t>
      </w:r>
    </w:p>
    <w:p w14:paraId="52EBC042">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3.服务保障措施：</w:t>
      </w:r>
    </w:p>
    <w:p w14:paraId="39DC8305">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主要包括卫生管理组织机构、仓储环节质量保证、场所环境卫生管理、设施设备卫生管理、清洗消毒管理、人员卫生管理、人员培训管理、加工操作管理等各类管理制度，以保证用餐人员的用餐安全。</w:t>
      </w:r>
    </w:p>
    <w:p w14:paraId="56DC437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4.食品原材料配送商家或商家退出机制</w:t>
      </w:r>
    </w:p>
    <w:p w14:paraId="07648D71">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供应商按照招投标一年确定一次，供应商在食品配送工作中，有下列情形之一的，停止定点配送资格；造成损失的，赔偿所造成的经济损失；触犯法律的，移交司法部门追究法律责任。</w:t>
      </w:r>
    </w:p>
    <w:p w14:paraId="0CD7C5C4">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（1）所供的粮油、蔬菜、肉类等食品中含有毒有害物质，引发食品安全责任事故的。</w:t>
      </w:r>
    </w:p>
    <w:p w14:paraId="63D06047">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（2）违法违纪经营，受农业、市场监督、物价等部门行政处罚并被认定为情节严重的。</w:t>
      </w:r>
    </w:p>
    <w:p w14:paraId="3D6E1A45">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（3）在食品配送中，涉嫌垄断经营，故意串通哄抬价格，</w:t>
      </w:r>
      <w:r>
        <w:rPr>
          <w:rFonts w:hint="eastAsia" w:cs="宋体"/>
          <w:color w:val="auto"/>
          <w:spacing w:val="0"/>
          <w:position w:val="0"/>
          <w:sz w:val="24"/>
          <w:szCs w:val="24"/>
          <w:u w:val="single" w:color="auto"/>
          <w:lang w:val="en-US" w:eastAsia="zh-CN"/>
        </w:rPr>
        <w:t>中心</w:t>
      </w:r>
      <w:r>
        <w:rPr>
          <w:rFonts w:hint="eastAsia" w:ascii="宋体" w:hAnsi="宋体" w:eastAsia="宋体" w:cs="宋体"/>
          <w:color w:val="auto"/>
          <w:spacing w:val="0"/>
          <w:position w:val="0"/>
          <w:sz w:val="24"/>
          <w:szCs w:val="24"/>
          <w:u w:val="single" w:color="auto"/>
          <w:lang w:val="en-US" w:eastAsia="zh-CN"/>
        </w:rPr>
        <w:t>人员反映强烈的；履约服务差，投诉多，反映问题集中的；配送不及时，影响职工正常用餐，社会影响较大的。</w:t>
      </w:r>
    </w:p>
    <w:p w14:paraId="5C57E93B">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（4）发现供应商所提供的原材料存在质量问题时，有权拒绝接收，或要求供应商重新提供产品。对不能保证产品数量和质量、不能按时送货的供应商，经过审定，即可解除定点供应协议。</w:t>
      </w:r>
    </w:p>
    <w:p w14:paraId="2109BFA0">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（5）采购的食品不符合国家有关卫生标准与规定，所供食品不新鲜、不卫生、不清洁的。</w:t>
      </w:r>
    </w:p>
    <w:p w14:paraId="1FDDEF86">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6）采购以下食物的：一是腐败变质、油脂酸败、霉变、生虫、污秽不洁，混有异物或其它感官性状异常，含有毒、有害物质或被有毒物质污染，可能对人体健康有害的食品。二是未经生猪产品卫生检验不合格的肉类及制品。三是超过保质期或不符合食品标签的定型包装食品。四是其他不符合食品卫生标准和要求的食品，包括半成品。</w:t>
      </w:r>
    </w:p>
    <w:p w14:paraId="18D97E48">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（7）未认真做好蔬菜农药检测工作，对蔬菜、豆制品肉类没有记录并留样的。</w:t>
      </w:r>
    </w:p>
    <w:p w14:paraId="289F41A8">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（8）对达不到食品卫生标准和不符合卫生要求的食品还在继续留用的。</w:t>
      </w:r>
    </w:p>
    <w:p w14:paraId="6021942C">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5.应急保障能力和食品安全突发事件的处置能力</w:t>
      </w:r>
    </w:p>
    <w:p w14:paraId="159D1C5F">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应对预警监测、事故响应、应急救援过程的人员安排、食材配送、物资保证、善后处理、运行保障方案等做出详细保证措施。</w:t>
      </w:r>
    </w:p>
    <w:p w14:paraId="71511312">
      <w:pPr>
        <w:keepNext w:val="0"/>
        <w:keepLines w:val="0"/>
        <w:pageBreakBefore w:val="0"/>
        <w:widowControl/>
        <w:kinsoku w:val="0"/>
        <w:wordWrap/>
        <w:overflowPunct/>
        <w:topLinePunct w:val="0"/>
        <w:autoSpaceDE w:val="0"/>
        <w:autoSpaceDN w:val="0"/>
        <w:bidi w:val="0"/>
        <w:adjustRightInd w:val="0"/>
        <w:snapToGrid w:val="0"/>
        <w:spacing w:before="165" w:line="360" w:lineRule="auto"/>
        <w:ind w:firstLine="480" w:firstLineChars="200"/>
        <w:textAlignment w:val="baseline"/>
        <w:rPr>
          <w:rFonts w:hint="eastAsia" w:ascii="宋体" w:hAnsi="宋体" w:eastAsia="宋体" w:cs="宋体"/>
          <w:color w:val="auto"/>
          <w:spacing w:val="0"/>
          <w:position w:val="0"/>
          <w:sz w:val="24"/>
          <w:szCs w:val="24"/>
          <w:u w:val="single" w:color="auto"/>
          <w:lang w:val="en-US" w:eastAsia="zh-CN"/>
        </w:rPr>
      </w:pPr>
      <w:r>
        <w:rPr>
          <w:rFonts w:hint="eastAsia" w:ascii="宋体" w:hAnsi="宋体" w:eastAsia="宋体" w:cs="宋体"/>
          <w:color w:val="auto"/>
          <w:spacing w:val="0"/>
          <w:position w:val="0"/>
          <w:sz w:val="24"/>
          <w:szCs w:val="24"/>
          <w:u w:val="single" w:color="auto"/>
          <w:lang w:val="en-US" w:eastAsia="zh-CN"/>
        </w:rPr>
        <w:t>6.勤俭节约，做到不浪费用餐食材</w:t>
      </w:r>
    </w:p>
    <w:p w14:paraId="53E74AFB">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sz w:val="24"/>
          <w:szCs w:val="24"/>
          <w:highlight w:val="none"/>
          <w:lang w:val="en-US" w:eastAsia="zh-CN"/>
        </w:rPr>
      </w:pPr>
      <w:r>
        <w:rPr>
          <w:rFonts w:hint="eastAsia" w:ascii="宋体" w:hAnsi="宋体" w:eastAsia="宋体" w:cs="宋体"/>
          <w:color w:val="auto"/>
          <w:spacing w:val="0"/>
          <w:position w:val="0"/>
          <w:sz w:val="24"/>
          <w:szCs w:val="24"/>
          <w:u w:val="single" w:color="auto"/>
          <w:lang w:val="en-US" w:eastAsia="zh-CN"/>
        </w:rPr>
        <w:t>根据现实情况，做出既能满足用餐需求、又能不浪费用餐食材的具体措施。</w:t>
      </w:r>
    </w:p>
    <w:p w14:paraId="35E26B39">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p>
    <w:p w14:paraId="6FD24ACB">
      <w:pPr>
        <w:pStyle w:val="41"/>
        <w:keepNext w:val="0"/>
        <w:keepLines w:val="0"/>
        <w:pageBreakBefore w:val="0"/>
        <w:widowControl w:val="0"/>
        <w:kinsoku/>
        <w:overflowPunct/>
        <w:topLinePunct w:val="0"/>
        <w:autoSpaceDE/>
        <w:autoSpaceDN/>
        <w:bidi w:val="0"/>
        <w:adjustRightInd/>
        <w:textAlignment w:val="auto"/>
        <w:rPr>
          <w:rFonts w:hint="default"/>
          <w:i w:val="0"/>
          <w:iCs w:val="0"/>
          <w:snapToGrid w:val="0"/>
          <w:color w:val="auto"/>
          <w:sz w:val="24"/>
          <w:szCs w:val="24"/>
          <w:highlight w:val="none"/>
          <w:lang w:val="en-US" w:eastAsia="zh-CN"/>
        </w:rPr>
      </w:pPr>
    </w:p>
    <w:p w14:paraId="0B7F62A3">
      <w:pPr>
        <w:pStyle w:val="2"/>
        <w:bidi w:val="0"/>
        <w:spacing w:before="0" w:after="0" w:line="240" w:lineRule="auto"/>
        <w:rPr>
          <w:rFonts w:hint="eastAsia"/>
          <w:sz w:val="28"/>
          <w:szCs w:val="28"/>
          <w:lang w:val="en-US" w:eastAsia="zh-CN"/>
        </w:rPr>
      </w:pPr>
    </w:p>
    <w:p w14:paraId="0D7CC6F0">
      <w:pPr>
        <w:pStyle w:val="41"/>
        <w:keepNext w:val="0"/>
        <w:keepLines w:val="0"/>
        <w:pageBreakBefore w:val="0"/>
        <w:widowControl w:val="0"/>
        <w:kinsoku/>
        <w:overflowPunct/>
        <w:topLinePunct w:val="0"/>
        <w:autoSpaceDE/>
        <w:autoSpaceDN/>
        <w:bidi w:val="0"/>
        <w:adjustRightInd/>
        <w:textAlignment w:val="auto"/>
        <w:rPr>
          <w:rFonts w:hint="eastAsia"/>
          <w:i w:val="0"/>
          <w:iCs w:val="0"/>
          <w:snapToGrid w:val="0"/>
          <w:color w:val="auto"/>
          <w:highlight w:val="none"/>
          <w:lang w:val="en-US" w:eastAsia="zh-CN"/>
        </w:rPr>
      </w:pPr>
    </w:p>
    <w:p w14:paraId="1609CA1C">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709D48EF">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5BC3DCC6">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1B40BEF5">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437B4AFC">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54EBB48E">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2FEDFC8A">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0AD330A9">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0F873B94">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4B7BBAB5">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7C5A87E9">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5C0D9EB7">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66273125">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0D9971DD">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5F4C65A9">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p w14:paraId="47800E16">
      <w:pPr>
        <w:pStyle w:val="41"/>
        <w:keepNext w:val="0"/>
        <w:keepLines w:val="0"/>
        <w:pageBreakBefore w:val="0"/>
        <w:widowControl w:val="0"/>
        <w:kinsoku/>
        <w:overflowPunct/>
        <w:topLinePunct w:val="0"/>
        <w:autoSpaceDE/>
        <w:autoSpaceDN/>
        <w:bidi w:val="0"/>
        <w:adjustRightInd/>
        <w:ind w:left="0" w:leftChars="0" w:firstLine="0" w:firstLineChars="0"/>
        <w:textAlignment w:val="auto"/>
        <w:rPr>
          <w:rFonts w:hint="eastAsia"/>
          <w:i w:val="0"/>
          <w:iCs w:val="0"/>
          <w:snapToGrid w:val="0"/>
          <w:color w:val="auto"/>
          <w:highlight w:val="none"/>
          <w:lang w:val="en-US" w:eastAsia="zh-CN"/>
        </w:rPr>
      </w:pPr>
    </w:p>
    <w:bookmarkEnd w:id="423"/>
    <w:bookmarkEnd w:id="424"/>
    <w:bookmarkEnd w:id="425"/>
    <w:p w14:paraId="28FA2165">
      <w:pPr>
        <w:pStyle w:val="4"/>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429" w:name="_Toc12488"/>
      <w:r>
        <w:rPr>
          <w:rFonts w:hint="eastAsia" w:ascii="宋体" w:hAnsi="宋体" w:eastAsia="宋体" w:cs="宋体"/>
          <w:b/>
          <w:bCs/>
          <w:i w:val="0"/>
          <w:iCs w:val="0"/>
          <w:color w:val="auto"/>
          <w:kern w:val="44"/>
          <w:sz w:val="36"/>
          <w:szCs w:val="36"/>
          <w:highlight w:val="none"/>
          <w:lang w:val="en-US" w:eastAsia="zh-CN" w:bidi="ar-SA"/>
        </w:rPr>
        <w:t>第四章 评审方法及标准</w:t>
      </w:r>
      <w:bookmarkEnd w:id="429"/>
    </w:p>
    <w:p w14:paraId="3C2D8384">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30" w:name="_Toc1665"/>
      <w:r>
        <w:rPr>
          <w:rFonts w:hint="eastAsia"/>
          <w:i w:val="0"/>
          <w:iCs w:val="0"/>
          <w:color w:val="auto"/>
          <w:sz w:val="28"/>
          <w:szCs w:val="28"/>
          <w:highlight w:val="none"/>
          <w:lang w:val="en-US" w:eastAsia="zh-CN"/>
        </w:rPr>
        <w:t>一、</w:t>
      </w:r>
      <w:r>
        <w:rPr>
          <w:rFonts w:hint="eastAsia"/>
          <w:i w:val="0"/>
          <w:iCs w:val="0"/>
          <w:color w:val="auto"/>
          <w:sz w:val="28"/>
          <w:szCs w:val="28"/>
          <w:highlight w:val="none"/>
          <w:lang w:val="zh-CN" w:eastAsia="zh-CN"/>
        </w:rPr>
        <w:t>评审方法</w:t>
      </w:r>
      <w:bookmarkEnd w:id="430"/>
    </w:p>
    <w:p w14:paraId="53640E9C">
      <w:pPr>
        <w:pStyle w:val="41"/>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本项目采用综合评分法。综合评分法是指经磋商确定最终采购需求和提交最后报价</w:t>
      </w:r>
      <w:r>
        <w:rPr>
          <w:rFonts w:hint="eastAsia"/>
          <w:b/>
          <w:bCs/>
          <w:i w:val="0"/>
          <w:iCs w:val="0"/>
          <w:color w:val="auto"/>
          <w:szCs w:val="24"/>
          <w:highlight w:val="none"/>
          <w:lang w:val="zh-CN"/>
        </w:rPr>
        <w:t>（因落实政府采购政策进行价格调整的，以调整后的价格计算）</w:t>
      </w:r>
      <w:r>
        <w:rPr>
          <w:rFonts w:hint="eastAsia"/>
          <w:i w:val="0"/>
          <w:iCs w:val="0"/>
          <w:color w:val="auto"/>
          <w:highlight w:val="none"/>
        </w:rPr>
        <w:t>的供应商的响应文件满足磋商文件全部实质性要求且按评审因素的量化指标评审得分最高的供应商为成交候选供应商的评审方法。</w:t>
      </w:r>
    </w:p>
    <w:p w14:paraId="2E5B7BB0">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31" w:name="_Toc27740"/>
      <w:r>
        <w:rPr>
          <w:rFonts w:hint="eastAsia"/>
          <w:i w:val="0"/>
          <w:iCs w:val="0"/>
          <w:color w:val="auto"/>
          <w:sz w:val="28"/>
          <w:szCs w:val="28"/>
          <w:highlight w:val="none"/>
          <w:lang w:val="en-US" w:eastAsia="zh-CN"/>
        </w:rPr>
        <w:t>二、</w:t>
      </w:r>
      <w:r>
        <w:rPr>
          <w:rFonts w:hint="eastAsia"/>
          <w:i w:val="0"/>
          <w:iCs w:val="0"/>
          <w:color w:val="auto"/>
          <w:sz w:val="28"/>
          <w:szCs w:val="28"/>
          <w:highlight w:val="none"/>
          <w:lang w:val="zh-CN" w:eastAsia="zh-CN"/>
        </w:rPr>
        <w:t>评审程序</w:t>
      </w:r>
      <w:bookmarkEnd w:id="431"/>
    </w:p>
    <w:p w14:paraId="25412360">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32" w:name="_Toc16996"/>
      <w:bookmarkStart w:id="433" w:name="_Toc163493634"/>
      <w:r>
        <w:rPr>
          <w:rFonts w:hint="eastAsia" w:ascii="宋体" w:hAnsi="宋体" w:eastAsia="宋体" w:cs="宋体"/>
          <w:b/>
          <w:bCs/>
          <w:i w:val="0"/>
          <w:iCs w:val="0"/>
          <w:color w:val="auto"/>
          <w:kern w:val="2"/>
          <w:sz w:val="24"/>
          <w:szCs w:val="24"/>
          <w:highlight w:val="none"/>
          <w:lang w:val="zh-CN" w:eastAsia="zh-CN" w:bidi="ar-SA"/>
        </w:rPr>
        <w:t>（一）资格审查和符合性审查</w:t>
      </w:r>
      <w:bookmarkEnd w:id="432"/>
      <w:bookmarkEnd w:id="433"/>
    </w:p>
    <w:p w14:paraId="64549C54">
      <w:pPr>
        <w:pageBreakBefore w:val="0"/>
        <w:tabs>
          <w:tab w:val="left" w:pos="312"/>
        </w:tabs>
        <w:kinsoku/>
        <w:wordWrap w:val="0"/>
        <w:overflowPunct/>
        <w:topLinePunct w:val="0"/>
        <w:autoSpaceDE/>
        <w:autoSpaceDN/>
        <w:bidi w:val="0"/>
        <w:adjustRightInd w:val="0"/>
        <w:snapToGrid w:val="0"/>
        <w:spacing w:line="440" w:lineRule="exact"/>
        <w:ind w:firstLine="480" w:firstLineChars="200"/>
        <w:textAlignment w:val="auto"/>
        <w:rPr>
          <w:rFonts w:hint="eastAsia"/>
          <w:i w:val="0"/>
          <w:iCs w:val="0"/>
          <w:color w:val="auto"/>
          <w:highlight w:val="none"/>
          <w:lang w:val="zh-CN"/>
        </w:rPr>
      </w:pPr>
      <w:r>
        <w:rPr>
          <w:rFonts w:hint="eastAsia"/>
          <w:i w:val="0"/>
          <w:iCs w:val="0"/>
          <w:color w:val="auto"/>
          <w:szCs w:val="24"/>
          <w:highlight w:val="none"/>
        </w:rPr>
        <w:t>1</w:t>
      </w:r>
      <w:r>
        <w:rPr>
          <w:i w:val="0"/>
          <w:iCs w:val="0"/>
          <w:color w:val="auto"/>
          <w:szCs w:val="24"/>
          <w:highlight w:val="none"/>
        </w:rPr>
        <w:t>.</w:t>
      </w:r>
      <w:r>
        <w:rPr>
          <w:rFonts w:hint="eastAsia"/>
          <w:i w:val="0"/>
          <w:iCs w:val="0"/>
          <w:color w:val="auto"/>
          <w:szCs w:val="24"/>
          <w:highlight w:val="none"/>
        </w:rPr>
        <w:t>磋商小组</w:t>
      </w:r>
      <w:r>
        <w:rPr>
          <w:rFonts w:hint="eastAsia" w:cs="宋体"/>
          <w:i w:val="0"/>
          <w:iCs w:val="0"/>
          <w:color w:val="auto"/>
          <w:highlight w:val="none"/>
        </w:rPr>
        <w:t>根据磋商文件规定的供应商资格条件、评</w:t>
      </w:r>
      <w:r>
        <w:rPr>
          <w:rFonts w:hint="eastAsia" w:cs="宋体"/>
          <w:i w:val="0"/>
          <w:iCs w:val="0"/>
          <w:color w:val="auto"/>
          <w:highlight w:val="none"/>
          <w:lang w:val="en-US" w:eastAsia="zh-CN"/>
        </w:rPr>
        <w:t>审</w:t>
      </w:r>
      <w:r>
        <w:rPr>
          <w:rFonts w:hint="eastAsia" w:cs="宋体"/>
          <w:i w:val="0"/>
          <w:iCs w:val="0"/>
          <w:color w:val="auto"/>
          <w:highlight w:val="none"/>
        </w:rPr>
        <w:t>成交的标准等事项，对供应商的响应文件进行评审。资格审查和符合性审查不符合磋商文件要求的响应文件，按</w:t>
      </w:r>
      <w:r>
        <w:rPr>
          <w:rFonts w:hint="eastAsia" w:cs="宋体"/>
          <w:b/>
          <w:bCs/>
          <w:i w:val="0"/>
          <w:iCs w:val="0"/>
          <w:color w:val="auto"/>
          <w:highlight w:val="none"/>
        </w:rPr>
        <w:t>无效文件</w:t>
      </w:r>
      <w:r>
        <w:rPr>
          <w:rFonts w:hint="eastAsia" w:cs="宋体"/>
          <w:i w:val="0"/>
          <w:iCs w:val="0"/>
          <w:color w:val="auto"/>
          <w:highlight w:val="none"/>
        </w:rPr>
        <w:t>处理，不进入磋商，并告知有关供应商</w:t>
      </w:r>
      <w:r>
        <w:rPr>
          <w:rFonts w:hint="eastAsia"/>
          <w:i w:val="0"/>
          <w:iCs w:val="0"/>
          <w:color w:val="auto"/>
          <w:highlight w:val="none"/>
          <w:lang w:val="zh-CN"/>
        </w:rPr>
        <w:t>。</w:t>
      </w:r>
    </w:p>
    <w:p w14:paraId="24AD4304">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rFonts w:hint="eastAsia"/>
          <w:i w:val="0"/>
          <w:iCs w:val="0"/>
          <w:color w:val="auto"/>
          <w:highlight w:val="none"/>
        </w:rPr>
        <w:t>2.</w:t>
      </w:r>
      <w:r>
        <w:rPr>
          <w:rFonts w:hint="eastAsia"/>
          <w:i w:val="0"/>
          <w:iCs w:val="0"/>
          <w:highlight w:val="none"/>
          <w:lang w:val="en-US" w:eastAsia="zh-CN"/>
        </w:rPr>
        <w:t>通过</w:t>
      </w:r>
      <w:r>
        <w:rPr>
          <w:rFonts w:hint="eastAsia" w:cs="宋体"/>
          <w:i w:val="0"/>
          <w:iCs w:val="0"/>
          <w:highlight w:val="none"/>
        </w:rPr>
        <w:t>资格性审查和符合性审查</w:t>
      </w:r>
      <w:r>
        <w:rPr>
          <w:rFonts w:hint="eastAsia" w:cs="宋体"/>
          <w:i w:val="0"/>
          <w:iCs w:val="0"/>
          <w:highlight w:val="none"/>
          <w:lang w:val="en-US" w:eastAsia="zh-CN"/>
        </w:rPr>
        <w:t>的</w:t>
      </w:r>
      <w:r>
        <w:rPr>
          <w:rFonts w:hint="eastAsia"/>
          <w:i w:val="0"/>
          <w:iCs w:val="0"/>
          <w:color w:val="auto"/>
          <w:highlight w:val="none"/>
        </w:rPr>
        <w:t>有效</w:t>
      </w:r>
      <w:r>
        <w:rPr>
          <w:rFonts w:hint="eastAsia"/>
          <w:i w:val="0"/>
          <w:iCs w:val="0"/>
          <w:color w:val="auto"/>
          <w:highlight w:val="none"/>
          <w:lang w:eastAsia="zh-CN"/>
        </w:rPr>
        <w:t>供应商</w:t>
      </w:r>
      <w:r>
        <w:rPr>
          <w:rFonts w:hint="eastAsia"/>
          <w:i w:val="0"/>
          <w:iCs w:val="0"/>
          <w:color w:val="auto"/>
          <w:highlight w:val="none"/>
        </w:rPr>
        <w:t>不足3家的应当终止竞争性磋商采购活动，发布项目终止公告并说明原因，重新开展采购活动。</w:t>
      </w:r>
    </w:p>
    <w:p w14:paraId="2BB3FE29">
      <w:pPr>
        <w:pStyle w:val="41"/>
        <w:pageBreakBefore w:val="0"/>
        <w:kinsoku/>
        <w:overflowPunct/>
        <w:topLinePunct w:val="0"/>
        <w:autoSpaceDE/>
        <w:autoSpaceDN/>
        <w:bidi w:val="0"/>
        <w:spacing w:line="440" w:lineRule="exact"/>
        <w:ind w:firstLine="480"/>
        <w:textAlignment w:val="auto"/>
        <w:rPr>
          <w:rFonts w:hint="default" w:eastAsia="宋体"/>
          <w:i w:val="0"/>
          <w:iCs w:val="0"/>
          <w:color w:val="auto"/>
          <w:highlight w:val="none"/>
          <w:lang w:val="en-US" w:eastAsia="zh-CN"/>
        </w:rPr>
      </w:pPr>
      <w:r>
        <w:rPr>
          <w:rFonts w:hint="eastAsia"/>
          <w:i w:val="0"/>
          <w:iCs w:val="0"/>
          <w:color w:val="auto"/>
          <w:highlight w:val="none"/>
          <w:lang w:val="en-US" w:eastAsia="zh-CN"/>
        </w:rPr>
        <w:t>3.根据《财政部关于政府采购竞争性磋商采购方式管理暂行办法有关问题的补充通知》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80155A">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34" w:name="_Toc163493635"/>
      <w:bookmarkStart w:id="435" w:name="_Toc13167"/>
      <w:bookmarkStart w:id="436" w:name="_Hlk158124046"/>
      <w:bookmarkStart w:id="437" w:name="_Toc102056244"/>
      <w:bookmarkStart w:id="438" w:name="_Toc102116048"/>
      <w:bookmarkStart w:id="439" w:name="_Toc102119879"/>
      <w:bookmarkStart w:id="440" w:name="_Toc102114946"/>
      <w:bookmarkStart w:id="441" w:name="_Toc102057744"/>
      <w:bookmarkStart w:id="442" w:name="_Toc102116178"/>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响应文件澄清</w:t>
      </w:r>
      <w:bookmarkEnd w:id="434"/>
      <w:bookmarkEnd w:id="435"/>
    </w:p>
    <w:p w14:paraId="4E589A43">
      <w:pPr>
        <w:pStyle w:val="41"/>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rPr>
      </w:pPr>
      <w:r>
        <w:rPr>
          <w:rFonts w:hint="eastAsia" w:ascii="宋体" w:hAnsi="宋体" w:eastAsia="宋体"/>
          <w:i w:val="0"/>
          <w:iCs w:val="0"/>
          <w:color w:val="auto"/>
          <w:highlight w:val="none"/>
        </w:rPr>
        <w:t>1.</w:t>
      </w:r>
      <w:r>
        <w:rPr>
          <w:rFonts w:hint="eastAsia" w:ascii="宋体" w:hAnsi="宋体" w:eastAsia="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E33E43">
      <w:pPr>
        <w:pStyle w:val="41"/>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ascii="宋体" w:hAnsi="宋体" w:eastAsia="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36"/>
    <w:p w14:paraId="27E4E052">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43" w:name="_Toc163493636"/>
      <w:bookmarkStart w:id="444" w:name="_Toc10518"/>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磋商程序</w:t>
      </w:r>
      <w:bookmarkEnd w:id="443"/>
      <w:bookmarkEnd w:id="444"/>
    </w:p>
    <w:p w14:paraId="3B21DF86">
      <w:pPr>
        <w:pStyle w:val="41"/>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磋商小组应当依据磋商文件规定的程序、评</w:t>
      </w:r>
      <w:r>
        <w:rPr>
          <w:rFonts w:hint="eastAsia"/>
          <w:i w:val="0"/>
          <w:iCs w:val="0"/>
          <w:color w:val="auto"/>
          <w:highlight w:val="none"/>
          <w:lang w:val="en-US" w:eastAsia="zh-CN"/>
        </w:rPr>
        <w:t>审</w:t>
      </w:r>
      <w:r>
        <w:rPr>
          <w:rFonts w:hint="eastAsia"/>
          <w:i w:val="0"/>
          <w:iCs w:val="0"/>
          <w:color w:val="auto"/>
          <w:highlight w:val="none"/>
        </w:rPr>
        <w:t>成交的标准等事项与</w:t>
      </w:r>
      <w:r>
        <w:rPr>
          <w:rFonts w:hint="eastAsia" w:cs="Helvetica"/>
          <w:i w:val="0"/>
          <w:iCs w:val="0"/>
          <w:color w:val="auto"/>
          <w:szCs w:val="24"/>
          <w:highlight w:val="none"/>
          <w:lang w:val="zh-CN"/>
        </w:rPr>
        <w:t>实质性</w:t>
      </w:r>
      <w:r>
        <w:rPr>
          <w:rFonts w:hint="eastAsia"/>
          <w:i w:val="0"/>
          <w:iCs w:val="0"/>
          <w:color w:val="auto"/>
          <w:highlight w:val="none"/>
        </w:rPr>
        <w:t>响应磋商文件要求的供应商</w:t>
      </w:r>
      <w:r>
        <w:rPr>
          <w:i w:val="0"/>
          <w:iCs w:val="0"/>
          <w:color w:val="auto"/>
          <w:highlight w:val="none"/>
        </w:rPr>
        <w:t>进行</w:t>
      </w:r>
      <w:r>
        <w:rPr>
          <w:rFonts w:hint="eastAsia"/>
          <w:i w:val="0"/>
          <w:iCs w:val="0"/>
          <w:color w:val="auto"/>
          <w:highlight w:val="none"/>
        </w:rPr>
        <w:t>磋商。</w:t>
      </w:r>
    </w:p>
    <w:p w14:paraId="410355B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1.第一轮磋商</w:t>
      </w:r>
    </w:p>
    <w:p w14:paraId="3A166FAD">
      <w:pPr>
        <w:pStyle w:val="41"/>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i w:val="0"/>
          <w:iCs w:val="0"/>
          <w:color w:val="auto"/>
          <w:highlight w:val="none"/>
          <w:lang w:val="zh-CN"/>
        </w:rPr>
        <w:t>1</w:t>
      </w:r>
      <w:r>
        <w:rPr>
          <w:i w:val="0"/>
          <w:iCs w:val="0"/>
          <w:color w:val="auto"/>
          <w:highlight w:val="none"/>
          <w:lang w:val="zh-CN"/>
        </w:rPr>
        <w:t>.1</w:t>
      </w:r>
      <w:r>
        <w:rPr>
          <w:rFonts w:hint="eastAsia"/>
          <w:i w:val="0"/>
          <w:iCs w:val="0"/>
          <w:color w:val="auto"/>
          <w:highlight w:val="none"/>
          <w:lang w:val="zh-CN"/>
        </w:rPr>
        <w:t>磋商小组将按照系统随机的顺序决定供应商的磋商顺序，并集中与单一供应商分别进行磋商</w:t>
      </w:r>
      <w:r>
        <w:rPr>
          <w:rFonts w:hint="eastAsia" w:cs="宋体"/>
          <w:i w:val="0"/>
          <w:iCs w:val="0"/>
          <w:color w:val="auto"/>
          <w:szCs w:val="24"/>
          <w:highlight w:val="none"/>
        </w:rPr>
        <w:t>。</w:t>
      </w:r>
    </w:p>
    <w:p w14:paraId="77949909">
      <w:pPr>
        <w:pStyle w:val="41"/>
        <w:pageBreakBefore w:val="0"/>
        <w:kinsoku/>
        <w:overflowPunct/>
        <w:topLinePunct w:val="0"/>
        <w:autoSpaceDE/>
        <w:autoSpaceDN/>
        <w:bidi w:val="0"/>
        <w:spacing w:line="440" w:lineRule="exact"/>
        <w:ind w:firstLine="480"/>
        <w:textAlignment w:val="auto"/>
        <w:rPr>
          <w:rFonts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.2</w:t>
      </w:r>
      <w:r>
        <w:rPr>
          <w:rFonts w:hint="eastAsia" w:cs="宋体"/>
          <w:i w:val="0"/>
          <w:iCs w:val="0"/>
          <w:color w:val="auto"/>
          <w:szCs w:val="24"/>
          <w:highlight w:val="none"/>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4B5E37B4">
      <w:pPr>
        <w:pStyle w:val="41"/>
        <w:pageBreakBefore w:val="0"/>
        <w:kinsoku/>
        <w:overflowPunct/>
        <w:topLinePunct w:val="0"/>
        <w:autoSpaceDE/>
        <w:autoSpaceDN/>
        <w:bidi w:val="0"/>
        <w:spacing w:line="440" w:lineRule="exact"/>
        <w:ind w:firstLine="480"/>
        <w:textAlignment w:val="auto"/>
        <w:rPr>
          <w:rFonts w:hint="eastAsia" w:eastAsia="宋体" w:cs="宋体"/>
          <w:i w:val="0"/>
          <w:iCs w:val="0"/>
          <w:color w:val="auto"/>
          <w:szCs w:val="24"/>
          <w:highlight w:val="none"/>
          <w:lang w:eastAsia="zh-CN"/>
        </w:rPr>
      </w:pPr>
      <w:r>
        <w:rPr>
          <w:rFonts w:hint="eastAsia" w:cs="宋体"/>
          <w:i w:val="0"/>
          <w:iCs w:val="0"/>
          <w:color w:val="auto"/>
          <w:szCs w:val="24"/>
          <w:highlight w:val="none"/>
        </w:rPr>
        <w:t>1</w:t>
      </w:r>
      <w:r>
        <w:rPr>
          <w:rFonts w:cs="宋体"/>
          <w:i w:val="0"/>
          <w:iCs w:val="0"/>
          <w:color w:val="auto"/>
          <w:szCs w:val="24"/>
          <w:highlight w:val="none"/>
        </w:rPr>
        <w:t>.3</w:t>
      </w:r>
      <w:r>
        <w:rPr>
          <w:rFonts w:hint="eastAsia" w:cs="宋体"/>
          <w:i w:val="0"/>
          <w:iCs w:val="0"/>
          <w:color w:val="auto"/>
          <w:szCs w:val="24"/>
          <w:highlight w:val="none"/>
        </w:rPr>
        <w:t>磋商过程中，磋商小组可以根据磋商文件和磋商情况实质性变动采购需求中的技术、服务要求以及合同草案条款，但不得变动磋商文件中的其他内容。实质性变动的内容，须经采购人代表确认。</w:t>
      </w:r>
    </w:p>
    <w:p w14:paraId="79187789">
      <w:pPr>
        <w:pStyle w:val="41"/>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.4</w:t>
      </w:r>
      <w:r>
        <w:rPr>
          <w:rFonts w:hint="eastAsia" w:cs="宋体"/>
          <w:i w:val="0"/>
          <w:iCs w:val="0"/>
          <w:color w:val="auto"/>
          <w:szCs w:val="24"/>
          <w:highlight w:val="none"/>
        </w:rPr>
        <w:t>对磋商文件作出的实质性变动的内容是磋商文件的有效组成部分。磋商小组应将磋商文件的变动情况以书面</w:t>
      </w:r>
      <w:r>
        <w:rPr>
          <w:rFonts w:hint="eastAsia" w:cs="宋体"/>
          <w:i w:val="0"/>
          <w:iCs w:val="0"/>
          <w:color w:val="auto"/>
          <w:szCs w:val="24"/>
          <w:highlight w:val="none"/>
          <w:lang w:val="en-US" w:eastAsia="zh-CN"/>
        </w:rPr>
        <w:t>形</w:t>
      </w:r>
      <w:r>
        <w:rPr>
          <w:rFonts w:hint="eastAsia" w:cs="宋体"/>
          <w:i w:val="0"/>
          <w:iCs w:val="0"/>
          <w:color w:val="auto"/>
          <w:szCs w:val="24"/>
          <w:highlight w:val="none"/>
        </w:rPr>
        <w:t>式通知所有参加磋商的供应商。</w:t>
      </w:r>
    </w:p>
    <w:p w14:paraId="708F2F98">
      <w:pPr>
        <w:pStyle w:val="41"/>
        <w:pageBreakBefore w:val="0"/>
        <w:kinsoku/>
        <w:overflowPunct/>
        <w:topLinePunct w:val="0"/>
        <w:autoSpaceDE/>
        <w:autoSpaceDN/>
        <w:bidi w:val="0"/>
        <w:spacing w:line="440" w:lineRule="exact"/>
        <w:ind w:firstLine="480"/>
        <w:textAlignment w:val="auto"/>
        <w:rPr>
          <w:rFonts w:hint="eastAsia" w:cs="宋体"/>
          <w:i w:val="0"/>
          <w:iCs w:val="0"/>
          <w:color w:val="auto"/>
          <w:szCs w:val="24"/>
          <w:highlight w:val="none"/>
        </w:rPr>
      </w:pPr>
      <w:r>
        <w:rPr>
          <w:rFonts w:hint="eastAsia" w:cs="宋体"/>
          <w:i w:val="0"/>
          <w:iCs w:val="0"/>
          <w:color w:val="auto"/>
          <w:szCs w:val="24"/>
          <w:highlight w:val="none"/>
        </w:rPr>
        <w:t>1</w:t>
      </w:r>
      <w:r>
        <w:rPr>
          <w:rFonts w:cs="宋体"/>
          <w:i w:val="0"/>
          <w:iCs w:val="0"/>
          <w:color w:val="auto"/>
          <w:szCs w:val="24"/>
          <w:highlight w:val="none"/>
        </w:rPr>
        <w:t>.5</w:t>
      </w:r>
      <w:r>
        <w:rPr>
          <w:rFonts w:hint="eastAsia" w:cs="宋体"/>
          <w:i w:val="0"/>
          <w:iCs w:val="0"/>
          <w:color w:val="auto"/>
          <w:szCs w:val="24"/>
          <w:highlight w:val="none"/>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296A5BF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2.多轮磋商</w:t>
      </w:r>
    </w:p>
    <w:p w14:paraId="320277BA">
      <w:pPr>
        <w:pStyle w:val="41"/>
        <w:pageBreakBefore w:val="0"/>
        <w:kinsoku/>
        <w:overflowPunct/>
        <w:topLinePunct w:val="0"/>
        <w:autoSpaceDE/>
        <w:autoSpaceDN/>
        <w:bidi w:val="0"/>
        <w:spacing w:line="440" w:lineRule="exact"/>
        <w:ind w:firstLine="480"/>
        <w:textAlignment w:val="auto"/>
        <w:rPr>
          <w:i w:val="0"/>
          <w:iCs w:val="0"/>
          <w:color w:val="auto"/>
          <w:highlight w:val="none"/>
        </w:rPr>
      </w:pPr>
      <w:r>
        <w:rPr>
          <w:i w:val="0"/>
          <w:iCs w:val="0"/>
          <w:color w:val="auto"/>
          <w:highlight w:val="none"/>
        </w:rPr>
        <w:t>2.1</w:t>
      </w:r>
      <w:r>
        <w:rPr>
          <w:rFonts w:hint="eastAsia"/>
          <w:i w:val="0"/>
          <w:iCs w:val="0"/>
          <w:color w:val="auto"/>
          <w:highlight w:val="none"/>
        </w:rPr>
        <w:t>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7990D9D0">
      <w:pPr>
        <w:pStyle w:val="41"/>
        <w:pageBreakBefore w:val="0"/>
        <w:kinsoku/>
        <w:overflowPunct/>
        <w:topLinePunct w:val="0"/>
        <w:autoSpaceDE/>
        <w:autoSpaceDN/>
        <w:bidi w:val="0"/>
        <w:spacing w:line="440" w:lineRule="exact"/>
        <w:ind w:firstLine="480"/>
        <w:textAlignment w:val="auto"/>
        <w:rPr>
          <w:i w:val="0"/>
          <w:iCs w:val="0"/>
          <w:color w:val="auto"/>
          <w:sz w:val="28"/>
          <w:highlight w:val="none"/>
        </w:rPr>
      </w:pPr>
      <w:r>
        <w:rPr>
          <w:rFonts w:hint="eastAsia"/>
          <w:i w:val="0"/>
          <w:iCs w:val="0"/>
          <w:color w:val="auto"/>
          <w:highlight w:val="none"/>
        </w:rPr>
        <w:t>2</w:t>
      </w:r>
      <w:r>
        <w:rPr>
          <w:i w:val="0"/>
          <w:iCs w:val="0"/>
          <w:color w:val="auto"/>
          <w:highlight w:val="none"/>
        </w:rPr>
        <w:t>.3</w:t>
      </w:r>
      <w:r>
        <w:rPr>
          <w:rFonts w:hint="eastAsia"/>
          <w:i w:val="0"/>
          <w:iCs w:val="0"/>
          <w:color w:val="auto"/>
          <w:highlight w:val="none"/>
        </w:rPr>
        <w:t>磋商程序同第一轮磋商。</w:t>
      </w:r>
    </w:p>
    <w:p w14:paraId="47413248">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3.最后报价</w:t>
      </w:r>
    </w:p>
    <w:p w14:paraId="2AED22E8">
      <w:pPr>
        <w:pStyle w:val="41"/>
        <w:pageBreakBefore w:val="0"/>
        <w:kinsoku/>
        <w:overflowPunct/>
        <w:topLinePunct w:val="0"/>
        <w:autoSpaceDE/>
        <w:autoSpaceDN/>
        <w:bidi w:val="0"/>
        <w:spacing w:line="440" w:lineRule="exact"/>
        <w:ind w:firstLine="480"/>
        <w:textAlignment w:val="auto"/>
        <w:rPr>
          <w:i w:val="0"/>
          <w:iCs w:val="0"/>
          <w:color w:val="auto"/>
          <w:highlight w:val="none"/>
        </w:rPr>
      </w:pPr>
      <w:r>
        <w:rPr>
          <w:rFonts w:hint="eastAsia"/>
          <w:i w:val="0"/>
          <w:iCs w:val="0"/>
          <w:color w:val="auto"/>
          <w:highlight w:val="none"/>
        </w:rPr>
        <w:t>3</w:t>
      </w:r>
      <w:r>
        <w:rPr>
          <w:i w:val="0"/>
          <w:iCs w:val="0"/>
          <w:color w:val="auto"/>
          <w:highlight w:val="none"/>
        </w:rPr>
        <w:t>.1</w:t>
      </w:r>
      <w:r>
        <w:rPr>
          <w:rFonts w:hint="eastAsia"/>
          <w:i w:val="0"/>
          <w:iCs w:val="0"/>
          <w:color w:val="auto"/>
          <w:highlight w:val="none"/>
        </w:rPr>
        <w:t>磋商文件中能够详细列明采购标的的技术、服务要求的，磋商结束后，磋商小组应当要求所有</w:t>
      </w:r>
      <w:r>
        <w:rPr>
          <w:rFonts w:hint="eastAsia"/>
          <w:i w:val="0"/>
          <w:iCs w:val="0"/>
          <w:color w:val="auto"/>
          <w:highlight w:val="none"/>
          <w:lang w:val="en-US" w:eastAsia="zh-CN"/>
        </w:rPr>
        <w:t>实质性响应</w:t>
      </w:r>
      <w:r>
        <w:rPr>
          <w:rFonts w:hint="eastAsia"/>
          <w:i w:val="0"/>
          <w:iCs w:val="0"/>
          <w:color w:val="auto"/>
          <w:highlight w:val="none"/>
        </w:rPr>
        <w:t>的供应商，在规定时间内，以书面的方式经授权代表签字（或加盖公章）后提交最后报价，提交最后报价的供应商不得少于3家</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w:t>
      </w:r>
    </w:p>
    <w:p w14:paraId="5C393493">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rPr>
      </w:pPr>
      <w:r>
        <w:rPr>
          <w:i w:val="0"/>
          <w:iCs w:val="0"/>
          <w:color w:val="auto"/>
          <w:highlight w:val="none"/>
        </w:rPr>
        <w:t>3.2</w:t>
      </w:r>
      <w:r>
        <w:rPr>
          <w:rFonts w:hint="eastAsia"/>
          <w:i w:val="0"/>
          <w:iCs w:val="0"/>
          <w:color w:val="auto"/>
          <w:highlight w:val="none"/>
        </w:rPr>
        <w:t>磋商文件中不能详细列明采购标的的技术、服务要求，需经磋商由供应商提供最</w:t>
      </w:r>
      <w:r>
        <w:rPr>
          <w:rFonts w:hint="eastAsia"/>
          <w:i w:val="0"/>
          <w:iCs w:val="0"/>
          <w:color w:val="auto"/>
          <w:highlight w:val="none"/>
          <w:lang w:val="en-US" w:eastAsia="zh-CN"/>
        </w:rPr>
        <w:t>终</w:t>
      </w:r>
      <w:r>
        <w:rPr>
          <w:rFonts w:hint="eastAsia"/>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50FAF062">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i w:val="0"/>
          <w:iCs w:val="0"/>
          <w:color w:val="auto"/>
          <w:highlight w:val="none"/>
        </w:rPr>
        <w:t>3.</w:t>
      </w:r>
      <w:r>
        <w:rPr>
          <w:rFonts w:hint="eastAsia"/>
          <w:i w:val="0"/>
          <w:iCs w:val="0"/>
          <w:color w:val="auto"/>
          <w:highlight w:val="none"/>
          <w:lang w:val="en-US" w:eastAsia="zh-CN"/>
        </w:rPr>
        <w:t>3</w:t>
      </w:r>
      <w:r>
        <w:rPr>
          <w:rFonts w:hint="eastAsia"/>
          <w:i w:val="0"/>
          <w:iCs w:val="0"/>
          <w:color w:val="auto"/>
          <w:highlight w:val="none"/>
        </w:rPr>
        <w:t>最后报价是供应商响应文件的有效组成部分。逾时不提交的，视同退出</w:t>
      </w:r>
      <w:r>
        <w:rPr>
          <w:rFonts w:hint="eastAsia" w:ascii="宋体" w:hAnsi="宋体" w:eastAsia="宋体"/>
          <w:i w:val="0"/>
          <w:iCs w:val="0"/>
          <w:color w:val="auto"/>
          <w:highlight w:val="none"/>
        </w:rPr>
        <w:t>磋商。</w:t>
      </w:r>
    </w:p>
    <w:p w14:paraId="14751A39">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最后</w:t>
      </w:r>
      <w:r>
        <w:rPr>
          <w:rFonts w:ascii="宋体" w:hAnsi="宋体" w:eastAsia="宋体"/>
          <w:i w:val="0"/>
          <w:iCs w:val="0"/>
          <w:color w:val="auto"/>
          <w:highlight w:val="none"/>
          <w:lang w:val="zh-CN"/>
        </w:rPr>
        <w:t>报价出现</w:t>
      </w:r>
      <w:r>
        <w:rPr>
          <w:rFonts w:hint="eastAsia" w:ascii="宋体" w:hAnsi="宋体" w:eastAsia="宋体"/>
          <w:i w:val="0"/>
          <w:iCs w:val="0"/>
          <w:color w:val="auto"/>
          <w:highlight w:val="none"/>
          <w:lang w:val="zh-CN"/>
        </w:rPr>
        <w:t>前后不一致的</w:t>
      </w:r>
      <w:r>
        <w:rPr>
          <w:rFonts w:ascii="宋体" w:hAnsi="宋体" w:eastAsia="宋体"/>
          <w:i w:val="0"/>
          <w:iCs w:val="0"/>
          <w:color w:val="auto"/>
          <w:highlight w:val="none"/>
          <w:lang w:val="zh-CN"/>
        </w:rPr>
        <w:t>，按照下列规定修正：</w:t>
      </w:r>
    </w:p>
    <w:p w14:paraId="7FF06AF5">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（1）</w:t>
      </w:r>
      <w:r>
        <w:rPr>
          <w:rFonts w:ascii="宋体" w:hAnsi="宋体" w:eastAsia="宋体"/>
          <w:i w:val="0"/>
          <w:iCs w:val="0"/>
          <w:color w:val="auto"/>
          <w:highlight w:val="none"/>
          <w:lang w:val="zh-CN"/>
        </w:rPr>
        <w:t>大写金额和小写金额不一致的，以大写金额为准</w:t>
      </w:r>
      <w:r>
        <w:rPr>
          <w:rFonts w:hint="eastAsia" w:ascii="宋体" w:hAnsi="宋体" w:eastAsia="宋体"/>
          <w:i w:val="0"/>
          <w:iCs w:val="0"/>
          <w:color w:val="auto"/>
          <w:highlight w:val="none"/>
          <w:lang w:val="zh-CN"/>
        </w:rPr>
        <w:t>；</w:t>
      </w:r>
    </w:p>
    <w:p w14:paraId="7677FB88">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（2）</w:t>
      </w:r>
      <w:r>
        <w:rPr>
          <w:rFonts w:ascii="宋体" w:hAnsi="宋体" w:eastAsia="宋体"/>
          <w:i w:val="0"/>
          <w:iCs w:val="0"/>
          <w:color w:val="auto"/>
          <w:highlight w:val="none"/>
          <w:lang w:val="zh-CN"/>
        </w:rPr>
        <w:t>单价金额</w:t>
      </w:r>
      <w:r>
        <w:rPr>
          <w:rFonts w:ascii="宋体" w:hAnsi="宋体" w:eastAsia="宋体"/>
          <w:i w:val="0"/>
          <w:iCs w:val="0"/>
          <w:color w:val="auto"/>
          <w:highlight w:val="none"/>
        </w:rPr>
        <w:t>小数点</w:t>
      </w:r>
      <w:r>
        <w:rPr>
          <w:rFonts w:ascii="宋体" w:hAnsi="宋体" w:eastAsia="宋体"/>
          <w:i w:val="0"/>
          <w:iCs w:val="0"/>
          <w:color w:val="auto"/>
          <w:highlight w:val="none"/>
          <w:lang w:val="zh-CN"/>
        </w:rPr>
        <w:t>或百分比有明显错位的，以</w:t>
      </w:r>
      <w:r>
        <w:rPr>
          <w:rFonts w:hint="eastAsia" w:ascii="宋体" w:hAnsi="宋体" w:eastAsia="宋体"/>
          <w:i w:val="0"/>
          <w:iCs w:val="0"/>
          <w:color w:val="auto"/>
          <w:highlight w:val="none"/>
          <w:lang w:val="zh-CN"/>
        </w:rPr>
        <w:t>最后报价表</w:t>
      </w:r>
      <w:r>
        <w:rPr>
          <w:rFonts w:ascii="宋体" w:hAnsi="宋体" w:eastAsia="宋体"/>
          <w:i w:val="0"/>
          <w:iCs w:val="0"/>
          <w:color w:val="auto"/>
          <w:highlight w:val="none"/>
          <w:lang w:val="zh-CN"/>
        </w:rPr>
        <w:t>的总价为准，并修改单价</w:t>
      </w:r>
      <w:r>
        <w:rPr>
          <w:rFonts w:hint="eastAsia" w:ascii="宋体" w:hAnsi="宋体" w:eastAsia="宋体"/>
          <w:i w:val="0"/>
          <w:iCs w:val="0"/>
          <w:color w:val="auto"/>
          <w:highlight w:val="none"/>
          <w:lang w:val="zh-CN"/>
        </w:rPr>
        <w:t>；</w:t>
      </w:r>
    </w:p>
    <w:p w14:paraId="3F18F6F4">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（3）</w:t>
      </w:r>
      <w:r>
        <w:rPr>
          <w:rFonts w:ascii="宋体" w:hAnsi="宋体" w:eastAsia="宋体"/>
          <w:i w:val="0"/>
          <w:iCs w:val="0"/>
          <w:color w:val="auto"/>
          <w:highlight w:val="none"/>
          <w:lang w:val="zh-CN"/>
        </w:rPr>
        <w:t>总价金额与按单价汇总金额不一致的，以单价金额计算结果为准</w:t>
      </w:r>
      <w:r>
        <w:rPr>
          <w:rFonts w:hint="eastAsia" w:ascii="宋体" w:hAnsi="宋体" w:eastAsia="宋体"/>
          <w:i w:val="0"/>
          <w:iCs w:val="0"/>
          <w:color w:val="auto"/>
          <w:highlight w:val="none"/>
          <w:lang w:val="zh-CN"/>
        </w:rPr>
        <w:t>；</w:t>
      </w:r>
    </w:p>
    <w:p w14:paraId="1000B355">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lang w:val="zh-CN"/>
        </w:rPr>
      </w:pPr>
      <w:r>
        <w:rPr>
          <w:rFonts w:hint="eastAsia" w:ascii="宋体" w:hAnsi="宋体" w:eastAsia="宋体"/>
          <w:i w:val="0"/>
          <w:iCs w:val="0"/>
          <w:color w:val="auto"/>
          <w:highlight w:val="none"/>
          <w:lang w:val="zh-CN"/>
        </w:rPr>
        <w:t>（4）</w:t>
      </w:r>
      <w:r>
        <w:rPr>
          <w:rFonts w:ascii="宋体" w:hAnsi="宋体" w:eastAsia="宋体"/>
          <w:i w:val="0"/>
          <w:iCs w:val="0"/>
          <w:color w:val="auto"/>
          <w:highlight w:val="none"/>
          <w:lang w:val="zh-CN"/>
        </w:rPr>
        <w:t>同时出现</w:t>
      </w:r>
      <w:r>
        <w:rPr>
          <w:rFonts w:ascii="宋体" w:hAnsi="宋体" w:eastAsia="宋体"/>
          <w:i w:val="0"/>
          <w:iCs w:val="0"/>
          <w:color w:val="auto"/>
          <w:highlight w:val="none"/>
        </w:rPr>
        <w:t>两种</w:t>
      </w:r>
      <w:r>
        <w:rPr>
          <w:rFonts w:ascii="宋体" w:hAnsi="宋体" w:eastAsia="宋体"/>
          <w:i w:val="0"/>
          <w:iCs w:val="0"/>
          <w:color w:val="auto"/>
          <w:highlight w:val="none"/>
          <w:lang w:val="zh-CN"/>
        </w:rPr>
        <w:t>以上不一致的，按照前款规定的顺序修正</w:t>
      </w:r>
      <w:r>
        <w:rPr>
          <w:rFonts w:hint="eastAsia" w:ascii="宋体" w:hAnsi="宋体" w:eastAsia="宋体"/>
          <w:i w:val="0"/>
          <w:iCs w:val="0"/>
          <w:color w:val="auto"/>
          <w:highlight w:val="none"/>
          <w:lang w:val="zh-CN"/>
        </w:rPr>
        <w:t>；</w:t>
      </w:r>
    </w:p>
    <w:p w14:paraId="119BB152">
      <w:pPr>
        <w:pStyle w:val="41"/>
        <w:pageBreakBefore w:val="0"/>
        <w:kinsoku/>
        <w:overflowPunct/>
        <w:topLinePunct w:val="0"/>
        <w:autoSpaceDE/>
        <w:autoSpaceDN/>
        <w:bidi w:val="0"/>
        <w:spacing w:line="440" w:lineRule="exact"/>
        <w:ind w:firstLine="480"/>
        <w:textAlignment w:val="auto"/>
        <w:rPr>
          <w:rFonts w:ascii="宋体" w:hAnsi="宋体" w:eastAsia="宋体"/>
          <w:i w:val="0"/>
          <w:iCs w:val="0"/>
          <w:color w:val="auto"/>
          <w:highlight w:val="none"/>
        </w:rPr>
      </w:pPr>
      <w:r>
        <w:rPr>
          <w:rFonts w:hint="eastAsia" w:ascii="宋体" w:hAnsi="宋体" w:eastAsia="宋体"/>
          <w:i w:val="0"/>
          <w:iCs w:val="0"/>
          <w:color w:val="auto"/>
          <w:highlight w:val="none"/>
          <w:lang w:val="zh-CN"/>
        </w:rPr>
        <w:t>（5）</w:t>
      </w:r>
      <w:r>
        <w:rPr>
          <w:rFonts w:ascii="宋体" w:hAnsi="宋体" w:eastAsia="宋体"/>
          <w:i w:val="0"/>
          <w:iCs w:val="0"/>
          <w:color w:val="auto"/>
          <w:highlight w:val="none"/>
          <w:lang w:val="zh-CN"/>
        </w:rPr>
        <w:t>修正后的报价</w:t>
      </w:r>
      <w:r>
        <w:rPr>
          <w:rFonts w:hint="eastAsia" w:ascii="宋体" w:hAnsi="宋体" w:eastAsia="宋体"/>
          <w:i w:val="0"/>
          <w:iCs w:val="0"/>
          <w:color w:val="auto"/>
          <w:highlight w:val="none"/>
          <w:lang w:val="zh-CN"/>
        </w:rPr>
        <w:t>应通过书面方式</w:t>
      </w:r>
      <w:r>
        <w:rPr>
          <w:rFonts w:ascii="宋体" w:hAnsi="宋体" w:eastAsia="宋体"/>
          <w:i w:val="0"/>
          <w:iCs w:val="0"/>
          <w:color w:val="auto"/>
          <w:highlight w:val="none"/>
          <w:lang w:val="zh-CN"/>
        </w:rPr>
        <w:t>通知</w:t>
      </w:r>
      <w:r>
        <w:rPr>
          <w:rFonts w:hint="eastAsia" w:ascii="宋体" w:hAnsi="宋体" w:eastAsia="宋体"/>
          <w:i w:val="0"/>
          <w:iCs w:val="0"/>
          <w:color w:val="auto"/>
          <w:highlight w:val="none"/>
          <w:lang w:val="zh-CN"/>
        </w:rPr>
        <w:t>供应商，由</w:t>
      </w:r>
      <w:r>
        <w:rPr>
          <w:rFonts w:ascii="宋体" w:hAnsi="宋体" w:eastAsia="宋体"/>
          <w:i w:val="0"/>
          <w:iCs w:val="0"/>
          <w:color w:val="auto"/>
          <w:highlight w:val="none"/>
          <w:lang w:val="zh-CN"/>
        </w:rPr>
        <w:t>供应商</w:t>
      </w:r>
      <w:r>
        <w:rPr>
          <w:rFonts w:hint="eastAsia" w:ascii="宋体" w:hAnsi="宋体" w:eastAsia="宋体"/>
          <w:i w:val="0"/>
          <w:iCs w:val="0"/>
          <w:color w:val="auto"/>
          <w:highlight w:val="none"/>
          <w:lang w:val="zh-CN"/>
        </w:rPr>
        <w:t>授权代表签字（或加盖公章）</w:t>
      </w:r>
      <w:r>
        <w:rPr>
          <w:rFonts w:ascii="宋体" w:hAnsi="宋体" w:eastAsia="宋体"/>
          <w:i w:val="0"/>
          <w:iCs w:val="0"/>
          <w:color w:val="auto"/>
          <w:highlight w:val="none"/>
          <w:lang w:val="zh-CN"/>
        </w:rPr>
        <w:t>确认后产生约束力，供应商不确认的，</w:t>
      </w:r>
      <w:r>
        <w:rPr>
          <w:rFonts w:hint="eastAsia" w:ascii="宋体" w:hAnsi="宋体" w:eastAsia="宋体"/>
          <w:i w:val="0"/>
          <w:iCs w:val="0"/>
          <w:color w:val="auto"/>
          <w:highlight w:val="none"/>
          <w:lang w:val="zh-CN"/>
        </w:rPr>
        <w:t>按照</w:t>
      </w:r>
      <w:r>
        <w:rPr>
          <w:rFonts w:ascii="宋体" w:hAnsi="宋体" w:eastAsia="宋体"/>
          <w:i w:val="0"/>
          <w:iCs w:val="0"/>
          <w:color w:val="auto"/>
          <w:highlight w:val="none"/>
          <w:lang w:val="zh-CN"/>
        </w:rPr>
        <w:t>无效</w:t>
      </w:r>
      <w:r>
        <w:rPr>
          <w:rFonts w:hint="eastAsia" w:ascii="宋体" w:hAnsi="宋体" w:eastAsia="宋体"/>
          <w:i w:val="0"/>
          <w:iCs w:val="0"/>
          <w:color w:val="auto"/>
          <w:highlight w:val="none"/>
          <w:lang w:val="zh-CN"/>
        </w:rPr>
        <w:t>响应处理</w:t>
      </w:r>
      <w:r>
        <w:rPr>
          <w:rFonts w:ascii="宋体" w:hAnsi="宋体" w:eastAsia="宋体"/>
          <w:i w:val="0"/>
          <w:iCs w:val="0"/>
          <w:color w:val="auto"/>
          <w:highlight w:val="none"/>
          <w:lang w:val="zh-CN"/>
        </w:rPr>
        <w:t>。</w:t>
      </w:r>
    </w:p>
    <w:p w14:paraId="492B1BCC">
      <w:pPr>
        <w:pageBreakBefore w:val="0"/>
        <w:tabs>
          <w:tab w:val="left" w:pos="993"/>
        </w:tabs>
        <w:kinsoku/>
        <w:wordWrap w:val="0"/>
        <w:overflowPunct/>
        <w:topLinePunct w:val="0"/>
        <w:autoSpaceDE/>
        <w:autoSpaceDN/>
        <w:bidi w:val="0"/>
        <w:adjustRightInd w:val="0"/>
        <w:snapToGrid w:val="0"/>
        <w:spacing w:line="440" w:lineRule="exact"/>
        <w:ind w:firstLine="480" w:firstLineChars="200"/>
        <w:textAlignment w:val="auto"/>
        <w:rPr>
          <w:i w:val="0"/>
          <w:iCs w:val="0"/>
          <w:color w:val="auto"/>
          <w:highlight w:val="none"/>
        </w:rPr>
      </w:pPr>
      <w:r>
        <w:rPr>
          <w:rFonts w:hint="eastAsia" w:ascii="宋体" w:hAnsi="宋体" w:eastAsia="宋体"/>
          <w:i w:val="0"/>
          <w:iCs w:val="0"/>
          <w:color w:val="auto"/>
          <w:highlight w:val="none"/>
          <w:lang w:val="en-US" w:eastAsia="zh-CN"/>
        </w:rPr>
        <w:t>3.4已提交响应文件的供应商，在提交最后报价之前，可以根据磋商情况退出磋商，退出磋商供应商的磋商保证金</w:t>
      </w:r>
      <w:r>
        <w:rPr>
          <w:rFonts w:hint="eastAsia"/>
          <w:i w:val="0"/>
          <w:iCs w:val="0"/>
          <w:color w:val="auto"/>
          <w:highlight w:val="none"/>
          <w:lang w:val="en-US" w:eastAsia="zh-CN"/>
        </w:rPr>
        <w:t>可予以</w:t>
      </w:r>
      <w:r>
        <w:rPr>
          <w:rFonts w:hint="eastAsia" w:ascii="宋体" w:hAnsi="宋体" w:eastAsia="宋体"/>
          <w:i w:val="0"/>
          <w:iCs w:val="0"/>
          <w:color w:val="auto"/>
          <w:highlight w:val="none"/>
          <w:lang w:val="en-US" w:eastAsia="zh-CN"/>
        </w:rPr>
        <w:t>退还</w:t>
      </w:r>
      <w:r>
        <w:rPr>
          <w:i w:val="0"/>
          <w:iCs w:val="0"/>
          <w:color w:val="auto"/>
          <w:szCs w:val="24"/>
          <w:highlight w:val="none"/>
          <w:lang w:val="zh-CN"/>
        </w:rPr>
        <w:t>。</w:t>
      </w:r>
    </w:p>
    <w:p w14:paraId="37D01FA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45" w:name="_Toc102057745"/>
      <w:bookmarkStart w:id="446" w:name="_Toc102114947"/>
      <w:bookmarkStart w:id="447" w:name="_Toc102056245"/>
      <w:bookmarkStart w:id="448" w:name="_Toc102116049"/>
      <w:bookmarkStart w:id="449" w:name="_Toc102119880"/>
      <w:bookmarkStart w:id="450" w:name="_Toc102116179"/>
      <w:r>
        <w:rPr>
          <w:rFonts w:hint="eastAsia" w:ascii="宋体" w:hAnsi="宋体" w:eastAsia="宋体" w:cs="宋体"/>
          <w:b/>
          <w:bCs/>
          <w:i w:val="0"/>
          <w:iCs w:val="0"/>
          <w:color w:val="auto"/>
          <w:kern w:val="2"/>
          <w:sz w:val="24"/>
          <w:szCs w:val="24"/>
          <w:highlight w:val="none"/>
          <w:lang w:val="en-US" w:eastAsia="zh-CN" w:bidi="ar-SA"/>
        </w:rPr>
        <w:t>4.商务技术评审</w:t>
      </w:r>
    </w:p>
    <w:p w14:paraId="04DD6A02">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4</w:t>
      </w:r>
      <w:r>
        <w:rPr>
          <w:i w:val="0"/>
          <w:iCs w:val="0"/>
          <w:color w:val="auto"/>
          <w:highlight w:val="none"/>
          <w:lang w:val="zh-CN"/>
        </w:rPr>
        <w:t>.1</w:t>
      </w:r>
      <w:r>
        <w:rPr>
          <w:rFonts w:hint="eastAsia"/>
          <w:i w:val="0"/>
          <w:iCs w:val="0"/>
          <w:color w:val="auto"/>
          <w:highlight w:val="none"/>
          <w:lang w:val="zh-CN"/>
        </w:rPr>
        <w:t>经磋商确定最终采购需求和提交最后报价的供应商后，由磋商小组采用综合评分法对提交最后报价的供应商的响应文件和最后报价进行综合评分。</w:t>
      </w:r>
    </w:p>
    <w:bookmarkEnd w:id="437"/>
    <w:bookmarkEnd w:id="438"/>
    <w:bookmarkEnd w:id="439"/>
    <w:bookmarkEnd w:id="440"/>
    <w:bookmarkEnd w:id="441"/>
    <w:bookmarkEnd w:id="442"/>
    <w:bookmarkEnd w:id="445"/>
    <w:bookmarkEnd w:id="446"/>
    <w:bookmarkEnd w:id="447"/>
    <w:bookmarkEnd w:id="448"/>
    <w:bookmarkEnd w:id="449"/>
    <w:bookmarkEnd w:id="450"/>
    <w:p w14:paraId="11B2A599">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51" w:name="_Toc102057747"/>
      <w:bookmarkStart w:id="452" w:name="_Toc102116181"/>
      <w:bookmarkStart w:id="453" w:name="_Toc102116051"/>
      <w:bookmarkStart w:id="454" w:name="_Toc102114949"/>
      <w:bookmarkStart w:id="455" w:name="_Toc102056247"/>
      <w:bookmarkStart w:id="456" w:name="_Toc102119882"/>
      <w:r>
        <w:rPr>
          <w:rFonts w:hint="eastAsia" w:ascii="宋体" w:hAnsi="宋体" w:eastAsia="宋体" w:cs="宋体"/>
          <w:b/>
          <w:bCs/>
          <w:i w:val="0"/>
          <w:iCs w:val="0"/>
          <w:color w:val="auto"/>
          <w:kern w:val="2"/>
          <w:sz w:val="24"/>
          <w:szCs w:val="24"/>
          <w:highlight w:val="none"/>
          <w:lang w:val="en-US" w:eastAsia="zh-CN" w:bidi="ar-SA"/>
        </w:rPr>
        <w:t>5.报价评</w:t>
      </w:r>
      <w:bookmarkEnd w:id="451"/>
      <w:bookmarkEnd w:id="452"/>
      <w:bookmarkEnd w:id="453"/>
      <w:bookmarkEnd w:id="454"/>
      <w:bookmarkEnd w:id="455"/>
      <w:bookmarkEnd w:id="456"/>
      <w:r>
        <w:rPr>
          <w:rFonts w:hint="eastAsia" w:ascii="宋体" w:hAnsi="宋体" w:eastAsia="宋体" w:cs="宋体"/>
          <w:b/>
          <w:bCs/>
          <w:i w:val="0"/>
          <w:iCs w:val="0"/>
          <w:color w:val="auto"/>
          <w:kern w:val="2"/>
          <w:sz w:val="24"/>
          <w:szCs w:val="24"/>
          <w:highlight w:val="none"/>
          <w:lang w:val="en-US" w:eastAsia="zh-CN" w:bidi="ar-SA"/>
        </w:rPr>
        <w:t>审</w:t>
      </w:r>
    </w:p>
    <w:p w14:paraId="4F87D81F">
      <w:pPr>
        <w:pStyle w:val="41"/>
        <w:pageBreakBefore w:val="0"/>
        <w:kinsoku/>
        <w:overflowPunct/>
        <w:topLinePunct w:val="0"/>
        <w:autoSpaceDE/>
        <w:autoSpaceDN/>
        <w:bidi w:val="0"/>
        <w:spacing w:line="440" w:lineRule="exact"/>
        <w:ind w:firstLine="480"/>
        <w:textAlignment w:val="auto"/>
        <w:rPr>
          <w:bCs/>
          <w:i w:val="0"/>
          <w:iCs w:val="0"/>
          <w:color w:val="auto"/>
          <w:szCs w:val="21"/>
          <w:highlight w:val="none"/>
          <w:lang w:val="zh-CN"/>
        </w:rPr>
      </w:pPr>
      <w:r>
        <w:rPr>
          <w:rFonts w:hint="eastAsia"/>
          <w:i w:val="0"/>
          <w:iCs w:val="0"/>
          <w:color w:val="auto"/>
          <w:highlight w:val="none"/>
          <w:lang w:val="zh-CN"/>
        </w:rPr>
        <w:t>5</w:t>
      </w:r>
      <w:r>
        <w:rPr>
          <w:i w:val="0"/>
          <w:iCs w:val="0"/>
          <w:color w:val="auto"/>
          <w:highlight w:val="none"/>
          <w:lang w:val="zh-CN"/>
        </w:rPr>
        <w:t>.1</w:t>
      </w:r>
      <w:r>
        <w:rPr>
          <w:rFonts w:hint="eastAsia"/>
          <w:i w:val="0"/>
          <w:iCs w:val="0"/>
          <w:color w:val="auto"/>
          <w:highlight w:val="none"/>
          <w:lang w:val="zh-CN"/>
        </w:rPr>
        <w:t>报价合理性说明：磋商</w:t>
      </w:r>
      <w:r>
        <w:rPr>
          <w:i w:val="0"/>
          <w:iCs w:val="0"/>
          <w:color w:val="auto"/>
          <w:highlight w:val="none"/>
          <w:lang w:val="zh-CN"/>
        </w:rPr>
        <w:t>小组认为供应商的</w:t>
      </w:r>
      <w:r>
        <w:rPr>
          <w:rFonts w:hint="eastAsia"/>
          <w:i w:val="0"/>
          <w:iCs w:val="0"/>
          <w:color w:val="auto"/>
          <w:highlight w:val="none"/>
          <w:lang w:val="zh-CN"/>
        </w:rPr>
        <w:t>最后</w:t>
      </w:r>
      <w:r>
        <w:rPr>
          <w:i w:val="0"/>
          <w:iCs w:val="0"/>
          <w:color w:val="auto"/>
          <w:highlight w:val="none"/>
          <w:lang w:val="zh-CN"/>
        </w:rPr>
        <w:t>报价明显低于其他供应商</w:t>
      </w:r>
      <w:r>
        <w:rPr>
          <w:rFonts w:hint="eastAsia"/>
          <w:i w:val="0"/>
          <w:iCs w:val="0"/>
          <w:color w:val="auto"/>
          <w:highlight w:val="none"/>
          <w:lang w:val="zh-CN"/>
        </w:rPr>
        <w:t>最后</w:t>
      </w:r>
      <w:r>
        <w:rPr>
          <w:i w:val="0"/>
          <w:iCs w:val="0"/>
          <w:color w:val="auto"/>
          <w:highlight w:val="none"/>
          <w:lang w:val="zh-CN"/>
        </w:rPr>
        <w:t>报价，有可能影响</w:t>
      </w:r>
      <w:r>
        <w:rPr>
          <w:rFonts w:hint="eastAsia"/>
          <w:i w:val="0"/>
          <w:iCs w:val="0"/>
          <w:color w:val="auto"/>
          <w:highlight w:val="none"/>
          <w:lang w:val="en-US" w:eastAsia="zh-CN"/>
        </w:rPr>
        <w:t>服务</w:t>
      </w:r>
      <w:r>
        <w:rPr>
          <w:i w:val="0"/>
          <w:iCs w:val="0"/>
          <w:color w:val="auto"/>
          <w:highlight w:val="none"/>
          <w:lang w:val="zh-CN"/>
        </w:rPr>
        <w:t>质量或者不能诚信履约的，应当要求其</w:t>
      </w:r>
      <w:r>
        <w:rPr>
          <w:rFonts w:hint="eastAsia"/>
          <w:i w:val="0"/>
          <w:iCs w:val="0"/>
          <w:color w:val="auto"/>
          <w:highlight w:val="none"/>
          <w:lang w:val="zh-CN"/>
        </w:rPr>
        <w:t>在</w:t>
      </w:r>
      <w:r>
        <w:rPr>
          <w:i w:val="0"/>
          <w:iCs w:val="0"/>
          <w:color w:val="auto"/>
          <w:highlight w:val="none"/>
          <w:lang w:val="zh-CN"/>
        </w:rPr>
        <w:t>合理的时间内提供说明，必要时提交相关证明材料；供应商不能证明其</w:t>
      </w:r>
      <w:r>
        <w:rPr>
          <w:rFonts w:hint="eastAsia"/>
          <w:i w:val="0"/>
          <w:iCs w:val="0"/>
          <w:color w:val="auto"/>
          <w:highlight w:val="none"/>
          <w:lang w:val="zh-CN"/>
        </w:rPr>
        <w:t>最后</w:t>
      </w:r>
      <w:r>
        <w:rPr>
          <w:i w:val="0"/>
          <w:iCs w:val="0"/>
          <w:color w:val="auto"/>
          <w:highlight w:val="none"/>
          <w:lang w:val="zh-CN"/>
        </w:rPr>
        <w:t>报价合理性的，</w:t>
      </w:r>
      <w:r>
        <w:rPr>
          <w:rFonts w:hint="eastAsia"/>
          <w:i w:val="0"/>
          <w:iCs w:val="0"/>
          <w:color w:val="auto"/>
          <w:highlight w:val="none"/>
          <w:lang w:val="zh-CN"/>
        </w:rPr>
        <w:t>磋商</w:t>
      </w:r>
      <w:r>
        <w:rPr>
          <w:i w:val="0"/>
          <w:iCs w:val="0"/>
          <w:color w:val="auto"/>
          <w:highlight w:val="none"/>
          <w:lang w:val="zh-CN"/>
        </w:rPr>
        <w:t>小组</w:t>
      </w:r>
      <w:r>
        <w:rPr>
          <w:rFonts w:hint="eastAsia"/>
          <w:i w:val="0"/>
          <w:iCs w:val="0"/>
          <w:color w:val="auto"/>
          <w:highlight w:val="none"/>
          <w:lang w:val="zh-CN"/>
        </w:rPr>
        <w:t>应当将其作</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i w:val="0"/>
          <w:iCs w:val="0"/>
          <w:color w:val="auto"/>
          <w:highlight w:val="none"/>
          <w:lang w:val="zh-CN"/>
        </w:rPr>
        <w:t>。</w:t>
      </w:r>
    </w:p>
    <w:p w14:paraId="1B3E8B52">
      <w:pPr>
        <w:pStyle w:val="41"/>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5.1.1供应商应根据答疑内容在规定的时间内提供说明和成本清单等相关证明材料，磋商小组认定相关证明材料对此报价的说明或者证明材料可以佐证此报价的服务质量和具有诚信履约能力，予以通过审查；</w:t>
      </w:r>
    </w:p>
    <w:p w14:paraId="61371D00">
      <w:pPr>
        <w:pStyle w:val="41"/>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5.1.2供应商提供的说明或者证明材料必须按照国家财务会计制度的规定要求，逐项就供应商提供的货物和服务的主营业务成本、税收及附加、销售费用、管理费用、财务费用等成本构成事项详细陈述，并由法定代表人或者其授权代表签字确认并加盖公章；</w:t>
      </w:r>
    </w:p>
    <w:p w14:paraId="3E3AF71F">
      <w:pPr>
        <w:pStyle w:val="41"/>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en-US" w:eastAsia="zh-CN"/>
        </w:rPr>
      </w:pPr>
      <w:r>
        <w:rPr>
          <w:rFonts w:hint="eastAsia" w:ascii="宋体" w:hAnsi="宋体" w:eastAsia="宋体"/>
          <w:i w:val="0"/>
          <w:iCs w:val="0"/>
          <w:color w:val="auto"/>
          <w:highlight w:val="none"/>
          <w:lang w:val="en-US" w:eastAsia="zh-CN"/>
        </w:rPr>
        <w:t>5.1.3供应商不能合理说明或者不能提供相关证明材料的，由磋商小组认定该供应商以低于成本报价竞标，有可能影响服务质量或者不能诚信履约，应当</w:t>
      </w:r>
      <w:r>
        <w:rPr>
          <w:rFonts w:hint="eastAsia"/>
          <w:i w:val="0"/>
          <w:iCs w:val="0"/>
          <w:color w:val="auto"/>
          <w:highlight w:val="none"/>
          <w:lang w:val="zh-CN"/>
        </w:rPr>
        <w:t>将其作为</w:t>
      </w:r>
      <w:r>
        <w:rPr>
          <w:b/>
          <w:i w:val="0"/>
          <w:iCs w:val="0"/>
          <w:color w:val="auto"/>
          <w:highlight w:val="none"/>
          <w:lang w:val="zh-CN"/>
        </w:rPr>
        <w:t>无效</w:t>
      </w:r>
      <w:r>
        <w:rPr>
          <w:rFonts w:hint="eastAsia"/>
          <w:b/>
          <w:i w:val="0"/>
          <w:iCs w:val="0"/>
          <w:color w:val="auto"/>
          <w:highlight w:val="none"/>
          <w:lang w:val="zh-CN"/>
        </w:rPr>
        <w:t>响应</w:t>
      </w:r>
      <w:r>
        <w:rPr>
          <w:b/>
          <w:i w:val="0"/>
          <w:iCs w:val="0"/>
          <w:color w:val="auto"/>
          <w:highlight w:val="none"/>
          <w:lang w:val="zh-CN"/>
        </w:rPr>
        <w:t>处理</w:t>
      </w:r>
      <w:r>
        <w:rPr>
          <w:rFonts w:hint="eastAsia" w:ascii="宋体" w:hAnsi="宋体" w:eastAsia="宋体"/>
          <w:i w:val="0"/>
          <w:iCs w:val="0"/>
          <w:color w:val="auto"/>
          <w:highlight w:val="none"/>
          <w:lang w:val="en-US" w:eastAsia="zh-CN"/>
        </w:rPr>
        <w:t>；</w:t>
      </w:r>
    </w:p>
    <w:p w14:paraId="013572CE">
      <w:pPr>
        <w:pStyle w:val="41"/>
        <w:pageBreakBefore w:val="0"/>
        <w:kinsoku/>
        <w:overflowPunct/>
        <w:topLinePunct w:val="0"/>
        <w:autoSpaceDE/>
        <w:autoSpaceDN/>
        <w:bidi w:val="0"/>
        <w:spacing w:line="440" w:lineRule="exact"/>
        <w:ind w:firstLine="480"/>
        <w:textAlignment w:val="auto"/>
        <w:rPr>
          <w:rFonts w:hint="eastAsia" w:ascii="宋体" w:hAnsi="宋体" w:eastAsia="宋体"/>
          <w:i w:val="0"/>
          <w:iCs w:val="0"/>
          <w:color w:val="auto"/>
          <w:highlight w:val="none"/>
          <w:lang w:val="zh-CN"/>
        </w:rPr>
      </w:pPr>
      <w:r>
        <w:rPr>
          <w:rFonts w:hint="eastAsia" w:ascii="宋体" w:hAnsi="宋体" w:eastAsia="宋体"/>
          <w:i w:val="0"/>
          <w:iCs w:val="0"/>
          <w:color w:val="auto"/>
          <w:highlight w:val="none"/>
          <w:lang w:val="en-US" w:eastAsia="zh-CN"/>
        </w:rPr>
        <w:t>5.1.4供应商也可以有预见性地准备好上述要求的书面说明和相关证明材料并加盖公章。</w:t>
      </w:r>
    </w:p>
    <w:p w14:paraId="1784FDBF">
      <w:pPr>
        <w:pStyle w:val="41"/>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5</w:t>
      </w:r>
      <w:r>
        <w:rPr>
          <w:i w:val="0"/>
          <w:iCs w:val="0"/>
          <w:color w:val="auto"/>
          <w:highlight w:val="none"/>
          <w:lang w:val="zh-CN"/>
        </w:rPr>
        <w:t>.2</w:t>
      </w:r>
      <w:r>
        <w:rPr>
          <w:rFonts w:hint="eastAsia"/>
          <w:i w:val="0"/>
          <w:iCs w:val="0"/>
          <w:color w:val="auto"/>
          <w:highlight w:val="none"/>
          <w:lang w:val="zh-CN"/>
        </w:rPr>
        <w:t>价格扣除：</w:t>
      </w:r>
      <w:r>
        <w:rPr>
          <w:i w:val="0"/>
          <w:iCs w:val="0"/>
          <w:color w:val="auto"/>
          <w:highlight w:val="none"/>
          <w:lang w:val="zh-CN"/>
        </w:rPr>
        <w:t xml:space="preserve"> </w:t>
      </w:r>
    </w:p>
    <w:p w14:paraId="1F4B5526">
      <w:pPr>
        <w:pStyle w:val="41"/>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（1）</w:t>
      </w:r>
      <w:r>
        <w:rPr>
          <w:rFonts w:hint="eastAsia"/>
          <w:i w:val="0"/>
          <w:iCs w:val="0"/>
          <w:color w:val="auto"/>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i w:val="0"/>
          <w:iCs w:val="0"/>
          <w:color w:val="auto"/>
          <w:highlight w:val="none"/>
          <w:lang w:eastAsia="zh-CN"/>
        </w:rPr>
        <w:t>“</w:t>
      </w:r>
      <w:r>
        <w:rPr>
          <w:rFonts w:hint="eastAsia"/>
          <w:i w:val="0"/>
          <w:iCs w:val="0"/>
          <w:color w:val="auto"/>
          <w:highlight w:val="none"/>
        </w:rPr>
        <w:t>供应商须知前附表”中的规定扣除，用扣除后的价格计算评审基准价。</w:t>
      </w:r>
    </w:p>
    <w:p w14:paraId="72014FEF">
      <w:pPr>
        <w:pStyle w:val="41"/>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（2）</w:t>
      </w:r>
      <w:r>
        <w:rPr>
          <w:rFonts w:hint="eastAsia"/>
          <w:i w:val="0"/>
          <w:iCs w:val="0"/>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A495953">
      <w:pPr>
        <w:pStyle w:val="41"/>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（3）组成联合体或者接受分包的小微企业与联合体内其他企业、分包企业</w:t>
      </w:r>
      <w:r>
        <w:rPr>
          <w:rFonts w:hint="default" w:ascii="宋体" w:hAnsi="宋体" w:eastAsia="宋体" w:cstheme="minorBidi"/>
          <w:i w:val="0"/>
          <w:iCs w:val="0"/>
          <w:color w:val="auto"/>
          <w:kern w:val="2"/>
          <w:sz w:val="24"/>
          <w:szCs w:val="22"/>
          <w:highlight w:val="none"/>
          <w:lang w:val="en-US" w:eastAsia="zh-CN" w:bidi="ar-SA"/>
        </w:rPr>
        <w:t>之间存在直接控股、管理关系的，不享受价格扣除优惠政策。</w:t>
      </w:r>
    </w:p>
    <w:p w14:paraId="60984AA9">
      <w:pPr>
        <w:pStyle w:val="41"/>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ascii="宋体" w:hAnsi="宋体" w:eastAsia="宋体" w:cstheme="minorBidi"/>
          <w:i w:val="0"/>
          <w:iCs w:val="0"/>
          <w:color w:val="auto"/>
          <w:kern w:val="2"/>
          <w:sz w:val="24"/>
          <w:szCs w:val="22"/>
          <w:highlight w:val="none"/>
          <w:lang w:val="en-US" w:eastAsia="zh-CN" w:bidi="ar-SA"/>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4</w:t>
      </w:r>
      <w:r>
        <w:rPr>
          <w:rFonts w:ascii="宋体" w:hAnsi="宋体" w:eastAsia="宋体" w:cstheme="minorBidi"/>
          <w:i w:val="0"/>
          <w:iCs w:val="0"/>
          <w:color w:val="auto"/>
          <w:kern w:val="2"/>
          <w:sz w:val="24"/>
          <w:szCs w:val="22"/>
          <w:highlight w:val="none"/>
          <w:lang w:val="en-US" w:eastAsia="zh-CN" w:bidi="ar-SA"/>
        </w:rPr>
        <w:t>）价格扣除比例对小型企业和微型企业同等对待，不作区分。</w:t>
      </w:r>
    </w:p>
    <w:p w14:paraId="19B743D0">
      <w:pPr>
        <w:pStyle w:val="41"/>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rFonts w:hint="eastAsia"/>
          <w:i w:val="0"/>
          <w:iCs w:val="0"/>
          <w:color w:val="auto"/>
          <w:highlight w:val="none"/>
        </w:rPr>
      </w:pPr>
      <w:r>
        <w:rPr>
          <w:rFonts w:ascii="宋体" w:hAnsi="宋体" w:eastAsia="宋体" w:cstheme="minorBidi"/>
          <w:i w:val="0"/>
          <w:iCs w:val="0"/>
          <w:color w:val="auto"/>
          <w:kern w:val="2"/>
          <w:sz w:val="24"/>
          <w:szCs w:val="22"/>
          <w:highlight w:val="none"/>
          <w:lang w:val="en-US" w:eastAsia="zh-CN" w:bidi="ar-SA"/>
        </w:rPr>
        <w:t>（</w:t>
      </w:r>
      <w:r>
        <w:rPr>
          <w:rFonts w:hint="eastAsia" w:cstheme="minorBidi"/>
          <w:i w:val="0"/>
          <w:iCs w:val="0"/>
          <w:color w:val="auto"/>
          <w:kern w:val="2"/>
          <w:sz w:val="24"/>
          <w:szCs w:val="22"/>
          <w:highlight w:val="none"/>
          <w:lang w:val="en-US" w:eastAsia="zh-CN" w:bidi="ar-SA"/>
        </w:rPr>
        <w:t>5</w:t>
      </w:r>
      <w:r>
        <w:rPr>
          <w:rFonts w:ascii="宋体" w:hAnsi="宋体" w:eastAsia="宋体" w:cstheme="minorBidi"/>
          <w:i w:val="0"/>
          <w:iCs w:val="0"/>
          <w:color w:val="auto"/>
          <w:kern w:val="2"/>
          <w:sz w:val="24"/>
          <w:szCs w:val="22"/>
          <w:highlight w:val="none"/>
          <w:lang w:val="en-US" w:eastAsia="zh-CN" w:bidi="ar-SA"/>
        </w:rPr>
        <w:t>）</w:t>
      </w:r>
      <w:r>
        <w:rPr>
          <w:rFonts w:hint="eastAsia"/>
          <w:i w:val="0"/>
          <w:iCs w:val="0"/>
          <w:color w:val="auto"/>
          <w:highlight w:val="none"/>
        </w:rPr>
        <w:t>专门面向中小企业、预留部分采购份额面向中小企业采购的项目或采购包，评审时不再进行价格扣除。</w:t>
      </w:r>
    </w:p>
    <w:p w14:paraId="45EC7F77">
      <w:pPr>
        <w:pStyle w:val="41"/>
        <w:pageBreakBefore w:val="0"/>
        <w:numPr>
          <w:ilvl w:val="0"/>
          <w:numId w:val="0"/>
        </w:numPr>
        <w:shd w:val="clear" w:color="auto" w:fill="FFFFFF" w:themeFill="background1"/>
        <w:kinsoku/>
        <w:overflowPunct/>
        <w:topLinePunct w:val="0"/>
        <w:autoSpaceDE/>
        <w:autoSpaceDN/>
        <w:bidi w:val="0"/>
        <w:spacing w:line="440" w:lineRule="exact"/>
        <w:ind w:firstLine="480" w:firstLineChars="200"/>
        <w:textAlignment w:val="auto"/>
        <w:rPr>
          <w:i w:val="0"/>
          <w:iCs w:val="0"/>
          <w:color w:val="auto"/>
          <w:highlight w:val="none"/>
        </w:rPr>
      </w:pPr>
      <w:r>
        <w:rPr>
          <w:rFonts w:hint="eastAsia"/>
          <w:i w:val="0"/>
          <w:iCs w:val="0"/>
          <w:color w:val="auto"/>
          <w:highlight w:val="none"/>
          <w:lang w:eastAsia="zh-CN"/>
        </w:rPr>
        <w:t>（</w:t>
      </w:r>
      <w:r>
        <w:rPr>
          <w:rFonts w:hint="eastAsia"/>
          <w:i w:val="0"/>
          <w:iCs w:val="0"/>
          <w:color w:val="auto"/>
          <w:highlight w:val="none"/>
          <w:lang w:val="en-US" w:eastAsia="zh-CN"/>
        </w:rPr>
        <w:t>6）若供应商同时属于小型或微型企业、监狱企业、残疾人福利性单位 中的两种及以上，将不重复享受小微企业价格扣减的优惠政策。</w:t>
      </w:r>
    </w:p>
    <w:p w14:paraId="2AF70487">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i w:val="0"/>
          <w:iCs w:val="0"/>
          <w:color w:val="auto"/>
          <w:highlight w:val="none"/>
          <w:lang w:val="zh-CN"/>
        </w:rPr>
        <w:t>5.3价格分采用</w:t>
      </w:r>
      <w:r>
        <w:rPr>
          <w:i w:val="0"/>
          <w:iCs w:val="0"/>
          <w:color w:val="auto"/>
          <w:szCs w:val="24"/>
          <w:highlight w:val="none"/>
          <w:lang w:val="zh-CN"/>
        </w:rPr>
        <w:t>低价</w:t>
      </w:r>
      <w:r>
        <w:rPr>
          <w:i w:val="0"/>
          <w:iCs w:val="0"/>
          <w:color w:val="auto"/>
          <w:highlight w:val="none"/>
          <w:lang w:val="zh-CN"/>
        </w:rPr>
        <w:t>优先法计算，</w:t>
      </w:r>
      <w:r>
        <w:rPr>
          <w:rFonts w:hint="eastAsia"/>
          <w:i w:val="0"/>
          <w:iCs w:val="0"/>
          <w:color w:val="auto"/>
          <w:highlight w:val="none"/>
          <w:lang w:val="zh-CN"/>
        </w:rPr>
        <w:t>即满足磋商文件要求且最后报价最低的供应商的价格为磋商基准价，其价格分为满分。其他供应商的价格分统一按照下列公式计算：</w:t>
      </w:r>
    </w:p>
    <w:p w14:paraId="461A7491">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磋商报价得分=（磋商基准价/最后磋商报价）×</w:t>
      </w:r>
      <w:r>
        <w:rPr>
          <w:rFonts w:hint="eastAsia"/>
          <w:i w:val="0"/>
          <w:iCs w:val="0"/>
          <w:color w:val="auto"/>
          <w:highlight w:val="none"/>
        </w:rPr>
        <w:t>价格分值</w:t>
      </w:r>
    </w:p>
    <w:p w14:paraId="72A4C42D">
      <w:pPr>
        <w:pStyle w:val="41"/>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项目评审过程中，不得去掉最后报价中的最高报价和最低报价。</w:t>
      </w:r>
      <w:r>
        <w:rPr>
          <w:i w:val="0"/>
          <w:iCs w:val="0"/>
          <w:color w:val="auto"/>
          <w:highlight w:val="none"/>
          <w:lang w:val="zh-CN"/>
        </w:rPr>
        <w:t>计算方法详见本章“三、</w:t>
      </w:r>
      <w:r>
        <w:rPr>
          <w:rFonts w:hint="eastAsia"/>
          <w:i w:val="0"/>
          <w:iCs w:val="0"/>
          <w:color w:val="auto"/>
          <w:highlight w:val="none"/>
          <w:lang w:val="zh-CN"/>
        </w:rPr>
        <w:t>评审</w:t>
      </w:r>
      <w:r>
        <w:rPr>
          <w:i w:val="0"/>
          <w:iCs w:val="0"/>
          <w:color w:val="auto"/>
          <w:highlight w:val="none"/>
          <w:lang w:val="zh-CN"/>
        </w:rPr>
        <w:t>标准”中的具体计算公式。</w:t>
      </w:r>
    </w:p>
    <w:p w14:paraId="576E982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57" w:name="_Toc102057749"/>
      <w:bookmarkStart w:id="458" w:name="_Toc102119884"/>
      <w:bookmarkStart w:id="459" w:name="_Toc102114951"/>
      <w:bookmarkStart w:id="460" w:name="_Toc102056249"/>
      <w:bookmarkStart w:id="461" w:name="_Toc102116053"/>
      <w:bookmarkStart w:id="462" w:name="_Toc102116183"/>
      <w:bookmarkStart w:id="463" w:name="_Toc102114952"/>
      <w:bookmarkStart w:id="464" w:name="_Toc102056250"/>
      <w:bookmarkStart w:id="465" w:name="_Toc102116054"/>
      <w:bookmarkStart w:id="466" w:name="_Toc102116184"/>
      <w:bookmarkStart w:id="467" w:name="_Toc102057750"/>
      <w:bookmarkStart w:id="468" w:name="_Toc102119885"/>
      <w:r>
        <w:rPr>
          <w:rFonts w:hint="eastAsia" w:ascii="宋体" w:hAnsi="宋体" w:eastAsia="宋体" w:cs="宋体"/>
          <w:b/>
          <w:bCs/>
          <w:i w:val="0"/>
          <w:iCs w:val="0"/>
          <w:color w:val="auto"/>
          <w:kern w:val="2"/>
          <w:sz w:val="24"/>
          <w:szCs w:val="24"/>
          <w:highlight w:val="none"/>
          <w:lang w:val="en-US" w:eastAsia="zh-CN" w:bidi="ar-SA"/>
        </w:rPr>
        <w:t>6.计分办法</w:t>
      </w:r>
      <w:bookmarkEnd w:id="457"/>
      <w:bookmarkEnd w:id="458"/>
      <w:bookmarkEnd w:id="459"/>
      <w:bookmarkEnd w:id="460"/>
      <w:bookmarkEnd w:id="461"/>
      <w:bookmarkEnd w:id="462"/>
      <w:r>
        <w:rPr>
          <w:rFonts w:hint="eastAsia" w:ascii="宋体" w:hAnsi="宋体" w:eastAsia="宋体" w:cs="宋体"/>
          <w:b/>
          <w:bCs/>
          <w:i w:val="0"/>
          <w:iCs w:val="0"/>
          <w:color w:val="auto"/>
          <w:kern w:val="2"/>
          <w:sz w:val="24"/>
          <w:szCs w:val="24"/>
          <w:highlight w:val="none"/>
          <w:lang w:val="en-US" w:eastAsia="zh-CN" w:bidi="ar-SA"/>
        </w:rPr>
        <w:t>及复核</w:t>
      </w:r>
    </w:p>
    <w:p w14:paraId="0956E193">
      <w:pPr>
        <w:pStyle w:val="41"/>
        <w:pageBreakBefore w:val="0"/>
        <w:kinsoku/>
        <w:overflowPunct/>
        <w:topLinePunct w:val="0"/>
        <w:autoSpaceDE/>
        <w:autoSpaceDN/>
        <w:bidi w:val="0"/>
        <w:spacing w:line="440" w:lineRule="exact"/>
        <w:ind w:firstLine="480"/>
        <w:textAlignment w:val="auto"/>
        <w:rPr>
          <w:i w:val="0"/>
          <w:iCs w:val="0"/>
          <w:color w:val="auto"/>
          <w:kern w:val="0"/>
          <w:highlight w:val="none"/>
          <w:lang w:val="zh-CN"/>
        </w:rPr>
      </w:pPr>
      <w:r>
        <w:rPr>
          <w:rFonts w:hint="eastAsia"/>
          <w:i w:val="0"/>
          <w:iCs w:val="0"/>
          <w:color w:val="auto"/>
          <w:highlight w:val="none"/>
          <w:lang w:val="zh-CN"/>
        </w:rPr>
        <w:t>6</w:t>
      </w:r>
      <w:r>
        <w:rPr>
          <w:i w:val="0"/>
          <w:iCs w:val="0"/>
          <w:color w:val="auto"/>
          <w:highlight w:val="none"/>
          <w:lang w:val="zh-CN"/>
        </w:rPr>
        <w:t>.1</w:t>
      </w:r>
      <w:r>
        <w:rPr>
          <w:rFonts w:hint="eastAsia"/>
          <w:i w:val="0"/>
          <w:iCs w:val="0"/>
          <w:color w:val="auto"/>
          <w:highlight w:val="none"/>
          <w:lang w:val="zh-CN"/>
        </w:rPr>
        <w:t>评审过程中，各项分值一般精确到小数点后两位，评审得分应当为商务评分、技术评分、报价评分之和。磋商小组各成员应当汇总每个供应商的得分。</w:t>
      </w:r>
    </w:p>
    <w:p w14:paraId="7D7F6459">
      <w:pPr>
        <w:pStyle w:val="41"/>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.2</w:t>
      </w:r>
      <w:r>
        <w:rPr>
          <w:rFonts w:hint="eastAsia"/>
          <w:i w:val="0"/>
          <w:iCs w:val="0"/>
          <w:color w:val="auto"/>
          <w:highlight w:val="none"/>
          <w:lang w:val="zh-CN"/>
        </w:rPr>
        <w:t>评审结果汇总完成后，采购代理机构应当对评审结果进行复核。经复核发现存在以下情形之一的，磋商小组应当当场修改评审结果，并在评审报告中记载：</w:t>
      </w:r>
    </w:p>
    <w:p w14:paraId="51E15D43">
      <w:pPr>
        <w:pStyle w:val="41"/>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（1）</w:t>
      </w:r>
      <w:r>
        <w:rPr>
          <w:rFonts w:hint="eastAsia"/>
          <w:i w:val="0"/>
          <w:iCs w:val="0"/>
          <w:color w:val="auto"/>
          <w:highlight w:val="none"/>
          <w:lang w:val="zh-CN" w:eastAsia="zh-CN"/>
        </w:rPr>
        <w:t>资格性检查认定错误</w:t>
      </w:r>
      <w:r>
        <w:rPr>
          <w:rFonts w:hint="eastAsia"/>
          <w:i w:val="0"/>
          <w:iCs w:val="0"/>
          <w:color w:val="auto"/>
          <w:highlight w:val="none"/>
          <w:lang w:val="zh-CN"/>
        </w:rPr>
        <w:t xml:space="preserve">的； </w:t>
      </w:r>
    </w:p>
    <w:p w14:paraId="74DEA290">
      <w:pPr>
        <w:pStyle w:val="41"/>
        <w:pageBreakBefore w:val="0"/>
        <w:kinsoku/>
        <w:overflowPunct/>
        <w:topLinePunct w:val="0"/>
        <w:autoSpaceDE/>
        <w:autoSpaceDN/>
        <w:bidi w:val="0"/>
        <w:spacing w:line="440" w:lineRule="exact"/>
        <w:ind w:firstLine="480"/>
        <w:textAlignment w:val="auto"/>
        <w:rPr>
          <w:rFonts w:cs="Times New Roman"/>
          <w:i w:val="0"/>
          <w:iCs w:val="0"/>
          <w:color w:val="auto"/>
          <w:szCs w:val="20"/>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2</w:t>
      </w:r>
      <w:r>
        <w:rPr>
          <w:rFonts w:hint="eastAsia"/>
          <w:i w:val="0"/>
          <w:iCs w:val="0"/>
          <w:color w:val="auto"/>
          <w:highlight w:val="none"/>
          <w:lang w:val="zh-CN"/>
        </w:rPr>
        <w:t xml:space="preserve">）分值汇总计算错误的； </w:t>
      </w:r>
    </w:p>
    <w:p w14:paraId="72F62B6F">
      <w:pPr>
        <w:pStyle w:val="41"/>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3</w:t>
      </w:r>
      <w:r>
        <w:rPr>
          <w:rFonts w:hint="eastAsia"/>
          <w:i w:val="0"/>
          <w:iCs w:val="0"/>
          <w:color w:val="auto"/>
          <w:highlight w:val="none"/>
          <w:lang w:val="zh-CN"/>
        </w:rPr>
        <w:t>）分项评分超出评分标准范围的；</w:t>
      </w:r>
    </w:p>
    <w:p w14:paraId="102EAA79">
      <w:pPr>
        <w:pStyle w:val="41"/>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4</w:t>
      </w:r>
      <w:r>
        <w:rPr>
          <w:rFonts w:hint="eastAsia"/>
          <w:i w:val="0"/>
          <w:iCs w:val="0"/>
          <w:color w:val="auto"/>
          <w:highlight w:val="none"/>
          <w:lang w:val="zh-CN"/>
        </w:rPr>
        <w:t>）</w:t>
      </w:r>
      <w:r>
        <w:rPr>
          <w:rFonts w:hint="eastAsia" w:cs="Helvetica"/>
          <w:i w:val="0"/>
          <w:iCs w:val="0"/>
          <w:color w:val="auto"/>
          <w:szCs w:val="24"/>
          <w:highlight w:val="none"/>
          <w:lang w:val="zh-CN"/>
        </w:rPr>
        <w:t>磋商小组</w:t>
      </w:r>
      <w:r>
        <w:rPr>
          <w:rFonts w:hint="eastAsia"/>
          <w:i w:val="0"/>
          <w:iCs w:val="0"/>
          <w:color w:val="auto"/>
          <w:highlight w:val="none"/>
          <w:lang w:val="zh-CN"/>
        </w:rPr>
        <w:t>成员对客观</w:t>
      </w:r>
      <w:r>
        <w:rPr>
          <w:rFonts w:hint="eastAsia"/>
          <w:i w:val="0"/>
          <w:iCs w:val="0"/>
          <w:color w:val="auto"/>
          <w:highlight w:val="none"/>
          <w:lang w:val="en-US" w:eastAsia="zh-CN"/>
        </w:rPr>
        <w:t>分</w:t>
      </w:r>
      <w:r>
        <w:rPr>
          <w:rFonts w:hint="eastAsia"/>
          <w:i w:val="0"/>
          <w:iCs w:val="0"/>
          <w:color w:val="auto"/>
          <w:highlight w:val="none"/>
          <w:lang w:val="zh-CN"/>
        </w:rPr>
        <w:t>评分不一致的；</w:t>
      </w:r>
    </w:p>
    <w:p w14:paraId="1E569905">
      <w:pPr>
        <w:pStyle w:val="41"/>
        <w:pageBreakBefore w:val="0"/>
        <w:kinsoku/>
        <w:overflowPunct/>
        <w:topLinePunct w:val="0"/>
        <w:autoSpaceDE/>
        <w:autoSpaceDN/>
        <w:bidi w:val="0"/>
        <w:spacing w:line="440" w:lineRule="exact"/>
        <w:ind w:firstLine="480"/>
        <w:textAlignment w:val="auto"/>
        <w:rPr>
          <w:i w:val="0"/>
          <w:iCs w:val="0"/>
          <w:color w:val="auto"/>
          <w:highlight w:val="none"/>
          <w:lang w:val="zh-CN"/>
        </w:rPr>
      </w:pPr>
      <w:r>
        <w:rPr>
          <w:rFonts w:hint="eastAsia"/>
          <w:i w:val="0"/>
          <w:iCs w:val="0"/>
          <w:color w:val="auto"/>
          <w:highlight w:val="none"/>
          <w:lang w:val="zh-CN"/>
        </w:rPr>
        <w:t>（</w:t>
      </w:r>
      <w:r>
        <w:rPr>
          <w:rFonts w:hint="eastAsia"/>
          <w:i w:val="0"/>
          <w:iCs w:val="0"/>
          <w:color w:val="auto"/>
          <w:highlight w:val="none"/>
          <w:lang w:val="en-US" w:eastAsia="zh-CN"/>
        </w:rPr>
        <w:t>5</w:t>
      </w:r>
      <w:r>
        <w:rPr>
          <w:rFonts w:hint="eastAsia"/>
          <w:i w:val="0"/>
          <w:iCs w:val="0"/>
          <w:color w:val="auto"/>
          <w:highlight w:val="none"/>
          <w:lang w:val="zh-CN"/>
        </w:rPr>
        <w:t>）经</w:t>
      </w:r>
      <w:r>
        <w:rPr>
          <w:rFonts w:hint="eastAsia" w:cs="Helvetica"/>
          <w:i w:val="0"/>
          <w:iCs w:val="0"/>
          <w:color w:val="auto"/>
          <w:szCs w:val="24"/>
          <w:highlight w:val="none"/>
          <w:lang w:val="zh-CN"/>
        </w:rPr>
        <w:t>磋商小组</w:t>
      </w:r>
      <w:r>
        <w:rPr>
          <w:rFonts w:hint="eastAsia" w:cs="Helvetica"/>
          <w:i w:val="0"/>
          <w:iCs w:val="0"/>
          <w:color w:val="auto"/>
          <w:szCs w:val="24"/>
          <w:highlight w:val="none"/>
          <w:lang w:val="en-US" w:eastAsia="zh-CN"/>
        </w:rPr>
        <w:t>一致</w:t>
      </w:r>
      <w:r>
        <w:rPr>
          <w:rFonts w:hint="eastAsia"/>
          <w:i w:val="0"/>
          <w:iCs w:val="0"/>
          <w:color w:val="auto"/>
          <w:highlight w:val="none"/>
          <w:lang w:val="zh-CN"/>
        </w:rPr>
        <w:t>认定评分畸高、畸低的。</w:t>
      </w:r>
    </w:p>
    <w:p w14:paraId="6C6015B1">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zh-CN"/>
        </w:rPr>
        <w:t>6</w:t>
      </w:r>
      <w:r>
        <w:rPr>
          <w:i w:val="0"/>
          <w:iCs w:val="0"/>
          <w:color w:val="auto"/>
          <w:highlight w:val="none"/>
          <w:lang w:val="zh-CN"/>
        </w:rPr>
        <w:t>.3</w:t>
      </w:r>
      <w:r>
        <w:rPr>
          <w:rFonts w:hint="eastAsia"/>
          <w:i w:val="0"/>
          <w:iCs w:val="0"/>
          <w:color w:val="auto"/>
          <w:highlight w:val="none"/>
          <w:lang w:val="zh-CN"/>
        </w:rPr>
        <w:t>各供应商的最终得分为磋商小组所有成员对各供应商评审得分汇总后的算术平均值。</w:t>
      </w:r>
    </w:p>
    <w:p w14:paraId="0EFF5F9B">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3A5AB6DE">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en-US" w:eastAsia="zh-CN"/>
        </w:rPr>
      </w:pPr>
      <w:r>
        <w:rPr>
          <w:rFonts w:hint="eastAsia"/>
          <w:i w:val="0"/>
          <w:iCs w:val="0"/>
          <w:color w:val="auto"/>
          <w:highlight w:val="none"/>
          <w:lang w:val="en-US" w:eastAsia="zh-CN"/>
        </w:rPr>
        <w:t>6.5采购人或者采购代理机构不得通过对样品进行检测、对供应商进行考察等方式改变评审结果。</w:t>
      </w:r>
    </w:p>
    <w:p w14:paraId="1F8EBB8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7.评审报告</w:t>
      </w:r>
      <w:bookmarkEnd w:id="463"/>
      <w:bookmarkEnd w:id="464"/>
      <w:bookmarkEnd w:id="465"/>
      <w:bookmarkEnd w:id="466"/>
      <w:bookmarkEnd w:id="467"/>
      <w:bookmarkEnd w:id="468"/>
    </w:p>
    <w:p w14:paraId="3341BC5C">
      <w:pPr>
        <w:pStyle w:val="41"/>
        <w:pageBreakBefore w:val="0"/>
        <w:kinsoku/>
        <w:overflowPunct/>
        <w:topLinePunct w:val="0"/>
        <w:autoSpaceDE/>
        <w:autoSpaceDN/>
        <w:bidi w:val="0"/>
        <w:spacing w:line="440" w:lineRule="exact"/>
        <w:ind w:firstLine="480"/>
        <w:textAlignment w:val="auto"/>
        <w:rPr>
          <w:rFonts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.1</w:t>
      </w:r>
      <w:r>
        <w:rPr>
          <w:rFonts w:hint="eastAsia" w:cs="Helvetica"/>
          <w:i w:val="0"/>
          <w:iCs w:val="0"/>
          <w:color w:val="auto"/>
          <w:szCs w:val="24"/>
          <w:highlight w:val="none"/>
          <w:lang w:val="zh-CN"/>
        </w:rPr>
        <w:t>磋商小组</w:t>
      </w:r>
      <w:r>
        <w:rPr>
          <w:rFonts w:hint="eastAsia"/>
          <w:i w:val="0"/>
          <w:iCs w:val="0"/>
          <w:color w:val="auto"/>
          <w:highlight w:val="none"/>
        </w:rPr>
        <w:t>从质量和服务均能满足磋商文件实质性要求的供应商中，按照</w:t>
      </w:r>
      <w:r>
        <w:rPr>
          <w:rFonts w:hint="eastAsia"/>
          <w:i w:val="0"/>
          <w:iCs w:val="0"/>
          <w:color w:val="auto"/>
          <w:highlight w:val="none"/>
          <w:lang w:val="en-US" w:eastAsia="zh-CN"/>
        </w:rPr>
        <w:t>评审</w:t>
      </w:r>
      <w:r>
        <w:rPr>
          <w:rFonts w:hint="eastAsia"/>
          <w:i w:val="0"/>
          <w:iCs w:val="0"/>
          <w:color w:val="auto"/>
          <w:highlight w:val="none"/>
        </w:rPr>
        <w:t>得分由高到低的顺序推荐3名</w:t>
      </w:r>
      <w:r>
        <w:rPr>
          <w:rFonts w:hint="eastAsia"/>
          <w:i w:val="0"/>
          <w:iCs w:val="0"/>
          <w:color w:val="auto"/>
          <w:szCs w:val="24"/>
          <w:highlight w:val="none"/>
          <w:lang w:val="zh-CN"/>
        </w:rPr>
        <w:t>（</w:t>
      </w:r>
      <w:r>
        <w:rPr>
          <w:rFonts w:hint="eastAsia"/>
          <w:i w:val="0"/>
          <w:iCs w:val="0"/>
          <w:color w:val="auto"/>
          <w:highlight w:val="none"/>
        </w:rPr>
        <w:t>市场竞争不充分的科研项目，以及需要扶持的科技成果转化项目可以为</w:t>
      </w:r>
      <w:r>
        <w:rPr>
          <w:i w:val="0"/>
          <w:iCs w:val="0"/>
          <w:color w:val="auto"/>
          <w:highlight w:val="none"/>
        </w:rPr>
        <w:t>2家</w:t>
      </w:r>
      <w:r>
        <w:rPr>
          <w:rFonts w:hint="eastAsia"/>
          <w:i w:val="0"/>
          <w:iCs w:val="0"/>
          <w:color w:val="auto"/>
          <w:highlight w:val="none"/>
        </w:rPr>
        <w:t>，</w:t>
      </w:r>
      <w:r>
        <w:rPr>
          <w:rFonts w:hint="eastAsia"/>
          <w:i w:val="0"/>
          <w:iCs w:val="0"/>
          <w:snapToGrid w:val="0"/>
          <w:color w:val="auto"/>
          <w:highlight w:val="none"/>
        </w:rPr>
        <w:t>政府购买服务项目[含政府和社会资本合作项目]，在采购过程中符合要求的供应商[社会资本]只有2家的</w:t>
      </w:r>
      <w:r>
        <w:rPr>
          <w:rFonts w:hint="eastAsia"/>
          <w:i w:val="0"/>
          <w:iCs w:val="0"/>
          <w:color w:val="auto"/>
          <w:highlight w:val="none"/>
        </w:rPr>
        <w:t>可以为</w:t>
      </w:r>
      <w:r>
        <w:rPr>
          <w:i w:val="0"/>
          <w:iCs w:val="0"/>
          <w:color w:val="auto"/>
          <w:highlight w:val="none"/>
        </w:rPr>
        <w:t>2家</w:t>
      </w:r>
      <w:r>
        <w:rPr>
          <w:i w:val="0"/>
          <w:iCs w:val="0"/>
          <w:color w:val="auto"/>
          <w:szCs w:val="24"/>
          <w:highlight w:val="none"/>
          <w:lang w:val="zh-CN"/>
        </w:rPr>
        <w:t>）</w:t>
      </w:r>
      <w:r>
        <w:rPr>
          <w:rFonts w:hint="eastAsia"/>
          <w:i w:val="0"/>
          <w:iCs w:val="0"/>
          <w:color w:val="auto"/>
          <w:highlight w:val="none"/>
        </w:rPr>
        <w:t>以上</w:t>
      </w:r>
      <w:r>
        <w:rPr>
          <w:rFonts w:hint="eastAsia" w:cs="Helvetica"/>
          <w:i w:val="0"/>
          <w:iCs w:val="0"/>
          <w:color w:val="auto"/>
          <w:szCs w:val="24"/>
          <w:highlight w:val="none"/>
          <w:lang w:val="zh-CN"/>
        </w:rPr>
        <w:t>成交</w:t>
      </w:r>
      <w:r>
        <w:rPr>
          <w:rFonts w:hint="eastAsia"/>
          <w:i w:val="0"/>
          <w:iCs w:val="0"/>
          <w:color w:val="auto"/>
          <w:highlight w:val="none"/>
        </w:rPr>
        <w:t>候选供应商。评审得</w:t>
      </w:r>
      <w:r>
        <w:rPr>
          <w:i w:val="0"/>
          <w:iCs w:val="0"/>
          <w:color w:val="auto"/>
          <w:highlight w:val="none"/>
        </w:rPr>
        <w:t>分相同的，</w:t>
      </w:r>
      <w:r>
        <w:rPr>
          <w:rFonts w:hint="eastAsia" w:cs="Helvetica"/>
          <w:i w:val="0"/>
          <w:iCs w:val="0"/>
          <w:color w:val="auto"/>
          <w:szCs w:val="24"/>
          <w:highlight w:val="none"/>
          <w:lang w:val="zh-CN"/>
        </w:rPr>
        <w:t>磋商小组</w:t>
      </w:r>
      <w:r>
        <w:rPr>
          <w:rFonts w:hint="eastAsia"/>
          <w:i w:val="0"/>
          <w:iCs w:val="0"/>
          <w:color w:val="auto"/>
          <w:highlight w:val="none"/>
        </w:rPr>
        <w:t>按照最后报价由低到高的顺序</w:t>
      </w:r>
      <w:r>
        <w:rPr>
          <w:i w:val="0"/>
          <w:iCs w:val="0"/>
          <w:color w:val="auto"/>
          <w:highlight w:val="none"/>
        </w:rPr>
        <w:t>推荐</w:t>
      </w:r>
      <w:r>
        <w:rPr>
          <w:rFonts w:hint="eastAsia"/>
          <w:i w:val="0"/>
          <w:iCs w:val="0"/>
          <w:color w:val="auto"/>
          <w:highlight w:val="none"/>
        </w:rPr>
        <w:t>；</w:t>
      </w:r>
      <w:r>
        <w:rPr>
          <w:rFonts w:hint="eastAsia"/>
          <w:i w:val="0"/>
          <w:iCs w:val="0"/>
          <w:color w:val="auto"/>
          <w:highlight w:val="none"/>
          <w:lang w:val="en-US" w:eastAsia="zh-CN"/>
        </w:rPr>
        <w:t>评审</w:t>
      </w:r>
      <w:r>
        <w:rPr>
          <w:rFonts w:hint="eastAsia"/>
          <w:i w:val="0"/>
          <w:iCs w:val="0"/>
          <w:color w:val="auto"/>
          <w:highlight w:val="none"/>
        </w:rPr>
        <w:t>得分且最后报价相同的，按</w:t>
      </w:r>
      <w:r>
        <w:rPr>
          <w:rFonts w:hint="eastAsia"/>
          <w:i w:val="0"/>
          <w:iCs w:val="0"/>
          <w:color w:val="auto"/>
          <w:highlight w:val="none"/>
          <w:lang w:val="en-US" w:eastAsia="zh-CN"/>
        </w:rPr>
        <w:t>照</w:t>
      </w:r>
      <w:r>
        <w:rPr>
          <w:rFonts w:hint="eastAsia"/>
          <w:i w:val="0"/>
          <w:iCs w:val="0"/>
          <w:color w:val="auto"/>
          <w:highlight w:val="none"/>
        </w:rPr>
        <w:t>技术</w:t>
      </w:r>
      <w:r>
        <w:rPr>
          <w:rFonts w:hint="eastAsia"/>
          <w:i w:val="0"/>
          <w:iCs w:val="0"/>
          <w:color w:val="auto"/>
          <w:highlight w:val="none"/>
          <w:lang w:val="en-US" w:eastAsia="zh-CN"/>
        </w:rPr>
        <w:t>指标</w:t>
      </w:r>
      <w:r>
        <w:rPr>
          <w:rFonts w:hint="eastAsia"/>
          <w:i w:val="0"/>
          <w:iCs w:val="0"/>
          <w:color w:val="auto"/>
          <w:highlight w:val="none"/>
        </w:rPr>
        <w:t>优劣顺序推荐</w:t>
      </w:r>
      <w:r>
        <w:rPr>
          <w:rFonts w:hint="eastAsia" w:cs="Helvetica"/>
          <w:i w:val="0"/>
          <w:iCs w:val="0"/>
          <w:color w:val="auto"/>
          <w:szCs w:val="24"/>
          <w:highlight w:val="none"/>
          <w:lang w:val="zh-CN"/>
        </w:rPr>
        <w:t>。响应文件满足磋商文件全部实质性要求且评审得分</w:t>
      </w:r>
      <w:r>
        <w:rPr>
          <w:rFonts w:cs="Helvetica"/>
          <w:i w:val="0"/>
          <w:iCs w:val="0"/>
          <w:color w:val="auto"/>
          <w:szCs w:val="24"/>
          <w:highlight w:val="none"/>
          <w:lang w:val="zh-CN"/>
        </w:rPr>
        <w:t>最高</w:t>
      </w:r>
      <w:r>
        <w:rPr>
          <w:rFonts w:hint="eastAsia" w:cs="Helvetica"/>
          <w:i w:val="0"/>
          <w:iCs w:val="0"/>
          <w:color w:val="auto"/>
          <w:szCs w:val="24"/>
          <w:highlight w:val="none"/>
          <w:lang w:val="zh-CN"/>
        </w:rPr>
        <w:t>的供应商为排名第一的成交候选供应商。</w:t>
      </w:r>
      <w:r>
        <w:rPr>
          <w:rFonts w:hint="eastAsia"/>
          <w:i w:val="0"/>
          <w:iCs w:val="0"/>
          <w:color w:val="auto"/>
          <w:highlight w:val="none"/>
        </w:rPr>
        <w:t>磋商小组依据评审结果</w:t>
      </w:r>
      <w:r>
        <w:rPr>
          <w:rFonts w:hint="eastAsia"/>
          <w:i w:val="0"/>
          <w:iCs w:val="0"/>
          <w:color w:val="auto"/>
          <w:highlight w:val="none"/>
          <w:lang w:eastAsia="zh-CN"/>
        </w:rPr>
        <w:t>形成评审报告</w:t>
      </w:r>
      <w:r>
        <w:rPr>
          <w:rFonts w:hint="eastAsia" w:ascii="宋体" w:hAnsi="宋体" w:eastAsia="宋体"/>
          <w:i w:val="0"/>
          <w:iCs w:val="0"/>
          <w:color w:val="auto"/>
          <w:highlight w:val="none"/>
          <w:lang w:eastAsia="zh-CN"/>
        </w:rPr>
        <w:t>。</w:t>
      </w:r>
    </w:p>
    <w:p w14:paraId="17318A62">
      <w:pPr>
        <w:pStyle w:val="41"/>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cs="Helvetica"/>
          <w:i w:val="0"/>
          <w:iCs w:val="0"/>
          <w:color w:val="auto"/>
          <w:szCs w:val="24"/>
          <w:highlight w:val="none"/>
          <w:lang w:val="en-US" w:eastAsia="zh-CN"/>
        </w:rPr>
        <w:t>7</w:t>
      </w:r>
      <w:r>
        <w:rPr>
          <w:rFonts w:cs="Helvetica"/>
          <w:i w:val="0"/>
          <w:iCs w:val="0"/>
          <w:color w:val="auto"/>
          <w:szCs w:val="24"/>
          <w:highlight w:val="none"/>
          <w:lang w:val="zh-CN"/>
        </w:rPr>
        <w:t>.</w:t>
      </w:r>
      <w:r>
        <w:rPr>
          <w:rFonts w:hint="eastAsia" w:cs="Helvetica"/>
          <w:i w:val="0"/>
          <w:iCs w:val="0"/>
          <w:color w:val="auto"/>
          <w:szCs w:val="24"/>
          <w:highlight w:val="none"/>
          <w:lang w:val="en-US" w:eastAsia="zh-CN"/>
        </w:rPr>
        <w:t>2</w:t>
      </w:r>
      <w:r>
        <w:rPr>
          <w:rFonts w:hint="eastAsia"/>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cs="Helvetica"/>
          <w:i w:val="0"/>
          <w:iCs w:val="0"/>
          <w:color w:val="auto"/>
          <w:szCs w:val="24"/>
          <w:highlight w:val="none"/>
          <w:lang w:val="zh-CN"/>
        </w:rPr>
        <w:t>。</w:t>
      </w:r>
    </w:p>
    <w:p w14:paraId="25913F09">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8.响应无效的情形</w:t>
      </w:r>
    </w:p>
    <w:p w14:paraId="21B88F58">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cstheme="minorBidi"/>
          <w:i w:val="0"/>
          <w:iCs w:val="0"/>
          <w:color w:val="auto"/>
          <w:kern w:val="2"/>
          <w:sz w:val="24"/>
          <w:szCs w:val="22"/>
          <w:highlight w:val="none"/>
          <w:lang w:val="en-US" w:eastAsia="zh-CN" w:bidi="ar-SA"/>
        </w:rPr>
      </w:pPr>
      <w:r>
        <w:rPr>
          <w:rFonts w:hint="eastAsia" w:cstheme="minorBidi"/>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cs="宋体"/>
          <w:b w:val="0"/>
          <w:bCs w:val="0"/>
          <w:i w:val="0"/>
          <w:iCs w:val="0"/>
          <w:color w:val="auto"/>
          <w:sz w:val="24"/>
          <w:szCs w:val="24"/>
          <w:highlight w:val="none"/>
          <w:lang w:val="en-US" w:eastAsia="zh-CN"/>
        </w:rPr>
        <w:t>其</w:t>
      </w:r>
      <w:r>
        <w:rPr>
          <w:rFonts w:hint="eastAsia"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702D1A6A">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2B2A7ABE">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4EE2FB0A">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53A78381">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60D5A539">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2FF50D83">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1C3AF755">
      <w:pPr>
        <w:pStyle w:val="41"/>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（7）</w:t>
      </w:r>
      <w:r>
        <w:rPr>
          <w:rFonts w:hint="eastAsia"/>
          <w:i w:val="0"/>
          <w:iCs w:val="0"/>
          <w:color w:val="auto"/>
          <w:highlight w:val="none"/>
          <w:lang w:val="zh-CN" w:eastAsia="zh-CN"/>
        </w:rPr>
        <w:t>不同</w:t>
      </w:r>
      <w:r>
        <w:rPr>
          <w:rFonts w:hint="eastAsia"/>
          <w:i w:val="0"/>
          <w:iCs w:val="0"/>
          <w:color w:val="auto"/>
          <w:highlight w:val="none"/>
          <w:lang w:val="en-US" w:eastAsia="zh-CN"/>
        </w:rPr>
        <w:t>供应商</w:t>
      </w:r>
      <w:r>
        <w:rPr>
          <w:rFonts w:hint="eastAsia"/>
          <w:i w:val="0"/>
          <w:iCs w:val="0"/>
          <w:color w:val="auto"/>
          <w:highlight w:val="none"/>
          <w:lang w:val="zh-CN" w:eastAsia="zh-CN"/>
        </w:rPr>
        <w:t>使用同一电脑（机器特征值一致：如MAC地址等）或使用同一电子密钥，编制或上传电子</w:t>
      </w:r>
      <w:r>
        <w:rPr>
          <w:rFonts w:hint="eastAsia"/>
          <w:i w:val="0"/>
          <w:iCs w:val="0"/>
          <w:color w:val="auto"/>
          <w:highlight w:val="none"/>
          <w:lang w:val="en-US" w:eastAsia="zh-CN"/>
        </w:rPr>
        <w:t>响应</w:t>
      </w:r>
      <w:r>
        <w:rPr>
          <w:rFonts w:hint="eastAsia"/>
          <w:i w:val="0"/>
          <w:iCs w:val="0"/>
          <w:color w:val="auto"/>
          <w:highlight w:val="none"/>
          <w:lang w:val="zh-CN" w:eastAsia="zh-CN"/>
        </w:rPr>
        <w:t>文件</w:t>
      </w:r>
      <w:r>
        <w:rPr>
          <w:rFonts w:hint="eastAsia"/>
          <w:i w:val="0"/>
          <w:iCs w:val="0"/>
          <w:color w:val="auto"/>
          <w:highlight w:val="none"/>
          <w:lang w:val="en-US" w:eastAsia="zh-CN"/>
        </w:rPr>
        <w:t>；</w:t>
      </w:r>
    </w:p>
    <w:p w14:paraId="29DA958A">
      <w:pPr>
        <w:pStyle w:val="41"/>
        <w:pageBreakBefore w:val="0"/>
        <w:kinsoku/>
        <w:overflowPunct/>
        <w:topLinePunct w:val="0"/>
        <w:autoSpaceDE/>
        <w:autoSpaceDN/>
        <w:bidi w:val="0"/>
        <w:spacing w:line="440" w:lineRule="exact"/>
        <w:textAlignment w:val="auto"/>
        <w:rPr>
          <w:rFonts w:hint="eastAsia"/>
          <w:i w:val="0"/>
          <w:iCs w:val="0"/>
          <w:color w:val="auto"/>
          <w:highlight w:val="none"/>
          <w:lang w:val="en-US" w:eastAsia="zh-CN"/>
        </w:rPr>
      </w:pPr>
      <w:r>
        <w:rPr>
          <w:rFonts w:hint="eastAsia"/>
          <w:i w:val="0"/>
          <w:iCs w:val="0"/>
          <w:color w:val="auto"/>
          <w:highlight w:val="none"/>
          <w:lang w:val="en-US" w:eastAsia="zh-CN"/>
        </w:rPr>
        <w:t>（8）法律、法规、规章和竞争性磋商文件规定的其他响应无效的情形。</w:t>
      </w:r>
    </w:p>
    <w:p w14:paraId="51CFEB2F">
      <w:pPr>
        <w:pStyle w:val="65"/>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5DBCA20D">
      <w:pPr>
        <w:pStyle w:val="41"/>
        <w:pageBreakBefore w:val="0"/>
        <w:kinsoku/>
        <w:overflowPunct/>
        <w:topLinePunct w:val="0"/>
        <w:autoSpaceDE/>
        <w:autoSpaceDN/>
        <w:bidi w:val="0"/>
        <w:spacing w:line="440" w:lineRule="exact"/>
        <w:ind w:firstLine="480"/>
        <w:textAlignment w:val="auto"/>
        <w:rPr>
          <w:rFonts w:hint="eastAsia" w:cs="Helvetica"/>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 xml:space="preserve"> 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054A61A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69" w:name="_Toc102057718"/>
      <w:bookmarkStart w:id="470" w:name="_Toc102056218"/>
      <w:bookmarkStart w:id="471" w:name="_Toc102116022"/>
      <w:bookmarkStart w:id="472" w:name="_Toc102119853"/>
      <w:bookmarkStart w:id="473" w:name="_Toc102116152"/>
      <w:bookmarkStart w:id="474" w:name="_Toc102114920"/>
      <w:r>
        <w:rPr>
          <w:rFonts w:hint="eastAsia" w:ascii="宋体" w:hAnsi="宋体" w:eastAsia="宋体" w:cs="宋体"/>
          <w:b/>
          <w:bCs/>
          <w:i w:val="0"/>
          <w:iCs w:val="0"/>
          <w:color w:val="auto"/>
          <w:kern w:val="2"/>
          <w:sz w:val="24"/>
          <w:szCs w:val="24"/>
          <w:highlight w:val="none"/>
          <w:lang w:val="en-US" w:eastAsia="zh-CN" w:bidi="ar-SA"/>
        </w:rPr>
        <w:t>9.停止评审的情形</w:t>
      </w:r>
      <w:bookmarkEnd w:id="469"/>
      <w:bookmarkEnd w:id="470"/>
      <w:bookmarkEnd w:id="471"/>
      <w:bookmarkEnd w:id="472"/>
      <w:bookmarkEnd w:id="473"/>
      <w:bookmarkEnd w:id="474"/>
    </w:p>
    <w:p w14:paraId="58A3D9D5">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auto"/>
        <w:rPr>
          <w:rFonts w:hint="eastAsia" w:ascii="宋体" w:hAnsi="宋体" w:eastAsia="宋体" w:cstheme="minorBidi"/>
          <w:i w:val="0"/>
          <w:iCs w:val="0"/>
          <w:color w:val="auto"/>
          <w:kern w:val="2"/>
          <w:sz w:val="24"/>
          <w:szCs w:val="22"/>
          <w:highlight w:val="none"/>
          <w:lang w:val="zh-CN" w:eastAsia="zh-CN" w:bidi="ar-SA"/>
        </w:rPr>
      </w:pPr>
      <w:r>
        <w:rPr>
          <w:rFonts w:hint="eastAsia" w:ascii="宋体" w:hAnsi="宋体" w:eastAsia="宋体" w:cstheme="minorBidi"/>
          <w:i w:val="0"/>
          <w:iCs w:val="0"/>
          <w:color w:val="auto"/>
          <w:kern w:val="2"/>
          <w:sz w:val="24"/>
          <w:szCs w:val="22"/>
          <w:highlight w:val="none"/>
          <w:lang w:val="en-US" w:eastAsia="zh-CN" w:bidi="ar-SA"/>
        </w:rPr>
        <w:t>9</w:t>
      </w:r>
      <w:r>
        <w:rPr>
          <w:rFonts w:hint="eastAsia" w:ascii="宋体" w:hAnsi="宋体" w:eastAsia="宋体" w:cstheme="minorBidi"/>
          <w:i w:val="0"/>
          <w:iCs w:val="0"/>
          <w:color w:val="auto"/>
          <w:kern w:val="2"/>
          <w:sz w:val="24"/>
          <w:szCs w:val="22"/>
          <w:highlight w:val="none"/>
          <w:lang w:val="zh-CN" w:eastAsia="zh-CN" w:bidi="ar-SA"/>
        </w:rPr>
        <w:t>.1</w:t>
      </w:r>
      <w:r>
        <w:rPr>
          <w:rFonts w:hint="eastAsia" w:ascii="宋体" w:hAnsi="宋体" w:eastAsia="宋体" w:cstheme="minorBidi"/>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51B564B3">
      <w:pPr>
        <w:pStyle w:val="41"/>
        <w:pageBreakBefore w:val="0"/>
        <w:kinsoku/>
        <w:overflowPunct/>
        <w:topLinePunct w:val="0"/>
        <w:autoSpaceDE/>
        <w:autoSpaceDN/>
        <w:bidi w:val="0"/>
        <w:spacing w:line="440" w:lineRule="exact"/>
        <w:ind w:firstLine="480"/>
        <w:textAlignment w:val="auto"/>
        <w:rPr>
          <w:rFonts w:hint="eastAsia"/>
          <w:i w:val="0"/>
          <w:iCs w:val="0"/>
          <w:color w:val="auto"/>
          <w:highlight w:val="none"/>
          <w:lang w:val="zh-CN"/>
        </w:rPr>
      </w:pPr>
      <w:r>
        <w:rPr>
          <w:rFonts w:hint="eastAsia"/>
          <w:i w:val="0"/>
          <w:iCs w:val="0"/>
          <w:color w:val="auto"/>
          <w:highlight w:val="none"/>
          <w:lang w:val="en-US" w:eastAsia="zh-CN"/>
        </w:rPr>
        <w:t>9.2</w:t>
      </w:r>
      <w:r>
        <w:rPr>
          <w:rFonts w:hint="eastAsia"/>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2A0944C">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default"/>
          <w:i w:val="0"/>
          <w:iCs w:val="0"/>
          <w:color w:val="auto"/>
          <w:sz w:val="28"/>
          <w:szCs w:val="28"/>
          <w:highlight w:val="none"/>
          <w:lang w:val="en-US" w:eastAsia="zh-CN"/>
        </w:rPr>
      </w:pPr>
      <w:bookmarkStart w:id="475" w:name="_Toc18235"/>
      <w:r>
        <w:rPr>
          <w:rFonts w:hint="eastAsia"/>
          <w:i w:val="0"/>
          <w:iCs w:val="0"/>
          <w:color w:val="auto"/>
          <w:sz w:val="28"/>
          <w:szCs w:val="28"/>
          <w:highlight w:val="none"/>
          <w:lang w:val="en-US" w:eastAsia="zh-CN"/>
        </w:rPr>
        <w:t>三、</w:t>
      </w:r>
      <w:r>
        <w:rPr>
          <w:rFonts w:hint="eastAsia"/>
          <w:i w:val="0"/>
          <w:iCs w:val="0"/>
          <w:color w:val="auto"/>
          <w:sz w:val="28"/>
          <w:szCs w:val="28"/>
          <w:highlight w:val="none"/>
          <w:lang w:val="zh-CN" w:eastAsia="zh-CN"/>
        </w:rPr>
        <w:t>评审</w:t>
      </w:r>
      <w:r>
        <w:rPr>
          <w:rFonts w:hint="eastAsia"/>
          <w:i w:val="0"/>
          <w:iCs w:val="0"/>
          <w:color w:val="auto"/>
          <w:sz w:val="28"/>
          <w:szCs w:val="28"/>
          <w:highlight w:val="none"/>
          <w:lang w:val="en-US" w:eastAsia="zh-CN"/>
        </w:rPr>
        <w:t>其他要求</w:t>
      </w:r>
      <w:bookmarkEnd w:id="475"/>
    </w:p>
    <w:p w14:paraId="3B9B7B2C">
      <w:pPr>
        <w:pStyle w:val="41"/>
        <w:keepNext w:val="0"/>
        <w:keepLines w:val="0"/>
        <w:pageBreakBefore w:val="0"/>
        <w:widowControl w:val="0"/>
        <w:kinsoku/>
        <w:overflowPunct/>
        <w:topLinePunct w:val="0"/>
        <w:autoSpaceDE/>
        <w:autoSpaceDN/>
        <w:bidi w:val="0"/>
        <w:adjustRightInd/>
        <w:snapToGrid/>
        <w:spacing w:line="440" w:lineRule="exact"/>
        <w:ind w:firstLine="480" w:firstLineChars="0"/>
        <w:textAlignment w:val="auto"/>
        <w:rPr>
          <w:rFonts w:hint="eastAsia"/>
          <w:i w:val="0"/>
          <w:iCs w:val="0"/>
          <w:color w:val="auto"/>
          <w:highlight w:val="none"/>
          <w:shd w:val="clear" w:color="auto" w:fill="FFFFFF" w:themeFill="background1"/>
          <w:lang w:val="en-US" w:eastAsia="zh-CN"/>
        </w:rPr>
      </w:pPr>
      <w:r>
        <w:rPr>
          <w:rFonts w:hint="eastAsia"/>
          <w:i w:val="0"/>
          <w:iCs w:val="0"/>
          <w:color w:val="auto"/>
          <w:highlight w:val="none"/>
          <w:shd w:val="clear" w:color="auto" w:fill="FFFFFF" w:themeFill="background1"/>
          <w:lang w:val="en-US" w:eastAsia="zh-CN"/>
        </w:rPr>
        <w:t>无</w:t>
      </w:r>
    </w:p>
    <w:p w14:paraId="137D6C01">
      <w:pPr>
        <w:pStyle w:val="2"/>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6EAAD71">
      <w:pPr>
        <w:pStyle w:val="2"/>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312FECB4">
      <w:pPr>
        <w:pStyle w:val="2"/>
        <w:keepNext w:val="0"/>
        <w:keepLines w:val="0"/>
        <w:pageBreakBefore w:val="0"/>
        <w:widowControl w:val="0"/>
        <w:numPr>
          <w:ilvl w:val="0"/>
          <w:numId w:val="0"/>
        </w:numPr>
        <w:kinsoku/>
        <w:wordWrap/>
        <w:overflowPunct/>
        <w:topLinePunct w:val="0"/>
        <w:autoSpaceDE/>
        <w:autoSpaceDN/>
        <w:bidi w:val="0"/>
        <w:adjustRightInd/>
        <w:snapToGrid/>
        <w:spacing w:before="60" w:after="60" w:line="440" w:lineRule="exact"/>
        <w:ind w:left="420" w:leftChars="0" w:hanging="420" w:firstLineChars="0"/>
        <w:textAlignment w:val="auto"/>
        <w:rPr>
          <w:rFonts w:hint="eastAsia"/>
          <w:i w:val="0"/>
          <w:iCs w:val="0"/>
          <w:color w:val="auto"/>
          <w:sz w:val="28"/>
          <w:szCs w:val="28"/>
          <w:highlight w:val="none"/>
          <w:lang w:val="en-US" w:eastAsia="zh-CN"/>
        </w:rPr>
      </w:pPr>
    </w:p>
    <w:p w14:paraId="7DAD1ED7">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40" w:lineRule="exact"/>
        <w:ind w:left="420" w:leftChars="0" w:hanging="420" w:firstLineChars="0"/>
        <w:textAlignment w:val="auto"/>
        <w:rPr>
          <w:rFonts w:hint="eastAsia"/>
          <w:i w:val="0"/>
          <w:iCs w:val="0"/>
          <w:color w:val="auto"/>
          <w:sz w:val="28"/>
          <w:szCs w:val="28"/>
          <w:highlight w:val="none"/>
          <w:lang w:val="zh-CN" w:eastAsia="zh-CN"/>
        </w:rPr>
      </w:pPr>
      <w:bookmarkStart w:id="476" w:name="_Toc9008"/>
      <w:r>
        <w:rPr>
          <w:rFonts w:hint="eastAsia"/>
          <w:i w:val="0"/>
          <w:iCs w:val="0"/>
          <w:color w:val="auto"/>
          <w:sz w:val="28"/>
          <w:szCs w:val="28"/>
          <w:highlight w:val="none"/>
          <w:lang w:val="en-US" w:eastAsia="zh-CN"/>
        </w:rPr>
        <w:t>四、</w:t>
      </w:r>
      <w:r>
        <w:rPr>
          <w:rFonts w:hint="eastAsia"/>
          <w:i w:val="0"/>
          <w:iCs w:val="0"/>
          <w:color w:val="auto"/>
          <w:sz w:val="28"/>
          <w:szCs w:val="28"/>
          <w:highlight w:val="none"/>
          <w:lang w:val="zh-CN" w:eastAsia="zh-CN"/>
        </w:rPr>
        <w:t>评审标准</w:t>
      </w:r>
      <w:bookmarkEnd w:id="476"/>
    </w:p>
    <w:p w14:paraId="79FEBCCF">
      <w:pPr>
        <w:pStyle w:val="5"/>
        <w:keepNext/>
        <w:keepLines/>
        <w:pageBreakBefore w:val="0"/>
        <w:widowControl w:val="0"/>
        <w:numPr>
          <w:ilvl w:val="0"/>
          <w:numId w:val="0"/>
        </w:numPr>
        <w:kinsoku/>
        <w:wordWrap/>
        <w:overflowPunct/>
        <w:topLinePunct w:val="0"/>
        <w:autoSpaceDE/>
        <w:autoSpaceDN/>
        <w:bidi w:val="0"/>
        <w:adjustRightInd/>
        <w:snapToGrid/>
        <w:spacing w:before="80" w:after="80" w:line="44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77" w:name="_Toc4370"/>
      <w:bookmarkStart w:id="478" w:name="_Toc163493638"/>
      <w:r>
        <w:rPr>
          <w:rFonts w:hint="eastAsia" w:ascii="宋体" w:hAnsi="宋体" w:eastAsia="宋体" w:cs="宋体"/>
          <w:b/>
          <w:bCs/>
          <w:i w:val="0"/>
          <w:iCs w:val="0"/>
          <w:color w:val="auto"/>
          <w:kern w:val="2"/>
          <w:sz w:val="24"/>
          <w:szCs w:val="24"/>
          <w:highlight w:val="none"/>
          <w:lang w:val="en-US" w:eastAsia="zh-CN" w:bidi="ar-SA"/>
        </w:rPr>
        <w:t>（一）</w:t>
      </w:r>
      <w:r>
        <w:rPr>
          <w:rFonts w:hint="eastAsia" w:ascii="宋体" w:hAnsi="宋体" w:eastAsia="宋体" w:cs="宋体"/>
          <w:b/>
          <w:bCs/>
          <w:i w:val="0"/>
          <w:iCs w:val="0"/>
          <w:color w:val="auto"/>
          <w:kern w:val="2"/>
          <w:sz w:val="24"/>
          <w:szCs w:val="24"/>
          <w:highlight w:val="none"/>
          <w:lang w:val="zh-CN" w:eastAsia="zh-CN" w:bidi="ar-SA"/>
        </w:rPr>
        <w:t>资格审查表</w:t>
      </w:r>
      <w:bookmarkEnd w:id="477"/>
      <w:bookmarkEnd w:id="478"/>
    </w:p>
    <w:tbl>
      <w:tblPr>
        <w:tblStyle w:val="35"/>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4"/>
        <w:gridCol w:w="1646"/>
        <w:gridCol w:w="5545"/>
        <w:gridCol w:w="1354"/>
      </w:tblGrid>
      <w:tr w14:paraId="3820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5" w:type="pct"/>
            <w:shd w:val="clear" w:color="auto" w:fill="D8D8D8" w:themeFill="background1" w:themeFillShade="D9"/>
            <w:vAlign w:val="center"/>
          </w:tcPr>
          <w:p w14:paraId="01EAF759">
            <w:pPr>
              <w:pStyle w:val="52"/>
              <w:jc w:val="center"/>
              <w:rPr>
                <w:rFonts w:hint="eastAsia" w:ascii="宋体" w:hAnsi="宋体" w:eastAsia="宋体" w:cs="宋体"/>
                <w:b/>
                <w:bCs/>
                <w:i w:val="0"/>
                <w:iCs w:val="0"/>
                <w:color w:val="auto"/>
                <w:sz w:val="24"/>
                <w:szCs w:val="24"/>
                <w:highlight w:val="none"/>
              </w:rPr>
            </w:pPr>
            <w:bookmarkStart w:id="479" w:name="_Toc156490348"/>
            <w:r>
              <w:rPr>
                <w:rFonts w:hint="eastAsia" w:ascii="宋体" w:hAnsi="宋体" w:eastAsia="宋体" w:cs="宋体"/>
                <w:b/>
                <w:bCs/>
                <w:i w:val="0"/>
                <w:iCs w:val="0"/>
                <w:color w:val="auto"/>
                <w:sz w:val="24"/>
                <w:szCs w:val="24"/>
                <w:highlight w:val="none"/>
              </w:rPr>
              <w:t>序号</w:t>
            </w:r>
          </w:p>
        </w:tc>
        <w:tc>
          <w:tcPr>
            <w:tcW w:w="879" w:type="pct"/>
            <w:shd w:val="clear" w:color="auto" w:fill="D8D8D8" w:themeFill="background1" w:themeFillShade="D9"/>
            <w:vAlign w:val="center"/>
          </w:tcPr>
          <w:p w14:paraId="3D378484">
            <w:pPr>
              <w:pStyle w:val="52"/>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961" w:type="pct"/>
            <w:shd w:val="clear" w:color="auto" w:fill="D8D8D8" w:themeFill="background1" w:themeFillShade="D9"/>
            <w:vAlign w:val="center"/>
          </w:tcPr>
          <w:p w14:paraId="371C8F58">
            <w:pPr>
              <w:pStyle w:val="52"/>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723" w:type="pct"/>
            <w:shd w:val="clear" w:color="auto" w:fill="D8D8D8" w:themeFill="background1" w:themeFillShade="D9"/>
            <w:vAlign w:val="center"/>
          </w:tcPr>
          <w:p w14:paraId="7919DF36">
            <w:pPr>
              <w:pStyle w:val="52"/>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46A3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80" w:hRule="atLeast"/>
          <w:jc w:val="center"/>
        </w:trPr>
        <w:tc>
          <w:tcPr>
            <w:tcW w:w="435" w:type="pct"/>
            <w:shd w:val="clear" w:color="auto" w:fill="FFFFFF" w:themeFill="background1"/>
            <w:vAlign w:val="center"/>
          </w:tcPr>
          <w:p w14:paraId="2FC50E41">
            <w:pPr>
              <w:pStyle w:val="52"/>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879" w:type="pct"/>
            <w:shd w:val="clear" w:color="auto" w:fill="FFFFFF" w:themeFill="background1"/>
            <w:vAlign w:val="center"/>
          </w:tcPr>
          <w:p w14:paraId="37D7A6E3">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营业执照等证明文件</w:t>
            </w:r>
          </w:p>
        </w:tc>
        <w:tc>
          <w:tcPr>
            <w:tcW w:w="2961" w:type="pct"/>
            <w:shd w:val="clear" w:color="auto" w:fill="FFFFFF" w:themeFill="background1"/>
            <w:vAlign w:val="center"/>
          </w:tcPr>
          <w:p w14:paraId="3A91F012">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供应商为企业（包括合伙企业）的，应提供有效的“营业执照”； </w:t>
            </w:r>
          </w:p>
          <w:p w14:paraId="171D1C70">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供应商为事业单位的，应提供有效的“事业单位法人证书”； </w:t>
            </w:r>
          </w:p>
          <w:p w14:paraId="73470843">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供应商是非企业机构的，应提供有效的“执业许可证”、“登记证书”等证明文件； </w:t>
            </w:r>
          </w:p>
          <w:p w14:paraId="002065E5">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供应商是个体工商户的，应提供有效的“个体工商户营业执照”； </w:t>
            </w:r>
          </w:p>
          <w:p w14:paraId="4600EC40">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供应商是自然人的，应提供有效的自然人身份证明。</w:t>
            </w:r>
          </w:p>
        </w:tc>
        <w:tc>
          <w:tcPr>
            <w:tcW w:w="723" w:type="pct"/>
            <w:shd w:val="clear" w:color="auto" w:fill="FFFFFF" w:themeFill="background1"/>
            <w:vAlign w:val="center"/>
          </w:tcPr>
          <w:p w14:paraId="059E00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提供证明文件的电子件或电子证照</w:t>
            </w:r>
          </w:p>
        </w:tc>
      </w:tr>
      <w:tr w14:paraId="0883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5" w:type="pct"/>
            <w:shd w:val="clear" w:color="auto" w:fill="FFFFFF" w:themeFill="background1"/>
            <w:vAlign w:val="center"/>
          </w:tcPr>
          <w:p w14:paraId="65F7D7D4">
            <w:pPr>
              <w:pStyle w:val="52"/>
              <w:jc w:val="center"/>
              <w:rPr>
                <w:rFonts w:hint="eastAsia"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2</w:t>
            </w:r>
          </w:p>
        </w:tc>
        <w:tc>
          <w:tcPr>
            <w:tcW w:w="879" w:type="pct"/>
            <w:shd w:val="clear" w:color="auto" w:fill="FFFFFF" w:themeFill="background1"/>
            <w:vAlign w:val="center"/>
          </w:tcPr>
          <w:p w14:paraId="3F3697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pacing w:val="-6"/>
                <w:kern w:val="0"/>
                <w:sz w:val="21"/>
                <w:szCs w:val="21"/>
                <w:highlight w:val="none"/>
                <w:lang w:val="en-US" w:eastAsia="zh-CN" w:bidi="ar"/>
              </w:rPr>
            </w:pPr>
            <w:r>
              <w:rPr>
                <w:rFonts w:hint="eastAsia" w:ascii="宋体" w:hAnsi="宋体" w:eastAsia="宋体" w:cs="宋体"/>
                <w:i w:val="0"/>
                <w:iCs w:val="0"/>
                <w:color w:val="auto"/>
                <w:spacing w:val="-6"/>
                <w:kern w:val="0"/>
                <w:sz w:val="21"/>
                <w:szCs w:val="21"/>
                <w:highlight w:val="none"/>
                <w:lang w:val="en-US" w:eastAsia="zh-CN" w:bidi="ar"/>
              </w:rPr>
              <w:t>供应商信用承诺</w:t>
            </w:r>
          </w:p>
        </w:tc>
        <w:tc>
          <w:tcPr>
            <w:tcW w:w="2961" w:type="pct"/>
            <w:shd w:val="clear" w:color="auto" w:fill="FFFFFF" w:themeFill="background1"/>
            <w:vAlign w:val="center"/>
          </w:tcPr>
          <w:p w14:paraId="0A495102">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提供了符合竞争性磋商文件要求的《兵团政府采购供应商信用承诺函》。</w:t>
            </w:r>
          </w:p>
        </w:tc>
        <w:tc>
          <w:tcPr>
            <w:tcW w:w="723" w:type="pct"/>
            <w:shd w:val="clear" w:color="auto" w:fill="FFFFFF" w:themeFill="background1"/>
            <w:vAlign w:val="center"/>
          </w:tcPr>
          <w:p w14:paraId="6C3E21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格式见《第六章 响应文件格式》</w:t>
            </w:r>
          </w:p>
        </w:tc>
      </w:tr>
      <w:tr w14:paraId="6E67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45" w:hRule="atLeast"/>
          <w:jc w:val="center"/>
        </w:trPr>
        <w:tc>
          <w:tcPr>
            <w:tcW w:w="435" w:type="pct"/>
            <w:shd w:val="clear" w:color="auto" w:fill="FFFFFF" w:themeFill="background1"/>
            <w:vAlign w:val="center"/>
          </w:tcPr>
          <w:p w14:paraId="6020E885">
            <w:pPr>
              <w:pStyle w:val="52"/>
              <w:jc w:val="center"/>
              <w:rPr>
                <w:rFonts w:hint="eastAsia"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3</w:t>
            </w:r>
          </w:p>
        </w:tc>
        <w:tc>
          <w:tcPr>
            <w:tcW w:w="879" w:type="pct"/>
            <w:shd w:val="clear" w:color="auto" w:fill="FFFFFF" w:themeFill="background1"/>
            <w:vAlign w:val="center"/>
          </w:tcPr>
          <w:p w14:paraId="69681D10">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sz w:val="21"/>
                <w:szCs w:val="21"/>
                <w:highlight w:val="none"/>
                <w:lang w:val="en-US" w:eastAsia="zh-CN"/>
              </w:rPr>
              <w:t>信用记录查询</w:t>
            </w:r>
          </w:p>
        </w:tc>
        <w:tc>
          <w:tcPr>
            <w:tcW w:w="2961" w:type="pct"/>
            <w:shd w:val="clear" w:color="auto" w:fill="FFFFFF" w:themeFill="background1"/>
            <w:vAlign w:val="center"/>
          </w:tcPr>
          <w:p w14:paraId="7427D7FF">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查询渠道：信用中国网站和中国政府采购网（ www.creditchina.gov.cn 、www.ccgp.gov.cn）； </w:t>
            </w:r>
          </w:p>
          <w:p w14:paraId="7377FBF4">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截止时间：递交响应文件截止时间以后、资格审查阶段对供应商信用记录的实际查询时间； </w:t>
            </w:r>
          </w:p>
          <w:p w14:paraId="43385CA2">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信用信息查询记录和证据留存具体方式：查询结果网页打印页作为查询记录和证据，与其他采购文件一并保存； </w:t>
            </w:r>
          </w:p>
          <w:p w14:paraId="23E5D1AC">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信用记录的使用原则：经认定被列入失信被执行人、重大税收违法失信主体、政府采购严重违法失信行为记录名单的供应商，其磋商响应无效。联合体形式响应的，联合体成员存在不良信用记录，视同联合体存在不良信用记录。</w:t>
            </w:r>
          </w:p>
        </w:tc>
        <w:tc>
          <w:tcPr>
            <w:tcW w:w="723" w:type="pct"/>
            <w:shd w:val="clear" w:color="auto" w:fill="FFFFFF" w:themeFill="background1"/>
            <w:vAlign w:val="center"/>
          </w:tcPr>
          <w:p w14:paraId="7BC2D8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spacing w:val="-6"/>
                <w:kern w:val="0"/>
                <w:sz w:val="21"/>
                <w:szCs w:val="21"/>
                <w:highlight w:val="none"/>
                <w:lang w:val="en-US" w:eastAsia="zh-CN" w:bidi="ar"/>
              </w:rPr>
              <w:t>供应商</w:t>
            </w:r>
            <w:r>
              <w:rPr>
                <w:rFonts w:hint="eastAsia" w:ascii="宋体" w:hAnsi="宋体" w:eastAsia="宋体" w:cs="宋体"/>
                <w:i w:val="0"/>
                <w:iCs w:val="0"/>
                <w:color w:val="auto"/>
                <w:kern w:val="0"/>
                <w:sz w:val="21"/>
                <w:szCs w:val="21"/>
                <w:highlight w:val="none"/>
                <w:lang w:val="en-US" w:eastAsia="zh-CN" w:bidi="ar"/>
              </w:rPr>
              <w:t>提供</w:t>
            </w:r>
            <w:r>
              <w:rPr>
                <w:rFonts w:hint="eastAsia" w:cs="宋体"/>
                <w:i w:val="0"/>
                <w:iCs w:val="0"/>
                <w:color w:val="auto"/>
                <w:kern w:val="0"/>
                <w:sz w:val="21"/>
                <w:szCs w:val="21"/>
                <w:highlight w:val="none"/>
                <w:lang w:val="en-US" w:eastAsia="zh-CN" w:bidi="ar"/>
              </w:rPr>
              <w:t>或</w:t>
            </w:r>
            <w:r>
              <w:rPr>
                <w:rFonts w:hint="eastAsia" w:ascii="宋体" w:hAnsi="宋体" w:eastAsia="宋体" w:cs="宋体"/>
                <w:i w:val="0"/>
                <w:iCs w:val="0"/>
                <w:color w:val="auto"/>
                <w:kern w:val="0"/>
                <w:sz w:val="21"/>
                <w:szCs w:val="21"/>
                <w:highlight w:val="none"/>
                <w:lang w:val="en-US" w:eastAsia="zh-CN" w:bidi="ar"/>
              </w:rPr>
              <w:t>由采购人或采购代理机构查询。</w:t>
            </w:r>
          </w:p>
          <w:p w14:paraId="5E098C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1"/>
                <w:szCs w:val="21"/>
                <w:highlight w:val="none"/>
                <w:lang w:val="en-US" w:eastAsia="zh-CN" w:bidi="ar"/>
              </w:rPr>
            </w:pPr>
          </w:p>
        </w:tc>
      </w:tr>
      <w:tr w14:paraId="143B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435" w:type="pct"/>
            <w:shd w:val="clear" w:color="auto" w:fill="FFFFFF" w:themeFill="background1"/>
            <w:vAlign w:val="center"/>
          </w:tcPr>
          <w:p w14:paraId="7290BB72">
            <w:pPr>
              <w:pStyle w:val="52"/>
              <w:jc w:val="center"/>
              <w:rPr>
                <w:rFonts w:hint="eastAsia"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4</w:t>
            </w:r>
          </w:p>
        </w:tc>
        <w:tc>
          <w:tcPr>
            <w:tcW w:w="879" w:type="pct"/>
            <w:shd w:val="clear" w:color="auto" w:fill="FFFFFF" w:themeFill="background1"/>
            <w:vAlign w:val="center"/>
          </w:tcPr>
          <w:p w14:paraId="0A3A5C74">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法律、行政法规规定的其他条件</w:t>
            </w:r>
          </w:p>
        </w:tc>
        <w:tc>
          <w:tcPr>
            <w:tcW w:w="2961" w:type="pct"/>
            <w:shd w:val="clear" w:color="auto" w:fill="FFFFFF" w:themeFill="background1"/>
            <w:vAlign w:val="center"/>
          </w:tcPr>
          <w:p w14:paraId="6B5BBDA4">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法律、行政法规规定的其他条件</w:t>
            </w:r>
          </w:p>
        </w:tc>
        <w:tc>
          <w:tcPr>
            <w:tcW w:w="723" w:type="pct"/>
            <w:shd w:val="clear" w:color="auto" w:fill="FFFFFF" w:themeFill="background1"/>
            <w:vAlign w:val="center"/>
          </w:tcPr>
          <w:p w14:paraId="5839134B">
            <w:pPr>
              <w:pStyle w:val="52"/>
              <w:jc w:val="center"/>
              <w:rPr>
                <w:rFonts w:hint="eastAsia" w:ascii="宋体" w:hAnsi="宋体" w:eastAsia="宋体" w:cs="宋体"/>
                <w:b/>
                <w:bCs/>
                <w:i w:val="0"/>
                <w:iCs w:val="0"/>
                <w:color w:val="auto"/>
                <w:sz w:val="21"/>
                <w:szCs w:val="21"/>
                <w:highlight w:val="none"/>
              </w:rPr>
            </w:pPr>
          </w:p>
        </w:tc>
      </w:tr>
      <w:tr w14:paraId="1CB0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4" w:hRule="atLeast"/>
          <w:jc w:val="center"/>
        </w:trPr>
        <w:tc>
          <w:tcPr>
            <w:tcW w:w="435" w:type="pct"/>
            <w:shd w:val="clear" w:color="auto" w:fill="FFFFFF" w:themeFill="background1"/>
            <w:vAlign w:val="center"/>
          </w:tcPr>
          <w:p w14:paraId="6C255CE7">
            <w:pPr>
              <w:pStyle w:val="52"/>
              <w:jc w:val="center"/>
              <w:rPr>
                <w:rFonts w:hint="eastAsia"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5</w:t>
            </w:r>
          </w:p>
        </w:tc>
        <w:tc>
          <w:tcPr>
            <w:tcW w:w="879" w:type="pct"/>
            <w:shd w:val="clear" w:color="auto" w:fill="FFFFFF" w:themeFill="background1"/>
            <w:vAlign w:val="center"/>
          </w:tcPr>
          <w:p w14:paraId="07A47C7F">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落实政府采购政策需满足的资格要求</w:t>
            </w:r>
          </w:p>
        </w:tc>
        <w:tc>
          <w:tcPr>
            <w:tcW w:w="2961" w:type="pct"/>
            <w:shd w:val="clear" w:color="auto" w:fill="FFFFFF" w:themeFill="background1"/>
            <w:vAlign w:val="center"/>
          </w:tcPr>
          <w:p w14:paraId="7E0BC8AF">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目专门面向中小企业采购，不在执行价格评审优惠政策；（包括符合中小企业划分标准的个体工商户）采购，具体要求详见《政府采购促进中小企业发展管理办法》（财库〔2020〕46号）及其相关规定，此外，监狱企业、残疾人福利性单位在本项目采购活动中视同小型、微型企业）。</w:t>
            </w:r>
          </w:p>
        </w:tc>
        <w:tc>
          <w:tcPr>
            <w:tcW w:w="723" w:type="pct"/>
            <w:shd w:val="clear" w:color="auto" w:fill="FFFFFF" w:themeFill="background1"/>
            <w:vAlign w:val="center"/>
          </w:tcPr>
          <w:p w14:paraId="31A26727">
            <w:pPr>
              <w:pStyle w:val="52"/>
              <w:jc w:val="center"/>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格式见《第六章 响应文件格式》</w:t>
            </w:r>
          </w:p>
        </w:tc>
      </w:tr>
      <w:tr w14:paraId="771C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4" w:hRule="atLeast"/>
          <w:jc w:val="center"/>
        </w:trPr>
        <w:tc>
          <w:tcPr>
            <w:tcW w:w="435" w:type="pct"/>
            <w:shd w:val="clear" w:color="auto" w:fill="FFFFFF" w:themeFill="background1"/>
            <w:vAlign w:val="center"/>
          </w:tcPr>
          <w:p w14:paraId="561EE156">
            <w:pPr>
              <w:pStyle w:val="52"/>
              <w:jc w:val="center"/>
              <w:rPr>
                <w:rFonts w:hint="eastAsia" w:ascii="宋体" w:hAnsi="宋体" w:eastAsia="宋体"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6</w:t>
            </w:r>
          </w:p>
        </w:tc>
        <w:tc>
          <w:tcPr>
            <w:tcW w:w="879" w:type="pct"/>
            <w:shd w:val="clear" w:color="auto" w:fill="FFFFFF" w:themeFill="background1"/>
            <w:vAlign w:val="center"/>
          </w:tcPr>
          <w:p w14:paraId="76B4DCC4">
            <w:pPr>
              <w:pStyle w:val="52"/>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本项目的特定资格要求</w:t>
            </w:r>
          </w:p>
        </w:tc>
        <w:tc>
          <w:tcPr>
            <w:tcW w:w="2961" w:type="pct"/>
            <w:shd w:val="clear" w:color="auto" w:fill="FFFFFF" w:themeFill="background1"/>
            <w:vAlign w:val="center"/>
          </w:tcPr>
          <w:p w14:paraId="2109B214">
            <w:pPr>
              <w:pStyle w:val="52"/>
              <w:jc w:val="both"/>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须具备有效的《食品经营许可证》</w:t>
            </w:r>
          </w:p>
        </w:tc>
        <w:tc>
          <w:tcPr>
            <w:tcW w:w="723" w:type="pct"/>
            <w:shd w:val="clear" w:color="auto" w:fill="FFFFFF" w:themeFill="background1"/>
            <w:vAlign w:val="center"/>
          </w:tcPr>
          <w:p w14:paraId="0A9CB89B">
            <w:pPr>
              <w:pStyle w:val="52"/>
              <w:jc w:val="both"/>
              <w:rPr>
                <w:rFonts w:hint="eastAsia" w:ascii="宋体" w:hAnsi="宋体" w:eastAsia="宋体" w:cs="宋体"/>
                <w:i w:val="0"/>
                <w:iCs w:val="0"/>
                <w:color w:val="auto"/>
                <w:kern w:val="0"/>
                <w:sz w:val="21"/>
                <w:szCs w:val="21"/>
                <w:highlight w:val="none"/>
                <w:lang w:val="en-US" w:eastAsia="zh-CN" w:bidi="ar"/>
              </w:rPr>
            </w:pPr>
          </w:p>
        </w:tc>
      </w:tr>
      <w:tr w14:paraId="1B0B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24" w:hRule="atLeast"/>
          <w:jc w:val="center"/>
        </w:trPr>
        <w:tc>
          <w:tcPr>
            <w:tcW w:w="435" w:type="pct"/>
            <w:shd w:val="clear" w:color="auto" w:fill="FFFFFF" w:themeFill="background1"/>
            <w:vAlign w:val="center"/>
          </w:tcPr>
          <w:p w14:paraId="6AE16C6E">
            <w:pPr>
              <w:pStyle w:val="52"/>
              <w:jc w:val="center"/>
              <w:rPr>
                <w:rFonts w:hint="default" w:cs="宋体"/>
                <w:b/>
                <w:bCs/>
                <w:i w:val="0"/>
                <w:iCs w:val="0"/>
                <w:color w:val="auto"/>
                <w:sz w:val="24"/>
                <w:szCs w:val="24"/>
                <w:highlight w:val="none"/>
                <w:lang w:val="en-US" w:eastAsia="zh-CN"/>
              </w:rPr>
            </w:pPr>
            <w:r>
              <w:rPr>
                <w:rFonts w:hint="eastAsia" w:cs="宋体"/>
                <w:b/>
                <w:bCs/>
                <w:i w:val="0"/>
                <w:iCs w:val="0"/>
                <w:color w:val="auto"/>
                <w:sz w:val="24"/>
                <w:szCs w:val="24"/>
                <w:highlight w:val="none"/>
                <w:lang w:val="en-US" w:eastAsia="zh-CN"/>
              </w:rPr>
              <w:t>7</w:t>
            </w:r>
          </w:p>
        </w:tc>
        <w:tc>
          <w:tcPr>
            <w:tcW w:w="879" w:type="pct"/>
            <w:shd w:val="clear" w:color="auto" w:fill="FFFFFF" w:themeFill="background1"/>
            <w:vAlign w:val="center"/>
          </w:tcPr>
          <w:p w14:paraId="7A350F1D">
            <w:pPr>
              <w:pStyle w:val="52"/>
              <w:jc w:val="both"/>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其他资格要求</w:t>
            </w:r>
          </w:p>
        </w:tc>
        <w:tc>
          <w:tcPr>
            <w:tcW w:w="2961" w:type="pct"/>
            <w:shd w:val="clear" w:color="auto" w:fill="FFFFFF" w:themeFill="background1"/>
            <w:vAlign w:val="center"/>
          </w:tcPr>
          <w:p w14:paraId="783A0D03">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（1）法定代表人或单位负责人为同一人或者存在直接控股、管理关系的不同供应商，不得参加同一合同项下的政府采购活动。</w:t>
            </w:r>
          </w:p>
          <w:p w14:paraId="5AEAD81E">
            <w:pPr>
              <w:pStyle w:val="52"/>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（2）除单一来源采购项目外，为采购项目提供整体设计、规范编制或者项目管理、监理、检测等服务的供应商，不得再参加该采购项目的其他采购活动。</w:t>
            </w:r>
          </w:p>
        </w:tc>
        <w:tc>
          <w:tcPr>
            <w:tcW w:w="723" w:type="pct"/>
            <w:shd w:val="clear" w:color="auto" w:fill="FFFFFF" w:themeFill="background1"/>
            <w:vAlign w:val="center"/>
          </w:tcPr>
          <w:p w14:paraId="2F568C6C">
            <w:pPr>
              <w:pStyle w:val="52"/>
              <w:jc w:val="both"/>
              <w:rPr>
                <w:rFonts w:hint="eastAsia" w:ascii="宋体" w:hAnsi="宋体" w:eastAsia="宋体" w:cs="宋体"/>
                <w:i w:val="0"/>
                <w:iCs w:val="0"/>
                <w:color w:val="auto"/>
                <w:kern w:val="0"/>
                <w:sz w:val="21"/>
                <w:szCs w:val="21"/>
                <w:highlight w:val="none"/>
                <w:lang w:val="en-US" w:eastAsia="zh-CN" w:bidi="ar"/>
              </w:rPr>
            </w:pPr>
          </w:p>
        </w:tc>
      </w:tr>
    </w:tbl>
    <w:p w14:paraId="1C79E11B">
      <w:pPr>
        <w:keepNext w:val="0"/>
        <w:keepLines w:val="0"/>
        <w:pageBreakBefore w:val="0"/>
        <w:widowControl w:val="0"/>
        <w:kinsoku/>
        <w:overflowPunct/>
        <w:topLinePunct w:val="0"/>
        <w:autoSpaceDE/>
        <w:autoSpaceDN/>
        <w:bidi w:val="0"/>
        <w:adjustRightInd/>
        <w:snapToGrid/>
        <w:spacing w:line="420" w:lineRule="exact"/>
        <w:textAlignment w:val="auto"/>
        <w:rPr>
          <w:b/>
          <w:bCs/>
          <w:i w:val="0"/>
          <w:iCs w:val="0"/>
          <w:color w:val="auto"/>
          <w:sz w:val="21"/>
          <w:szCs w:val="21"/>
          <w:highlight w:val="none"/>
        </w:rPr>
      </w:pPr>
      <w:r>
        <w:rPr>
          <w:rFonts w:hint="eastAsia"/>
          <w:b/>
          <w:bCs/>
          <w:i w:val="0"/>
          <w:iCs w:val="0"/>
          <w:color w:val="auto"/>
          <w:sz w:val="21"/>
          <w:szCs w:val="21"/>
          <w:highlight w:val="none"/>
        </w:rPr>
        <w:t>备注：</w:t>
      </w:r>
    </w:p>
    <w:p w14:paraId="509818B3">
      <w:pPr>
        <w:pStyle w:val="45"/>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i w:val="0"/>
          <w:iCs w:val="0"/>
          <w:color w:val="auto"/>
          <w:sz w:val="21"/>
          <w:szCs w:val="21"/>
          <w:highlight w:val="none"/>
        </w:rPr>
        <w:t>1.</w:t>
      </w:r>
      <w:r>
        <w:rPr>
          <w:rFonts w:hint="eastAsia"/>
          <w:i w:val="0"/>
          <w:iCs w:val="0"/>
          <w:color w:val="auto"/>
          <w:sz w:val="21"/>
          <w:szCs w:val="21"/>
          <w:highlight w:val="none"/>
          <w:lang w:eastAsia="zh-CN"/>
        </w:rPr>
        <w:t>供应商须按上表格式要求提供相关证明文件</w:t>
      </w:r>
      <w:r>
        <w:rPr>
          <w:rFonts w:hint="eastAsia"/>
          <w:i w:val="0"/>
          <w:iCs w:val="0"/>
          <w:color w:val="auto"/>
          <w:sz w:val="21"/>
          <w:szCs w:val="21"/>
          <w:highlight w:val="none"/>
        </w:rPr>
        <w:t>，响应文件中须编入清晰的扫描件或网页截图。所有证明材料须清晰可辨认，如因证明材料模糊无法辨认，缺页、漏页导致无法进行评审认定的</w:t>
      </w:r>
      <w:r>
        <w:rPr>
          <w:rFonts w:hint="eastAsia"/>
          <w:i w:val="0"/>
          <w:iCs w:val="0"/>
          <w:color w:val="auto"/>
          <w:sz w:val="21"/>
          <w:szCs w:val="21"/>
          <w:highlight w:val="none"/>
          <w:lang w:eastAsia="zh-CN"/>
        </w:rPr>
        <w:t>，</w:t>
      </w:r>
      <w:r>
        <w:rPr>
          <w:rFonts w:hint="eastAsia"/>
          <w:i w:val="0"/>
          <w:iCs w:val="0"/>
          <w:color w:val="auto"/>
          <w:sz w:val="21"/>
          <w:szCs w:val="21"/>
          <w:highlight w:val="none"/>
        </w:rPr>
        <w:t>责任由供应商</w:t>
      </w:r>
      <w:r>
        <w:rPr>
          <w:rFonts w:hint="eastAsia"/>
          <w:i w:val="0"/>
          <w:iCs w:val="0"/>
          <w:color w:val="auto"/>
          <w:sz w:val="21"/>
          <w:szCs w:val="21"/>
          <w:highlight w:val="none"/>
          <w:lang w:val="en-US" w:eastAsia="zh-CN"/>
        </w:rPr>
        <w:t>承担</w:t>
      </w:r>
      <w:r>
        <w:rPr>
          <w:rFonts w:hint="eastAsia"/>
          <w:i w:val="0"/>
          <w:iCs w:val="0"/>
          <w:color w:val="auto"/>
          <w:sz w:val="21"/>
          <w:szCs w:val="21"/>
          <w:highlight w:val="none"/>
        </w:rPr>
        <w:t>。</w:t>
      </w:r>
    </w:p>
    <w:p w14:paraId="34298128">
      <w:pPr>
        <w:pStyle w:val="45"/>
        <w:keepNext w:val="0"/>
        <w:keepLines w:val="0"/>
        <w:pageBreakBefore w:val="0"/>
        <w:widowControl w:val="0"/>
        <w:numPr>
          <w:ilvl w:val="0"/>
          <w:numId w:val="0"/>
        </w:numPr>
        <w:kinsoku/>
        <w:overflowPunct/>
        <w:topLinePunct w:val="0"/>
        <w:autoSpaceDE/>
        <w:autoSpaceDN/>
        <w:bidi w:val="0"/>
        <w:adjustRightInd/>
        <w:snapToGrid/>
        <w:spacing w:line="420" w:lineRule="exact"/>
        <w:ind w:firstLine="420" w:firstLineChars="200"/>
        <w:textAlignment w:val="auto"/>
        <w:rPr>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2.</w:t>
      </w:r>
      <w:r>
        <w:rPr>
          <w:rFonts w:hint="eastAsia"/>
          <w:i w:val="0"/>
          <w:iCs w:val="0"/>
          <w:color w:val="auto"/>
          <w:sz w:val="21"/>
          <w:szCs w:val="21"/>
          <w:highlight w:val="none"/>
          <w:lang w:val="zh-CN"/>
        </w:rPr>
        <w:t>信用信息核</w:t>
      </w:r>
      <w:r>
        <w:rPr>
          <w:rFonts w:hint="eastAsia"/>
          <w:i w:val="0"/>
          <w:iCs w:val="0"/>
          <w:color w:val="auto"/>
          <w:sz w:val="21"/>
          <w:szCs w:val="21"/>
          <w:highlight w:val="none"/>
        </w:rPr>
        <w:t>查</w:t>
      </w:r>
    </w:p>
    <w:p w14:paraId="3DA3DB26">
      <w:pPr>
        <w:pStyle w:val="41"/>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rFonts w:hint="eastAsia"/>
          <w:i w:val="0"/>
          <w:iCs w:val="0"/>
          <w:color w:val="auto"/>
          <w:sz w:val="21"/>
          <w:szCs w:val="21"/>
          <w:highlight w:val="none"/>
        </w:rPr>
        <w:t>2.1资格审查</w:t>
      </w:r>
      <w:r>
        <w:rPr>
          <w:rFonts w:hint="eastAsia"/>
          <w:i w:val="0"/>
          <w:iCs w:val="0"/>
          <w:color w:val="auto"/>
          <w:sz w:val="21"/>
          <w:szCs w:val="21"/>
          <w:highlight w:val="none"/>
          <w:lang w:eastAsia="zh-CN"/>
        </w:rPr>
        <w:t>阶段</w:t>
      </w:r>
      <w:r>
        <w:rPr>
          <w:rFonts w:hint="eastAsia"/>
          <w:i w:val="0"/>
          <w:iCs w:val="0"/>
          <w:color w:val="auto"/>
          <w:sz w:val="21"/>
          <w:szCs w:val="21"/>
          <w:highlight w:val="none"/>
        </w:rPr>
        <w:t>应当核查供应商信用记录，供应商被列入失信被执行人、重大税收违法失信主体、政府采购严重违法失信行为记录名单的，采购</w:t>
      </w:r>
      <w:r>
        <w:rPr>
          <w:rFonts w:hint="eastAsia"/>
          <w:i w:val="0"/>
          <w:iCs w:val="0"/>
          <w:color w:val="auto"/>
          <w:sz w:val="21"/>
          <w:szCs w:val="21"/>
          <w:highlight w:val="none"/>
          <w:lang w:val="en-US" w:eastAsia="zh-CN"/>
        </w:rPr>
        <w:t>人</w:t>
      </w:r>
      <w:r>
        <w:rPr>
          <w:rFonts w:hint="eastAsia"/>
          <w:i w:val="0"/>
          <w:iCs w:val="0"/>
          <w:color w:val="auto"/>
          <w:sz w:val="21"/>
          <w:szCs w:val="21"/>
          <w:highlight w:val="none"/>
        </w:rPr>
        <w:t>拒绝其参与政府采购活动。</w:t>
      </w:r>
    </w:p>
    <w:p w14:paraId="46EE3573">
      <w:pPr>
        <w:pStyle w:val="41"/>
        <w:keepNext w:val="0"/>
        <w:keepLines w:val="0"/>
        <w:pageBreakBefore w:val="0"/>
        <w:widowControl w:val="0"/>
        <w:kinsoku/>
        <w:overflowPunct/>
        <w:topLinePunct w:val="0"/>
        <w:autoSpaceDE/>
        <w:autoSpaceDN/>
        <w:bidi w:val="0"/>
        <w:adjustRightInd/>
        <w:snapToGrid/>
        <w:spacing w:line="420" w:lineRule="exact"/>
        <w:ind w:firstLine="480"/>
        <w:textAlignment w:val="auto"/>
        <w:rPr>
          <w:i w:val="0"/>
          <w:iCs w:val="0"/>
          <w:color w:val="auto"/>
          <w:sz w:val="21"/>
          <w:szCs w:val="21"/>
          <w:highlight w:val="none"/>
        </w:rPr>
      </w:pPr>
      <w:r>
        <w:rPr>
          <w:rFonts w:hint="eastAsia"/>
          <w:i w:val="0"/>
          <w:iCs w:val="0"/>
          <w:color w:val="auto"/>
          <w:sz w:val="21"/>
          <w:szCs w:val="21"/>
          <w:highlight w:val="none"/>
        </w:rPr>
        <w:t>2.2以联合体形式参与磋商的，应当核查联合体所有成员和信用记录，联合体成员存在不良信用记录的，视同联合体存在不良信用信息。</w:t>
      </w:r>
    </w:p>
    <w:p w14:paraId="4CA1DFCD">
      <w:pPr>
        <w:pStyle w:val="45"/>
        <w:keepNext w:val="0"/>
        <w:keepLines w:val="0"/>
        <w:pageBreakBefore w:val="0"/>
        <w:widowControl w:val="0"/>
        <w:numPr>
          <w:ilvl w:val="0"/>
          <w:numId w:val="0"/>
        </w:numPr>
        <w:kinsoku/>
        <w:overflowPunct/>
        <w:topLinePunct w:val="0"/>
        <w:autoSpaceDE/>
        <w:autoSpaceDN/>
        <w:bidi w:val="0"/>
        <w:adjustRightInd/>
        <w:snapToGrid/>
        <w:spacing w:line="420" w:lineRule="exact"/>
        <w:ind w:firstLine="420" w:firstLineChars="200"/>
        <w:textAlignment w:val="auto"/>
        <w:rPr>
          <w:rFonts w:hint="eastAsia"/>
          <w:i w:val="0"/>
          <w:iCs w:val="0"/>
          <w:color w:val="auto"/>
          <w:sz w:val="21"/>
          <w:szCs w:val="21"/>
          <w:highlight w:val="none"/>
        </w:rPr>
      </w:pPr>
      <w:r>
        <w:rPr>
          <w:rFonts w:ascii="宋体" w:hAnsi="宋体" w:eastAsia="宋体" w:cstheme="minorBidi"/>
          <w:i w:val="0"/>
          <w:iCs w:val="0"/>
          <w:color w:val="auto"/>
          <w:kern w:val="2"/>
          <w:sz w:val="21"/>
          <w:szCs w:val="21"/>
          <w:highlight w:val="none"/>
          <w:lang w:val="en-US" w:eastAsia="zh-CN" w:bidi="ar-SA"/>
        </w:rPr>
        <w:t>3.</w:t>
      </w:r>
      <w:r>
        <w:rPr>
          <w:rFonts w:hint="eastAsia"/>
          <w:i w:val="0"/>
          <w:iCs w:val="0"/>
          <w:color w:val="auto"/>
          <w:sz w:val="21"/>
          <w:szCs w:val="21"/>
          <w:highlight w:val="none"/>
        </w:rPr>
        <w:t>对于响应文件中有任意一条不满足上表要求的</w:t>
      </w:r>
      <w:r>
        <w:rPr>
          <w:rFonts w:hint="eastAsia"/>
          <w:i w:val="0"/>
          <w:iCs w:val="0"/>
          <w:color w:val="auto"/>
          <w:sz w:val="21"/>
          <w:szCs w:val="21"/>
          <w:highlight w:val="none"/>
          <w:lang w:eastAsia="zh-CN"/>
        </w:rPr>
        <w:t>，</w:t>
      </w:r>
      <w:r>
        <w:rPr>
          <w:rFonts w:hint="eastAsia"/>
          <w:i w:val="0"/>
          <w:iCs w:val="0"/>
          <w:color w:val="auto"/>
          <w:sz w:val="21"/>
          <w:szCs w:val="21"/>
          <w:highlight w:val="none"/>
        </w:rPr>
        <w:t>将导致其</w:t>
      </w:r>
      <w:r>
        <w:rPr>
          <w:rFonts w:hint="eastAsia"/>
          <w:b/>
          <w:bCs/>
          <w:i w:val="0"/>
          <w:iCs w:val="0"/>
          <w:color w:val="auto"/>
          <w:sz w:val="21"/>
          <w:szCs w:val="21"/>
          <w:highlight w:val="none"/>
        </w:rPr>
        <w:t>响应无效</w:t>
      </w:r>
      <w:r>
        <w:rPr>
          <w:rFonts w:hint="eastAsia"/>
          <w:i w:val="0"/>
          <w:iCs w:val="0"/>
          <w:color w:val="auto"/>
          <w:sz w:val="21"/>
          <w:szCs w:val="21"/>
          <w:highlight w:val="none"/>
        </w:rPr>
        <w:t>，不</w:t>
      </w:r>
      <w:r>
        <w:rPr>
          <w:rFonts w:hint="eastAsia"/>
          <w:i w:val="0"/>
          <w:iCs w:val="0"/>
          <w:color w:val="auto"/>
          <w:sz w:val="21"/>
          <w:szCs w:val="21"/>
          <w:highlight w:val="none"/>
          <w:lang w:val="en-US" w:eastAsia="zh-CN"/>
        </w:rPr>
        <w:t>得</w:t>
      </w:r>
      <w:r>
        <w:rPr>
          <w:rFonts w:hint="eastAsia"/>
          <w:i w:val="0"/>
          <w:iCs w:val="0"/>
          <w:color w:val="auto"/>
          <w:sz w:val="21"/>
          <w:szCs w:val="21"/>
          <w:highlight w:val="none"/>
        </w:rPr>
        <w:t>进入下一项评审。</w:t>
      </w:r>
    </w:p>
    <w:p w14:paraId="55110B7F">
      <w:pPr>
        <w:rPr>
          <w:rFonts w:hint="eastAsia"/>
          <w:i w:val="0"/>
          <w:iCs w:val="0"/>
          <w:color w:val="auto"/>
          <w:highlight w:val="none"/>
        </w:rPr>
      </w:pPr>
      <w:r>
        <w:rPr>
          <w:rFonts w:hint="eastAsia"/>
          <w:i w:val="0"/>
          <w:iCs w:val="0"/>
          <w:color w:val="auto"/>
          <w:highlight w:val="none"/>
        </w:rPr>
        <w:br w:type="page"/>
      </w:r>
    </w:p>
    <w:p w14:paraId="613615CA">
      <w:pPr>
        <w:pStyle w:val="5"/>
        <w:keepNext w:val="0"/>
        <w:keepLines w:val="0"/>
        <w:pageBreakBefore w:val="0"/>
        <w:widowControl w:val="0"/>
        <w:numPr>
          <w:ilvl w:val="0"/>
          <w:numId w:val="0"/>
        </w:numPr>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bookmarkStart w:id="480" w:name="_Toc163493639"/>
      <w:bookmarkStart w:id="481" w:name="_Toc4949"/>
      <w:r>
        <w:rPr>
          <w:rFonts w:hint="eastAsia" w:ascii="宋体" w:hAnsi="宋体" w:eastAsia="宋体" w:cs="宋体"/>
          <w:b/>
          <w:bCs/>
          <w:i w:val="0"/>
          <w:iCs w:val="0"/>
          <w:color w:val="auto"/>
          <w:kern w:val="2"/>
          <w:sz w:val="24"/>
          <w:szCs w:val="24"/>
          <w:highlight w:val="none"/>
          <w:lang w:val="en-US" w:eastAsia="zh-CN" w:bidi="ar-SA"/>
        </w:rPr>
        <w:t>（二）</w:t>
      </w:r>
      <w:r>
        <w:rPr>
          <w:rFonts w:hint="eastAsia" w:ascii="宋体" w:hAnsi="宋体" w:eastAsia="宋体" w:cs="宋体"/>
          <w:b/>
          <w:bCs/>
          <w:i w:val="0"/>
          <w:iCs w:val="0"/>
          <w:color w:val="auto"/>
          <w:kern w:val="2"/>
          <w:sz w:val="24"/>
          <w:szCs w:val="24"/>
          <w:highlight w:val="none"/>
          <w:lang w:val="zh-CN" w:eastAsia="zh-CN" w:bidi="ar-SA"/>
        </w:rPr>
        <w:t>符合性审查表</w:t>
      </w:r>
      <w:bookmarkEnd w:id="479"/>
      <w:bookmarkEnd w:id="480"/>
      <w:bookmarkEnd w:id="481"/>
    </w:p>
    <w:tbl>
      <w:tblPr>
        <w:tblStyle w:val="35"/>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302"/>
        <w:gridCol w:w="5481"/>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restart"/>
            <w:shd w:val="clear" w:color="auto" w:fill="D8D8D8" w:themeFill="background1" w:themeFillShade="D9"/>
            <w:vAlign w:val="center"/>
          </w:tcPr>
          <w:p w14:paraId="3B188FC3">
            <w:pPr>
              <w:pStyle w:val="52"/>
              <w:jc w:val="center"/>
              <w:rPr>
                <w:rFonts w:hint="eastAsia" w:ascii="宋体" w:hAnsi="宋体" w:eastAsia="宋体" w:cs="宋体"/>
                <w:b/>
                <w:bCs/>
                <w:i w:val="0"/>
                <w:iCs w:val="0"/>
                <w:color w:val="auto"/>
                <w:sz w:val="21"/>
                <w:szCs w:val="21"/>
                <w:highlight w:val="none"/>
                <w:lang w:val="zh-CN"/>
              </w:rPr>
            </w:pPr>
            <w:bookmarkStart w:id="482" w:name="_Toc163493640"/>
            <w:r>
              <w:rPr>
                <w:rFonts w:hint="eastAsia" w:ascii="宋体" w:hAnsi="宋体" w:eastAsia="宋体" w:cs="宋体"/>
                <w:b/>
                <w:bCs/>
                <w:i w:val="0"/>
                <w:iCs w:val="0"/>
                <w:color w:val="auto"/>
                <w:sz w:val="21"/>
                <w:szCs w:val="21"/>
                <w:highlight w:val="none"/>
                <w:lang w:val="zh-CN"/>
              </w:rPr>
              <w:t>序号</w:t>
            </w:r>
          </w:p>
        </w:tc>
        <w:tc>
          <w:tcPr>
            <w:tcW w:w="704" w:type="pct"/>
            <w:vMerge w:val="restart"/>
            <w:shd w:val="clear" w:color="auto" w:fill="D8D8D8" w:themeFill="background1" w:themeFillShade="D9"/>
            <w:vAlign w:val="center"/>
          </w:tcPr>
          <w:p w14:paraId="316B5F87">
            <w:pPr>
              <w:pStyle w:val="52"/>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审查项名称</w:t>
            </w:r>
          </w:p>
        </w:tc>
        <w:tc>
          <w:tcPr>
            <w:tcW w:w="2963" w:type="pct"/>
            <w:vMerge w:val="restart"/>
            <w:shd w:val="clear" w:color="auto" w:fill="D8D8D8" w:themeFill="background1" w:themeFillShade="D9"/>
            <w:vAlign w:val="center"/>
          </w:tcPr>
          <w:p w14:paraId="44B32FDC">
            <w:pPr>
              <w:pStyle w:val="52"/>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52"/>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75" w:type="pct"/>
            <w:vMerge w:val="continue"/>
            <w:shd w:val="clear" w:color="auto" w:fill="D8D8D8" w:themeFill="background1" w:themeFillShade="D9"/>
            <w:vAlign w:val="center"/>
          </w:tcPr>
          <w:p w14:paraId="1859AA86">
            <w:pPr>
              <w:pStyle w:val="52"/>
              <w:jc w:val="center"/>
              <w:rPr>
                <w:rFonts w:hint="eastAsia" w:ascii="宋体" w:hAnsi="宋体" w:eastAsia="宋体" w:cs="宋体"/>
                <w:b/>
                <w:bCs/>
                <w:i w:val="0"/>
                <w:iCs w:val="0"/>
                <w:color w:val="auto"/>
                <w:sz w:val="21"/>
                <w:szCs w:val="21"/>
                <w:highlight w:val="none"/>
                <w:lang w:val="zh-CN"/>
              </w:rPr>
            </w:pPr>
          </w:p>
        </w:tc>
        <w:tc>
          <w:tcPr>
            <w:tcW w:w="704" w:type="pct"/>
            <w:vMerge w:val="continue"/>
            <w:shd w:val="clear" w:color="auto" w:fill="D8D8D8" w:themeFill="background1" w:themeFillShade="D9"/>
            <w:vAlign w:val="center"/>
          </w:tcPr>
          <w:p w14:paraId="51EF0565">
            <w:pPr>
              <w:pStyle w:val="52"/>
              <w:jc w:val="center"/>
              <w:rPr>
                <w:rFonts w:hint="eastAsia" w:ascii="宋体" w:hAnsi="宋体" w:eastAsia="宋体" w:cs="宋体"/>
                <w:b/>
                <w:bCs/>
                <w:i w:val="0"/>
                <w:iCs w:val="0"/>
                <w:color w:val="auto"/>
                <w:sz w:val="21"/>
                <w:szCs w:val="21"/>
                <w:highlight w:val="none"/>
                <w:lang w:val="zh-CN"/>
              </w:rPr>
            </w:pPr>
          </w:p>
        </w:tc>
        <w:tc>
          <w:tcPr>
            <w:tcW w:w="2963" w:type="pct"/>
            <w:vMerge w:val="continue"/>
            <w:shd w:val="clear" w:color="auto" w:fill="D8D8D8" w:themeFill="background1" w:themeFillShade="D9"/>
            <w:vAlign w:val="center"/>
          </w:tcPr>
          <w:p w14:paraId="2128C077">
            <w:pPr>
              <w:pStyle w:val="52"/>
              <w:jc w:val="center"/>
              <w:rPr>
                <w:rFonts w:hint="eastAsia" w:ascii="宋体" w:hAnsi="宋体" w:eastAsia="宋体" w:cs="宋体"/>
                <w:b/>
                <w:bCs/>
                <w:i w:val="0"/>
                <w:iCs w:val="0"/>
                <w:color w:val="auto"/>
                <w:sz w:val="21"/>
                <w:szCs w:val="21"/>
                <w:highlight w:val="none"/>
                <w:lang w:val="zh-CN"/>
              </w:rPr>
            </w:pPr>
          </w:p>
        </w:tc>
        <w:tc>
          <w:tcPr>
            <w:tcW w:w="468" w:type="pct"/>
            <w:shd w:val="clear" w:color="auto" w:fill="D8D8D8" w:themeFill="background1" w:themeFillShade="D9"/>
            <w:vAlign w:val="center"/>
          </w:tcPr>
          <w:p w14:paraId="0CAA21D7">
            <w:pPr>
              <w:pStyle w:val="52"/>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52"/>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75" w:type="pct"/>
            <w:shd w:val="clear" w:color="auto" w:fill="auto"/>
            <w:vAlign w:val="center"/>
          </w:tcPr>
          <w:p w14:paraId="4A515C07">
            <w:pPr>
              <w:pStyle w:val="52"/>
              <w:numPr>
                <w:ilvl w:val="0"/>
                <w:numId w:val="0"/>
              </w:numPr>
              <w:ind w:left="420" w:leftChars="0" w:hanging="420" w:firstLineChars="0"/>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kern w:val="2"/>
                <w:sz w:val="21"/>
                <w:szCs w:val="21"/>
                <w:highlight w:val="none"/>
                <w:lang w:val="zh-CN" w:eastAsia="zh-CN" w:bidi="ar-SA"/>
              </w:rPr>
              <w:t>1</w:t>
            </w:r>
          </w:p>
        </w:tc>
        <w:tc>
          <w:tcPr>
            <w:tcW w:w="704" w:type="pct"/>
            <w:vAlign w:val="center"/>
          </w:tcPr>
          <w:p w14:paraId="5E0E3062">
            <w:pPr>
              <w:pStyle w:val="52"/>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rPr>
              <w:t>签署</w:t>
            </w:r>
          </w:p>
        </w:tc>
        <w:tc>
          <w:tcPr>
            <w:tcW w:w="2963" w:type="pct"/>
            <w:shd w:val="clear" w:color="auto" w:fill="auto"/>
            <w:vAlign w:val="center"/>
          </w:tcPr>
          <w:p w14:paraId="0FA4ED80">
            <w:pPr>
              <w:pStyle w:val="52"/>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en-US" w:eastAsia="zh-CN"/>
              </w:rPr>
              <w:t>按磋商文件要求签署、盖章的</w:t>
            </w:r>
          </w:p>
        </w:tc>
        <w:tc>
          <w:tcPr>
            <w:tcW w:w="468" w:type="pct"/>
            <w:shd w:val="clear" w:color="auto" w:fill="auto"/>
            <w:vAlign w:val="center"/>
          </w:tcPr>
          <w:p w14:paraId="1E1F1EB1">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5325BAA">
            <w:pPr>
              <w:pStyle w:val="52"/>
              <w:rPr>
                <w:rFonts w:hint="eastAsia" w:ascii="宋体" w:hAnsi="宋体" w:eastAsia="宋体" w:cs="宋体"/>
                <w:i w:val="0"/>
                <w:iCs w:val="0"/>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70154C2F">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2</w:t>
            </w:r>
          </w:p>
        </w:tc>
        <w:tc>
          <w:tcPr>
            <w:tcW w:w="704" w:type="pct"/>
            <w:shd w:val="clear" w:color="auto" w:fill="auto"/>
            <w:vAlign w:val="center"/>
          </w:tcPr>
          <w:p w14:paraId="1B390AF0">
            <w:pPr>
              <w:pStyle w:val="52"/>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实质性要求</w:t>
            </w:r>
          </w:p>
        </w:tc>
        <w:tc>
          <w:tcPr>
            <w:tcW w:w="2963" w:type="pct"/>
            <w:shd w:val="clear" w:color="auto" w:fill="auto"/>
            <w:vAlign w:val="center"/>
          </w:tcPr>
          <w:p w14:paraId="6D95F485">
            <w:pPr>
              <w:pStyle w:val="52"/>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zh-CN" w:eastAsia="zh-CN"/>
              </w:rPr>
              <w:t>满足</w:t>
            </w:r>
            <w:r>
              <w:rPr>
                <w:rFonts w:hint="eastAsia" w:ascii="宋体" w:hAnsi="宋体" w:eastAsia="宋体" w:cs="宋体"/>
                <w:i w:val="0"/>
                <w:iCs w:val="0"/>
                <w:color w:val="auto"/>
                <w:sz w:val="21"/>
                <w:szCs w:val="21"/>
                <w:highlight w:val="none"/>
                <w:lang w:val="en-US" w:eastAsia="zh-CN"/>
              </w:rPr>
              <w:t>磋商</w:t>
            </w:r>
            <w:r>
              <w:rPr>
                <w:rFonts w:hint="eastAsia" w:ascii="宋体" w:hAnsi="宋体" w:eastAsia="宋体" w:cs="宋体"/>
                <w:i w:val="0"/>
                <w:iCs w:val="0"/>
                <w:color w:val="auto"/>
                <w:sz w:val="21"/>
                <w:szCs w:val="21"/>
                <w:highlight w:val="none"/>
                <w:lang w:val="zh-CN" w:eastAsia="zh-CN"/>
              </w:rPr>
              <w:t>文件中标注“★”号的实质性条款（或指标）要求的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具体详见</w:t>
            </w:r>
            <w:r>
              <w:rPr>
                <w:rFonts w:hint="eastAsia" w:ascii="宋体" w:hAnsi="宋体" w:eastAsia="宋体" w:cs="宋体"/>
                <w:i w:val="0"/>
                <w:iCs w:val="0"/>
                <w:color w:val="auto"/>
                <w:sz w:val="21"/>
                <w:szCs w:val="21"/>
                <w:highlight w:val="none"/>
                <w:lang w:val="zh-CN"/>
              </w:rPr>
              <w:t>“实质性响应一览表”</w:t>
            </w:r>
          </w:p>
        </w:tc>
        <w:tc>
          <w:tcPr>
            <w:tcW w:w="468" w:type="pct"/>
            <w:shd w:val="clear" w:color="auto" w:fill="auto"/>
            <w:vAlign w:val="center"/>
          </w:tcPr>
          <w:p w14:paraId="4C63B966">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A615EFE">
            <w:pPr>
              <w:pStyle w:val="52"/>
              <w:rPr>
                <w:rFonts w:hint="eastAsia" w:ascii="宋体" w:hAnsi="宋体" w:eastAsia="宋体" w:cs="宋体"/>
                <w:i w:val="0"/>
                <w:iCs w:val="0"/>
                <w:color w:val="auto"/>
                <w:sz w:val="21"/>
                <w:szCs w:val="21"/>
                <w:highlight w:val="none"/>
                <w:lang w:val="zh-CN"/>
              </w:rPr>
            </w:pPr>
          </w:p>
        </w:tc>
      </w:tr>
      <w:tr w14:paraId="591B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75" w:type="pct"/>
            <w:shd w:val="clear" w:color="auto" w:fill="auto"/>
            <w:vAlign w:val="center"/>
          </w:tcPr>
          <w:p w14:paraId="48860C47">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3</w:t>
            </w:r>
          </w:p>
        </w:tc>
        <w:tc>
          <w:tcPr>
            <w:tcW w:w="704" w:type="pct"/>
            <w:vAlign w:val="center"/>
          </w:tcPr>
          <w:p w14:paraId="31EA832C">
            <w:pPr>
              <w:pStyle w:val="52"/>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磋商响应性报价</w:t>
            </w:r>
          </w:p>
        </w:tc>
        <w:tc>
          <w:tcPr>
            <w:tcW w:w="2963" w:type="pct"/>
            <w:shd w:val="clear" w:color="auto" w:fill="auto"/>
            <w:vAlign w:val="center"/>
          </w:tcPr>
          <w:p w14:paraId="02D97709">
            <w:pPr>
              <w:pStyle w:val="52"/>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供应商报价未超过磋商文件中规定的最高限价或者预算金额的</w:t>
            </w:r>
          </w:p>
        </w:tc>
        <w:tc>
          <w:tcPr>
            <w:tcW w:w="468" w:type="pct"/>
            <w:shd w:val="clear" w:color="auto" w:fill="auto"/>
            <w:vAlign w:val="center"/>
          </w:tcPr>
          <w:p w14:paraId="18835E98">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32826E79">
            <w:pPr>
              <w:pStyle w:val="52"/>
              <w:rPr>
                <w:rFonts w:hint="eastAsia" w:ascii="宋体" w:hAnsi="宋体" w:eastAsia="宋体" w:cs="宋体"/>
                <w:i w:val="0"/>
                <w:iCs w:val="0"/>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275" w:type="pct"/>
            <w:shd w:val="clear" w:color="auto" w:fill="auto"/>
            <w:vAlign w:val="center"/>
          </w:tcPr>
          <w:p w14:paraId="0D25BA5B">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4</w:t>
            </w:r>
          </w:p>
        </w:tc>
        <w:tc>
          <w:tcPr>
            <w:tcW w:w="704" w:type="pct"/>
            <w:vAlign w:val="center"/>
          </w:tcPr>
          <w:p w14:paraId="6B53D7DD">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虚假材料</w:t>
            </w:r>
          </w:p>
        </w:tc>
        <w:tc>
          <w:tcPr>
            <w:tcW w:w="2963" w:type="pct"/>
            <w:shd w:val="clear" w:color="auto" w:fill="auto"/>
            <w:vAlign w:val="center"/>
          </w:tcPr>
          <w:p w14:paraId="3C241A91">
            <w:pPr>
              <w:pStyle w:val="52"/>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提供虚假材料的</w:t>
            </w:r>
          </w:p>
        </w:tc>
        <w:tc>
          <w:tcPr>
            <w:tcW w:w="468" w:type="pct"/>
            <w:shd w:val="clear" w:color="auto" w:fill="auto"/>
            <w:vAlign w:val="center"/>
          </w:tcPr>
          <w:p w14:paraId="4B513014">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48AFA180">
            <w:pPr>
              <w:pStyle w:val="52"/>
              <w:rPr>
                <w:rFonts w:hint="eastAsia" w:ascii="宋体" w:hAnsi="宋体" w:eastAsia="宋体" w:cs="宋体"/>
                <w:i w:val="0"/>
                <w:iCs w:val="0"/>
                <w:color w:val="auto"/>
                <w:sz w:val="21"/>
                <w:szCs w:val="21"/>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75" w:type="pct"/>
            <w:shd w:val="clear" w:color="auto" w:fill="auto"/>
            <w:vAlign w:val="center"/>
          </w:tcPr>
          <w:p w14:paraId="5772C4C0">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5</w:t>
            </w:r>
          </w:p>
        </w:tc>
        <w:tc>
          <w:tcPr>
            <w:tcW w:w="704" w:type="pct"/>
            <w:vAlign w:val="center"/>
          </w:tcPr>
          <w:p w14:paraId="1817A2C0">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联合体</w:t>
            </w:r>
          </w:p>
        </w:tc>
        <w:tc>
          <w:tcPr>
            <w:tcW w:w="2963" w:type="pct"/>
            <w:shd w:val="clear" w:color="auto" w:fill="auto"/>
            <w:vAlign w:val="center"/>
          </w:tcPr>
          <w:p w14:paraId="39640874">
            <w:pPr>
              <w:pStyle w:val="52"/>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en-US" w:eastAsia="zh-CN"/>
              </w:rPr>
              <w:t>磋商文件规定接受联合体磋商的，</w:t>
            </w:r>
            <w:r>
              <w:rPr>
                <w:rFonts w:hint="eastAsia" w:ascii="宋体" w:hAnsi="宋体" w:eastAsia="宋体" w:cs="宋体"/>
                <w:i w:val="0"/>
                <w:iCs w:val="0"/>
                <w:color w:val="auto"/>
                <w:sz w:val="21"/>
                <w:szCs w:val="21"/>
                <w:highlight w:val="none"/>
                <w:lang w:val="zh-CN" w:eastAsia="zh-CN"/>
              </w:rPr>
              <w:t>联合体供应商提交</w:t>
            </w:r>
            <w:r>
              <w:rPr>
                <w:rFonts w:hint="eastAsia" w:ascii="宋体" w:hAnsi="宋体" w:eastAsia="宋体" w:cs="宋体"/>
                <w:i w:val="0"/>
                <w:iCs w:val="0"/>
                <w:color w:val="auto"/>
                <w:sz w:val="21"/>
                <w:szCs w:val="21"/>
                <w:highlight w:val="none"/>
                <w:lang w:val="en-US" w:eastAsia="zh-CN"/>
              </w:rPr>
              <w:t>了</w:t>
            </w:r>
            <w:r>
              <w:rPr>
                <w:rFonts w:hint="eastAsia" w:ascii="宋体" w:hAnsi="宋体" w:eastAsia="宋体" w:cs="宋体"/>
                <w:i w:val="0"/>
                <w:iCs w:val="0"/>
                <w:color w:val="auto"/>
                <w:sz w:val="21"/>
                <w:szCs w:val="21"/>
                <w:highlight w:val="none"/>
                <w:lang w:val="zh-CN" w:eastAsia="zh-CN"/>
              </w:rPr>
              <w:t>各方共同签署的联合体协议【</w:t>
            </w:r>
            <w:r>
              <w:rPr>
                <w:rFonts w:hint="eastAsia" w:ascii="宋体" w:hAnsi="宋体" w:eastAsia="宋体" w:cs="宋体"/>
                <w:i w:val="0"/>
                <w:iCs w:val="0"/>
                <w:color w:val="auto"/>
                <w:sz w:val="21"/>
                <w:szCs w:val="21"/>
                <w:highlight w:val="none"/>
                <w:lang w:val="en-US" w:eastAsia="zh-CN"/>
              </w:rPr>
              <w:t>如允许联合体磋商的</w:t>
            </w:r>
            <w:r>
              <w:rPr>
                <w:rFonts w:hint="eastAsia" w:ascii="宋体" w:hAnsi="宋体" w:eastAsia="宋体" w:cs="宋体"/>
                <w:i w:val="0"/>
                <w:iCs w:val="0"/>
                <w:color w:val="auto"/>
                <w:sz w:val="21"/>
                <w:szCs w:val="21"/>
                <w:highlight w:val="none"/>
                <w:lang w:val="zh-CN" w:eastAsia="zh-CN"/>
              </w:rPr>
              <w:t>】</w:t>
            </w:r>
          </w:p>
          <w:p w14:paraId="2989BE8A">
            <w:pPr>
              <w:pStyle w:val="52"/>
              <w:rPr>
                <w:rFonts w:hint="default" w:ascii="宋体" w:hAnsi="宋体" w:eastAsia="宋体" w:cs="宋体"/>
                <w:i w:val="0"/>
                <w:iCs w:val="0"/>
                <w:color w:val="auto"/>
                <w:sz w:val="21"/>
                <w:szCs w:val="21"/>
                <w:highlight w:val="none"/>
                <w:lang w:val="en-US" w:eastAsia="zh-CN"/>
              </w:rPr>
            </w:pPr>
            <w:r>
              <w:rPr>
                <w:rFonts w:hint="eastAsia" w:cs="宋体"/>
                <w:b/>
                <w:bCs/>
                <w:i w:val="0"/>
                <w:iCs w:val="0"/>
                <w:color w:val="auto"/>
                <w:sz w:val="21"/>
                <w:szCs w:val="21"/>
                <w:highlight w:val="none"/>
                <w:lang w:val="en-US" w:eastAsia="zh-CN"/>
              </w:rPr>
              <w:t>注：本项目不接受联合体，供应商无须提供《联合体协议书》。</w:t>
            </w:r>
          </w:p>
        </w:tc>
        <w:tc>
          <w:tcPr>
            <w:tcW w:w="468" w:type="pct"/>
            <w:shd w:val="clear" w:color="auto" w:fill="auto"/>
            <w:vAlign w:val="center"/>
          </w:tcPr>
          <w:p w14:paraId="2C782F18">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163069B8">
            <w:pPr>
              <w:pStyle w:val="52"/>
              <w:rPr>
                <w:rFonts w:hint="eastAsia" w:ascii="宋体" w:hAnsi="宋体" w:eastAsia="宋体" w:cs="宋体"/>
                <w:i w:val="0"/>
                <w:iCs w:val="0"/>
                <w:color w:val="auto"/>
                <w:sz w:val="21"/>
                <w:szCs w:val="21"/>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75" w:type="pct"/>
            <w:shd w:val="clear" w:color="auto" w:fill="auto"/>
            <w:vAlign w:val="center"/>
          </w:tcPr>
          <w:p w14:paraId="31C12A1B">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6</w:t>
            </w:r>
          </w:p>
        </w:tc>
        <w:tc>
          <w:tcPr>
            <w:tcW w:w="704" w:type="pct"/>
            <w:vAlign w:val="center"/>
          </w:tcPr>
          <w:p w14:paraId="55194F4F">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磋商保证金</w:t>
            </w:r>
          </w:p>
        </w:tc>
        <w:tc>
          <w:tcPr>
            <w:tcW w:w="2963" w:type="pct"/>
            <w:shd w:val="clear" w:color="auto" w:fill="auto"/>
            <w:vAlign w:val="center"/>
          </w:tcPr>
          <w:p w14:paraId="4803457A">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磋商文件规定应当缴纳的，供应商按磋商文件的规定缴纳磋商保证金的</w:t>
            </w:r>
          </w:p>
          <w:p w14:paraId="428DACB4">
            <w:pPr>
              <w:pStyle w:val="52"/>
              <w:rPr>
                <w:rFonts w:hint="default" w:ascii="宋体" w:hAnsi="宋体" w:eastAsia="宋体" w:cs="宋体"/>
                <w:i w:val="0"/>
                <w:iCs w:val="0"/>
                <w:color w:val="auto"/>
                <w:sz w:val="21"/>
                <w:szCs w:val="21"/>
                <w:highlight w:val="none"/>
                <w:lang w:val="en-US" w:eastAsia="zh-CN"/>
              </w:rPr>
            </w:pPr>
            <w:r>
              <w:rPr>
                <w:rFonts w:hint="eastAsia" w:cs="宋体"/>
                <w:b/>
                <w:bCs/>
                <w:i w:val="0"/>
                <w:iCs w:val="0"/>
                <w:color w:val="auto"/>
                <w:sz w:val="21"/>
                <w:szCs w:val="21"/>
                <w:highlight w:val="none"/>
                <w:lang w:val="en-US" w:eastAsia="zh-CN"/>
              </w:rPr>
              <w:t>注：本项目无须缴纳磋商保证金。</w:t>
            </w:r>
          </w:p>
        </w:tc>
        <w:tc>
          <w:tcPr>
            <w:tcW w:w="468" w:type="pct"/>
            <w:shd w:val="clear" w:color="auto" w:fill="auto"/>
            <w:vAlign w:val="center"/>
          </w:tcPr>
          <w:p w14:paraId="194FF3C2">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72B823">
            <w:pPr>
              <w:pStyle w:val="52"/>
              <w:rPr>
                <w:rFonts w:hint="eastAsia" w:ascii="宋体" w:hAnsi="宋体" w:eastAsia="宋体" w:cs="宋体"/>
                <w:i w:val="0"/>
                <w:iCs w:val="0"/>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75" w:type="pct"/>
            <w:shd w:val="clear" w:color="auto" w:fill="auto"/>
            <w:vAlign w:val="center"/>
          </w:tcPr>
          <w:p w14:paraId="6C002E13">
            <w:pPr>
              <w:pStyle w:val="52"/>
              <w:numPr>
                <w:ilvl w:val="0"/>
                <w:numId w:val="0"/>
              </w:numPr>
              <w:ind w:left="0" w:leftChars="0" w:firstLine="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7</w:t>
            </w:r>
          </w:p>
        </w:tc>
        <w:tc>
          <w:tcPr>
            <w:tcW w:w="704" w:type="pct"/>
            <w:vAlign w:val="center"/>
          </w:tcPr>
          <w:p w14:paraId="5C91A4A7">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响应文件的澄清、说明、补正</w:t>
            </w:r>
          </w:p>
        </w:tc>
        <w:tc>
          <w:tcPr>
            <w:tcW w:w="2963" w:type="pct"/>
            <w:shd w:val="clear" w:color="auto" w:fill="auto"/>
            <w:vAlign w:val="center"/>
          </w:tcPr>
          <w:p w14:paraId="3E6052BB">
            <w:pPr>
              <w:pStyle w:val="52"/>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eastAsia="zh-CN"/>
              </w:rPr>
              <w:t>评审期间,</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按磋商小组的要求提交经授权代表签字的澄清、说明、更正且澄清、说明、更正未超出响应文件范围或</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改变</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文件的实质性内容</w:t>
            </w:r>
          </w:p>
        </w:tc>
        <w:tc>
          <w:tcPr>
            <w:tcW w:w="468" w:type="pct"/>
            <w:shd w:val="clear" w:color="auto" w:fill="auto"/>
            <w:vAlign w:val="center"/>
          </w:tcPr>
          <w:p w14:paraId="1EA81190">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2394B23D">
            <w:pPr>
              <w:pStyle w:val="52"/>
              <w:rPr>
                <w:rFonts w:hint="eastAsia" w:ascii="宋体" w:hAnsi="宋体" w:eastAsia="宋体" w:cs="宋体"/>
                <w:i w:val="0"/>
                <w:iCs w:val="0"/>
                <w:color w:val="auto"/>
                <w:sz w:val="21"/>
                <w:szCs w:val="21"/>
                <w:highlight w:val="none"/>
                <w:lang w:val="zh-CN"/>
              </w:rPr>
            </w:pPr>
          </w:p>
        </w:tc>
      </w:tr>
      <w:tr w14:paraId="6D40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5" w:type="pct"/>
            <w:shd w:val="clear" w:color="auto" w:fill="auto"/>
            <w:vAlign w:val="center"/>
          </w:tcPr>
          <w:p w14:paraId="09617D9C">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8</w:t>
            </w:r>
          </w:p>
        </w:tc>
        <w:tc>
          <w:tcPr>
            <w:tcW w:w="704" w:type="pct"/>
            <w:vAlign w:val="center"/>
          </w:tcPr>
          <w:p w14:paraId="2016E93A">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供应商影响评审</w:t>
            </w:r>
          </w:p>
        </w:tc>
        <w:tc>
          <w:tcPr>
            <w:tcW w:w="2963" w:type="pct"/>
            <w:shd w:val="clear" w:color="auto" w:fill="auto"/>
            <w:vAlign w:val="center"/>
          </w:tcPr>
          <w:p w14:paraId="50B76BB4">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对采购人、采购代理机构、磋商小组及其工作人员</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施加影响,</w:t>
            </w:r>
            <w:r>
              <w:rPr>
                <w:rFonts w:hint="eastAsia" w:ascii="宋体" w:hAnsi="宋体" w:eastAsia="宋体" w:cs="宋体"/>
                <w:i w:val="0"/>
                <w:iCs w:val="0"/>
                <w:color w:val="auto"/>
                <w:sz w:val="21"/>
                <w:szCs w:val="21"/>
                <w:highlight w:val="none"/>
                <w:lang w:val="en-US" w:eastAsia="zh-CN"/>
              </w:rPr>
              <w:t>无</w:t>
            </w:r>
            <w:r>
              <w:rPr>
                <w:rFonts w:hint="eastAsia" w:ascii="宋体" w:hAnsi="宋体" w:eastAsia="宋体" w:cs="宋体"/>
                <w:i w:val="0"/>
                <w:iCs w:val="0"/>
                <w:color w:val="auto"/>
                <w:sz w:val="21"/>
                <w:szCs w:val="21"/>
                <w:highlight w:val="none"/>
                <w:lang w:val="zh-CN" w:eastAsia="zh-CN"/>
              </w:rPr>
              <w:t>有碍公平、公正</w:t>
            </w:r>
            <w:r>
              <w:rPr>
                <w:rFonts w:hint="eastAsia" w:ascii="宋体" w:hAnsi="宋体" w:eastAsia="宋体" w:cs="宋体"/>
                <w:i w:val="0"/>
                <w:iCs w:val="0"/>
                <w:color w:val="auto"/>
                <w:sz w:val="21"/>
                <w:szCs w:val="21"/>
                <w:highlight w:val="none"/>
                <w:lang w:val="en-US" w:eastAsia="zh-CN"/>
              </w:rPr>
              <w:t>行为的</w:t>
            </w:r>
          </w:p>
        </w:tc>
        <w:tc>
          <w:tcPr>
            <w:tcW w:w="468" w:type="pct"/>
            <w:shd w:val="clear" w:color="auto" w:fill="auto"/>
            <w:vAlign w:val="center"/>
          </w:tcPr>
          <w:p w14:paraId="75DB24A7">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D6DA84C">
            <w:pPr>
              <w:pStyle w:val="52"/>
              <w:rPr>
                <w:rFonts w:hint="eastAsia" w:ascii="宋体" w:hAnsi="宋体" w:eastAsia="宋体" w:cs="宋体"/>
                <w:i w:val="0"/>
                <w:iCs w:val="0"/>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32BD4A6">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9</w:t>
            </w:r>
          </w:p>
        </w:tc>
        <w:tc>
          <w:tcPr>
            <w:tcW w:w="704" w:type="pct"/>
            <w:vAlign w:val="center"/>
          </w:tcPr>
          <w:p w14:paraId="56EEFE7E">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附加条件</w:t>
            </w:r>
          </w:p>
        </w:tc>
        <w:tc>
          <w:tcPr>
            <w:tcW w:w="2963" w:type="pct"/>
            <w:shd w:val="clear" w:color="auto" w:fill="auto"/>
            <w:vAlign w:val="center"/>
          </w:tcPr>
          <w:p w14:paraId="618DB2FB">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响应文件没有采购人不能接受的附加条件的</w:t>
            </w:r>
          </w:p>
        </w:tc>
        <w:tc>
          <w:tcPr>
            <w:tcW w:w="468" w:type="pct"/>
            <w:shd w:val="clear" w:color="auto" w:fill="auto"/>
            <w:vAlign w:val="center"/>
          </w:tcPr>
          <w:p w14:paraId="36C2A679">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73E4201A">
            <w:pPr>
              <w:pStyle w:val="52"/>
              <w:rPr>
                <w:rFonts w:hint="eastAsia" w:ascii="宋体" w:hAnsi="宋体" w:eastAsia="宋体" w:cs="宋体"/>
                <w:i w:val="0"/>
                <w:iCs w:val="0"/>
                <w:color w:val="auto"/>
                <w:sz w:val="21"/>
                <w:szCs w:val="21"/>
                <w:highlight w:val="none"/>
                <w:lang w:val="zh-CN"/>
              </w:rPr>
            </w:pPr>
          </w:p>
        </w:tc>
      </w:tr>
      <w:tr w14:paraId="5677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275" w:type="pct"/>
            <w:shd w:val="clear" w:color="auto" w:fill="auto"/>
            <w:vAlign w:val="center"/>
          </w:tcPr>
          <w:p w14:paraId="3CD6AABE">
            <w:pPr>
              <w:pStyle w:val="52"/>
              <w:numPr>
                <w:ilvl w:val="0"/>
                <w:numId w:val="0"/>
              </w:numPr>
              <w:ind w:left="420" w:leftChars="0" w:hanging="420" w:firstLineChars="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10</w:t>
            </w:r>
          </w:p>
        </w:tc>
        <w:tc>
          <w:tcPr>
            <w:tcW w:w="704" w:type="pct"/>
            <w:vAlign w:val="center"/>
          </w:tcPr>
          <w:p w14:paraId="40726A5F">
            <w:pPr>
              <w:pStyle w:val="52"/>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其他无效情形</w:t>
            </w:r>
          </w:p>
        </w:tc>
        <w:tc>
          <w:tcPr>
            <w:tcW w:w="2963" w:type="pct"/>
            <w:shd w:val="clear" w:color="auto" w:fill="auto"/>
            <w:vAlign w:val="center"/>
          </w:tcPr>
          <w:p w14:paraId="05CC0303">
            <w:pPr>
              <w:pStyle w:val="52"/>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未出现</w:t>
            </w:r>
            <w:r>
              <w:rPr>
                <w:rFonts w:hint="eastAsia" w:ascii="宋体" w:hAnsi="宋体" w:eastAsia="宋体" w:cs="宋体"/>
                <w:i w:val="0"/>
                <w:iCs w:val="0"/>
                <w:color w:val="auto"/>
                <w:sz w:val="21"/>
                <w:szCs w:val="21"/>
                <w:highlight w:val="none"/>
                <w:lang w:val="zh-CN" w:eastAsia="zh-CN"/>
              </w:rPr>
              <w:t>法律、法规、规章以及本磋商文件规定属于</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无效的其他情形。</w:t>
            </w:r>
          </w:p>
        </w:tc>
        <w:tc>
          <w:tcPr>
            <w:tcW w:w="468" w:type="pct"/>
            <w:shd w:val="clear" w:color="auto" w:fill="auto"/>
            <w:vAlign w:val="center"/>
          </w:tcPr>
          <w:p w14:paraId="3A44DE13">
            <w:pPr>
              <w:pStyle w:val="52"/>
              <w:rPr>
                <w:rFonts w:hint="eastAsia" w:ascii="宋体" w:hAnsi="宋体" w:eastAsia="宋体" w:cs="宋体"/>
                <w:i w:val="0"/>
                <w:iCs w:val="0"/>
                <w:color w:val="auto"/>
                <w:sz w:val="21"/>
                <w:szCs w:val="21"/>
                <w:highlight w:val="none"/>
                <w:lang w:val="zh-CN"/>
              </w:rPr>
            </w:pPr>
          </w:p>
        </w:tc>
        <w:tc>
          <w:tcPr>
            <w:tcW w:w="588" w:type="pct"/>
            <w:shd w:val="clear" w:color="auto" w:fill="auto"/>
            <w:vAlign w:val="center"/>
          </w:tcPr>
          <w:p w14:paraId="5D1C94D8">
            <w:pPr>
              <w:pStyle w:val="52"/>
              <w:rPr>
                <w:rFonts w:hint="eastAsia" w:ascii="宋体" w:hAnsi="宋体" w:eastAsia="宋体" w:cs="宋体"/>
                <w:i w:val="0"/>
                <w:iCs w:val="0"/>
                <w:color w:val="auto"/>
                <w:sz w:val="21"/>
                <w:szCs w:val="21"/>
                <w:highlight w:val="none"/>
                <w:lang w:val="zh-CN"/>
              </w:rPr>
            </w:pPr>
          </w:p>
        </w:tc>
      </w:tr>
    </w:tbl>
    <w:p w14:paraId="1C5DFD9C">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206A0DA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E63DDE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71D96B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0F3C0C11">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C6D718E">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5756B570">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78C1A3B6">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0B45038">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2111482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6A22AD6B">
      <w:pPr>
        <w:shd w:val="clear" w:color="auto" w:fill="FFFFFF"/>
        <w:tabs>
          <w:tab w:val="left" w:pos="3045"/>
        </w:tabs>
        <w:autoSpaceDE w:val="0"/>
        <w:autoSpaceDN w:val="0"/>
        <w:adjustRightInd w:val="0"/>
        <w:snapToGrid w:val="0"/>
        <w:spacing w:line="360" w:lineRule="exact"/>
        <w:rPr>
          <w:rFonts w:hint="eastAsia" w:ascii="宋体" w:hAnsi="宋体" w:cs="宋体"/>
          <w:b/>
          <w:i w:val="0"/>
          <w:iCs w:val="0"/>
          <w:color w:val="auto"/>
          <w:sz w:val="24"/>
          <w:highlight w:val="none"/>
        </w:rPr>
      </w:pPr>
    </w:p>
    <w:p w14:paraId="3107E210">
      <w:pPr>
        <w:shd w:val="clear" w:color="auto" w:fill="FFFFFF"/>
        <w:tabs>
          <w:tab w:val="left" w:pos="3045"/>
        </w:tabs>
        <w:autoSpaceDE w:val="0"/>
        <w:autoSpaceDN w:val="0"/>
        <w:adjustRightInd w:val="0"/>
        <w:snapToGrid w:val="0"/>
        <w:spacing w:line="360" w:lineRule="exact"/>
        <w:rPr>
          <w:rFonts w:hint="eastAsia"/>
          <w:i w:val="0"/>
          <w:iCs w:val="0"/>
          <w:color w:val="auto"/>
          <w:highlight w:val="none"/>
        </w:rPr>
      </w:pPr>
      <w:r>
        <w:rPr>
          <w:rFonts w:hint="eastAsia" w:ascii="宋体" w:hAnsi="宋体" w:cs="宋体"/>
          <w:b/>
          <w:i w:val="0"/>
          <w:iCs w:val="0"/>
          <w:color w:val="auto"/>
          <w:sz w:val="24"/>
          <w:highlight w:val="none"/>
        </w:rPr>
        <w:t>符合</w:t>
      </w:r>
      <w:r>
        <w:rPr>
          <w:rFonts w:hint="eastAsia" w:ascii="宋体" w:hAnsi="宋体" w:cs="宋体"/>
          <w:b/>
          <w:i w:val="0"/>
          <w:iCs w:val="0"/>
          <w:color w:val="auto"/>
          <w:sz w:val="24"/>
          <w:highlight w:val="none"/>
          <w:lang w:eastAsia="zh-CN"/>
        </w:rPr>
        <w:t>性</w:t>
      </w:r>
      <w:r>
        <w:rPr>
          <w:rFonts w:hint="eastAsia" w:ascii="宋体" w:hAnsi="宋体" w:cs="宋体"/>
          <w:b/>
          <w:i w:val="0"/>
          <w:iCs w:val="0"/>
          <w:color w:val="auto"/>
          <w:sz w:val="24"/>
          <w:highlight w:val="none"/>
        </w:rPr>
        <w:t>检查</w:t>
      </w:r>
      <w:r>
        <w:rPr>
          <w:rFonts w:hint="eastAsia" w:cs="宋体"/>
          <w:b/>
          <w:i w:val="0"/>
          <w:iCs w:val="0"/>
          <w:color w:val="auto"/>
          <w:sz w:val="24"/>
          <w:highlight w:val="none"/>
          <w:lang w:val="en-US" w:eastAsia="zh-CN"/>
        </w:rPr>
        <w:t>-</w:t>
      </w:r>
      <w:r>
        <w:rPr>
          <w:rFonts w:hint="eastAsia" w:ascii="宋体" w:hAnsi="宋体" w:cs="宋体"/>
          <w:b/>
          <w:i w:val="0"/>
          <w:iCs w:val="0"/>
          <w:color w:val="auto"/>
          <w:sz w:val="24"/>
          <w:highlight w:val="none"/>
        </w:rPr>
        <w:t>附表</w:t>
      </w:r>
    </w:p>
    <w:p w14:paraId="4F7CC118">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i w:val="0"/>
          <w:iCs w:val="0"/>
          <w:color w:val="auto"/>
          <w:kern w:val="2"/>
          <w:sz w:val="28"/>
          <w:szCs w:val="28"/>
          <w:highlight w:val="none"/>
          <w:lang w:val="zh-CN" w:eastAsia="zh-CN" w:bidi="ar-SA"/>
        </w:rPr>
      </w:pPr>
      <w:bookmarkStart w:id="483" w:name="_Toc30019"/>
      <w:r>
        <w:rPr>
          <w:rFonts w:hint="eastAsia" w:ascii="宋体" w:hAnsi="宋体" w:eastAsia="宋体" w:cstheme="minorBidi"/>
          <w:b/>
          <w:bCs/>
          <w:i w:val="0"/>
          <w:iCs w:val="0"/>
          <w:color w:val="auto"/>
          <w:kern w:val="2"/>
          <w:sz w:val="28"/>
          <w:szCs w:val="28"/>
          <w:highlight w:val="none"/>
          <w:lang w:val="zh-CN" w:eastAsia="zh-CN" w:bidi="ar-SA"/>
        </w:rPr>
        <w:t>实质性响应一览表</w:t>
      </w:r>
      <w:bookmarkEnd w:id="483"/>
    </w:p>
    <w:p w14:paraId="231F5A14">
      <w:pPr>
        <w:shd w:val="clear" w:color="auto" w:fill="FFFFFF"/>
        <w:tabs>
          <w:tab w:val="left" w:pos="3045"/>
        </w:tabs>
        <w:autoSpaceDE w:val="0"/>
        <w:autoSpaceDN w:val="0"/>
        <w:adjustRightInd w:val="0"/>
        <w:snapToGrid w:val="0"/>
        <w:spacing w:line="360" w:lineRule="exact"/>
        <w:jc w:val="center"/>
        <w:rPr>
          <w:rFonts w:hint="eastAsia" w:ascii="宋体" w:hAnsi="宋体" w:cs="宋体"/>
          <w:b/>
          <w:i w:val="0"/>
          <w:iCs w:val="0"/>
          <w:color w:val="auto"/>
          <w:sz w:val="24"/>
          <w:highlight w:val="none"/>
        </w:rPr>
      </w:pPr>
      <w:r>
        <w:rPr>
          <w:rFonts w:hint="eastAsia" w:ascii="宋体" w:hAnsi="宋体" w:cs="宋体"/>
          <w:b w:val="0"/>
          <w:bCs/>
          <w:i w:val="0"/>
          <w:iCs w:val="0"/>
          <w:color w:val="auto"/>
          <w:sz w:val="24"/>
          <w:highlight w:val="none"/>
        </w:rPr>
        <w:t>（供应商须对本附表所有内容逐条响应且无负偏离，否则</w:t>
      </w:r>
      <w:r>
        <w:rPr>
          <w:rFonts w:hint="eastAsia" w:cs="宋体"/>
          <w:b/>
          <w:i w:val="0"/>
          <w:iCs w:val="0"/>
          <w:color w:val="auto"/>
          <w:sz w:val="24"/>
          <w:highlight w:val="none"/>
          <w:lang w:val="en-US" w:eastAsia="zh-CN"/>
        </w:rPr>
        <w:t>响应</w:t>
      </w:r>
      <w:r>
        <w:rPr>
          <w:rFonts w:hint="eastAsia" w:ascii="宋体" w:hAnsi="宋体" w:cs="宋体"/>
          <w:b/>
          <w:i w:val="0"/>
          <w:iCs w:val="0"/>
          <w:color w:val="auto"/>
          <w:sz w:val="24"/>
          <w:highlight w:val="none"/>
        </w:rPr>
        <w:t>无效</w:t>
      </w:r>
      <w:r>
        <w:rPr>
          <w:rFonts w:hint="eastAsia" w:ascii="宋体" w:hAnsi="宋体" w:cs="宋体"/>
          <w:b w:val="0"/>
          <w:bCs/>
          <w:i w:val="0"/>
          <w:iCs w:val="0"/>
          <w:color w:val="auto"/>
          <w:sz w:val="24"/>
          <w:highlight w:val="none"/>
        </w:rPr>
        <w:t>）</w:t>
      </w:r>
    </w:p>
    <w:p w14:paraId="4F532689">
      <w:pPr>
        <w:pStyle w:val="27"/>
        <w:rPr>
          <w:rFonts w:hint="eastAsia" w:ascii="宋体" w:hAnsi="宋体" w:cs="宋体"/>
          <w:i w:val="0"/>
          <w:iCs w:val="0"/>
          <w:color w:val="auto"/>
          <w:highlight w:val="none"/>
        </w:rPr>
      </w:pPr>
    </w:p>
    <w:tbl>
      <w:tblPr>
        <w:tblStyle w:val="35"/>
        <w:tblW w:w="5356"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386"/>
        <w:gridCol w:w="3192"/>
        <w:gridCol w:w="2052"/>
        <w:gridCol w:w="732"/>
      </w:tblGrid>
      <w:tr w14:paraId="140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20" w:type="pct"/>
            <w:vMerge w:val="restart"/>
            <w:noWrap w:val="0"/>
            <w:vAlign w:val="center"/>
          </w:tcPr>
          <w:p w14:paraId="7974C54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3054" w:type="pct"/>
            <w:gridSpan w:val="2"/>
            <w:noWrap w:val="0"/>
            <w:vAlign w:val="center"/>
          </w:tcPr>
          <w:p w14:paraId="4F79053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文件要求的实质性响应内容</w:t>
            </w:r>
          </w:p>
        </w:tc>
        <w:tc>
          <w:tcPr>
            <w:tcW w:w="1123" w:type="pct"/>
            <w:vMerge w:val="restart"/>
            <w:noWrap w:val="0"/>
            <w:vAlign w:val="center"/>
          </w:tcPr>
          <w:p w14:paraId="1DFD5A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rPr>
              <w:t>文件具体</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rPr>
              <w:t>内容</w:t>
            </w:r>
          </w:p>
        </w:tc>
        <w:tc>
          <w:tcPr>
            <w:tcW w:w="400" w:type="pct"/>
            <w:vMerge w:val="restart"/>
            <w:noWrap w:val="0"/>
            <w:vAlign w:val="center"/>
          </w:tcPr>
          <w:p w14:paraId="182E982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14:paraId="3C4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20" w:type="pct"/>
            <w:vMerge w:val="continue"/>
            <w:noWrap w:val="0"/>
            <w:vAlign w:val="center"/>
          </w:tcPr>
          <w:p w14:paraId="72371D4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p>
        </w:tc>
        <w:tc>
          <w:tcPr>
            <w:tcW w:w="1306" w:type="pct"/>
            <w:shd w:val="clear" w:color="auto" w:fill="auto"/>
            <w:noWrap w:val="0"/>
            <w:vAlign w:val="center"/>
          </w:tcPr>
          <w:p w14:paraId="1BF2081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实质性要求</w:t>
            </w:r>
          </w:p>
        </w:tc>
        <w:tc>
          <w:tcPr>
            <w:tcW w:w="1748" w:type="pct"/>
            <w:shd w:val="clear" w:color="auto" w:fill="auto"/>
            <w:noWrap w:val="0"/>
            <w:vAlign w:val="center"/>
          </w:tcPr>
          <w:p w14:paraId="7E16D5C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磋商文件中的规定</w:t>
            </w:r>
          </w:p>
        </w:tc>
        <w:tc>
          <w:tcPr>
            <w:tcW w:w="1123" w:type="pct"/>
            <w:vMerge w:val="continue"/>
            <w:noWrap w:val="0"/>
            <w:vAlign w:val="center"/>
          </w:tcPr>
          <w:p w14:paraId="70107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eastAsia="zh-CN"/>
              </w:rPr>
            </w:pPr>
          </w:p>
        </w:tc>
        <w:tc>
          <w:tcPr>
            <w:tcW w:w="400" w:type="pct"/>
            <w:vMerge w:val="continue"/>
            <w:noWrap w:val="0"/>
            <w:vAlign w:val="center"/>
          </w:tcPr>
          <w:p w14:paraId="34815FA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eastAsia="zh-CN"/>
              </w:rPr>
            </w:pPr>
          </w:p>
        </w:tc>
      </w:tr>
      <w:tr w14:paraId="6468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20" w:type="pct"/>
            <w:noWrap w:val="0"/>
            <w:vAlign w:val="center"/>
          </w:tcPr>
          <w:p w14:paraId="1D030E8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1306" w:type="pct"/>
            <w:noWrap w:val="0"/>
            <w:vAlign w:val="center"/>
          </w:tcPr>
          <w:p w14:paraId="2AE01BE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有效期</w:t>
            </w:r>
          </w:p>
        </w:tc>
        <w:tc>
          <w:tcPr>
            <w:tcW w:w="1748" w:type="pct"/>
            <w:noWrap w:val="0"/>
            <w:vAlign w:val="center"/>
          </w:tcPr>
          <w:p w14:paraId="27457AC5">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90日历天</w:t>
            </w:r>
          </w:p>
        </w:tc>
        <w:tc>
          <w:tcPr>
            <w:tcW w:w="1123" w:type="pct"/>
            <w:noWrap w:val="0"/>
            <w:vAlign w:val="center"/>
          </w:tcPr>
          <w:p w14:paraId="1B8FC5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供应商在</w:t>
            </w:r>
            <w:r>
              <w:rPr>
                <w:rFonts w:hint="eastAsia" w:ascii="宋体" w:hAnsi="宋体" w:eastAsia="宋体" w:cs="宋体"/>
                <w:i w:val="0"/>
                <w:iCs w:val="0"/>
                <w:color w:val="auto"/>
                <w:sz w:val="21"/>
                <w:szCs w:val="21"/>
                <w:highlight w:val="none"/>
              </w:rPr>
              <w:t>此处填写</w:t>
            </w:r>
            <w:r>
              <w:rPr>
                <w:rFonts w:hint="eastAsia" w:ascii="宋体" w:hAnsi="宋体" w:eastAsia="宋体" w:cs="宋体"/>
                <w:i w:val="0"/>
                <w:iCs w:val="0"/>
                <w:color w:val="auto"/>
                <w:sz w:val="21"/>
                <w:szCs w:val="21"/>
                <w:highlight w:val="none"/>
                <w:lang w:eastAsia="zh-CN"/>
              </w:rPr>
              <w:t>响应</w:t>
            </w:r>
            <w:r>
              <w:rPr>
                <w:rFonts w:hint="eastAsia" w:ascii="宋体" w:hAnsi="宋体" w:eastAsia="宋体" w:cs="宋体"/>
                <w:i w:val="0"/>
                <w:iCs w:val="0"/>
                <w:color w:val="auto"/>
                <w:sz w:val="21"/>
                <w:szCs w:val="21"/>
                <w:highlight w:val="none"/>
                <w:lang w:val="en-US" w:eastAsia="zh-CN"/>
              </w:rPr>
              <w:t>文件的相关内容</w:t>
            </w:r>
            <w:r>
              <w:rPr>
                <w:rFonts w:hint="eastAsia" w:ascii="宋体" w:hAnsi="宋体" w:eastAsia="宋体" w:cs="宋体"/>
                <w:i w:val="0"/>
                <w:iCs w:val="0"/>
                <w:color w:val="auto"/>
                <w:sz w:val="21"/>
                <w:szCs w:val="21"/>
                <w:highlight w:val="none"/>
                <w:lang w:eastAsia="zh-CN"/>
              </w:rPr>
              <w:t>】</w:t>
            </w:r>
          </w:p>
        </w:tc>
        <w:tc>
          <w:tcPr>
            <w:tcW w:w="400" w:type="pct"/>
            <w:noWrap w:val="0"/>
            <w:vAlign w:val="center"/>
          </w:tcPr>
          <w:p w14:paraId="7AC0423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160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20" w:type="pct"/>
            <w:noWrap w:val="0"/>
            <w:vAlign w:val="center"/>
          </w:tcPr>
          <w:p w14:paraId="501E13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306" w:type="pct"/>
            <w:noWrap w:val="0"/>
            <w:vAlign w:val="center"/>
          </w:tcPr>
          <w:p w14:paraId="53A4764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服务期</w:t>
            </w:r>
          </w:p>
        </w:tc>
        <w:tc>
          <w:tcPr>
            <w:tcW w:w="1748" w:type="pct"/>
            <w:noWrap w:val="0"/>
            <w:vAlign w:val="center"/>
          </w:tcPr>
          <w:p w14:paraId="0AAF3A8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签订合同生效之日起一年。</w:t>
            </w:r>
          </w:p>
        </w:tc>
        <w:tc>
          <w:tcPr>
            <w:tcW w:w="1123" w:type="pct"/>
            <w:noWrap w:val="0"/>
            <w:vAlign w:val="center"/>
          </w:tcPr>
          <w:p w14:paraId="0ED460E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400" w:type="pct"/>
            <w:noWrap w:val="0"/>
            <w:vAlign w:val="center"/>
          </w:tcPr>
          <w:p w14:paraId="79B8A0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6CBB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420" w:type="pct"/>
            <w:noWrap w:val="0"/>
            <w:vAlign w:val="center"/>
          </w:tcPr>
          <w:p w14:paraId="28CC6CF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1306" w:type="pct"/>
            <w:noWrap w:val="0"/>
            <w:vAlign w:val="center"/>
          </w:tcPr>
          <w:p w14:paraId="1C9AFC6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i w:val="0"/>
                <w:iCs w:val="0"/>
                <w:snapToGrid w:val="0"/>
                <w:color w:val="auto"/>
                <w:sz w:val="24"/>
                <w:szCs w:val="24"/>
                <w:highlight w:val="none"/>
                <w:lang w:val="en-US" w:eastAsia="zh-CN"/>
              </w:rPr>
              <w:t>服务地点</w:t>
            </w:r>
          </w:p>
        </w:tc>
        <w:tc>
          <w:tcPr>
            <w:tcW w:w="1748" w:type="pct"/>
            <w:noWrap w:val="0"/>
            <w:vAlign w:val="center"/>
          </w:tcPr>
          <w:p w14:paraId="46223A2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新疆图木舒克市滨河大道16号融媒体中心食堂 </w:t>
            </w:r>
          </w:p>
        </w:tc>
        <w:tc>
          <w:tcPr>
            <w:tcW w:w="1123" w:type="pct"/>
            <w:noWrap w:val="0"/>
            <w:vAlign w:val="center"/>
          </w:tcPr>
          <w:p w14:paraId="5A56FEB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400" w:type="pct"/>
            <w:noWrap w:val="0"/>
            <w:vAlign w:val="center"/>
          </w:tcPr>
          <w:p w14:paraId="135B649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2F3F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20" w:type="pct"/>
            <w:noWrap w:val="0"/>
            <w:vAlign w:val="center"/>
          </w:tcPr>
          <w:p w14:paraId="3FE9665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1306" w:type="pct"/>
            <w:noWrap w:val="0"/>
            <w:vAlign w:val="center"/>
          </w:tcPr>
          <w:p w14:paraId="6695762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i w:val="0"/>
                <w:iCs w:val="0"/>
                <w:snapToGrid w:val="0"/>
                <w:color w:val="auto"/>
                <w:sz w:val="24"/>
                <w:szCs w:val="24"/>
                <w:highlight w:val="none"/>
                <w:lang w:val="en-US" w:eastAsia="zh-CN"/>
              </w:rPr>
              <w:t>付款条件（进度和方式）</w:t>
            </w:r>
          </w:p>
        </w:tc>
        <w:tc>
          <w:tcPr>
            <w:tcW w:w="1748" w:type="pct"/>
            <w:noWrap w:val="0"/>
            <w:vAlign w:val="center"/>
          </w:tcPr>
          <w:p w14:paraId="5FCDF23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按月付款制，分12个月支付完成按月付款制，支付款为1/12（按月进行考核，考核中发生的扣罚款费用从当月扣除，每月应支付的最终费用由成交供应商向采购人提出书面付款申请，经采购人确认后提供发票支付）</w:t>
            </w:r>
          </w:p>
        </w:tc>
        <w:tc>
          <w:tcPr>
            <w:tcW w:w="1123" w:type="pct"/>
            <w:noWrap w:val="0"/>
            <w:vAlign w:val="center"/>
          </w:tcPr>
          <w:p w14:paraId="56E63EA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400" w:type="pct"/>
            <w:noWrap w:val="0"/>
            <w:vAlign w:val="center"/>
          </w:tcPr>
          <w:p w14:paraId="3CC63F8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2BAD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20" w:type="pct"/>
            <w:noWrap w:val="0"/>
            <w:vAlign w:val="center"/>
          </w:tcPr>
          <w:p w14:paraId="727A18F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1306" w:type="pct"/>
            <w:noWrap w:val="0"/>
            <w:vAlign w:val="center"/>
          </w:tcPr>
          <w:p w14:paraId="20EF89D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售后服务</w:t>
            </w:r>
          </w:p>
        </w:tc>
        <w:tc>
          <w:tcPr>
            <w:tcW w:w="1748" w:type="pct"/>
            <w:noWrap w:val="0"/>
            <w:vAlign w:val="center"/>
          </w:tcPr>
          <w:p w14:paraId="2C049B5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签订合同生效之日起一年。</w:t>
            </w:r>
          </w:p>
        </w:tc>
        <w:tc>
          <w:tcPr>
            <w:tcW w:w="1123" w:type="pct"/>
            <w:noWrap w:val="0"/>
            <w:vAlign w:val="center"/>
          </w:tcPr>
          <w:p w14:paraId="419B9AA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400" w:type="pct"/>
            <w:noWrap w:val="0"/>
            <w:vAlign w:val="center"/>
          </w:tcPr>
          <w:p w14:paraId="5A561DC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r w14:paraId="578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20" w:type="pct"/>
            <w:noWrap w:val="0"/>
            <w:vAlign w:val="center"/>
          </w:tcPr>
          <w:p w14:paraId="1BF7767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1306" w:type="pct"/>
            <w:noWrap w:val="0"/>
            <w:vAlign w:val="center"/>
          </w:tcPr>
          <w:p w14:paraId="744B405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1"/>
                <w:szCs w:val="21"/>
                <w:highlight w:val="none"/>
              </w:rPr>
            </w:pPr>
            <w:r>
              <w:rPr>
                <w:rFonts w:hint="eastAsia"/>
                <w:i w:val="0"/>
                <w:iCs w:val="0"/>
                <w:snapToGrid w:val="0"/>
                <w:color w:val="auto"/>
                <w:sz w:val="24"/>
                <w:szCs w:val="24"/>
                <w:highlight w:val="none"/>
                <w:lang w:val="en-US" w:eastAsia="zh-CN"/>
              </w:rPr>
              <w:t>处罚要求</w:t>
            </w:r>
          </w:p>
        </w:tc>
        <w:tc>
          <w:tcPr>
            <w:tcW w:w="1748" w:type="pct"/>
            <w:noWrap w:val="0"/>
            <w:vAlign w:val="center"/>
          </w:tcPr>
          <w:p w14:paraId="1E3501D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如果有发生投诉情况，核对事实确认无误后，一次扣罚500元，罚款次数不设限制，从当月费用中扣除。</w:t>
            </w:r>
          </w:p>
        </w:tc>
        <w:tc>
          <w:tcPr>
            <w:tcW w:w="1123" w:type="pct"/>
            <w:noWrap w:val="0"/>
            <w:vAlign w:val="center"/>
          </w:tcPr>
          <w:p w14:paraId="2A85F15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c>
          <w:tcPr>
            <w:tcW w:w="400" w:type="pct"/>
            <w:noWrap w:val="0"/>
            <w:vAlign w:val="center"/>
          </w:tcPr>
          <w:p w14:paraId="61702B2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sz w:val="21"/>
                <w:szCs w:val="21"/>
                <w:highlight w:val="none"/>
              </w:rPr>
            </w:pPr>
          </w:p>
        </w:tc>
      </w:tr>
    </w:tbl>
    <w:p w14:paraId="392483E7">
      <w:pPr>
        <w:rPr>
          <w:rFonts w:hint="eastAsia"/>
          <w:i w:val="0"/>
          <w:iCs w:val="0"/>
          <w:color w:val="auto"/>
          <w:highlight w:val="none"/>
          <w:lang w:val="en-US" w:eastAsia="zh-CN"/>
        </w:rPr>
      </w:pPr>
    </w:p>
    <w:p w14:paraId="60F395A4">
      <w:pPr>
        <w:pStyle w:val="2"/>
        <w:rPr>
          <w:rFonts w:hint="eastAsia"/>
          <w:lang w:val="en-US" w:eastAsia="zh-CN"/>
        </w:rPr>
      </w:pPr>
    </w:p>
    <w:p w14:paraId="4BDA3E50">
      <w:pPr>
        <w:pStyle w:val="5"/>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484" w:name="_Toc19982"/>
    </w:p>
    <w:p w14:paraId="3D420025">
      <w:pPr>
        <w:pStyle w:val="5"/>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zh-CN" w:eastAsia="zh-CN" w:bidi="ar-SA"/>
        </w:rPr>
      </w:pPr>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zh-CN" w:eastAsia="zh-CN" w:bidi="ar-SA"/>
        </w:rPr>
        <w:t>评分标准</w:t>
      </w:r>
      <w:bookmarkEnd w:id="482"/>
      <w:bookmarkEnd w:id="484"/>
    </w:p>
    <w:tbl>
      <w:tblPr>
        <w:tblStyle w:val="35"/>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59"/>
        <w:gridCol w:w="921"/>
        <w:gridCol w:w="1493"/>
        <w:gridCol w:w="5544"/>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413" w:type="pct"/>
            <w:shd w:val="clear" w:color="auto" w:fill="D8D8D8" w:themeFill="background1" w:themeFillShade="D9"/>
            <w:vAlign w:val="center"/>
          </w:tcPr>
          <w:p w14:paraId="4924CA4E">
            <w:pPr>
              <w:pStyle w:val="52"/>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评标项目</w:t>
            </w:r>
          </w:p>
        </w:tc>
        <w:tc>
          <w:tcPr>
            <w:tcW w:w="840" w:type="pct"/>
            <w:gridSpan w:val="2"/>
            <w:shd w:val="clear" w:color="auto" w:fill="D8D8D8" w:themeFill="background1" w:themeFillShade="D9"/>
            <w:vAlign w:val="center"/>
          </w:tcPr>
          <w:p w14:paraId="7A3DCB70">
            <w:pPr>
              <w:pStyle w:val="52"/>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评标分项</w:t>
            </w:r>
          </w:p>
        </w:tc>
        <w:tc>
          <w:tcPr>
            <w:tcW w:w="795" w:type="pct"/>
            <w:shd w:val="clear" w:color="auto" w:fill="D8D8D8" w:themeFill="background1" w:themeFillShade="D9"/>
            <w:vAlign w:val="center"/>
          </w:tcPr>
          <w:p w14:paraId="65B86E0D">
            <w:pPr>
              <w:pStyle w:val="52"/>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分值</w:t>
            </w:r>
          </w:p>
        </w:tc>
        <w:tc>
          <w:tcPr>
            <w:tcW w:w="2950" w:type="pct"/>
            <w:shd w:val="clear" w:color="auto" w:fill="D8D8D8" w:themeFill="background1" w:themeFillShade="D9"/>
            <w:vAlign w:val="center"/>
          </w:tcPr>
          <w:p w14:paraId="467A385D">
            <w:pPr>
              <w:pStyle w:val="52"/>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413" w:type="pct"/>
            <w:vAlign w:val="center"/>
          </w:tcPr>
          <w:p w14:paraId="3C480381">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价格部分</w:t>
            </w:r>
          </w:p>
          <w:p w14:paraId="375F38AD">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p>
        </w:tc>
        <w:tc>
          <w:tcPr>
            <w:tcW w:w="840" w:type="pct"/>
            <w:gridSpan w:val="2"/>
            <w:tcBorders>
              <w:bottom w:val="single" w:color="auto" w:sz="4" w:space="0"/>
            </w:tcBorders>
            <w:vAlign w:val="center"/>
          </w:tcPr>
          <w:p w14:paraId="7C2CA7B7">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w:t>
            </w:r>
          </w:p>
        </w:tc>
        <w:tc>
          <w:tcPr>
            <w:tcW w:w="795" w:type="pct"/>
            <w:vAlign w:val="center"/>
          </w:tcPr>
          <w:p w14:paraId="036F3EE6">
            <w:pPr>
              <w:pStyle w:val="52"/>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（最低</w:t>
            </w:r>
            <w:r>
              <w:rPr>
                <w:rFonts w:hint="eastAsia"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lang w:val="en-US" w:eastAsia="zh-CN"/>
              </w:rPr>
              <w:t>—最高30分）</w:t>
            </w:r>
          </w:p>
        </w:tc>
        <w:tc>
          <w:tcPr>
            <w:tcW w:w="2950" w:type="pct"/>
            <w:vAlign w:val="center"/>
          </w:tcPr>
          <w:p w14:paraId="677276CA">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满足竞争性磋商文件要求且</w:t>
            </w: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报价最低的报价为评审基准价，其价格分为满分。其他供应商的价格分统一按照下列公式计算：</w:t>
            </w:r>
          </w:p>
          <w:p w14:paraId="3D9AC4AA">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报价得分=</w:t>
            </w:r>
            <w:r>
              <w:rPr>
                <w:rFonts w:hint="eastAsia" w:ascii="宋体" w:hAnsi="宋体" w:eastAsia="宋体" w:cs="宋体"/>
                <w:i w:val="0"/>
                <w:iCs w:val="0"/>
                <w:color w:val="auto"/>
                <w:sz w:val="21"/>
                <w:szCs w:val="21"/>
                <w:highlight w:val="none"/>
                <w:lang w:val="zh-CN"/>
              </w:rPr>
              <w:t>（磋商基准价/最后磋商报价）</w:t>
            </w:r>
            <w:r>
              <w:rPr>
                <w:rFonts w:hint="eastAsia" w:ascii="宋体" w:hAnsi="宋体" w:eastAsia="宋体" w:cs="宋体"/>
                <w:i w:val="0"/>
                <w:iCs w:val="0"/>
                <w:color w:val="auto"/>
                <w:sz w:val="21"/>
                <w:szCs w:val="21"/>
                <w:highlight w:val="none"/>
              </w:rPr>
              <w:t>×价格分值</w:t>
            </w:r>
          </w:p>
          <w:p w14:paraId="342BBBBC">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本项目整体专门面向</w:t>
            </w:r>
            <w:r>
              <w:rPr>
                <w:rFonts w:hint="eastAsia" w:cs="宋体"/>
                <w:i w:val="0"/>
                <w:iCs w:val="0"/>
                <w:color w:val="auto"/>
                <w:sz w:val="21"/>
                <w:szCs w:val="21"/>
                <w:highlight w:val="none"/>
                <w:lang w:val="en-US" w:eastAsia="zh-CN"/>
              </w:rPr>
              <w:t>中</w:t>
            </w:r>
            <w:r>
              <w:rPr>
                <w:rFonts w:hint="eastAsia" w:ascii="宋体" w:hAnsi="宋体" w:eastAsia="宋体" w:cs="宋体"/>
                <w:i w:val="0"/>
                <w:iCs w:val="0"/>
                <w:color w:val="auto"/>
                <w:sz w:val="21"/>
                <w:szCs w:val="21"/>
                <w:highlight w:val="none"/>
                <w:lang w:val="en-US" w:eastAsia="zh-CN"/>
              </w:rPr>
              <w:t>小企业采购，不再执行“价格评审优惠”的扶持政策。</w:t>
            </w:r>
          </w:p>
          <w:p w14:paraId="471338C7">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为了遏制恶意竞标,确保采购需求和科学择优,依据财政部第87号令第六十条规定,评标委员会认为投标人的报价明显低于其他通过符合性审查投标人的报价,有可能影响产品质量或者不能诚信履约的,必须在评标现场合理的时间内提供成本构成说明、相关证明材料原件、保证按招标文件项目需求提供的承诺书,否则按无效投标处理。</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3" w:type="pct"/>
            <w:vMerge w:val="restart"/>
            <w:vAlign w:val="center"/>
          </w:tcPr>
          <w:p w14:paraId="0EA62830">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商务部分</w:t>
            </w:r>
          </w:p>
          <w:p w14:paraId="6C0619A6">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p>
        </w:tc>
        <w:tc>
          <w:tcPr>
            <w:tcW w:w="840" w:type="pct"/>
            <w:gridSpan w:val="2"/>
            <w:tcBorders>
              <w:top w:val="single" w:color="auto" w:sz="4" w:space="0"/>
            </w:tcBorders>
            <w:vAlign w:val="center"/>
          </w:tcPr>
          <w:p w14:paraId="7B47B92D">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服务能力与承诺</w:t>
            </w:r>
          </w:p>
        </w:tc>
        <w:tc>
          <w:tcPr>
            <w:tcW w:w="795" w:type="pct"/>
            <w:vAlign w:val="center"/>
          </w:tcPr>
          <w:p w14:paraId="4E7EA155">
            <w:pPr>
              <w:pStyle w:val="52"/>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val="en-US" w:eastAsia="zh-CN"/>
              </w:rPr>
              <w:t>分</w:t>
            </w:r>
          </w:p>
        </w:tc>
        <w:tc>
          <w:tcPr>
            <w:tcW w:w="2950" w:type="pct"/>
            <w:vAlign w:val="center"/>
          </w:tcPr>
          <w:p w14:paraId="2A60ED85">
            <w:pPr>
              <w:pStyle w:val="52"/>
              <w:numPr>
                <w:ilvl w:val="0"/>
                <w:numId w:val="0"/>
              </w:num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1、供应商提供完整可行的服务理念、服务目标，承诺中标后服从采购人管理、听从采购人安排并接受其提出的改正要求并按其要求履行的得4分。</w:t>
            </w:r>
          </w:p>
          <w:p w14:paraId="49B7FE43">
            <w:pPr>
              <w:pStyle w:val="52"/>
              <w:numPr>
                <w:ilvl w:val="0"/>
                <w:numId w:val="0"/>
              </w:num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2、供应商体现自身与实际相结合的服务优势得</w:t>
            </w: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分。</w:t>
            </w:r>
          </w:p>
          <w:p w14:paraId="5D54AC5A">
            <w:pPr>
              <w:pStyle w:val="52"/>
              <w:numPr>
                <w:ilvl w:val="0"/>
                <w:numId w:val="0"/>
              </w:num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3、供应商拥有完善可行的服务质量体系保障的得</w:t>
            </w: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分。</w:t>
            </w:r>
          </w:p>
          <w:p w14:paraId="5B09BBD9">
            <w:pPr>
              <w:pStyle w:val="52"/>
              <w:numPr>
                <w:ilvl w:val="0"/>
                <w:numId w:val="0"/>
              </w:num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4、承诺提供对不符合采购单位要求的产品在两小时内响应并处理完成的得2分。</w:t>
            </w:r>
          </w:p>
          <w:p w14:paraId="333362D4">
            <w:pPr>
              <w:pStyle w:val="52"/>
              <w:numPr>
                <w:ilvl w:val="0"/>
                <w:numId w:val="0"/>
              </w:num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注：经评审每缺项漏项或每有一项方案内容与项目不符或不完整的扣1分，扣完为止，未提供者不得分。</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13" w:type="pct"/>
            <w:vMerge w:val="continue"/>
            <w:vAlign w:val="center"/>
          </w:tcPr>
          <w:p w14:paraId="052C663E">
            <w:pPr>
              <w:pStyle w:val="52"/>
              <w:jc w:val="center"/>
              <w:rPr>
                <w:rFonts w:hint="eastAsia" w:ascii="宋体" w:hAnsi="宋体" w:eastAsia="宋体" w:cs="宋体"/>
                <w:i w:val="0"/>
                <w:iCs w:val="0"/>
                <w:color w:val="auto"/>
                <w:sz w:val="21"/>
                <w:szCs w:val="21"/>
                <w:highlight w:val="none"/>
              </w:rPr>
            </w:pPr>
          </w:p>
        </w:tc>
        <w:tc>
          <w:tcPr>
            <w:tcW w:w="351" w:type="pct"/>
            <w:vMerge w:val="restart"/>
            <w:tcBorders>
              <w:top w:val="single" w:color="auto" w:sz="4" w:space="0"/>
            </w:tcBorders>
            <w:vAlign w:val="center"/>
          </w:tcPr>
          <w:p w14:paraId="659F19DD">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履约能力</w:t>
            </w:r>
          </w:p>
        </w:tc>
        <w:tc>
          <w:tcPr>
            <w:tcW w:w="489" w:type="pct"/>
            <w:tcBorders>
              <w:top w:val="single" w:color="auto" w:sz="4" w:space="0"/>
            </w:tcBorders>
            <w:vAlign w:val="center"/>
          </w:tcPr>
          <w:p w14:paraId="460AF2C5">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业绩</w:t>
            </w:r>
          </w:p>
        </w:tc>
        <w:tc>
          <w:tcPr>
            <w:tcW w:w="795" w:type="pct"/>
            <w:vAlign w:val="center"/>
          </w:tcPr>
          <w:p w14:paraId="628FC415">
            <w:pPr>
              <w:pStyle w:val="52"/>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分</w:t>
            </w:r>
          </w:p>
        </w:tc>
        <w:tc>
          <w:tcPr>
            <w:tcW w:w="2950" w:type="pct"/>
            <w:vAlign w:val="center"/>
          </w:tcPr>
          <w:p w14:paraId="1CAA3B77">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供应商自202</w:t>
            </w: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年1月1日至投标响应截止时间，每提供一项该项目类似业绩的得1分，最高得5分。（须提供中标成交通知书或合同（或协议书）原件扫描件加盖供应商公章。未按要求提供证明材料的不得分;提供的证明文件未显示日期或未显示项目名称,则该合同视为无效业绩,不予以得分。）</w:t>
            </w:r>
          </w:p>
        </w:tc>
      </w:tr>
      <w:tr w14:paraId="5E37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13" w:type="pct"/>
            <w:vMerge w:val="continue"/>
            <w:vAlign w:val="center"/>
          </w:tcPr>
          <w:p w14:paraId="68DD28AD">
            <w:pPr>
              <w:pStyle w:val="52"/>
              <w:jc w:val="center"/>
              <w:rPr>
                <w:rFonts w:hint="eastAsia" w:ascii="宋体" w:hAnsi="宋体" w:eastAsia="宋体" w:cs="宋体"/>
                <w:i w:val="0"/>
                <w:iCs w:val="0"/>
                <w:color w:val="auto"/>
                <w:sz w:val="21"/>
                <w:szCs w:val="21"/>
                <w:highlight w:val="none"/>
              </w:rPr>
            </w:pPr>
          </w:p>
        </w:tc>
        <w:tc>
          <w:tcPr>
            <w:tcW w:w="351" w:type="pct"/>
            <w:vMerge w:val="continue"/>
            <w:vAlign w:val="center"/>
          </w:tcPr>
          <w:p w14:paraId="4948F600">
            <w:pPr>
              <w:pStyle w:val="52"/>
              <w:jc w:val="center"/>
              <w:rPr>
                <w:rFonts w:hint="eastAsia" w:ascii="宋体" w:hAnsi="宋体" w:eastAsia="宋体" w:cs="宋体"/>
                <w:i w:val="0"/>
                <w:iCs w:val="0"/>
                <w:color w:val="auto"/>
                <w:sz w:val="21"/>
                <w:szCs w:val="21"/>
                <w:highlight w:val="none"/>
              </w:rPr>
            </w:pPr>
          </w:p>
        </w:tc>
        <w:tc>
          <w:tcPr>
            <w:tcW w:w="489" w:type="pct"/>
            <w:tcBorders>
              <w:top w:val="single" w:color="auto" w:sz="4" w:space="0"/>
            </w:tcBorders>
            <w:vAlign w:val="center"/>
          </w:tcPr>
          <w:p w14:paraId="0232849C">
            <w:pPr>
              <w:pStyle w:val="52"/>
              <w:jc w:val="center"/>
              <w:rPr>
                <w:rFonts w:hint="default" w:ascii="宋体" w:hAnsi="宋体" w:eastAsia="宋体" w:cs="宋体"/>
                <w:i w:val="0"/>
                <w:iCs w:val="0"/>
                <w:color w:val="auto"/>
                <w:sz w:val="21"/>
                <w:szCs w:val="21"/>
                <w:highlight w:val="none"/>
                <w:lang w:val="en-US"/>
              </w:rPr>
            </w:pPr>
            <w:r>
              <w:rPr>
                <w:rFonts w:hint="default" w:ascii="宋体" w:hAnsi="宋体" w:eastAsia="宋体" w:cs="宋体"/>
                <w:i w:val="0"/>
                <w:iCs w:val="0"/>
                <w:color w:val="auto"/>
                <w:sz w:val="21"/>
                <w:szCs w:val="21"/>
                <w:highlight w:val="none"/>
                <w:lang w:val="en-US" w:eastAsia="en-US"/>
              </w:rPr>
              <w:t>项目管理负责人</w:t>
            </w:r>
          </w:p>
        </w:tc>
        <w:tc>
          <w:tcPr>
            <w:tcW w:w="795" w:type="pct"/>
            <w:vAlign w:val="center"/>
          </w:tcPr>
          <w:p w14:paraId="5BCC7C00">
            <w:pPr>
              <w:pStyle w:val="52"/>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val="en-US" w:eastAsia="zh-CN"/>
              </w:rPr>
              <w:t>分</w:t>
            </w:r>
          </w:p>
        </w:tc>
        <w:tc>
          <w:tcPr>
            <w:tcW w:w="2950" w:type="pct"/>
            <w:vAlign w:val="center"/>
          </w:tcPr>
          <w:p w14:paraId="56EF4027">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en-US"/>
              </w:rPr>
              <w:t>（1名及以上）具备餐饮管理协调的能力，具有从事饮食行业、集体大型食堂管理工作经验3年（含）以上得4分，1年（含）－2年（含）得2分，其他情况不得分。注：1.提供有效劳务合同、社保证明材料；2.提供从业期间服务单位的证明材料，明确服务内容及时间。</w:t>
            </w:r>
          </w:p>
        </w:tc>
      </w:tr>
      <w:tr w14:paraId="08C0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13" w:type="pct"/>
            <w:vMerge w:val="continue"/>
            <w:vAlign w:val="center"/>
          </w:tcPr>
          <w:p w14:paraId="2BF6AC8B">
            <w:pPr>
              <w:pStyle w:val="52"/>
              <w:jc w:val="center"/>
              <w:rPr>
                <w:rFonts w:hint="eastAsia" w:ascii="宋体" w:hAnsi="宋体" w:eastAsia="宋体" w:cs="宋体"/>
                <w:i w:val="0"/>
                <w:iCs w:val="0"/>
                <w:color w:val="auto"/>
                <w:sz w:val="21"/>
                <w:szCs w:val="21"/>
                <w:highlight w:val="none"/>
              </w:rPr>
            </w:pPr>
          </w:p>
        </w:tc>
        <w:tc>
          <w:tcPr>
            <w:tcW w:w="351" w:type="pct"/>
            <w:vMerge w:val="continue"/>
            <w:vAlign w:val="center"/>
          </w:tcPr>
          <w:p w14:paraId="26441D7B">
            <w:pPr>
              <w:pStyle w:val="52"/>
              <w:jc w:val="center"/>
              <w:rPr>
                <w:rFonts w:hint="eastAsia" w:ascii="宋体" w:hAnsi="宋体" w:eastAsia="宋体" w:cs="宋体"/>
                <w:i w:val="0"/>
                <w:iCs w:val="0"/>
                <w:color w:val="auto"/>
                <w:sz w:val="21"/>
                <w:szCs w:val="21"/>
                <w:highlight w:val="none"/>
              </w:rPr>
            </w:pPr>
          </w:p>
        </w:tc>
        <w:tc>
          <w:tcPr>
            <w:tcW w:w="489" w:type="pct"/>
            <w:tcBorders>
              <w:top w:val="single" w:color="auto" w:sz="4" w:space="0"/>
            </w:tcBorders>
            <w:vAlign w:val="center"/>
          </w:tcPr>
          <w:p w14:paraId="5E944A44">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人员配备情况</w:t>
            </w:r>
          </w:p>
          <w:p w14:paraId="6883F71E">
            <w:pPr>
              <w:pStyle w:val="52"/>
              <w:jc w:val="center"/>
              <w:rPr>
                <w:rFonts w:hint="eastAsia" w:cs="宋体"/>
                <w:i w:val="0"/>
                <w:iCs w:val="0"/>
                <w:color w:val="auto"/>
                <w:sz w:val="21"/>
                <w:szCs w:val="21"/>
                <w:highlight w:val="none"/>
                <w:lang w:val="en-US" w:eastAsia="zh-CN"/>
              </w:rPr>
            </w:pPr>
          </w:p>
        </w:tc>
        <w:tc>
          <w:tcPr>
            <w:tcW w:w="795" w:type="pct"/>
            <w:vAlign w:val="center"/>
          </w:tcPr>
          <w:p w14:paraId="32D5CAD4">
            <w:pPr>
              <w:pStyle w:val="52"/>
              <w:jc w:val="center"/>
              <w:rPr>
                <w:rFonts w:hint="default"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8分</w:t>
            </w:r>
          </w:p>
        </w:tc>
        <w:tc>
          <w:tcPr>
            <w:tcW w:w="2950" w:type="pct"/>
            <w:vAlign w:val="center"/>
          </w:tcPr>
          <w:p w14:paraId="281EF8C3">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①人员配备充足、合理、满足就餐需求（食堂管理员1人、厨师2人、面点师1人、服务员（帮厨）2人、洗刷工1人、保洁员1人）的得8分；拟派所有人员需持证（健康证）上岗（厨师需</w:t>
            </w:r>
            <w:bookmarkStart w:id="749" w:name="_GoBack"/>
            <w:bookmarkEnd w:id="749"/>
            <w:r>
              <w:rPr>
                <w:rFonts w:hint="eastAsia" w:ascii="宋体" w:hAnsi="宋体" w:eastAsia="宋体" w:cs="宋体"/>
                <w:i w:val="0"/>
                <w:iCs w:val="0"/>
                <w:color w:val="auto"/>
                <w:sz w:val="21"/>
                <w:szCs w:val="21"/>
                <w:highlight w:val="none"/>
                <w:lang w:val="en-US" w:eastAsia="zh-CN"/>
              </w:rPr>
              <w:t>有厨师证、驾驶员需有驾驶证），拟派所有人员两证提供齐全的得分，证件不齐全的不得分。</w:t>
            </w:r>
          </w:p>
        </w:tc>
      </w:tr>
      <w:tr w14:paraId="719E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13" w:type="pct"/>
            <w:vMerge w:val="continue"/>
            <w:vAlign w:val="center"/>
          </w:tcPr>
          <w:p w14:paraId="6065DE07">
            <w:pPr>
              <w:pStyle w:val="52"/>
              <w:jc w:val="center"/>
              <w:rPr>
                <w:rFonts w:hint="eastAsia" w:ascii="宋体" w:hAnsi="宋体" w:eastAsia="宋体" w:cs="宋体"/>
                <w:i w:val="0"/>
                <w:iCs w:val="0"/>
                <w:color w:val="auto"/>
                <w:sz w:val="21"/>
                <w:szCs w:val="21"/>
                <w:highlight w:val="none"/>
              </w:rPr>
            </w:pPr>
          </w:p>
        </w:tc>
        <w:tc>
          <w:tcPr>
            <w:tcW w:w="351" w:type="pct"/>
            <w:vMerge w:val="continue"/>
            <w:vAlign w:val="center"/>
          </w:tcPr>
          <w:p w14:paraId="50C13608">
            <w:pPr>
              <w:pStyle w:val="52"/>
              <w:jc w:val="center"/>
              <w:rPr>
                <w:rFonts w:hint="eastAsia" w:ascii="宋体" w:hAnsi="宋体" w:eastAsia="宋体" w:cs="宋体"/>
                <w:i w:val="0"/>
                <w:iCs w:val="0"/>
                <w:color w:val="auto"/>
                <w:sz w:val="21"/>
                <w:szCs w:val="21"/>
                <w:highlight w:val="none"/>
              </w:rPr>
            </w:pPr>
          </w:p>
        </w:tc>
        <w:tc>
          <w:tcPr>
            <w:tcW w:w="489" w:type="pct"/>
            <w:tcBorders>
              <w:top w:val="single" w:color="auto" w:sz="4" w:space="0"/>
            </w:tcBorders>
            <w:vAlign w:val="center"/>
          </w:tcPr>
          <w:p w14:paraId="33B568C2">
            <w:pPr>
              <w:pStyle w:val="52"/>
              <w:jc w:val="center"/>
              <w:rPr>
                <w:rFonts w:hint="eastAsia"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企业信誉</w:t>
            </w:r>
          </w:p>
        </w:tc>
        <w:tc>
          <w:tcPr>
            <w:tcW w:w="795" w:type="pct"/>
            <w:vAlign w:val="center"/>
          </w:tcPr>
          <w:p w14:paraId="1D6494D1">
            <w:pPr>
              <w:pStyle w:val="52"/>
              <w:jc w:val="center"/>
              <w:rPr>
                <w:rFonts w:hint="default"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3分</w:t>
            </w:r>
          </w:p>
        </w:tc>
        <w:tc>
          <w:tcPr>
            <w:tcW w:w="2950" w:type="pct"/>
            <w:vAlign w:val="center"/>
          </w:tcPr>
          <w:p w14:paraId="094F554A">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具有良好的企业信誉（无违纪违法记录），生产经营期间近两年内无食品安全事故发生的得</w:t>
            </w:r>
            <w:r>
              <w:rPr>
                <w:rFonts w:hint="eastAsia"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val="en-US" w:eastAsia="zh-CN"/>
              </w:rPr>
              <w:t>分；有违纪违法记录、近两年内发生食品安全事故的不得分。</w:t>
            </w:r>
          </w:p>
          <w:p w14:paraId="5882F8FD">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注：需提供加盖公章的相关证明文件或承诺函，否则磋商小组不予认可。</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3" w:type="pct"/>
            <w:vMerge w:val="restart"/>
            <w:vAlign w:val="center"/>
          </w:tcPr>
          <w:p w14:paraId="009533AC">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技术部分</w:t>
            </w:r>
          </w:p>
          <w:p w14:paraId="3C5A6CF4">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cs="宋体"/>
                <w:i w:val="0"/>
                <w:iCs w:val="0"/>
                <w:color w:val="auto"/>
                <w:sz w:val="21"/>
                <w:szCs w:val="21"/>
                <w:highlight w:val="none"/>
                <w:lang w:val="en-US" w:eastAsia="zh-CN"/>
              </w:rPr>
              <w:t>40</w:t>
            </w:r>
            <w:r>
              <w:rPr>
                <w:rFonts w:hint="eastAsia" w:ascii="宋体" w:hAnsi="宋体" w:eastAsia="宋体" w:cs="宋体"/>
                <w:i w:val="0"/>
                <w:iCs w:val="0"/>
                <w:color w:val="auto"/>
                <w:sz w:val="21"/>
                <w:szCs w:val="21"/>
                <w:highlight w:val="none"/>
              </w:rPr>
              <w:t>分）</w:t>
            </w:r>
          </w:p>
        </w:tc>
        <w:tc>
          <w:tcPr>
            <w:tcW w:w="840" w:type="pct"/>
            <w:gridSpan w:val="2"/>
            <w:tcBorders>
              <w:top w:val="single" w:color="auto" w:sz="4" w:space="0"/>
            </w:tcBorders>
            <w:vAlign w:val="center"/>
          </w:tcPr>
          <w:p w14:paraId="1ECFDBB7">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食品原材料品种及质量要求</w:t>
            </w:r>
          </w:p>
        </w:tc>
        <w:tc>
          <w:tcPr>
            <w:tcW w:w="795" w:type="pct"/>
            <w:vAlign w:val="center"/>
          </w:tcPr>
          <w:p w14:paraId="35C961A9">
            <w:pPr>
              <w:pStyle w:val="52"/>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val="en-US" w:eastAsia="zh-CN"/>
              </w:rPr>
              <w:t>分</w:t>
            </w:r>
          </w:p>
        </w:tc>
        <w:tc>
          <w:tcPr>
            <w:tcW w:w="2950" w:type="pct"/>
            <w:vAlign w:val="center"/>
          </w:tcPr>
          <w:p w14:paraId="7D0FFFBA">
            <w:pPr>
              <w:pStyle w:val="52"/>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根据</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eastAsia="zh-CN"/>
              </w:rPr>
              <w:t>提供的实施方案进行评审：</w:t>
            </w:r>
          </w:p>
          <w:p w14:paraId="71C401FE">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满足采购需求、对食品质量保证措施编写内容全面、完整、详细的得10分，每有一项不完整和漏洞、不能满足采购需求的扣2分，扣完本项评分为止，满分10分。注：</w:t>
            </w:r>
            <w:r>
              <w:rPr>
                <w:rFonts w:hint="eastAsia" w:ascii="宋体" w:hAnsi="宋体" w:eastAsia="宋体" w:cs="宋体"/>
                <w:i w:val="0"/>
                <w:iCs w:val="0"/>
                <w:color w:val="auto"/>
                <w:sz w:val="21"/>
                <w:szCs w:val="21"/>
                <w:highlight w:val="none"/>
                <w:lang w:eastAsia="zh-CN"/>
              </w:rPr>
              <w:t>每出现一处不满足或不完善或不符合项目实际情况的根据情况扣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分，扣完为止。</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3" w:type="pct"/>
            <w:vMerge w:val="continue"/>
            <w:vAlign w:val="center"/>
          </w:tcPr>
          <w:p w14:paraId="24E10105">
            <w:pPr>
              <w:pStyle w:val="52"/>
              <w:jc w:val="center"/>
              <w:rPr>
                <w:rFonts w:hint="eastAsia" w:ascii="宋体" w:hAnsi="宋体" w:eastAsia="宋体" w:cs="宋体"/>
                <w:i w:val="0"/>
                <w:iCs w:val="0"/>
                <w:color w:val="auto"/>
                <w:sz w:val="21"/>
                <w:szCs w:val="21"/>
                <w:highlight w:val="none"/>
              </w:rPr>
            </w:pPr>
          </w:p>
        </w:tc>
        <w:tc>
          <w:tcPr>
            <w:tcW w:w="840" w:type="pct"/>
            <w:gridSpan w:val="2"/>
            <w:vAlign w:val="center"/>
          </w:tcPr>
          <w:p w14:paraId="69144E03">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货物的可靠性及安全性保障方案</w:t>
            </w:r>
          </w:p>
        </w:tc>
        <w:tc>
          <w:tcPr>
            <w:tcW w:w="795" w:type="pct"/>
            <w:vAlign w:val="center"/>
          </w:tcPr>
          <w:p w14:paraId="7922AA03">
            <w:pPr>
              <w:pStyle w:val="52"/>
              <w:jc w:val="center"/>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val="en-US" w:eastAsia="zh-CN"/>
              </w:rPr>
              <w:t>分</w:t>
            </w:r>
          </w:p>
        </w:tc>
        <w:tc>
          <w:tcPr>
            <w:tcW w:w="2950" w:type="pct"/>
            <w:vAlign w:val="center"/>
          </w:tcPr>
          <w:p w14:paraId="19DBDAC5">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方案详细全面完善，包括但不限于：（1）进货渠道（2）货源保障（3）货物质量稳定性承诺（4）食品安全保障性（5）交货验收方式等内容。完全满足项目要求、能够顺利实施的每提供一项得2分，满分得10分。</w:t>
            </w:r>
          </w:p>
          <w:p w14:paraId="4853705E">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注：每出现一处不满足或不完善或不符</w:t>
            </w:r>
            <w:r>
              <w:rPr>
                <w:rFonts w:hint="eastAsia" w:ascii="宋体" w:hAnsi="宋体" w:eastAsia="宋体" w:cs="宋体"/>
                <w:i w:val="0"/>
                <w:iCs w:val="0"/>
                <w:color w:val="auto"/>
                <w:sz w:val="21"/>
                <w:szCs w:val="21"/>
                <w:highlight w:val="none"/>
                <w:lang w:eastAsia="zh-CN"/>
              </w:rPr>
              <w:t>合项目实际情况的根据情况扣</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分，扣完为止。</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13" w:type="pct"/>
            <w:vMerge w:val="continue"/>
            <w:vAlign w:val="center"/>
          </w:tcPr>
          <w:p w14:paraId="6BC81CA5">
            <w:pPr>
              <w:pStyle w:val="52"/>
              <w:jc w:val="center"/>
              <w:rPr>
                <w:rFonts w:hint="eastAsia" w:ascii="宋体" w:hAnsi="宋体" w:eastAsia="宋体" w:cs="宋体"/>
                <w:i w:val="0"/>
                <w:iCs w:val="0"/>
                <w:color w:val="auto"/>
                <w:sz w:val="21"/>
                <w:szCs w:val="21"/>
                <w:highlight w:val="none"/>
              </w:rPr>
            </w:pPr>
          </w:p>
        </w:tc>
        <w:tc>
          <w:tcPr>
            <w:tcW w:w="840" w:type="pct"/>
            <w:gridSpan w:val="2"/>
            <w:vAlign w:val="center"/>
          </w:tcPr>
          <w:p w14:paraId="486015B5">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服务保障措施</w:t>
            </w:r>
          </w:p>
        </w:tc>
        <w:tc>
          <w:tcPr>
            <w:tcW w:w="795" w:type="pct"/>
            <w:vAlign w:val="center"/>
          </w:tcPr>
          <w:p w14:paraId="124035BA">
            <w:pPr>
              <w:pStyle w:val="52"/>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val="en-US" w:eastAsia="zh-CN"/>
              </w:rPr>
              <w:t xml:space="preserve">分 </w:t>
            </w:r>
          </w:p>
        </w:tc>
        <w:tc>
          <w:tcPr>
            <w:tcW w:w="2950" w:type="pct"/>
            <w:vAlign w:val="center"/>
          </w:tcPr>
          <w:p w14:paraId="10AB1848">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主要包括卫生管理组织机构、仓储环节质量保证、场所环境卫生管理、设施设备卫生管理、清洗消毒管理、人员卫生管理、人员培训管理、加工操作管理等各类管理制度。每有一项内容不完整或不详细、未能提出解决方案或有明显不足和漏洞的扣1分，扣完本项评分为止，满分8分。</w:t>
            </w:r>
          </w:p>
        </w:tc>
      </w:tr>
      <w:tr w14:paraId="349B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13" w:type="pct"/>
            <w:vMerge w:val="continue"/>
            <w:vAlign w:val="center"/>
          </w:tcPr>
          <w:p w14:paraId="0520050F">
            <w:pPr>
              <w:pStyle w:val="52"/>
              <w:jc w:val="center"/>
              <w:rPr>
                <w:rFonts w:hint="eastAsia" w:ascii="宋体" w:hAnsi="宋体" w:eastAsia="宋体" w:cs="宋体"/>
                <w:i w:val="0"/>
                <w:iCs w:val="0"/>
                <w:color w:val="auto"/>
                <w:sz w:val="21"/>
                <w:szCs w:val="21"/>
                <w:highlight w:val="none"/>
              </w:rPr>
            </w:pPr>
          </w:p>
        </w:tc>
        <w:tc>
          <w:tcPr>
            <w:tcW w:w="840" w:type="pct"/>
            <w:gridSpan w:val="2"/>
            <w:vAlign w:val="center"/>
          </w:tcPr>
          <w:p w14:paraId="4009041A">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应急保障能力和食品安全突发事件的处置能力</w:t>
            </w:r>
          </w:p>
        </w:tc>
        <w:tc>
          <w:tcPr>
            <w:tcW w:w="795" w:type="pct"/>
            <w:vAlign w:val="center"/>
          </w:tcPr>
          <w:p w14:paraId="56908100">
            <w:pPr>
              <w:pStyle w:val="52"/>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val="en-US" w:eastAsia="zh-CN"/>
              </w:rPr>
              <w:t>分</w:t>
            </w:r>
          </w:p>
        </w:tc>
        <w:tc>
          <w:tcPr>
            <w:tcW w:w="2950" w:type="pct"/>
            <w:vAlign w:val="center"/>
          </w:tcPr>
          <w:p w14:paraId="09B3EB12">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应对预警监测、事故响应、应急救援过程的人员安排、食材配送、物资保证、善后处理、运行保障方案等做出详细、全面的保证措施，满分</w:t>
            </w:r>
            <w:r>
              <w:rPr>
                <w:rFonts w:hint="eastAsia"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val="en-US" w:eastAsia="zh-CN"/>
              </w:rPr>
              <w:t>分。</w:t>
            </w:r>
          </w:p>
          <w:p w14:paraId="3769E839">
            <w:pPr>
              <w:pStyle w:val="5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每有一项内容不完整或不详细、有明显不足和漏洞的扣</w:t>
            </w: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分，扣完本项评分为止。</w:t>
            </w:r>
          </w:p>
        </w:tc>
      </w:tr>
      <w:tr w14:paraId="1E31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13" w:type="pct"/>
            <w:vMerge w:val="continue"/>
            <w:vAlign w:val="center"/>
          </w:tcPr>
          <w:p w14:paraId="12A0A0BD">
            <w:pPr>
              <w:pStyle w:val="52"/>
              <w:jc w:val="center"/>
              <w:rPr>
                <w:rFonts w:hint="eastAsia" w:ascii="宋体" w:hAnsi="宋体" w:eastAsia="宋体" w:cs="宋体"/>
                <w:i w:val="0"/>
                <w:iCs w:val="0"/>
                <w:color w:val="auto"/>
                <w:sz w:val="21"/>
                <w:szCs w:val="21"/>
                <w:highlight w:val="none"/>
              </w:rPr>
            </w:pPr>
          </w:p>
        </w:tc>
        <w:tc>
          <w:tcPr>
            <w:tcW w:w="840" w:type="pct"/>
            <w:gridSpan w:val="2"/>
            <w:tcBorders>
              <w:top w:val="single" w:color="auto" w:sz="4" w:space="0"/>
            </w:tcBorders>
            <w:vAlign w:val="center"/>
          </w:tcPr>
          <w:p w14:paraId="14C6C4A0">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勤俭节约不浪费用餐食材</w:t>
            </w:r>
          </w:p>
        </w:tc>
        <w:tc>
          <w:tcPr>
            <w:tcW w:w="795" w:type="pct"/>
            <w:vAlign w:val="center"/>
          </w:tcPr>
          <w:p w14:paraId="458346B8">
            <w:pPr>
              <w:pStyle w:val="52"/>
              <w:jc w:val="center"/>
              <w:rPr>
                <w:rFonts w:hint="default"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5分</w:t>
            </w:r>
          </w:p>
        </w:tc>
        <w:tc>
          <w:tcPr>
            <w:tcW w:w="2950" w:type="pct"/>
            <w:vAlign w:val="center"/>
          </w:tcPr>
          <w:p w14:paraId="1D97E38E">
            <w:pPr>
              <w:pStyle w:val="52"/>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根据现实情况，做出既能满足用餐需求、又能不浪费用餐食材的具体措施，且具体措施条理清晰、详细具体的得5分；未能体现不浪费用餐的不得分。注：每出现一处不满足或不完善的根据情况扣1分，扣完为止。</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3"/>
            <w:vAlign w:val="center"/>
          </w:tcPr>
          <w:p w14:paraId="1F1436FF">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合计</w:t>
            </w:r>
          </w:p>
        </w:tc>
        <w:tc>
          <w:tcPr>
            <w:tcW w:w="3745" w:type="pct"/>
            <w:gridSpan w:val="2"/>
            <w:vAlign w:val="center"/>
          </w:tcPr>
          <w:p w14:paraId="7EBD69F8">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=SUM(ABOVE)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100</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lang w:val="en-US" w:eastAsia="zh-CN"/>
              </w:rPr>
              <w:t>分</w:t>
            </w:r>
          </w:p>
        </w:tc>
      </w:tr>
      <w:tr w14:paraId="78D4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000" w:type="pct"/>
            <w:gridSpan w:val="5"/>
            <w:vAlign w:val="center"/>
          </w:tcPr>
          <w:p w14:paraId="2B229664">
            <w:pPr>
              <w:pStyle w:val="52"/>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评分分值计算保留小数点后两位</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小数点后第</w:t>
            </w:r>
            <w:r>
              <w:rPr>
                <w:rFonts w:hint="eastAsia" w:cs="宋体"/>
                <w:i w:val="0"/>
                <w:iCs w:val="0"/>
                <w:color w:val="auto"/>
                <w:sz w:val="21"/>
                <w:szCs w:val="21"/>
                <w:highlight w:val="none"/>
                <w:lang w:val="en-US" w:eastAsia="zh-CN"/>
              </w:rPr>
              <w:t>三</w:t>
            </w:r>
            <w:r>
              <w:rPr>
                <w:rFonts w:hint="eastAsia" w:ascii="宋体" w:hAnsi="宋体" w:eastAsia="宋体" w:cs="宋体"/>
                <w:i w:val="0"/>
                <w:iCs w:val="0"/>
                <w:color w:val="auto"/>
                <w:sz w:val="21"/>
                <w:szCs w:val="21"/>
                <w:highlight w:val="none"/>
              </w:rPr>
              <w:t>位“四舍五入”</w:t>
            </w:r>
          </w:p>
        </w:tc>
      </w:tr>
    </w:tbl>
    <w:p w14:paraId="0CDFB877">
      <w:pPr>
        <w:rPr>
          <w:rFonts w:hint="eastAsia"/>
          <w:i w:val="0"/>
          <w:iCs w:val="0"/>
          <w:color w:val="auto"/>
          <w:highlight w:val="none"/>
          <w:lang w:val="zh-CN" w:eastAsia="zh-CN"/>
        </w:rPr>
      </w:pPr>
    </w:p>
    <w:p w14:paraId="572BC254">
      <w:pPr>
        <w:pStyle w:val="16"/>
        <w:rPr>
          <w:rFonts w:hint="eastAsia"/>
          <w:i w:val="0"/>
          <w:iCs w:val="0"/>
          <w:color w:val="auto"/>
          <w:highlight w:val="none"/>
          <w:lang w:val="zh-CN" w:eastAsia="zh-CN"/>
        </w:rPr>
      </w:pPr>
    </w:p>
    <w:p w14:paraId="26DB8568">
      <w:pPr>
        <w:pStyle w:val="3"/>
        <w:rPr>
          <w:rFonts w:hint="eastAsia"/>
          <w:lang w:val="en-US" w:eastAsia="zh-CN"/>
        </w:rPr>
      </w:pPr>
    </w:p>
    <w:p w14:paraId="4965E3D0">
      <w:pPr>
        <w:pStyle w:val="4"/>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zh-CN" w:eastAsia="zh-CN" w:bidi="ar-SA"/>
        </w:rPr>
      </w:pPr>
      <w:bookmarkStart w:id="485" w:name="_Toc31032"/>
      <w:r>
        <w:rPr>
          <w:rFonts w:hint="eastAsia" w:ascii="宋体" w:hAnsi="宋体" w:eastAsia="宋体" w:cs="宋体"/>
          <w:b/>
          <w:bCs/>
          <w:i w:val="0"/>
          <w:iCs w:val="0"/>
          <w:color w:val="auto"/>
          <w:kern w:val="44"/>
          <w:sz w:val="36"/>
          <w:szCs w:val="36"/>
          <w:highlight w:val="none"/>
          <w:lang w:val="en-US" w:eastAsia="zh-CN" w:bidi="ar-SA"/>
        </w:rPr>
        <w:t xml:space="preserve">第五章 </w:t>
      </w:r>
      <w:r>
        <w:rPr>
          <w:rFonts w:hint="eastAsia" w:ascii="宋体" w:hAnsi="宋体" w:eastAsia="宋体" w:cs="宋体"/>
          <w:b/>
          <w:bCs/>
          <w:i w:val="0"/>
          <w:iCs w:val="0"/>
          <w:color w:val="auto"/>
          <w:kern w:val="44"/>
          <w:sz w:val="36"/>
          <w:szCs w:val="36"/>
          <w:highlight w:val="none"/>
          <w:lang w:val="zh-CN" w:eastAsia="zh-CN" w:bidi="ar-SA"/>
        </w:rPr>
        <w:t>合同草案</w:t>
      </w:r>
      <w:bookmarkEnd w:id="485"/>
    </w:p>
    <w:p w14:paraId="71DE93B7">
      <w:pPr>
        <w:wordWrap w:val="0"/>
        <w:jc w:val="center"/>
        <w:rPr>
          <w:rFonts w:hint="eastAsia" w:eastAsia="宋体"/>
          <w:bCs/>
          <w:i w:val="0"/>
          <w:iCs w:val="0"/>
          <w:color w:val="auto"/>
          <w:sz w:val="24"/>
          <w:szCs w:val="24"/>
          <w:highlight w:val="none"/>
          <w:lang w:eastAsia="zh-CN"/>
        </w:rPr>
      </w:pPr>
      <w:r>
        <w:rPr>
          <w:rFonts w:hint="eastAsia"/>
          <w:i w:val="0"/>
          <w:iCs w:val="0"/>
          <w:color w:val="auto"/>
          <w:sz w:val="24"/>
          <w:szCs w:val="24"/>
          <w:highlight w:val="none"/>
          <w:lang w:eastAsia="zh-CN"/>
        </w:rPr>
        <w:t>【</w:t>
      </w:r>
      <w:r>
        <w:rPr>
          <w:rFonts w:hint="eastAsia"/>
          <w:i w:val="0"/>
          <w:iCs w:val="0"/>
          <w:color w:val="auto"/>
          <w:sz w:val="24"/>
          <w:szCs w:val="24"/>
          <w:highlight w:val="none"/>
        </w:rPr>
        <w:t>此合同书仅作为签订正式合同时的参考，正式合同书应包括本参考格式的内容</w:t>
      </w:r>
      <w:r>
        <w:rPr>
          <w:rFonts w:hint="eastAsia"/>
          <w:i w:val="0"/>
          <w:iCs w:val="0"/>
          <w:color w:val="auto"/>
          <w:sz w:val="24"/>
          <w:szCs w:val="24"/>
          <w:highlight w:val="none"/>
          <w:lang w:eastAsia="zh-CN"/>
        </w:rPr>
        <w:t>】</w:t>
      </w:r>
    </w:p>
    <w:p w14:paraId="1FE909E4">
      <w:pPr>
        <w:wordWrap w:val="0"/>
        <w:rPr>
          <w:bCs/>
          <w:i w:val="0"/>
          <w:iCs w:val="0"/>
          <w:color w:val="auto"/>
          <w:sz w:val="28"/>
          <w:szCs w:val="28"/>
          <w:highlight w:val="none"/>
        </w:rPr>
      </w:pPr>
      <w:r>
        <w:rPr>
          <w:rFonts w:hint="eastAsia" w:cs="Helvetica"/>
          <w:bCs/>
          <w:i w:val="0"/>
          <w:iCs w:val="0"/>
          <w:color w:val="auto"/>
          <w:sz w:val="24"/>
          <w:szCs w:val="24"/>
          <w:highlight w:val="none"/>
          <w:lang w:val="zh-CN"/>
        </w:rPr>
        <w:t>合同编号：</w:t>
      </w:r>
      <w:r>
        <w:rPr>
          <w:rFonts w:hint="eastAsia" w:cs="Helvetica"/>
          <w:bCs/>
          <w:i w:val="0"/>
          <w:iCs w:val="0"/>
          <w:color w:val="auto"/>
          <w:sz w:val="24"/>
          <w:szCs w:val="24"/>
          <w:highlight w:val="none"/>
          <w:u w:val="single"/>
        </w:rPr>
        <w:t xml:space="preserve">              </w:t>
      </w:r>
    </w:p>
    <w:p w14:paraId="453FD5DE">
      <w:pPr>
        <w:pStyle w:val="16"/>
        <w:spacing w:after="0"/>
        <w:jc w:val="center"/>
        <w:rPr>
          <w:rFonts w:ascii="宋体" w:hAnsi="宋体" w:cs="宋体"/>
          <w:b/>
          <w:bCs/>
          <w:i w:val="0"/>
          <w:iCs w:val="0"/>
          <w:color w:val="auto"/>
          <w:spacing w:val="-20"/>
          <w:kern w:val="44"/>
          <w:sz w:val="48"/>
          <w:szCs w:val="48"/>
          <w:highlight w:val="none"/>
        </w:rPr>
      </w:pPr>
      <w:bookmarkStart w:id="486" w:name="_Toc3995"/>
    </w:p>
    <w:p w14:paraId="6FBA184A">
      <w:pPr>
        <w:pStyle w:val="16"/>
        <w:spacing w:after="0"/>
        <w:jc w:val="center"/>
        <w:rPr>
          <w:rFonts w:ascii="宋体" w:hAnsi="宋体" w:cs="宋体"/>
          <w:b/>
          <w:bCs/>
          <w:i w:val="0"/>
          <w:iCs w:val="0"/>
          <w:color w:val="auto"/>
          <w:spacing w:val="-20"/>
          <w:kern w:val="44"/>
          <w:sz w:val="48"/>
          <w:szCs w:val="48"/>
          <w:highlight w:val="none"/>
        </w:rPr>
      </w:pPr>
    </w:p>
    <w:p w14:paraId="1EAD278A">
      <w:pPr>
        <w:spacing w:line="480" w:lineRule="auto"/>
        <w:jc w:val="center"/>
        <w:outlineLvl w:val="1"/>
        <w:rPr>
          <w:rFonts w:hint="eastAsia" w:ascii="宋体" w:hAnsi="宋体" w:eastAsia="宋体" w:cs="宋体"/>
          <w:b/>
          <w:bCs/>
          <w:i w:val="0"/>
          <w:iCs w:val="0"/>
          <w:color w:val="auto"/>
          <w:spacing w:val="-20"/>
          <w:kern w:val="44"/>
          <w:sz w:val="44"/>
          <w:szCs w:val="44"/>
          <w:highlight w:val="none"/>
          <w:lang w:val="en-US" w:eastAsia="zh-CN" w:bidi="ar-SA"/>
        </w:rPr>
      </w:pPr>
      <w:bookmarkStart w:id="487" w:name="_Toc22362"/>
      <w:bookmarkStart w:id="488" w:name="_Toc3714"/>
      <w:r>
        <w:rPr>
          <w:rFonts w:hint="eastAsia" w:ascii="宋体" w:hAnsi="宋体" w:eastAsia="宋体" w:cs="宋体"/>
          <w:b/>
          <w:bCs/>
          <w:i w:val="0"/>
          <w:iCs w:val="0"/>
          <w:color w:val="auto"/>
          <w:spacing w:val="-20"/>
          <w:kern w:val="44"/>
          <w:sz w:val="44"/>
          <w:szCs w:val="44"/>
          <w:highlight w:val="none"/>
          <w:lang w:val="en-US" w:eastAsia="zh-CN" w:bidi="ar-SA"/>
        </w:rPr>
        <w:t>政府采购合同参考范本</w:t>
      </w:r>
      <w:bookmarkEnd w:id="487"/>
      <w:bookmarkEnd w:id="488"/>
    </w:p>
    <w:p w14:paraId="4571CDB1">
      <w:pPr>
        <w:spacing w:line="480" w:lineRule="auto"/>
        <w:jc w:val="center"/>
        <w:outlineLvl w:val="1"/>
        <w:rPr>
          <w:rFonts w:hint="eastAsia" w:ascii="宋体" w:hAnsi="宋体" w:eastAsia="宋体" w:cs="宋体"/>
          <w:b/>
          <w:i w:val="0"/>
          <w:iCs w:val="0"/>
          <w:color w:val="auto"/>
          <w:sz w:val="28"/>
          <w:szCs w:val="28"/>
          <w:highlight w:val="none"/>
        </w:rPr>
      </w:pPr>
      <w:bookmarkStart w:id="489" w:name="_Toc8560"/>
      <w:bookmarkStart w:id="490" w:name="_Toc20418"/>
      <w:r>
        <w:rPr>
          <w:rFonts w:hint="eastAsia" w:ascii="宋体" w:hAnsi="宋体" w:eastAsia="宋体" w:cs="宋体"/>
          <w:b/>
          <w:bCs/>
          <w:i w:val="0"/>
          <w:iCs w:val="0"/>
          <w:color w:val="auto"/>
          <w:spacing w:val="-20"/>
          <w:kern w:val="44"/>
          <w:sz w:val="44"/>
          <w:szCs w:val="44"/>
          <w:highlight w:val="none"/>
          <w:lang w:val="en-US" w:eastAsia="zh-CN" w:bidi="ar-SA"/>
        </w:rPr>
        <w:t>（服务类）</w:t>
      </w:r>
      <w:bookmarkEnd w:id="489"/>
      <w:bookmarkEnd w:id="490"/>
    </w:p>
    <w:p w14:paraId="78DDAE5C">
      <w:pPr>
        <w:spacing w:line="480" w:lineRule="auto"/>
        <w:jc w:val="center"/>
        <w:rPr>
          <w:rFonts w:hint="eastAsia" w:ascii="宋体" w:hAnsi="宋体" w:eastAsia="宋体" w:cs="宋体"/>
          <w:b/>
          <w:i w:val="0"/>
          <w:iCs w:val="0"/>
          <w:color w:val="auto"/>
          <w:sz w:val="24"/>
          <w:szCs w:val="24"/>
          <w:highlight w:val="none"/>
        </w:rPr>
      </w:pPr>
    </w:p>
    <w:p w14:paraId="317A7DEF">
      <w:pPr>
        <w:spacing w:line="480" w:lineRule="auto"/>
        <w:jc w:val="center"/>
        <w:rPr>
          <w:rFonts w:hint="eastAsia" w:ascii="宋体" w:hAnsi="宋体" w:eastAsia="宋体" w:cs="宋体"/>
          <w:b/>
          <w:i w:val="0"/>
          <w:iCs w:val="0"/>
          <w:color w:val="auto"/>
          <w:sz w:val="24"/>
          <w:szCs w:val="24"/>
          <w:highlight w:val="none"/>
        </w:rPr>
      </w:pPr>
    </w:p>
    <w:p w14:paraId="55C3B597">
      <w:pPr>
        <w:spacing w:line="360" w:lineRule="auto"/>
        <w:jc w:val="center"/>
        <w:outlineLvl w:val="1"/>
        <w:rPr>
          <w:rFonts w:hint="eastAsia" w:ascii="宋体" w:hAnsi="宋体" w:eastAsia="宋体" w:cs="宋体"/>
          <w:b/>
          <w:i w:val="0"/>
          <w:iCs w:val="0"/>
          <w:color w:val="auto"/>
          <w:sz w:val="32"/>
          <w:szCs w:val="32"/>
          <w:highlight w:val="none"/>
        </w:rPr>
      </w:pPr>
      <w:bookmarkStart w:id="491" w:name="_Toc2449"/>
      <w:bookmarkStart w:id="492" w:name="_Toc22800"/>
      <w:r>
        <w:rPr>
          <w:rFonts w:hint="eastAsia" w:ascii="宋体" w:hAnsi="宋体" w:eastAsia="宋体" w:cs="宋体"/>
          <w:b/>
          <w:i w:val="0"/>
          <w:iCs w:val="0"/>
          <w:color w:val="auto"/>
          <w:sz w:val="36"/>
          <w:szCs w:val="36"/>
          <w:highlight w:val="none"/>
        </w:rPr>
        <w:t>第一部分 合同书</w:t>
      </w:r>
      <w:bookmarkEnd w:id="491"/>
      <w:bookmarkEnd w:id="492"/>
    </w:p>
    <w:p w14:paraId="4BA01776">
      <w:pPr>
        <w:spacing w:line="480" w:lineRule="auto"/>
        <w:jc w:val="center"/>
        <w:rPr>
          <w:rFonts w:hint="eastAsia" w:ascii="宋体" w:hAnsi="宋体" w:eastAsia="宋体" w:cs="宋体"/>
          <w:b/>
          <w:i w:val="0"/>
          <w:iCs w:val="0"/>
          <w:color w:val="auto"/>
          <w:sz w:val="24"/>
          <w:szCs w:val="24"/>
          <w:highlight w:val="none"/>
        </w:rPr>
      </w:pPr>
    </w:p>
    <w:p w14:paraId="5F204112">
      <w:pPr>
        <w:pStyle w:val="16"/>
        <w:rPr>
          <w:rFonts w:hint="eastAsia" w:ascii="宋体" w:hAnsi="宋体" w:eastAsia="宋体" w:cs="宋体"/>
          <w:i w:val="0"/>
          <w:iCs w:val="0"/>
          <w:color w:val="auto"/>
          <w:highlight w:val="none"/>
        </w:rPr>
      </w:pPr>
    </w:p>
    <w:p w14:paraId="69570DA0">
      <w:pPr>
        <w:pStyle w:val="16"/>
        <w:rPr>
          <w:rFonts w:hint="eastAsia" w:ascii="宋体" w:hAnsi="宋体" w:eastAsia="宋体" w:cs="宋体"/>
          <w:i w:val="0"/>
          <w:iCs w:val="0"/>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4F4996A">
      <w:pPr>
        <w:widowControl/>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14:paraId="5343AEB4">
      <w:pPr>
        <w:spacing w:line="360" w:lineRule="auto"/>
        <w:ind w:firstLine="43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以下简称：甲方</w:t>
      </w:r>
      <w:r>
        <w:rPr>
          <w:rFonts w:hint="eastAsia" w:ascii="宋体" w:hAnsi="宋体" w:eastAsia="宋体" w:cs="宋体"/>
          <w:i w:val="0"/>
          <w:iCs w:val="0"/>
          <w:color w:val="auto"/>
          <w:sz w:val="24"/>
          <w:highlight w:val="none"/>
        </w:rPr>
        <w:t>）通过</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组织的</w:t>
      </w:r>
      <w:r>
        <w:rPr>
          <w:rFonts w:hint="eastAsia" w:cs="宋体"/>
          <w:i w:val="0"/>
          <w:iCs w:val="0"/>
          <w:color w:val="auto"/>
          <w:sz w:val="24"/>
          <w:highlight w:val="none"/>
          <w:u w:val="single"/>
          <w:lang w:val="en-US" w:eastAsia="zh-CN"/>
        </w:rPr>
        <w:t>竞争性磋商</w:t>
      </w:r>
      <w:r>
        <w:rPr>
          <w:rFonts w:hint="eastAsia" w:ascii="宋体" w:hAnsi="宋体" w:eastAsia="宋体" w:cs="宋体"/>
          <w:i w:val="0"/>
          <w:iCs w:val="0"/>
          <w:color w:val="auto"/>
          <w:sz w:val="24"/>
          <w:highlight w:val="none"/>
        </w:rPr>
        <w:t>方式采购活动，经</w:t>
      </w:r>
      <w:r>
        <w:rPr>
          <w:rFonts w:hint="eastAsia"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评</w:t>
      </w:r>
      <w:r>
        <w:rPr>
          <w:rFonts w:hint="eastAsia" w:cs="宋体"/>
          <w:i w:val="0"/>
          <w:iCs w:val="0"/>
          <w:color w:val="auto"/>
          <w:sz w:val="24"/>
          <w:highlight w:val="none"/>
          <w:u w:val="single"/>
          <w:lang w:val="en-US" w:eastAsia="zh-CN"/>
        </w:rPr>
        <w:t xml:space="preserve">审小组  </w:t>
      </w:r>
      <w:r>
        <w:rPr>
          <w:rFonts w:hint="eastAsia" w:ascii="宋体" w:hAnsi="宋体" w:eastAsia="宋体" w:cs="宋体"/>
          <w:i w:val="0"/>
          <w:iCs w:val="0"/>
          <w:color w:val="auto"/>
          <w:sz w:val="24"/>
          <w:highlight w:val="none"/>
        </w:rPr>
        <w:t>评定，</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szCs w:val="24"/>
          <w:highlight w:val="none"/>
          <w:lang w:val="zh-CN"/>
        </w:rPr>
        <w:t>以下简称：乙方</w:t>
      </w:r>
      <w:r>
        <w:rPr>
          <w:rFonts w:hint="eastAsia" w:ascii="宋体" w:hAnsi="宋体" w:eastAsia="宋体" w:cs="宋体"/>
          <w:i w:val="0"/>
          <w:iCs w:val="0"/>
          <w:color w:val="auto"/>
          <w:sz w:val="24"/>
          <w:highlight w:val="none"/>
        </w:rPr>
        <w:t>）为本项目</w:t>
      </w:r>
      <w:r>
        <w:rPr>
          <w:rFonts w:hint="eastAsia" w:cs="宋体"/>
          <w:i w:val="0"/>
          <w:iCs w:val="0"/>
          <w:color w:val="auto"/>
          <w:sz w:val="24"/>
          <w:highlight w:val="none"/>
          <w:lang w:val="en-US" w:eastAsia="zh-CN"/>
        </w:rPr>
        <w:t>成交</w:t>
      </w:r>
      <w:r>
        <w:rPr>
          <w:rFonts w:hint="eastAsia" w:ascii="宋体" w:hAnsi="宋体" w:eastAsia="宋体" w:cs="宋体"/>
          <w:i w:val="0"/>
          <w:iCs w:val="0"/>
          <w:color w:val="auto"/>
          <w:sz w:val="24"/>
          <w:highlight w:val="none"/>
        </w:rPr>
        <w:t>人，现</w:t>
      </w:r>
      <w:r>
        <w:rPr>
          <w:rFonts w:hint="eastAsia" w:ascii="宋体" w:hAnsi="宋体" w:eastAsia="宋体" w:cs="宋体"/>
          <w:i w:val="0"/>
          <w:iCs w:val="0"/>
          <w:color w:val="auto"/>
          <w:sz w:val="24"/>
          <w:szCs w:val="24"/>
          <w:highlight w:val="none"/>
        </w:rPr>
        <w:t>按照采购文件确定的事项签订本合同。</w:t>
      </w:r>
    </w:p>
    <w:p w14:paraId="1A7D6614">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93" w:name="_Toc2232"/>
      <w:bookmarkStart w:id="494" w:name="_Toc3029"/>
      <w:bookmarkStart w:id="495" w:name="_Toc9411"/>
      <w:bookmarkStart w:id="496" w:name="_Toc24059"/>
      <w:r>
        <w:rPr>
          <w:rFonts w:hint="eastAsia" w:ascii="宋体" w:hAnsi="宋体" w:eastAsia="宋体" w:cs="宋体"/>
          <w:b/>
          <w:bCs/>
          <w:i w:val="0"/>
          <w:iCs w:val="0"/>
          <w:color w:val="auto"/>
          <w:sz w:val="24"/>
          <w:szCs w:val="24"/>
          <w:highlight w:val="none"/>
          <w:lang w:val="zh-CN"/>
        </w:rPr>
        <w:t>1.1 合同组成部分</w:t>
      </w:r>
      <w:bookmarkEnd w:id="493"/>
      <w:bookmarkEnd w:id="494"/>
      <w:bookmarkEnd w:id="495"/>
      <w:bookmarkEnd w:id="496"/>
    </w:p>
    <w:p w14:paraId="024A42B6">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1.1.2</w:t>
      </w:r>
      <w:r>
        <w:rPr>
          <w:rFonts w:hint="eastAsia"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val="zh-CN"/>
        </w:rPr>
        <w:t>通知书；</w:t>
      </w:r>
    </w:p>
    <w:p w14:paraId="20FA8DCC">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1.1.3</w:t>
      </w:r>
      <w:r>
        <w:rPr>
          <w:rFonts w:hint="eastAsia"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文件（含澄清或者说明文件）；</w:t>
      </w:r>
    </w:p>
    <w:p w14:paraId="01E3C1E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1.1.4</w:t>
      </w:r>
      <w:r>
        <w:rPr>
          <w:rFonts w:hint="eastAsia" w:cs="宋体"/>
          <w:i w:val="0"/>
          <w:iCs w:val="0"/>
          <w:color w:val="auto"/>
          <w:sz w:val="24"/>
          <w:szCs w:val="24"/>
          <w:highlight w:val="none"/>
          <w:lang w:val="en-US" w:eastAsia="zh-CN"/>
        </w:rPr>
        <w:t>竞争性磋商</w:t>
      </w:r>
      <w:r>
        <w:rPr>
          <w:rFonts w:hint="eastAsia" w:ascii="宋体" w:hAnsi="宋体" w:eastAsia="宋体" w:cs="宋体"/>
          <w:i w:val="0"/>
          <w:iCs w:val="0"/>
          <w:color w:val="auto"/>
          <w:sz w:val="24"/>
          <w:szCs w:val="24"/>
          <w:highlight w:val="none"/>
          <w:lang w:val="zh-CN"/>
        </w:rPr>
        <w:t>文件（含澄清或者修改文件）；</w:t>
      </w:r>
    </w:p>
    <w:p w14:paraId="7BCC15DE">
      <w:pPr>
        <w:spacing w:line="360" w:lineRule="auto"/>
        <w:ind w:firstLine="435"/>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497" w:name="_Toc2918"/>
      <w:bookmarkStart w:id="498" w:name="_Toc6311"/>
      <w:bookmarkStart w:id="499" w:name="_Toc22185"/>
      <w:bookmarkStart w:id="500" w:name="_Toc6773"/>
      <w:bookmarkStart w:id="501" w:name="_Toc18585"/>
      <w:bookmarkStart w:id="502" w:name="_Toc3392"/>
      <w:r>
        <w:rPr>
          <w:rFonts w:hint="eastAsia" w:ascii="宋体" w:hAnsi="宋体" w:eastAsia="宋体" w:cs="宋体"/>
          <w:b/>
          <w:bCs/>
          <w:i w:val="0"/>
          <w:iCs w:val="0"/>
          <w:color w:val="auto"/>
          <w:sz w:val="24"/>
          <w:szCs w:val="24"/>
          <w:highlight w:val="none"/>
          <w:lang w:val="zh-CN"/>
        </w:rPr>
        <w:t xml:space="preserve">1.2 </w:t>
      </w:r>
      <w:bookmarkEnd w:id="497"/>
      <w:bookmarkEnd w:id="498"/>
      <w:bookmarkEnd w:id="499"/>
      <w:bookmarkEnd w:id="500"/>
      <w:bookmarkEnd w:id="501"/>
      <w:r>
        <w:rPr>
          <w:rFonts w:hint="eastAsia" w:ascii="宋体" w:hAnsi="宋体" w:eastAsia="宋体" w:cs="宋体"/>
          <w:b/>
          <w:bCs/>
          <w:i w:val="0"/>
          <w:iCs w:val="0"/>
          <w:color w:val="auto"/>
          <w:sz w:val="24"/>
          <w:szCs w:val="24"/>
          <w:highlight w:val="none"/>
          <w:lang w:val="zh-CN"/>
        </w:rPr>
        <w:t>服务</w:t>
      </w:r>
      <w:bookmarkEnd w:id="502"/>
    </w:p>
    <w:p w14:paraId="2A8C808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1.2.1服务名称：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D507EFA">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1.2.2服务内容：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47170C5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1.2.3服务质量：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294900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3" w:name="_Toc23292"/>
      <w:bookmarkStart w:id="504" w:name="_Toc21631"/>
      <w:bookmarkStart w:id="505" w:name="_Toc10679"/>
      <w:bookmarkStart w:id="506" w:name="_Toc21551"/>
      <w:r>
        <w:rPr>
          <w:rFonts w:hint="eastAsia" w:ascii="宋体" w:hAnsi="宋体" w:eastAsia="宋体" w:cs="宋体"/>
          <w:b/>
          <w:bCs/>
          <w:i w:val="0"/>
          <w:iCs w:val="0"/>
          <w:color w:val="auto"/>
          <w:sz w:val="24"/>
          <w:szCs w:val="24"/>
          <w:highlight w:val="none"/>
          <w:lang w:val="zh-CN"/>
        </w:rPr>
        <w:t>1.3 价款</w:t>
      </w:r>
      <w:bookmarkEnd w:id="503"/>
      <w:bookmarkEnd w:id="504"/>
      <w:bookmarkEnd w:id="505"/>
      <w:bookmarkEnd w:id="506"/>
    </w:p>
    <w:p w14:paraId="0E6E2DB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本合同总价为：￥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元（大写：人民币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14:paraId="585CBE51">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分项价格：</w:t>
      </w:r>
    </w:p>
    <w:tbl>
      <w:tblPr>
        <w:tblStyle w:val="35"/>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3000"/>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vAlign w:val="center"/>
          </w:tcPr>
          <w:p w14:paraId="0CD18D7F">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分项名称</w:t>
            </w:r>
          </w:p>
        </w:tc>
        <w:tc>
          <w:tcPr>
            <w:tcW w:w="3000" w:type="dxa"/>
            <w:vAlign w:val="center"/>
          </w:tcPr>
          <w:p w14:paraId="4C7FFB26">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0F360428">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0E415F66">
            <w:pPr>
              <w:ind w:firstLine="200"/>
              <w:jc w:val="center"/>
              <w:rPr>
                <w:rFonts w:hint="eastAsia" w:ascii="宋体" w:hAnsi="宋体" w:eastAsia="宋体" w:cs="宋体"/>
                <w:i w:val="0"/>
                <w:iCs w:val="0"/>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24CE31A">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3722A032">
            <w:pPr>
              <w:ind w:firstLine="200"/>
              <w:jc w:val="center"/>
              <w:rPr>
                <w:rFonts w:hint="eastAsia" w:ascii="宋体" w:hAnsi="宋体" w:eastAsia="宋体" w:cs="宋体"/>
                <w:i w:val="0"/>
                <w:iCs w:val="0"/>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512C37D0">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4CAABBD7">
            <w:pPr>
              <w:ind w:firstLine="200"/>
              <w:jc w:val="center"/>
              <w:rPr>
                <w:rFonts w:hint="eastAsia" w:ascii="宋体" w:hAnsi="宋体" w:eastAsia="宋体" w:cs="宋体"/>
                <w:i w:val="0"/>
                <w:iCs w:val="0"/>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019B673">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i w:val="0"/>
                <w:iCs w:val="0"/>
                <w:color w:val="auto"/>
                <w:sz w:val="24"/>
                <w:szCs w:val="24"/>
                <w:highlight w:val="none"/>
              </w:rPr>
            </w:pPr>
          </w:p>
        </w:tc>
        <w:tc>
          <w:tcPr>
            <w:tcW w:w="3000" w:type="dxa"/>
            <w:vAlign w:val="center"/>
          </w:tcPr>
          <w:p w14:paraId="14647217">
            <w:pPr>
              <w:ind w:firstLine="200"/>
              <w:jc w:val="center"/>
              <w:rPr>
                <w:rFonts w:hint="eastAsia" w:ascii="宋体" w:hAnsi="宋体" w:eastAsia="宋体" w:cs="宋体"/>
                <w:i w:val="0"/>
                <w:iCs w:val="0"/>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3" w:type="dxa"/>
            <w:gridSpan w:val="2"/>
            <w:vAlign w:val="center"/>
          </w:tcPr>
          <w:p w14:paraId="445538F7">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总价</w:t>
            </w:r>
          </w:p>
        </w:tc>
        <w:tc>
          <w:tcPr>
            <w:tcW w:w="3000" w:type="dxa"/>
            <w:vAlign w:val="center"/>
          </w:tcPr>
          <w:p w14:paraId="155BB530">
            <w:pPr>
              <w:ind w:firstLine="200"/>
              <w:jc w:val="center"/>
              <w:rPr>
                <w:rFonts w:hint="eastAsia" w:ascii="宋体" w:hAnsi="宋体" w:eastAsia="宋体" w:cs="宋体"/>
                <w:i w:val="0"/>
                <w:iCs w:val="0"/>
                <w:color w:val="auto"/>
                <w:sz w:val="24"/>
                <w:szCs w:val="24"/>
                <w:highlight w:val="none"/>
              </w:rPr>
            </w:pPr>
          </w:p>
        </w:tc>
      </w:tr>
    </w:tbl>
    <w:p w14:paraId="17E2FC9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07" w:name="_Toc26749"/>
      <w:bookmarkStart w:id="508" w:name="_Toc10340"/>
      <w:bookmarkStart w:id="509" w:name="_Toc22618"/>
      <w:bookmarkStart w:id="510" w:name="_Toc1814"/>
      <w:r>
        <w:rPr>
          <w:rFonts w:hint="eastAsia" w:ascii="宋体" w:hAnsi="宋体" w:eastAsia="宋体" w:cs="宋体"/>
          <w:b/>
          <w:bCs/>
          <w:i w:val="0"/>
          <w:iCs w:val="0"/>
          <w:color w:val="auto"/>
          <w:sz w:val="24"/>
          <w:szCs w:val="24"/>
          <w:highlight w:val="none"/>
          <w:lang w:val="zh-CN"/>
        </w:rPr>
        <w:t>1.4 付款方式和发票开具方式</w:t>
      </w:r>
      <w:bookmarkEnd w:id="507"/>
      <w:bookmarkEnd w:id="508"/>
      <w:bookmarkEnd w:id="509"/>
      <w:bookmarkEnd w:id="510"/>
    </w:p>
    <w:p w14:paraId="0D15CC0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1.4.1付款方式：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2591FB6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1.4.2发票开具方式：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203521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1" w:name="_Toc2846"/>
      <w:bookmarkStart w:id="512" w:name="_Toc28125"/>
      <w:bookmarkStart w:id="513" w:name="_Toc19304"/>
      <w:bookmarkStart w:id="514" w:name="_Toc32071"/>
      <w:r>
        <w:rPr>
          <w:rFonts w:hint="eastAsia" w:ascii="宋体" w:hAnsi="宋体" w:eastAsia="宋体" w:cs="宋体"/>
          <w:b/>
          <w:bCs/>
          <w:i w:val="0"/>
          <w:iCs w:val="0"/>
          <w:color w:val="auto"/>
          <w:sz w:val="24"/>
          <w:szCs w:val="24"/>
          <w:highlight w:val="none"/>
          <w:lang w:val="zh-CN"/>
        </w:rPr>
        <w:t>1.5 服务期限、地点和方式</w:t>
      </w:r>
      <w:bookmarkEnd w:id="511"/>
      <w:bookmarkEnd w:id="512"/>
      <w:bookmarkEnd w:id="513"/>
      <w:bookmarkEnd w:id="514"/>
    </w:p>
    <w:p w14:paraId="5A2C5E65">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1.5.1服务期限：</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3FF652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1.5.2服务地点：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CE4FC7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1.5.3服务方式：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B2ED679">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5" w:name="_Toc24085"/>
      <w:bookmarkStart w:id="516" w:name="_Toc27250"/>
      <w:bookmarkStart w:id="517" w:name="_Toc21423"/>
      <w:bookmarkStart w:id="518" w:name="_Toc19554"/>
      <w:r>
        <w:rPr>
          <w:rFonts w:hint="eastAsia" w:ascii="宋体" w:hAnsi="宋体" w:eastAsia="宋体" w:cs="宋体"/>
          <w:b/>
          <w:bCs/>
          <w:i w:val="0"/>
          <w:iCs w:val="0"/>
          <w:color w:val="auto"/>
          <w:sz w:val="24"/>
          <w:szCs w:val="24"/>
          <w:highlight w:val="none"/>
          <w:lang w:val="zh-CN"/>
        </w:rPr>
        <w:t>1.6 违约责任</w:t>
      </w:r>
      <w:bookmarkEnd w:id="515"/>
      <w:bookmarkEnd w:id="516"/>
      <w:bookmarkEnd w:id="517"/>
      <w:bookmarkEnd w:id="518"/>
    </w:p>
    <w:p w14:paraId="5DD1292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1.6.7因甲方未按合同约定支付价款、未按合同约定受领标的物、擅自解除合同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19" w:name="_Toc15583"/>
      <w:bookmarkStart w:id="520" w:name="_Toc16021"/>
      <w:bookmarkStart w:id="521" w:name="_Toc31764"/>
      <w:bookmarkStart w:id="522" w:name="_Toc28375"/>
      <w:r>
        <w:rPr>
          <w:rFonts w:hint="eastAsia" w:ascii="宋体" w:hAnsi="宋体" w:eastAsia="宋体" w:cs="宋体"/>
          <w:b/>
          <w:bCs/>
          <w:i w:val="0"/>
          <w:iCs w:val="0"/>
          <w:color w:val="auto"/>
          <w:sz w:val="24"/>
          <w:szCs w:val="24"/>
          <w:highlight w:val="none"/>
          <w:lang w:val="zh-CN"/>
        </w:rPr>
        <w:t>1.7 合同争议的解决</w:t>
      </w:r>
      <w:bookmarkEnd w:id="519"/>
      <w:bookmarkEnd w:id="520"/>
      <w:bookmarkEnd w:id="521"/>
      <w:bookmarkEnd w:id="522"/>
    </w:p>
    <w:p w14:paraId="7C025F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种方式解决：</w:t>
      </w:r>
    </w:p>
    <w:p w14:paraId="7856D44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1.7.1将争议提交</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1.7.2向</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人民法院起诉。</w:t>
      </w:r>
    </w:p>
    <w:p w14:paraId="21D8E3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23" w:name="_Toc7245"/>
      <w:bookmarkStart w:id="524" w:name="_Toc11173"/>
      <w:bookmarkStart w:id="525" w:name="_Toc15322"/>
      <w:bookmarkStart w:id="526" w:name="_Toc18193"/>
      <w:r>
        <w:rPr>
          <w:rFonts w:hint="eastAsia" w:ascii="宋体" w:hAnsi="宋体" w:eastAsia="宋体" w:cs="宋体"/>
          <w:b/>
          <w:bCs/>
          <w:i w:val="0"/>
          <w:iCs w:val="0"/>
          <w:color w:val="auto"/>
          <w:sz w:val="24"/>
          <w:szCs w:val="24"/>
          <w:highlight w:val="none"/>
          <w:lang w:val="zh-CN"/>
        </w:rPr>
        <w:t>1.8 合同生效</w:t>
      </w:r>
      <w:bookmarkEnd w:id="523"/>
      <w:bookmarkEnd w:id="524"/>
      <w:bookmarkEnd w:id="525"/>
      <w:bookmarkEnd w:id="526"/>
    </w:p>
    <w:p w14:paraId="5961B88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i w:val="0"/>
          <w:iCs w:val="0"/>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甲    方：</w:t>
      </w:r>
      <w:r>
        <w:rPr>
          <w:rFonts w:hint="eastAsia" w:ascii="宋体" w:hAnsi="宋体" w:eastAsia="宋体" w:cs="宋体"/>
          <w:bCs/>
          <w:i w:val="0"/>
          <w:iCs w:val="0"/>
          <w:color w:val="auto"/>
          <w:sz w:val="24"/>
          <w:szCs w:val="24"/>
          <w:highlight w:val="none"/>
          <w:u w:val="single"/>
          <w:lang w:val="zh-CN"/>
        </w:rPr>
        <w:t xml:space="preserve">    （单位盖章）     </w:t>
      </w:r>
      <w:r>
        <w:rPr>
          <w:rFonts w:hint="eastAsia" w:ascii="宋体" w:hAnsi="宋体" w:eastAsia="宋体" w:cs="宋体"/>
          <w:bCs/>
          <w:i w:val="0"/>
          <w:iCs w:val="0"/>
          <w:color w:val="auto"/>
          <w:sz w:val="24"/>
          <w:szCs w:val="24"/>
          <w:highlight w:val="none"/>
          <w:lang w:val="zh-CN"/>
        </w:rPr>
        <w:t xml:space="preserve">          乙方：</w:t>
      </w:r>
      <w:r>
        <w:rPr>
          <w:rFonts w:hint="eastAsia" w:ascii="宋体" w:hAnsi="宋体" w:eastAsia="宋体" w:cs="宋体"/>
          <w:bCs/>
          <w:i w:val="0"/>
          <w:iCs w:val="0"/>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i w:val="0"/>
          <w:iCs w:val="0"/>
          <w:color w:val="auto"/>
          <w:sz w:val="24"/>
          <w:szCs w:val="24"/>
          <w:highlight w:val="none"/>
        </w:rPr>
      </w:pPr>
      <w:bookmarkStart w:id="527" w:name="_Toc331685783"/>
      <w:r>
        <w:rPr>
          <w:rFonts w:hint="eastAsia" w:ascii="宋体" w:hAnsi="宋体" w:eastAsia="宋体" w:cs="宋体"/>
          <w:bCs/>
          <w:i w:val="0"/>
          <w:iCs w:val="0"/>
          <w:color w:val="auto"/>
          <w:sz w:val="24"/>
          <w:szCs w:val="24"/>
          <w:highlight w:val="none"/>
        </w:rPr>
        <w:t>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               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bookmarkStart w:id="528" w:name="_Hlk110099149"/>
      <w:r>
        <w:rPr>
          <w:rFonts w:hint="eastAsia" w:ascii="宋体" w:hAnsi="宋体" w:eastAsia="宋体" w:cs="宋体"/>
          <w:i w:val="0"/>
          <w:iCs w:val="0"/>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户名：</w:t>
      </w:r>
      <w:r>
        <w:rPr>
          <w:rFonts w:hint="eastAsia" w:ascii="宋体" w:hAnsi="宋体" w:eastAsia="宋体" w:cs="宋体"/>
          <w:i w:val="0"/>
          <w:iCs w:val="0"/>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账号：</w:t>
      </w:r>
      <w:r>
        <w:rPr>
          <w:rFonts w:hint="eastAsia" w:ascii="宋体" w:hAnsi="宋体" w:eastAsia="宋体" w:cs="宋体"/>
          <w:i w:val="0"/>
          <w:iCs w:val="0"/>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开户银行：</w:t>
      </w:r>
      <w:r>
        <w:rPr>
          <w:rFonts w:hint="eastAsia" w:ascii="宋体" w:hAnsi="宋体" w:eastAsia="宋体" w:cs="宋体"/>
          <w:i w:val="0"/>
          <w:iCs w:val="0"/>
          <w:color w:val="auto"/>
          <w:sz w:val="24"/>
          <w:szCs w:val="24"/>
          <w:highlight w:val="none"/>
          <w:u w:val="single"/>
        </w:rPr>
        <w:t xml:space="preserve">        </w:t>
      </w:r>
    </w:p>
    <w:bookmarkEnd w:id="528"/>
    <w:p w14:paraId="4D631BBC">
      <w:pPr>
        <w:widowControl/>
        <w:jc w:val="left"/>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br w:type="page"/>
      </w:r>
    </w:p>
    <w:p w14:paraId="37D2F896">
      <w:pPr>
        <w:spacing w:line="360" w:lineRule="auto"/>
        <w:jc w:val="center"/>
        <w:outlineLvl w:val="1"/>
        <w:rPr>
          <w:rFonts w:hint="eastAsia" w:ascii="宋体" w:hAnsi="宋体" w:eastAsia="宋体" w:cs="宋体"/>
          <w:b/>
          <w:i w:val="0"/>
          <w:iCs w:val="0"/>
          <w:color w:val="auto"/>
          <w:sz w:val="36"/>
          <w:szCs w:val="36"/>
          <w:highlight w:val="none"/>
        </w:rPr>
      </w:pPr>
      <w:bookmarkStart w:id="529" w:name="_Toc25694"/>
      <w:bookmarkStart w:id="530" w:name="_Toc415"/>
      <w:r>
        <w:rPr>
          <w:rFonts w:hint="eastAsia" w:ascii="宋体" w:hAnsi="宋体" w:eastAsia="宋体" w:cs="宋体"/>
          <w:b/>
          <w:i w:val="0"/>
          <w:iCs w:val="0"/>
          <w:color w:val="auto"/>
          <w:sz w:val="36"/>
          <w:szCs w:val="36"/>
          <w:highlight w:val="none"/>
        </w:rPr>
        <w:t>第二部分 合同一般条款</w:t>
      </w:r>
      <w:bookmarkEnd w:id="527"/>
      <w:bookmarkEnd w:id="529"/>
      <w:bookmarkEnd w:id="530"/>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31" w:name="_Toc259093669"/>
      <w:bookmarkStart w:id="532" w:name="_Ref467379214"/>
      <w:bookmarkStart w:id="533" w:name="_Ref467379094"/>
      <w:bookmarkStart w:id="534" w:name="_Ref467378404"/>
      <w:bookmarkStart w:id="535" w:name="_Ref467379101"/>
      <w:bookmarkStart w:id="536" w:name="_Toc487900349"/>
      <w:bookmarkStart w:id="537" w:name="_Ref467379225"/>
      <w:bookmarkStart w:id="538" w:name="_Toc16917"/>
      <w:bookmarkStart w:id="539" w:name="_Ref467379109"/>
      <w:bookmarkStart w:id="540" w:name="_Toc2588"/>
      <w:bookmarkStart w:id="541" w:name="_Toc279701240"/>
      <w:bookmarkStart w:id="542" w:name="_Toc19614"/>
      <w:bookmarkStart w:id="543" w:name="_Ref467379195"/>
      <w:bookmarkStart w:id="544" w:name="_Ref467378499"/>
      <w:bookmarkStart w:id="545" w:name="_Ref467379205"/>
      <w:bookmarkStart w:id="546" w:name="_Ref467378463"/>
      <w:bookmarkStart w:id="547" w:name="_Toc28763"/>
      <w:r>
        <w:rPr>
          <w:rFonts w:hint="eastAsia" w:ascii="宋体" w:hAnsi="宋体" w:eastAsia="宋体" w:cs="宋体"/>
          <w:b/>
          <w:bCs/>
          <w:i w:val="0"/>
          <w:iCs w:val="0"/>
          <w:color w:val="auto"/>
          <w:sz w:val="24"/>
          <w:szCs w:val="24"/>
          <w:highlight w:val="none"/>
          <w:lang w:val="zh-CN"/>
        </w:rPr>
        <w:t>2.1 定义</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548" w:name="_Ref467378840"/>
      <w:r>
        <w:rPr>
          <w:rFonts w:hint="eastAsia" w:ascii="宋体" w:hAnsi="宋体" w:eastAsia="宋体" w:cs="宋体"/>
          <w:i w:val="0"/>
          <w:iCs w:val="0"/>
          <w:color w:val="auto"/>
          <w:sz w:val="24"/>
          <w:szCs w:val="24"/>
          <w:highlight w:val="none"/>
        </w:rPr>
        <w:t>2.1.4“甲方”系指与中标人签署合同的采购人</w:t>
      </w:r>
      <w:bookmarkEnd w:id="548"/>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549" w:name="_Ref467379400"/>
      <w:r>
        <w:rPr>
          <w:rFonts w:hint="eastAsia" w:ascii="宋体" w:hAnsi="宋体" w:eastAsia="宋体" w:cs="宋体"/>
          <w:i w:val="0"/>
          <w:iCs w:val="0"/>
          <w:color w:val="auto"/>
          <w:sz w:val="24"/>
          <w:szCs w:val="24"/>
          <w:highlight w:val="none"/>
        </w:rPr>
        <w:t>2.1.5“乙方”系指根据合同约定提供服务的中标人</w:t>
      </w:r>
      <w:bookmarkEnd w:id="549"/>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550" w:name="_Ref467379436"/>
      <w:r>
        <w:rPr>
          <w:rFonts w:hint="eastAsia" w:ascii="宋体" w:hAnsi="宋体" w:eastAsia="宋体" w:cs="宋体"/>
          <w:i w:val="0"/>
          <w:iCs w:val="0"/>
          <w:color w:val="auto"/>
          <w:sz w:val="24"/>
          <w:szCs w:val="24"/>
          <w:highlight w:val="none"/>
        </w:rPr>
        <w:t>2.1.6“现场”系指合同约定提供服务的地点。</w:t>
      </w:r>
      <w:bookmarkEnd w:id="550"/>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51" w:name="_Toc13336"/>
      <w:bookmarkStart w:id="552" w:name="_Toc259093670"/>
      <w:bookmarkStart w:id="553" w:name="_Toc32504"/>
      <w:bookmarkStart w:id="554" w:name="_Toc27635"/>
      <w:bookmarkStart w:id="555" w:name="_Toc279701241"/>
      <w:bookmarkStart w:id="556" w:name="_Toc487900350"/>
      <w:bookmarkStart w:id="557" w:name="_Toc30369"/>
      <w:r>
        <w:rPr>
          <w:rFonts w:hint="eastAsia" w:ascii="宋体" w:hAnsi="宋体" w:eastAsia="宋体" w:cs="宋体"/>
          <w:b/>
          <w:bCs/>
          <w:i w:val="0"/>
          <w:iCs w:val="0"/>
          <w:color w:val="auto"/>
          <w:sz w:val="24"/>
          <w:szCs w:val="24"/>
          <w:highlight w:val="none"/>
          <w:lang w:val="zh-CN"/>
        </w:rPr>
        <w:t>2.2 技术规范</w:t>
      </w:r>
      <w:bookmarkEnd w:id="551"/>
      <w:bookmarkEnd w:id="552"/>
      <w:bookmarkEnd w:id="553"/>
      <w:bookmarkEnd w:id="554"/>
      <w:bookmarkEnd w:id="555"/>
      <w:bookmarkEnd w:id="556"/>
      <w:bookmarkEnd w:id="557"/>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58" w:name="_Toc27853"/>
      <w:bookmarkStart w:id="559" w:name="_Toc259093671"/>
      <w:bookmarkStart w:id="560" w:name="_Toc31634"/>
      <w:bookmarkStart w:id="561" w:name="_Toc487900351"/>
      <w:bookmarkStart w:id="562" w:name="_Toc279701242"/>
      <w:bookmarkStart w:id="563" w:name="_Toc9829"/>
      <w:bookmarkStart w:id="564" w:name="_Toc21446"/>
      <w:r>
        <w:rPr>
          <w:rFonts w:hint="eastAsia" w:ascii="宋体" w:hAnsi="宋体" w:eastAsia="宋体" w:cs="宋体"/>
          <w:b/>
          <w:bCs/>
          <w:i w:val="0"/>
          <w:iCs w:val="0"/>
          <w:color w:val="auto"/>
          <w:sz w:val="24"/>
          <w:szCs w:val="24"/>
          <w:highlight w:val="none"/>
          <w:lang w:val="zh-CN"/>
        </w:rPr>
        <w:t>2.3 知识产权</w:t>
      </w:r>
      <w:bookmarkEnd w:id="558"/>
      <w:bookmarkEnd w:id="559"/>
      <w:bookmarkEnd w:id="560"/>
      <w:bookmarkEnd w:id="561"/>
      <w:bookmarkEnd w:id="562"/>
      <w:bookmarkEnd w:id="563"/>
      <w:bookmarkEnd w:id="564"/>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65" w:name="_Ref467379536"/>
      <w:bookmarkStart w:id="566" w:name="_Ref467379542"/>
      <w:bookmarkStart w:id="567" w:name="_Ref467378541"/>
      <w:bookmarkStart w:id="568" w:name="_Toc487900354"/>
      <w:bookmarkStart w:id="569" w:name="_Toc259093674"/>
      <w:bookmarkStart w:id="570" w:name="_Ref467379527"/>
      <w:bookmarkStart w:id="571" w:name="_Toc279701245"/>
      <w:bookmarkStart w:id="572" w:name="_Ref467378591"/>
      <w:bookmarkStart w:id="573" w:name="_Toc24681"/>
      <w:bookmarkStart w:id="574" w:name="_Toc19074"/>
      <w:bookmarkStart w:id="575" w:name="_Toc26182"/>
      <w:bookmarkStart w:id="576" w:name="_Toc30272"/>
      <w:r>
        <w:rPr>
          <w:rFonts w:hint="eastAsia" w:ascii="宋体" w:hAnsi="宋体" w:eastAsia="宋体" w:cs="宋体"/>
          <w:b/>
          <w:bCs/>
          <w:i w:val="0"/>
          <w:iCs w:val="0"/>
          <w:color w:val="auto"/>
          <w:sz w:val="24"/>
          <w:szCs w:val="24"/>
          <w:highlight w:val="none"/>
          <w:lang w:val="zh-CN"/>
        </w:rPr>
        <w:t>2.</w:t>
      </w:r>
      <w:bookmarkEnd w:id="565"/>
      <w:bookmarkEnd w:id="566"/>
      <w:bookmarkEnd w:id="567"/>
      <w:bookmarkEnd w:id="568"/>
      <w:bookmarkEnd w:id="569"/>
      <w:bookmarkEnd w:id="570"/>
      <w:bookmarkEnd w:id="571"/>
      <w:bookmarkEnd w:id="572"/>
      <w:r>
        <w:rPr>
          <w:rFonts w:hint="eastAsia" w:ascii="宋体" w:hAnsi="宋体" w:eastAsia="宋体" w:cs="宋体"/>
          <w:b/>
          <w:bCs/>
          <w:i w:val="0"/>
          <w:iCs w:val="0"/>
          <w:color w:val="auto"/>
          <w:sz w:val="24"/>
          <w:szCs w:val="24"/>
          <w:highlight w:val="none"/>
          <w:lang w:val="zh-CN"/>
        </w:rPr>
        <w:t>4 履约检查和问题反馈</w:t>
      </w:r>
      <w:bookmarkEnd w:id="573"/>
      <w:bookmarkEnd w:id="574"/>
      <w:bookmarkEnd w:id="575"/>
      <w:bookmarkEnd w:id="576"/>
    </w:p>
    <w:p w14:paraId="1F572855">
      <w:pPr>
        <w:spacing w:line="360" w:lineRule="auto"/>
        <w:ind w:firstLine="435"/>
        <w:rPr>
          <w:rFonts w:hint="eastAsia" w:ascii="宋体" w:hAnsi="宋体" w:eastAsia="宋体" w:cs="宋体"/>
          <w:i w:val="0"/>
          <w:iCs w:val="0"/>
          <w:color w:val="auto"/>
          <w:sz w:val="24"/>
          <w:szCs w:val="24"/>
          <w:highlight w:val="none"/>
        </w:rPr>
      </w:pPr>
      <w:bookmarkStart w:id="577" w:name="_Toc186431854"/>
      <w:bookmarkStart w:id="578" w:name="_Toc279701247"/>
      <w:bookmarkStart w:id="579" w:name="_Toc487900357"/>
      <w:bookmarkStart w:id="580" w:name="_Toc259093676"/>
      <w:bookmarkStart w:id="581" w:name="_Ref467379807"/>
      <w:bookmarkStart w:id="582" w:name="_Ref467379793"/>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577"/>
      <w:bookmarkStart w:id="583" w:name="_Toc186431855"/>
      <w:r>
        <w:rPr>
          <w:rFonts w:hint="eastAsia" w:ascii="宋体" w:hAnsi="宋体" w:eastAsia="宋体" w:cs="宋体"/>
          <w:i w:val="0"/>
          <w:iCs w:val="0"/>
          <w:color w:val="auto"/>
          <w:sz w:val="24"/>
          <w:szCs w:val="24"/>
          <w:highlight w:val="none"/>
        </w:rPr>
        <w:t>。</w:t>
      </w:r>
    </w:p>
    <w:bookmarkEnd w:id="583"/>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84" w:name="_Toc19219"/>
      <w:bookmarkStart w:id="585" w:name="_Toc28451"/>
      <w:bookmarkStart w:id="586" w:name="_Toc27070"/>
      <w:bookmarkStart w:id="587" w:name="_Toc7836"/>
      <w:r>
        <w:rPr>
          <w:rFonts w:hint="eastAsia" w:ascii="宋体" w:hAnsi="宋体" w:eastAsia="宋体" w:cs="宋体"/>
          <w:b/>
          <w:bCs/>
          <w:i w:val="0"/>
          <w:iCs w:val="0"/>
          <w:color w:val="auto"/>
          <w:sz w:val="24"/>
          <w:szCs w:val="24"/>
          <w:highlight w:val="none"/>
          <w:lang w:val="zh-CN"/>
        </w:rPr>
        <w:t>2.5 结算方式和付款条件</w:t>
      </w:r>
      <w:bookmarkEnd w:id="578"/>
      <w:bookmarkEnd w:id="579"/>
      <w:bookmarkEnd w:id="580"/>
      <w:bookmarkEnd w:id="581"/>
      <w:bookmarkEnd w:id="582"/>
      <w:bookmarkEnd w:id="584"/>
      <w:bookmarkEnd w:id="585"/>
      <w:bookmarkEnd w:id="586"/>
      <w:bookmarkEnd w:id="587"/>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88" w:name="_Ref467379923"/>
      <w:bookmarkStart w:id="589" w:name="_Toc259093677"/>
      <w:bookmarkStart w:id="590" w:name="_Ref467379852"/>
      <w:bookmarkStart w:id="591" w:name="_Toc487900358"/>
      <w:bookmarkStart w:id="592" w:name="_Ref467379863"/>
      <w:bookmarkStart w:id="593" w:name="_Toc279701248"/>
      <w:bookmarkStart w:id="594" w:name="_Toc3225"/>
      <w:bookmarkStart w:id="595" w:name="_Toc774"/>
      <w:bookmarkStart w:id="596" w:name="_Toc11696"/>
      <w:bookmarkStart w:id="597" w:name="_Toc16110"/>
      <w:r>
        <w:rPr>
          <w:rFonts w:hint="eastAsia" w:ascii="宋体" w:hAnsi="宋体" w:eastAsia="宋体" w:cs="宋体"/>
          <w:b/>
          <w:bCs/>
          <w:i w:val="0"/>
          <w:iCs w:val="0"/>
          <w:color w:val="auto"/>
          <w:sz w:val="24"/>
          <w:szCs w:val="24"/>
          <w:highlight w:val="none"/>
          <w:lang w:val="zh-CN"/>
        </w:rPr>
        <w:t>2.6 技术资料</w:t>
      </w:r>
      <w:bookmarkEnd w:id="588"/>
      <w:bookmarkEnd w:id="589"/>
      <w:bookmarkEnd w:id="590"/>
      <w:bookmarkEnd w:id="591"/>
      <w:bookmarkEnd w:id="592"/>
      <w:bookmarkEnd w:id="593"/>
      <w:r>
        <w:rPr>
          <w:rFonts w:hint="eastAsia" w:ascii="宋体" w:hAnsi="宋体" w:eastAsia="宋体" w:cs="宋体"/>
          <w:b/>
          <w:bCs/>
          <w:i w:val="0"/>
          <w:iCs w:val="0"/>
          <w:color w:val="auto"/>
          <w:sz w:val="24"/>
          <w:szCs w:val="24"/>
          <w:highlight w:val="none"/>
          <w:lang w:val="zh-CN"/>
        </w:rPr>
        <w:t>和保密义务</w:t>
      </w:r>
      <w:bookmarkEnd w:id="594"/>
      <w:bookmarkEnd w:id="595"/>
      <w:bookmarkEnd w:id="596"/>
      <w:bookmarkEnd w:id="597"/>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8" w:name="_Toc7860"/>
      <w:bookmarkStart w:id="599" w:name="_Toc14583"/>
      <w:r>
        <w:rPr>
          <w:rFonts w:hint="eastAsia" w:ascii="宋体" w:hAnsi="宋体" w:eastAsia="宋体" w:cs="宋体"/>
          <w:b/>
          <w:bCs/>
          <w:i w:val="0"/>
          <w:iCs w:val="0"/>
          <w:color w:val="auto"/>
          <w:sz w:val="24"/>
          <w:szCs w:val="24"/>
          <w:highlight w:val="none"/>
          <w:lang w:val="zh-CN"/>
        </w:rPr>
        <w:t>2.7 质量保证</w:t>
      </w:r>
      <w:bookmarkEnd w:id="598"/>
      <w:bookmarkEnd w:id="599"/>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600" w:name="_Toc27900"/>
      <w:bookmarkStart w:id="601" w:name="_Toc22267"/>
      <w:r>
        <w:rPr>
          <w:rFonts w:hint="eastAsia" w:ascii="宋体" w:hAnsi="宋体" w:eastAsia="宋体" w:cs="宋体"/>
          <w:b/>
          <w:i w:val="0"/>
          <w:iCs w:val="0"/>
          <w:color w:val="auto"/>
          <w:sz w:val="24"/>
          <w:szCs w:val="24"/>
          <w:highlight w:val="none"/>
        </w:rPr>
        <w:t>2.8 延迟履行</w:t>
      </w:r>
      <w:bookmarkEnd w:id="600"/>
      <w:bookmarkEnd w:id="601"/>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02" w:name="_Toc7502"/>
      <w:bookmarkStart w:id="603" w:name="_Toc32210"/>
      <w:bookmarkStart w:id="604" w:name="_Ref467378121"/>
      <w:bookmarkStart w:id="605" w:name="_Toc279701254"/>
      <w:bookmarkStart w:id="606" w:name="_Toc259093683"/>
      <w:bookmarkStart w:id="607" w:name="_Toc487900364"/>
      <w:r>
        <w:rPr>
          <w:rFonts w:hint="eastAsia" w:ascii="宋体" w:hAnsi="宋体" w:eastAsia="宋体" w:cs="宋体"/>
          <w:b/>
          <w:bCs/>
          <w:i w:val="0"/>
          <w:iCs w:val="0"/>
          <w:color w:val="auto"/>
          <w:sz w:val="24"/>
          <w:szCs w:val="24"/>
          <w:highlight w:val="none"/>
          <w:lang w:val="zh-CN"/>
        </w:rPr>
        <w:t>2.9 合同变更</w:t>
      </w:r>
      <w:bookmarkEnd w:id="602"/>
      <w:bookmarkEnd w:id="603"/>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08" w:name="_Toc259093688"/>
      <w:bookmarkStart w:id="609" w:name="_Toc279701259"/>
      <w:bookmarkStart w:id="610" w:name="_Toc487900369"/>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1" w:name="_Toc22955"/>
      <w:bookmarkStart w:id="612" w:name="_Toc15237"/>
      <w:bookmarkStart w:id="613" w:name="_Toc10366"/>
      <w:bookmarkStart w:id="614" w:name="_Toc31057"/>
      <w:r>
        <w:rPr>
          <w:rFonts w:hint="eastAsia" w:ascii="宋体" w:hAnsi="宋体" w:eastAsia="宋体" w:cs="宋体"/>
          <w:b/>
          <w:bCs/>
          <w:i w:val="0"/>
          <w:iCs w:val="0"/>
          <w:color w:val="auto"/>
          <w:sz w:val="24"/>
          <w:szCs w:val="24"/>
          <w:highlight w:val="none"/>
          <w:lang w:val="zh-CN"/>
        </w:rPr>
        <w:t>2.10 合同转让</w:t>
      </w:r>
      <w:bookmarkEnd w:id="608"/>
      <w:bookmarkEnd w:id="609"/>
      <w:bookmarkEnd w:id="610"/>
      <w:r>
        <w:rPr>
          <w:rFonts w:hint="eastAsia" w:ascii="宋体" w:hAnsi="宋体" w:eastAsia="宋体" w:cs="宋体"/>
          <w:b/>
          <w:bCs/>
          <w:i w:val="0"/>
          <w:iCs w:val="0"/>
          <w:color w:val="auto"/>
          <w:sz w:val="24"/>
          <w:szCs w:val="24"/>
          <w:highlight w:val="none"/>
          <w:lang w:val="zh-CN"/>
        </w:rPr>
        <w:t>和分包</w:t>
      </w:r>
      <w:bookmarkEnd w:id="611"/>
      <w:bookmarkEnd w:id="612"/>
      <w:bookmarkEnd w:id="613"/>
      <w:bookmarkEnd w:id="614"/>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5" w:name="_Toc14066"/>
      <w:bookmarkStart w:id="616" w:name="_Toc16508"/>
      <w:bookmarkStart w:id="617" w:name="_Toc7877"/>
      <w:bookmarkStart w:id="618" w:name="_Toc13566"/>
      <w:r>
        <w:rPr>
          <w:rFonts w:hint="eastAsia" w:ascii="宋体" w:hAnsi="宋体" w:eastAsia="宋体" w:cs="宋体"/>
          <w:b/>
          <w:bCs/>
          <w:i w:val="0"/>
          <w:iCs w:val="0"/>
          <w:color w:val="auto"/>
          <w:sz w:val="24"/>
          <w:szCs w:val="24"/>
          <w:highlight w:val="none"/>
          <w:lang w:val="zh-CN"/>
        </w:rPr>
        <w:t>2.11 不可抗力</w:t>
      </w:r>
      <w:bookmarkEnd w:id="615"/>
      <w:bookmarkEnd w:id="616"/>
      <w:bookmarkEnd w:id="617"/>
      <w:bookmarkEnd w:id="618"/>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9" w:name="_Toc487900365"/>
      <w:bookmarkStart w:id="620" w:name="_Toc30676"/>
      <w:bookmarkStart w:id="621" w:name="_Toc16581"/>
      <w:bookmarkStart w:id="622" w:name="_Toc6969"/>
      <w:bookmarkStart w:id="623" w:name="_Toc259093684"/>
      <w:bookmarkStart w:id="624" w:name="_Toc689"/>
      <w:bookmarkStart w:id="625" w:name="_Toc279701255"/>
      <w:r>
        <w:rPr>
          <w:rFonts w:hint="eastAsia" w:ascii="宋体" w:hAnsi="宋体" w:eastAsia="宋体" w:cs="宋体"/>
          <w:b/>
          <w:bCs/>
          <w:i w:val="0"/>
          <w:iCs w:val="0"/>
          <w:color w:val="auto"/>
          <w:sz w:val="24"/>
          <w:szCs w:val="24"/>
          <w:highlight w:val="none"/>
          <w:lang w:val="zh-CN"/>
        </w:rPr>
        <w:t>2.12 税费</w:t>
      </w:r>
      <w:bookmarkEnd w:id="619"/>
      <w:bookmarkEnd w:id="620"/>
      <w:bookmarkEnd w:id="621"/>
      <w:bookmarkEnd w:id="622"/>
      <w:bookmarkEnd w:id="623"/>
      <w:bookmarkEnd w:id="624"/>
      <w:bookmarkEnd w:id="625"/>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6" w:name="_Toc21787"/>
      <w:bookmarkStart w:id="627" w:name="_Toc8298"/>
      <w:bookmarkStart w:id="628" w:name="_Toc279701258"/>
      <w:bookmarkStart w:id="629" w:name="_Toc487900368"/>
      <w:bookmarkStart w:id="630" w:name="_Toc259093687"/>
      <w:bookmarkStart w:id="631" w:name="_Toc16959"/>
      <w:bookmarkStart w:id="632" w:name="_Toc7102"/>
      <w:r>
        <w:rPr>
          <w:rFonts w:hint="eastAsia" w:ascii="宋体" w:hAnsi="宋体" w:eastAsia="宋体" w:cs="宋体"/>
          <w:b/>
          <w:bCs/>
          <w:i w:val="0"/>
          <w:iCs w:val="0"/>
          <w:color w:val="auto"/>
          <w:sz w:val="24"/>
          <w:szCs w:val="24"/>
          <w:highlight w:val="none"/>
          <w:lang w:val="zh-CN"/>
        </w:rPr>
        <w:t>2.13 乙方破产</w:t>
      </w:r>
      <w:bookmarkEnd w:id="626"/>
      <w:bookmarkEnd w:id="627"/>
      <w:bookmarkEnd w:id="628"/>
      <w:bookmarkEnd w:id="629"/>
      <w:bookmarkEnd w:id="630"/>
      <w:bookmarkEnd w:id="631"/>
      <w:bookmarkEnd w:id="632"/>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633" w:name="_Toc29333"/>
      <w:bookmarkStart w:id="634" w:name="_Toc6134"/>
      <w:bookmarkStart w:id="635" w:name="_Toc15387"/>
      <w:bookmarkStart w:id="636" w:name="_Toc21700"/>
      <w:r>
        <w:rPr>
          <w:rFonts w:hint="eastAsia" w:ascii="宋体" w:hAnsi="宋体" w:eastAsia="宋体" w:cs="宋体"/>
          <w:b/>
          <w:bCs/>
          <w:i w:val="0"/>
          <w:iCs w:val="0"/>
          <w:color w:val="auto"/>
          <w:sz w:val="24"/>
          <w:szCs w:val="24"/>
          <w:highlight w:val="none"/>
          <w:lang w:val="zh-CN"/>
        </w:rPr>
        <w:t>2.14 合同中止、终止</w:t>
      </w:r>
      <w:bookmarkEnd w:id="633"/>
      <w:bookmarkEnd w:id="634"/>
      <w:bookmarkEnd w:id="635"/>
      <w:bookmarkEnd w:id="636"/>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7" w:name="_Toc1125"/>
      <w:bookmarkStart w:id="638" w:name="_Toc6596"/>
      <w:bookmarkStart w:id="639" w:name="_Toc23738"/>
      <w:bookmarkStart w:id="640" w:name="_Toc14563"/>
      <w:r>
        <w:rPr>
          <w:rFonts w:hint="eastAsia" w:ascii="宋体" w:hAnsi="宋体" w:eastAsia="宋体" w:cs="宋体"/>
          <w:b/>
          <w:bCs/>
          <w:i w:val="0"/>
          <w:iCs w:val="0"/>
          <w:color w:val="auto"/>
          <w:sz w:val="24"/>
          <w:szCs w:val="24"/>
          <w:highlight w:val="none"/>
          <w:lang w:val="zh-CN"/>
        </w:rPr>
        <w:t>2.15 检验和验收</w:t>
      </w:r>
      <w:bookmarkEnd w:id="637"/>
      <w:bookmarkEnd w:id="638"/>
      <w:bookmarkEnd w:id="639"/>
      <w:bookmarkEnd w:id="640"/>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04"/>
    <w:bookmarkEnd w:id="605"/>
    <w:bookmarkEnd w:id="606"/>
    <w:bookmarkEnd w:id="607"/>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641" w:name="_Toc10330"/>
      <w:bookmarkStart w:id="642" w:name="_Toc12773"/>
      <w:bookmarkStart w:id="643" w:name="_Toc14648"/>
      <w:bookmarkStart w:id="644" w:name="_Toc487900373"/>
      <w:bookmarkStart w:id="645" w:name="_Toc279701263"/>
      <w:bookmarkStart w:id="646" w:name="_Toc18567"/>
      <w:bookmarkStart w:id="647" w:name="_Toc259093692"/>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641"/>
      <w:bookmarkEnd w:id="642"/>
      <w:bookmarkEnd w:id="643"/>
      <w:bookmarkEnd w:id="644"/>
      <w:bookmarkEnd w:id="645"/>
      <w:bookmarkEnd w:id="646"/>
      <w:bookmarkEnd w:id="647"/>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648" w:name="_Toc27410"/>
      <w:bookmarkStart w:id="649" w:name="_Toc259093693"/>
      <w:bookmarkStart w:id="650" w:name="_Toc279701264"/>
      <w:bookmarkStart w:id="651" w:name="_Toc12004"/>
      <w:bookmarkStart w:id="652" w:name="_Toc3148"/>
      <w:bookmarkStart w:id="653" w:name="_Toc16673"/>
      <w:bookmarkStart w:id="654" w:name="_Toc487900374"/>
      <w:r>
        <w:rPr>
          <w:rFonts w:hint="eastAsia" w:ascii="宋体" w:hAnsi="宋体" w:eastAsia="宋体" w:cs="宋体"/>
          <w:b/>
          <w:bCs/>
          <w:i w:val="0"/>
          <w:iCs w:val="0"/>
          <w:color w:val="auto"/>
          <w:sz w:val="24"/>
          <w:szCs w:val="24"/>
          <w:highlight w:val="none"/>
          <w:lang w:val="zh-CN"/>
        </w:rPr>
        <w:t>2.17 履约保证金</w:t>
      </w:r>
      <w:bookmarkEnd w:id="648"/>
      <w:bookmarkEnd w:id="649"/>
      <w:bookmarkEnd w:id="650"/>
      <w:bookmarkEnd w:id="651"/>
      <w:bookmarkEnd w:id="652"/>
      <w:bookmarkEnd w:id="653"/>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54"/>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655" w:name="_Toc6885"/>
      <w:bookmarkStart w:id="656" w:name="_Toc14001"/>
      <w:bookmarkStart w:id="657" w:name="_Toc19890"/>
      <w:bookmarkStart w:id="658" w:name="_Toc21044"/>
      <w:r>
        <w:rPr>
          <w:rFonts w:hint="eastAsia" w:ascii="宋体" w:hAnsi="宋体" w:eastAsia="宋体" w:cs="宋体"/>
          <w:b/>
          <w:bCs/>
          <w:i w:val="0"/>
          <w:iCs w:val="0"/>
          <w:color w:val="auto"/>
          <w:sz w:val="24"/>
          <w:szCs w:val="24"/>
          <w:highlight w:val="none"/>
          <w:lang w:val="zh-CN"/>
        </w:rPr>
        <w:t>2.18 合同份数</w:t>
      </w:r>
      <w:bookmarkEnd w:id="655"/>
      <w:bookmarkEnd w:id="656"/>
      <w:bookmarkEnd w:id="657"/>
      <w:bookmarkEnd w:id="658"/>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i w:val="0"/>
          <w:iCs w:val="0"/>
          <w:color w:val="auto"/>
          <w:sz w:val="36"/>
          <w:szCs w:val="36"/>
          <w:highlight w:val="none"/>
        </w:rPr>
      </w:pPr>
      <w:r>
        <w:rPr>
          <w:rFonts w:hint="eastAsia" w:ascii="宋体" w:hAnsi="宋体" w:eastAsia="宋体" w:cs="宋体"/>
          <w:i w:val="0"/>
          <w:iCs w:val="0"/>
          <w:color w:val="auto"/>
          <w:sz w:val="24"/>
          <w:szCs w:val="24"/>
          <w:highlight w:val="none"/>
        </w:rPr>
        <w:br w:type="page"/>
      </w:r>
      <w:bookmarkStart w:id="659" w:name="_Toc3736"/>
      <w:bookmarkStart w:id="660" w:name="_Toc28332"/>
      <w:r>
        <w:rPr>
          <w:rFonts w:hint="eastAsia" w:ascii="宋体" w:hAnsi="宋体" w:eastAsia="宋体" w:cs="宋体"/>
          <w:b/>
          <w:i w:val="0"/>
          <w:iCs w:val="0"/>
          <w:color w:val="auto"/>
          <w:sz w:val="36"/>
          <w:szCs w:val="36"/>
          <w:highlight w:val="none"/>
        </w:rPr>
        <w:t>第三部分 合同专用条款</w:t>
      </w:r>
      <w:bookmarkEnd w:id="659"/>
      <w:bookmarkEnd w:id="660"/>
    </w:p>
    <w:p w14:paraId="3D7C59F3">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条款号</w:t>
            </w:r>
          </w:p>
        </w:tc>
        <w:tc>
          <w:tcPr>
            <w:tcW w:w="7568" w:type="dxa"/>
            <w:vAlign w:val="center"/>
          </w:tcPr>
          <w:p w14:paraId="5E297E2A">
            <w:pPr>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0655C46">
            <w:pPr>
              <w:spacing w:line="560" w:lineRule="exact"/>
              <w:rPr>
                <w:rFonts w:hint="eastAsia" w:ascii="宋体" w:hAnsi="宋体" w:eastAsia="宋体" w:cs="宋体"/>
                <w:i w:val="0"/>
                <w:iCs w:val="0"/>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2E7ECB0">
            <w:pPr>
              <w:spacing w:line="560" w:lineRule="exact"/>
              <w:rPr>
                <w:rFonts w:hint="eastAsia" w:ascii="宋体" w:hAnsi="宋体" w:eastAsia="宋体" w:cs="宋体"/>
                <w:i w:val="0"/>
                <w:iCs w:val="0"/>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11385EA">
            <w:pPr>
              <w:spacing w:line="560" w:lineRule="exact"/>
              <w:rPr>
                <w:rFonts w:hint="eastAsia" w:ascii="宋体" w:hAnsi="宋体" w:eastAsia="宋体" w:cs="宋体"/>
                <w:i w:val="0"/>
                <w:iCs w:val="0"/>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28B2346">
            <w:pPr>
              <w:spacing w:line="560" w:lineRule="exact"/>
              <w:rPr>
                <w:rFonts w:hint="eastAsia" w:ascii="宋体" w:hAnsi="宋体" w:eastAsia="宋体" w:cs="宋体"/>
                <w:i w:val="0"/>
                <w:iCs w:val="0"/>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1CA5680">
            <w:pPr>
              <w:spacing w:line="560" w:lineRule="exact"/>
              <w:rPr>
                <w:rFonts w:hint="eastAsia" w:ascii="宋体" w:hAnsi="宋体" w:eastAsia="宋体" w:cs="宋体"/>
                <w:i w:val="0"/>
                <w:iCs w:val="0"/>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5CD2BDDA">
            <w:pPr>
              <w:spacing w:line="560" w:lineRule="exact"/>
              <w:rPr>
                <w:rFonts w:hint="eastAsia" w:ascii="宋体" w:hAnsi="宋体" w:eastAsia="宋体" w:cs="宋体"/>
                <w:i w:val="0"/>
                <w:iCs w:val="0"/>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7E92421C">
            <w:pPr>
              <w:spacing w:line="560" w:lineRule="exact"/>
              <w:rPr>
                <w:rFonts w:hint="eastAsia" w:ascii="宋体" w:hAnsi="宋体" w:eastAsia="宋体" w:cs="宋体"/>
                <w:i w:val="0"/>
                <w:iCs w:val="0"/>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4A52371D">
            <w:pPr>
              <w:spacing w:line="560" w:lineRule="exact"/>
              <w:rPr>
                <w:rFonts w:hint="eastAsia" w:ascii="宋体" w:hAnsi="宋体" w:eastAsia="宋体" w:cs="宋体"/>
                <w:i w:val="0"/>
                <w:iCs w:val="0"/>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6035952A">
            <w:pPr>
              <w:spacing w:line="560" w:lineRule="exact"/>
              <w:rPr>
                <w:rFonts w:hint="eastAsia" w:ascii="宋体" w:hAnsi="宋体" w:eastAsia="宋体" w:cs="宋体"/>
                <w:i w:val="0"/>
                <w:iCs w:val="0"/>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i w:val="0"/>
                <w:iCs w:val="0"/>
                <w:color w:val="auto"/>
                <w:sz w:val="24"/>
                <w:szCs w:val="24"/>
                <w:highlight w:val="none"/>
              </w:rPr>
            </w:pPr>
          </w:p>
        </w:tc>
        <w:tc>
          <w:tcPr>
            <w:tcW w:w="7568" w:type="dxa"/>
            <w:vAlign w:val="center"/>
          </w:tcPr>
          <w:p w14:paraId="3AE9AB17">
            <w:pPr>
              <w:spacing w:line="560" w:lineRule="exact"/>
              <w:rPr>
                <w:rFonts w:hint="eastAsia" w:ascii="宋体" w:hAnsi="宋体" w:eastAsia="宋体" w:cs="宋体"/>
                <w:i w:val="0"/>
                <w:iCs w:val="0"/>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i w:val="0"/>
                <w:iCs w:val="0"/>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i w:val="0"/>
                <w:iCs w:val="0"/>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i w:val="0"/>
                <w:iCs w:val="0"/>
                <w:color w:val="auto"/>
                <w:sz w:val="24"/>
                <w:szCs w:val="24"/>
                <w:highlight w:val="none"/>
              </w:rPr>
            </w:pPr>
          </w:p>
        </w:tc>
      </w:tr>
    </w:tbl>
    <w:p w14:paraId="1FAB85DE">
      <w:pPr>
        <w:spacing w:line="360" w:lineRule="auto"/>
        <w:rPr>
          <w:rFonts w:hint="eastAsia" w:ascii="宋体" w:hAnsi="宋体" w:eastAsia="宋体" w:cs="宋体"/>
          <w:i w:val="0"/>
          <w:iCs w:val="0"/>
          <w:color w:val="auto"/>
          <w:sz w:val="24"/>
          <w:highlight w:val="none"/>
        </w:rPr>
      </w:pPr>
    </w:p>
    <w:bookmarkEnd w:id="486"/>
    <w:p w14:paraId="12E53718">
      <w:pPr>
        <w:ind w:left="550" w:firstLine="420" w:firstLineChars="175"/>
        <w:rPr>
          <w:i w:val="0"/>
          <w:iCs w:val="0"/>
          <w:color w:val="auto"/>
          <w:highlight w:val="none"/>
        </w:rPr>
      </w:pPr>
    </w:p>
    <w:p w14:paraId="288D4DEC">
      <w:pPr>
        <w:rPr>
          <w:i w:val="0"/>
          <w:iCs w:val="0"/>
          <w:color w:val="auto"/>
          <w:highlight w:val="none"/>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p>
    <w:p w14:paraId="35A4DE00">
      <w:pPr>
        <w:pStyle w:val="4"/>
        <w:numPr>
          <w:ilvl w:val="0"/>
          <w:numId w:val="0"/>
        </w:numPr>
        <w:ind w:left="420" w:leftChars="0" w:hanging="420" w:firstLineChars="0"/>
        <w:rPr>
          <w:rFonts w:hint="eastAsia" w:ascii="宋体" w:hAnsi="宋体" w:eastAsia="黑体" w:cstheme="minorBidi"/>
          <w:b/>
          <w:bCs/>
          <w:i w:val="0"/>
          <w:iCs w:val="0"/>
          <w:color w:val="auto"/>
          <w:kern w:val="44"/>
          <w:sz w:val="44"/>
          <w:szCs w:val="44"/>
          <w:highlight w:val="none"/>
          <w:lang w:val="en-US" w:eastAsia="zh-CN" w:bidi="ar-SA"/>
        </w:rPr>
      </w:pPr>
    </w:p>
    <w:p w14:paraId="303727D2">
      <w:pPr>
        <w:pStyle w:val="4"/>
        <w:numPr>
          <w:ilvl w:val="0"/>
          <w:numId w:val="0"/>
        </w:numPr>
        <w:ind w:left="420" w:leftChars="0" w:hanging="420" w:firstLineChars="0"/>
        <w:rPr>
          <w:i w:val="0"/>
          <w:iCs w:val="0"/>
          <w:color w:val="auto"/>
          <w:highlight w:val="none"/>
        </w:rPr>
      </w:pPr>
      <w:bookmarkStart w:id="661" w:name="_Toc3038"/>
      <w:r>
        <w:rPr>
          <w:rFonts w:hint="eastAsia" w:ascii="宋体" w:hAnsi="宋体" w:eastAsia="宋体" w:cs="宋体"/>
          <w:b/>
          <w:bCs/>
          <w:i w:val="0"/>
          <w:iCs w:val="0"/>
          <w:color w:val="auto"/>
          <w:kern w:val="44"/>
          <w:sz w:val="36"/>
          <w:szCs w:val="36"/>
          <w:highlight w:val="none"/>
          <w:lang w:val="en-US" w:eastAsia="zh-CN" w:bidi="ar-SA"/>
        </w:rPr>
        <w:t xml:space="preserve">第六章 </w:t>
      </w:r>
      <w:r>
        <w:rPr>
          <w:rFonts w:hint="eastAsia" w:ascii="宋体" w:hAnsi="宋体" w:eastAsia="宋体" w:cs="宋体"/>
          <w:i w:val="0"/>
          <w:iCs w:val="0"/>
          <w:color w:val="auto"/>
          <w:sz w:val="36"/>
          <w:szCs w:val="36"/>
          <w:highlight w:val="none"/>
        </w:rPr>
        <w:t>响应文件的格式</w:t>
      </w:r>
      <w:bookmarkEnd w:id="661"/>
    </w:p>
    <w:p w14:paraId="6EC4C082">
      <w:pPr>
        <w:ind w:firstLine="480" w:firstLineChars="200"/>
        <w:rPr>
          <w:rFonts w:hint="eastAsia" w:cs="仿宋_GB2312"/>
          <w:i w:val="0"/>
          <w:iCs w:val="0"/>
          <w:color w:val="auto"/>
          <w:highlight w:val="none"/>
          <w:lang w:val="zh-CN"/>
        </w:rPr>
      </w:pPr>
    </w:p>
    <w:p w14:paraId="66F9DB6D">
      <w:pPr>
        <w:ind w:firstLine="480" w:firstLineChars="200"/>
        <w:rPr>
          <w:rFonts w:hint="eastAsia" w:cs="仿宋_GB2312"/>
          <w:i w:val="0"/>
          <w:iCs w:val="0"/>
          <w:color w:val="auto"/>
          <w:highlight w:val="none"/>
          <w:lang w:val="zh-CN"/>
        </w:rPr>
      </w:pPr>
    </w:p>
    <w:p w14:paraId="0F1E5057">
      <w:pPr>
        <w:ind w:firstLine="480" w:firstLineChars="200"/>
        <w:rPr>
          <w:rFonts w:hint="eastAsia" w:cs="仿宋_GB2312"/>
          <w:i w:val="0"/>
          <w:iCs w:val="0"/>
          <w:color w:val="auto"/>
          <w:highlight w:val="none"/>
          <w:lang w:val="zh-CN"/>
        </w:rPr>
      </w:pPr>
    </w:p>
    <w:p w14:paraId="02C1CDE2">
      <w:pPr>
        <w:ind w:firstLine="480" w:firstLineChars="200"/>
        <w:rPr>
          <w:rFonts w:hint="eastAsia" w:cs="仿宋_GB2312"/>
          <w:i w:val="0"/>
          <w:iCs w:val="0"/>
          <w:color w:val="auto"/>
          <w:highlight w:val="none"/>
          <w:lang w:val="zh-CN"/>
        </w:rPr>
      </w:pPr>
    </w:p>
    <w:p w14:paraId="5FD4F8BE">
      <w:pPr>
        <w:ind w:firstLine="480" w:firstLineChars="200"/>
        <w:rPr>
          <w:rFonts w:hint="eastAsia" w:cs="仿宋_GB2312"/>
          <w:i w:val="0"/>
          <w:iCs w:val="0"/>
          <w:color w:val="auto"/>
          <w:highlight w:val="none"/>
          <w:lang w:val="zh-CN"/>
        </w:rPr>
      </w:pPr>
    </w:p>
    <w:p w14:paraId="40FD170D">
      <w:pPr>
        <w:ind w:firstLine="480" w:firstLineChars="200"/>
        <w:rPr>
          <w:rFonts w:hint="eastAsia" w:cs="仿宋_GB2312"/>
          <w:i w:val="0"/>
          <w:iCs w:val="0"/>
          <w:color w:val="auto"/>
          <w:highlight w:val="none"/>
          <w:lang w:val="zh-CN"/>
        </w:rPr>
      </w:pPr>
    </w:p>
    <w:p w14:paraId="333C12D2">
      <w:pPr>
        <w:ind w:firstLine="480" w:firstLineChars="200"/>
        <w:rPr>
          <w:rFonts w:hint="eastAsia" w:cs="仿宋_GB2312"/>
          <w:i w:val="0"/>
          <w:iCs w:val="0"/>
          <w:color w:val="auto"/>
          <w:highlight w:val="none"/>
          <w:lang w:val="zh-CN"/>
        </w:rPr>
      </w:pPr>
    </w:p>
    <w:p w14:paraId="0DC5F5FB">
      <w:pPr>
        <w:ind w:firstLine="480" w:firstLineChars="200"/>
        <w:rPr>
          <w:rFonts w:hint="eastAsia" w:cs="仿宋_GB2312"/>
          <w:i w:val="0"/>
          <w:iCs w:val="0"/>
          <w:color w:val="auto"/>
          <w:highlight w:val="none"/>
          <w:lang w:val="zh-CN"/>
        </w:rPr>
      </w:pPr>
    </w:p>
    <w:p w14:paraId="7D5CE0DF">
      <w:pPr>
        <w:ind w:firstLine="480" w:firstLineChars="200"/>
        <w:rPr>
          <w:rFonts w:hint="eastAsia" w:cs="仿宋_GB2312"/>
          <w:i w:val="0"/>
          <w:iCs w:val="0"/>
          <w:color w:val="auto"/>
          <w:highlight w:val="none"/>
          <w:lang w:val="zh-CN"/>
        </w:rPr>
      </w:pPr>
    </w:p>
    <w:p w14:paraId="226FEC9F">
      <w:pPr>
        <w:ind w:firstLine="480" w:firstLineChars="200"/>
        <w:rPr>
          <w:rFonts w:hint="eastAsia" w:cs="仿宋_GB2312"/>
          <w:i w:val="0"/>
          <w:iCs w:val="0"/>
          <w:color w:val="auto"/>
          <w:highlight w:val="none"/>
          <w:lang w:val="zh-CN"/>
        </w:rPr>
      </w:pPr>
    </w:p>
    <w:p w14:paraId="3B193948">
      <w:pPr>
        <w:ind w:firstLine="480" w:firstLineChars="200"/>
        <w:rPr>
          <w:rFonts w:hint="eastAsia" w:cs="仿宋_GB2312"/>
          <w:i w:val="0"/>
          <w:iCs w:val="0"/>
          <w:color w:val="auto"/>
          <w:highlight w:val="none"/>
          <w:lang w:val="zh-CN"/>
        </w:rPr>
      </w:pPr>
    </w:p>
    <w:p w14:paraId="25528327">
      <w:pPr>
        <w:ind w:firstLine="480" w:firstLineChars="200"/>
        <w:rPr>
          <w:rFonts w:hint="eastAsia" w:cs="仿宋_GB2312"/>
          <w:i w:val="0"/>
          <w:iCs w:val="0"/>
          <w:color w:val="auto"/>
          <w:highlight w:val="none"/>
          <w:lang w:val="zh-CN"/>
        </w:rPr>
      </w:pPr>
    </w:p>
    <w:p w14:paraId="6F2846A3">
      <w:pPr>
        <w:ind w:firstLine="480" w:firstLineChars="200"/>
        <w:rPr>
          <w:rFonts w:hint="eastAsia" w:cs="仿宋_GB2312"/>
          <w:i w:val="0"/>
          <w:iCs w:val="0"/>
          <w:color w:val="auto"/>
          <w:highlight w:val="none"/>
          <w:lang w:val="zh-CN"/>
        </w:rPr>
      </w:pPr>
    </w:p>
    <w:p w14:paraId="6D7EA01B">
      <w:pPr>
        <w:ind w:firstLine="480" w:firstLineChars="200"/>
        <w:rPr>
          <w:rFonts w:hint="eastAsia" w:cs="仿宋_GB2312"/>
          <w:i w:val="0"/>
          <w:iCs w:val="0"/>
          <w:color w:val="auto"/>
          <w:highlight w:val="none"/>
          <w:lang w:val="zh-CN"/>
        </w:rPr>
      </w:pPr>
    </w:p>
    <w:p w14:paraId="1FA1C6E4">
      <w:pPr>
        <w:ind w:firstLine="480" w:firstLineChars="200"/>
        <w:rPr>
          <w:rFonts w:hint="eastAsia" w:cs="仿宋_GB2312"/>
          <w:i w:val="0"/>
          <w:iCs w:val="0"/>
          <w:color w:val="auto"/>
          <w:highlight w:val="none"/>
          <w:lang w:val="zh-CN"/>
        </w:rPr>
      </w:pPr>
    </w:p>
    <w:p w14:paraId="7080018F">
      <w:pPr>
        <w:ind w:firstLine="480" w:firstLineChars="200"/>
        <w:rPr>
          <w:rFonts w:hint="eastAsia" w:cs="仿宋_GB2312"/>
          <w:i w:val="0"/>
          <w:iCs w:val="0"/>
          <w:color w:val="auto"/>
          <w:highlight w:val="none"/>
          <w:lang w:val="zh-CN"/>
        </w:rPr>
      </w:pPr>
    </w:p>
    <w:p w14:paraId="4B79049E">
      <w:pPr>
        <w:ind w:firstLine="480" w:firstLineChars="200"/>
        <w:rPr>
          <w:rFonts w:hint="eastAsia" w:cs="仿宋_GB2312"/>
          <w:i w:val="0"/>
          <w:iCs w:val="0"/>
          <w:color w:val="auto"/>
          <w:highlight w:val="none"/>
          <w:lang w:val="zh-CN"/>
        </w:rPr>
      </w:pPr>
    </w:p>
    <w:p w14:paraId="690F05F4">
      <w:pPr>
        <w:ind w:firstLine="480" w:firstLineChars="200"/>
        <w:rPr>
          <w:rFonts w:hint="eastAsia" w:cs="仿宋_GB2312"/>
          <w:i w:val="0"/>
          <w:iCs w:val="0"/>
          <w:color w:val="auto"/>
          <w:highlight w:val="none"/>
          <w:lang w:val="zh-CN"/>
        </w:rPr>
      </w:pPr>
    </w:p>
    <w:p w14:paraId="6ED94B89">
      <w:pPr>
        <w:ind w:firstLine="480" w:firstLineChars="200"/>
        <w:rPr>
          <w:rFonts w:hint="eastAsia" w:cs="仿宋_GB2312"/>
          <w:i w:val="0"/>
          <w:iCs w:val="0"/>
          <w:color w:val="auto"/>
          <w:highlight w:val="none"/>
          <w:lang w:val="zh-CN"/>
        </w:rPr>
      </w:pPr>
    </w:p>
    <w:p w14:paraId="7DE59651">
      <w:pPr>
        <w:ind w:firstLine="480" w:firstLineChars="200"/>
        <w:rPr>
          <w:rFonts w:hint="eastAsia" w:cs="仿宋_GB2312"/>
          <w:i w:val="0"/>
          <w:iCs w:val="0"/>
          <w:color w:val="auto"/>
          <w:highlight w:val="none"/>
          <w:lang w:val="zh-CN"/>
        </w:rPr>
      </w:pPr>
    </w:p>
    <w:p w14:paraId="0D899E1D">
      <w:pPr>
        <w:ind w:firstLine="480" w:firstLineChars="200"/>
        <w:rPr>
          <w:rFonts w:hint="eastAsia" w:cs="仿宋_GB2312"/>
          <w:i w:val="0"/>
          <w:iCs w:val="0"/>
          <w:color w:val="auto"/>
          <w:highlight w:val="none"/>
          <w:lang w:val="zh-CN"/>
        </w:rPr>
      </w:pPr>
    </w:p>
    <w:p w14:paraId="6EA0DF60">
      <w:pPr>
        <w:ind w:firstLine="480" w:firstLineChars="200"/>
        <w:rPr>
          <w:rFonts w:hint="eastAsia" w:cs="仿宋_GB2312"/>
          <w:i w:val="0"/>
          <w:iCs w:val="0"/>
          <w:color w:val="auto"/>
          <w:highlight w:val="none"/>
          <w:lang w:val="zh-CN"/>
        </w:rPr>
      </w:pPr>
    </w:p>
    <w:p w14:paraId="3D40132F">
      <w:pPr>
        <w:ind w:firstLine="480" w:firstLineChars="200"/>
        <w:rPr>
          <w:rFonts w:hint="eastAsia" w:cs="仿宋_GB2312"/>
          <w:i w:val="0"/>
          <w:iCs w:val="0"/>
          <w:color w:val="auto"/>
          <w:szCs w:val="24"/>
          <w:highlight w:val="none"/>
          <w:lang w:val="zh-CN"/>
        </w:rPr>
      </w:pPr>
    </w:p>
    <w:p w14:paraId="6DC90E3C">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202803F7">
      <w:pPr>
        <w:autoSpaceDE w:val="0"/>
        <w:autoSpaceDN w:val="0"/>
        <w:adjustRightInd w:val="0"/>
        <w:rPr>
          <w:i w:val="0"/>
          <w:iCs w:val="0"/>
          <w:color w:val="auto"/>
          <w:sz w:val="21"/>
          <w:szCs w:val="24"/>
          <w:highlight w:val="none"/>
        </w:rPr>
      </w:pPr>
    </w:p>
    <w:p w14:paraId="73B11C8A">
      <w:pPr>
        <w:autoSpaceDE w:val="0"/>
        <w:autoSpaceDN w:val="0"/>
        <w:adjustRightInd w:val="0"/>
        <w:rPr>
          <w:i w:val="0"/>
          <w:iCs w:val="0"/>
          <w:color w:val="auto"/>
          <w:sz w:val="21"/>
          <w:szCs w:val="24"/>
          <w:highlight w:val="none"/>
        </w:rPr>
      </w:pPr>
    </w:p>
    <w:p w14:paraId="36DF3F4E">
      <w:pPr>
        <w:autoSpaceDE w:val="0"/>
        <w:autoSpaceDN w:val="0"/>
        <w:adjustRightInd w:val="0"/>
        <w:jc w:val="center"/>
        <w:rPr>
          <w:i w:val="0"/>
          <w:iCs w:val="0"/>
          <w:color w:val="auto"/>
          <w:sz w:val="21"/>
          <w:szCs w:val="24"/>
          <w:highlight w:val="none"/>
        </w:rPr>
      </w:pPr>
    </w:p>
    <w:p w14:paraId="336E03FA">
      <w:pPr>
        <w:pStyle w:val="2"/>
        <w:bidi w:val="0"/>
        <w:jc w:val="center"/>
        <w:rPr>
          <w:sz w:val="84"/>
          <w:szCs w:val="84"/>
        </w:rPr>
      </w:pPr>
      <w:bookmarkStart w:id="662" w:name="_Toc25574"/>
      <w:r>
        <w:rPr>
          <w:rFonts w:hint="eastAsia"/>
          <w:sz w:val="84"/>
          <w:szCs w:val="84"/>
          <w:lang w:val="en-US" w:eastAsia="zh-CN"/>
        </w:rPr>
        <w:t>响</w:t>
      </w:r>
      <w:r>
        <w:rPr>
          <w:rFonts w:hint="eastAsia"/>
          <w:sz w:val="84"/>
          <w:szCs w:val="84"/>
        </w:rPr>
        <w:t xml:space="preserve"> </w:t>
      </w:r>
      <w:r>
        <w:rPr>
          <w:rFonts w:hint="eastAsia"/>
          <w:sz w:val="84"/>
          <w:szCs w:val="84"/>
          <w:lang w:val="en-US" w:eastAsia="zh-CN"/>
        </w:rPr>
        <w:t>应</w:t>
      </w:r>
      <w:r>
        <w:rPr>
          <w:rFonts w:hint="eastAsia"/>
          <w:sz w:val="84"/>
          <w:szCs w:val="84"/>
        </w:rPr>
        <w:t xml:space="preserve"> 文 件</w:t>
      </w:r>
      <w:bookmarkEnd w:id="662"/>
    </w:p>
    <w:p w14:paraId="7053976A">
      <w:pPr>
        <w:pStyle w:val="2"/>
        <w:bidi w:val="0"/>
        <w:jc w:val="center"/>
        <w:rPr>
          <w:sz w:val="56"/>
          <w:szCs w:val="56"/>
        </w:rPr>
      </w:pPr>
      <w:bookmarkStart w:id="663" w:name="_Toc30370"/>
      <w:r>
        <w:rPr>
          <w:rFonts w:hint="eastAsia"/>
          <w:sz w:val="56"/>
          <w:szCs w:val="56"/>
        </w:rPr>
        <w:t>资格证明文件</w:t>
      </w:r>
      <w:bookmarkEnd w:id="663"/>
    </w:p>
    <w:p w14:paraId="11B2218D">
      <w:pPr>
        <w:autoSpaceDE w:val="0"/>
        <w:autoSpaceDN w:val="0"/>
        <w:adjustRightInd w:val="0"/>
        <w:rPr>
          <w:b/>
          <w:bCs/>
          <w:i w:val="0"/>
          <w:iCs w:val="0"/>
          <w:color w:val="auto"/>
          <w:sz w:val="22"/>
          <w:highlight w:val="none"/>
        </w:rPr>
      </w:pPr>
    </w:p>
    <w:p w14:paraId="06BBF80E">
      <w:pPr>
        <w:autoSpaceDE w:val="0"/>
        <w:autoSpaceDN w:val="0"/>
        <w:adjustRightInd w:val="0"/>
        <w:jc w:val="center"/>
        <w:rPr>
          <w:rFonts w:hint="eastAsia" w:eastAsia="宋体"/>
          <w:i w:val="0"/>
          <w:iCs w:val="0"/>
          <w:color w:val="auto"/>
          <w:sz w:val="36"/>
          <w:szCs w:val="36"/>
          <w:highlight w:val="none"/>
          <w:lang w:eastAsia="zh-CN"/>
        </w:rPr>
      </w:pPr>
      <w:r>
        <w:rPr>
          <w:rFonts w:hint="eastAsia"/>
          <w:i w:val="0"/>
          <w:iCs w:val="0"/>
          <w:color w:val="auto"/>
          <w:sz w:val="36"/>
          <w:szCs w:val="36"/>
          <w:highlight w:val="none"/>
          <w:lang w:val="en-US" w:eastAsia="zh-CN"/>
        </w:rPr>
        <w:t>（第XX包</w:t>
      </w:r>
      <w:r>
        <w:rPr>
          <w:rFonts w:hint="eastAsia"/>
          <w:i w:val="0"/>
          <w:iCs w:val="0"/>
          <w:color w:val="auto"/>
          <w:sz w:val="36"/>
          <w:szCs w:val="36"/>
          <w:highlight w:val="none"/>
          <w:lang w:eastAsia="zh-CN"/>
        </w:rPr>
        <w:t>）【</w:t>
      </w:r>
      <w:r>
        <w:rPr>
          <w:rFonts w:hint="eastAsia"/>
          <w:i w:val="0"/>
          <w:iCs w:val="0"/>
          <w:color w:val="auto"/>
          <w:sz w:val="36"/>
          <w:szCs w:val="36"/>
          <w:highlight w:val="none"/>
          <w:lang w:val="en-US" w:eastAsia="zh-CN"/>
        </w:rPr>
        <w:t>如不分包，请删去本行</w:t>
      </w:r>
      <w:r>
        <w:rPr>
          <w:rFonts w:hint="eastAsia"/>
          <w:i w:val="0"/>
          <w:iCs w:val="0"/>
          <w:color w:val="auto"/>
          <w:sz w:val="36"/>
          <w:szCs w:val="36"/>
          <w:highlight w:val="none"/>
          <w:lang w:eastAsia="zh-CN"/>
        </w:rPr>
        <w:t>】</w:t>
      </w:r>
    </w:p>
    <w:p w14:paraId="7EDE7CD9">
      <w:pPr>
        <w:autoSpaceDE w:val="0"/>
        <w:autoSpaceDN w:val="0"/>
        <w:adjustRightInd w:val="0"/>
        <w:rPr>
          <w:i w:val="0"/>
          <w:iCs w:val="0"/>
          <w:color w:val="auto"/>
          <w:sz w:val="21"/>
          <w:szCs w:val="21"/>
          <w:highlight w:val="none"/>
        </w:rPr>
      </w:pPr>
    </w:p>
    <w:p w14:paraId="30EB22E6">
      <w:pPr>
        <w:autoSpaceDE w:val="0"/>
        <w:autoSpaceDN w:val="0"/>
        <w:adjustRightInd w:val="0"/>
        <w:rPr>
          <w:i w:val="0"/>
          <w:iCs w:val="0"/>
          <w:color w:val="auto"/>
          <w:sz w:val="21"/>
          <w:szCs w:val="21"/>
          <w:highlight w:val="none"/>
        </w:rPr>
      </w:pPr>
    </w:p>
    <w:p w14:paraId="0D158554">
      <w:pPr>
        <w:autoSpaceDE w:val="0"/>
        <w:autoSpaceDN w:val="0"/>
        <w:adjustRightInd w:val="0"/>
        <w:rPr>
          <w:i w:val="0"/>
          <w:iCs w:val="0"/>
          <w:color w:val="auto"/>
          <w:sz w:val="21"/>
          <w:szCs w:val="21"/>
          <w:highlight w:val="none"/>
        </w:rPr>
      </w:pPr>
    </w:p>
    <w:p w14:paraId="01B855BF">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7E0530D8">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4281C2EA">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67DB2DE4">
      <w:pPr>
        <w:ind w:left="840" w:firstLine="420"/>
        <w:rPr>
          <w:b/>
          <w:bCs/>
          <w:i w:val="0"/>
          <w:iCs w:val="0"/>
          <w:color w:val="auto"/>
          <w:sz w:val="28"/>
          <w:szCs w:val="28"/>
          <w:highlight w:val="none"/>
        </w:rPr>
      </w:pPr>
    </w:p>
    <w:p w14:paraId="1D6D546F">
      <w:pPr>
        <w:ind w:left="840" w:firstLine="420"/>
        <w:rPr>
          <w:b/>
          <w:bCs/>
          <w:i w:val="0"/>
          <w:iCs w:val="0"/>
          <w:color w:val="auto"/>
          <w:sz w:val="28"/>
          <w:szCs w:val="28"/>
          <w:highlight w:val="none"/>
        </w:rPr>
      </w:pPr>
    </w:p>
    <w:p w14:paraId="167EF277">
      <w:pPr>
        <w:ind w:left="840" w:firstLine="420"/>
        <w:rPr>
          <w:b/>
          <w:bCs/>
          <w:i w:val="0"/>
          <w:iCs w:val="0"/>
          <w:color w:val="auto"/>
          <w:sz w:val="28"/>
          <w:szCs w:val="28"/>
          <w:highlight w:val="none"/>
        </w:rPr>
      </w:pPr>
    </w:p>
    <w:p w14:paraId="74C476B2">
      <w:pPr>
        <w:jc w:val="center"/>
        <w:rPr>
          <w:rFonts w:ascii="黑体" w:hAnsi="黑体" w:eastAsia="黑体"/>
          <w:i w:val="0"/>
          <w:iCs w:val="0"/>
          <w:color w:val="auto"/>
          <w:sz w:val="32"/>
          <w:szCs w:val="32"/>
          <w:highlight w:val="none"/>
        </w:rPr>
      </w:pPr>
      <w:r>
        <w:rPr>
          <w:rFonts w:hint="eastAsia" w:ascii="宋体" w:hAnsi="宋体" w:eastAsia="宋体" w:cs="宋体"/>
          <w:i w:val="0"/>
          <w:iCs w:val="0"/>
          <w:color w:val="auto"/>
          <w:sz w:val="32"/>
          <w:szCs w:val="32"/>
          <w:highlight w:val="none"/>
        </w:rPr>
        <w:t>年   月    日</w:t>
      </w:r>
    </w:p>
    <w:p w14:paraId="39BD53E8">
      <w:pPr>
        <w:jc w:val="center"/>
        <w:rPr>
          <w:b/>
          <w:bCs/>
          <w:i w:val="0"/>
          <w:iCs w:val="0"/>
          <w:color w:val="auto"/>
          <w:sz w:val="28"/>
          <w:szCs w:val="28"/>
          <w:highlight w:val="none"/>
        </w:rPr>
      </w:pPr>
      <w:r>
        <w:rPr>
          <w:b/>
          <w:bCs/>
          <w:i w:val="0"/>
          <w:iCs w:val="0"/>
          <w:color w:val="auto"/>
          <w:sz w:val="28"/>
          <w:szCs w:val="28"/>
          <w:highlight w:val="none"/>
        </w:rPr>
        <w:br w:type="page"/>
      </w:r>
    </w:p>
    <w:p w14:paraId="6DBE2CDA">
      <w:pPr>
        <w:rPr>
          <w:i w:val="0"/>
          <w:iCs w:val="0"/>
          <w:color w:val="auto"/>
          <w:highlight w:val="none"/>
          <w:lang w:val="zh-CN"/>
        </w:rPr>
      </w:pPr>
      <w:bookmarkStart w:id="664" w:name="_Toc155185928"/>
      <w:bookmarkStart w:id="665" w:name="_Toc163492922"/>
      <w:bookmarkStart w:id="666" w:name="_Toc163493643"/>
    </w:p>
    <w:p w14:paraId="1582779F">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67" w:name="_Toc12516"/>
      <w:bookmarkStart w:id="668" w:name="_Toc155185927"/>
      <w:r>
        <w:rPr>
          <w:rFonts w:hint="eastAsia" w:eastAsia="宋体" w:asciiTheme="majorHAnsi" w:hAnsiTheme="majorHAnsi" w:cstheme="majorBidi"/>
          <w:b/>
          <w:bCs/>
          <w:i w:val="0"/>
          <w:iCs w:val="0"/>
          <w:color w:val="auto"/>
          <w:kern w:val="2"/>
          <w:sz w:val="28"/>
          <w:szCs w:val="28"/>
          <w:highlight w:val="none"/>
          <w:lang w:val="en-US" w:eastAsia="zh-CN" w:bidi="ar-SA"/>
        </w:rPr>
        <w:t>一、满足《中华人民共和国政府采购法》第二十二条规定</w:t>
      </w:r>
      <w:bookmarkEnd w:id="667"/>
    </w:p>
    <w:bookmarkEnd w:id="668"/>
    <w:p w14:paraId="6B7B06F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（一）法人、其他组织或者自然人的证明文件</w:t>
      </w:r>
    </w:p>
    <w:p w14:paraId="18B057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1、供应商</w:t>
      </w:r>
      <w:r>
        <w:rPr>
          <w:rFonts w:hint="eastAsia" w:ascii="宋体" w:hAnsi="宋体" w:eastAsia="宋体" w:cs="宋体"/>
          <w:b w:val="0"/>
          <w:bCs w:val="0"/>
          <w:i w:val="0"/>
          <w:iCs w:val="0"/>
          <w:color w:val="auto"/>
          <w:kern w:val="0"/>
          <w:sz w:val="24"/>
          <w:szCs w:val="24"/>
          <w:highlight w:val="none"/>
          <w:lang w:val="en-US" w:eastAsia="zh-CN"/>
        </w:rPr>
        <w:t>为企业（包括合伙企业）的，应提供有效的“营业执照”；</w:t>
      </w:r>
    </w:p>
    <w:p w14:paraId="1D91F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2、供应商</w:t>
      </w:r>
      <w:r>
        <w:rPr>
          <w:rFonts w:hint="eastAsia" w:ascii="宋体" w:hAnsi="宋体" w:eastAsia="宋体" w:cs="宋体"/>
          <w:b w:val="0"/>
          <w:bCs w:val="0"/>
          <w:i w:val="0"/>
          <w:iCs w:val="0"/>
          <w:color w:val="auto"/>
          <w:kern w:val="0"/>
          <w:sz w:val="24"/>
          <w:szCs w:val="24"/>
          <w:highlight w:val="none"/>
          <w:lang w:val="en-US" w:eastAsia="zh-CN"/>
        </w:rPr>
        <w:t>为事业单位的，应提供有效的“事业单位法人证书”；</w:t>
      </w:r>
    </w:p>
    <w:p w14:paraId="11EBB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3、供应商</w:t>
      </w:r>
      <w:r>
        <w:rPr>
          <w:rFonts w:hint="eastAsia" w:ascii="宋体" w:hAnsi="宋体" w:eastAsia="宋体" w:cs="宋体"/>
          <w:b w:val="0"/>
          <w:bCs w:val="0"/>
          <w:i w:val="0"/>
          <w:iCs w:val="0"/>
          <w:color w:val="auto"/>
          <w:kern w:val="0"/>
          <w:sz w:val="24"/>
          <w:szCs w:val="24"/>
          <w:highlight w:val="none"/>
          <w:lang w:val="en-US" w:eastAsia="zh-CN"/>
        </w:rPr>
        <w:t>为非企业机构的，应提供有效的“执业许可证”、“登记证书”等证明文件；</w:t>
      </w:r>
    </w:p>
    <w:p w14:paraId="783D0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4、供应商</w:t>
      </w:r>
      <w:r>
        <w:rPr>
          <w:rFonts w:hint="eastAsia" w:ascii="宋体" w:hAnsi="宋体" w:eastAsia="宋体" w:cs="宋体"/>
          <w:b w:val="0"/>
          <w:bCs w:val="0"/>
          <w:i w:val="0"/>
          <w:iCs w:val="0"/>
          <w:color w:val="auto"/>
          <w:kern w:val="0"/>
          <w:sz w:val="24"/>
          <w:szCs w:val="24"/>
          <w:highlight w:val="none"/>
          <w:lang w:val="en-US" w:eastAsia="zh-CN"/>
        </w:rPr>
        <w:t>是个体工商户的，应提供有效的“个体工商户营业执照”；</w:t>
      </w:r>
    </w:p>
    <w:p w14:paraId="0D5FBD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rPr>
      </w:pPr>
      <w:r>
        <w:rPr>
          <w:rFonts w:hint="eastAsia" w:cs="宋体"/>
          <w:b w:val="0"/>
          <w:bCs w:val="0"/>
          <w:i w:val="0"/>
          <w:iCs w:val="0"/>
          <w:color w:val="auto"/>
          <w:kern w:val="0"/>
          <w:sz w:val="24"/>
          <w:szCs w:val="24"/>
          <w:highlight w:val="none"/>
          <w:lang w:val="en-US" w:eastAsia="zh-CN"/>
        </w:rPr>
        <w:t>5、供应商</w:t>
      </w:r>
      <w:r>
        <w:rPr>
          <w:rFonts w:hint="eastAsia" w:ascii="宋体" w:hAnsi="宋体" w:eastAsia="宋体" w:cs="宋体"/>
          <w:b w:val="0"/>
          <w:bCs w:val="0"/>
          <w:i w:val="0"/>
          <w:iCs w:val="0"/>
          <w:color w:val="auto"/>
          <w:kern w:val="0"/>
          <w:sz w:val="24"/>
          <w:szCs w:val="24"/>
          <w:highlight w:val="none"/>
          <w:lang w:val="en-US" w:eastAsia="zh-CN"/>
        </w:rPr>
        <w:t>是自然人的，应提供有效的自然人身份证明。</w:t>
      </w:r>
    </w:p>
    <w:p w14:paraId="128F3677">
      <w:pPr>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br w:type="page"/>
      </w:r>
    </w:p>
    <w:bookmarkEnd w:id="664"/>
    <w:bookmarkEnd w:id="665"/>
    <w:p w14:paraId="4A427704">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i w:val="0"/>
          <w:iCs w:val="0"/>
          <w:color w:val="auto"/>
          <w:kern w:val="2"/>
          <w:sz w:val="24"/>
          <w:szCs w:val="24"/>
          <w:highlight w:val="none"/>
          <w:lang w:val="en-US" w:eastAsia="zh-CN" w:bidi="ar-SA"/>
        </w:rPr>
      </w:pPr>
      <w:bookmarkStart w:id="669" w:name="_Toc8688"/>
      <w:r>
        <w:rPr>
          <w:rFonts w:hint="eastAsia" w:eastAsia="宋体" w:cstheme="majorBidi"/>
          <w:b/>
          <w:bCs/>
          <w:i w:val="0"/>
          <w:iCs w:val="0"/>
          <w:color w:val="auto"/>
          <w:kern w:val="2"/>
          <w:sz w:val="24"/>
          <w:szCs w:val="24"/>
          <w:highlight w:val="none"/>
          <w:lang w:val="en-US" w:eastAsia="zh-CN" w:bidi="ar-SA"/>
        </w:rPr>
        <w:t>（二）兵团政府采购供应商信用承诺函</w:t>
      </w:r>
      <w:bookmarkEnd w:id="669"/>
    </w:p>
    <w:p w14:paraId="3BC22A19">
      <w:pPr>
        <w:spacing w:line="560" w:lineRule="exact"/>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rPr>
        <w:t>单位名称</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自然人姓名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FC6CB9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统一社会信用代码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身份证号码</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4FF8B45F">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负责人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215310C">
      <w:pPr>
        <w:spacing w:line="560" w:lineRule="exact"/>
        <w:ind w:firstLine="480" w:firstLineChars="200"/>
        <w:rPr>
          <w:rFonts w:hint="eastAsia" w:ascii="宋体" w:hAnsi="宋体" w:eastAsia="宋体" w:cs="宋体"/>
          <w:i w:val="0"/>
          <w:iCs w:val="0"/>
          <w:color w:val="auto"/>
          <w:kern w:val="0"/>
          <w:sz w:val="24"/>
          <w:szCs w:val="24"/>
          <w:highlight w:val="none"/>
        </w:rPr>
      </w:pPr>
    </w:p>
    <w:p w14:paraId="454E84C6">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585A1BB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一、我单位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符合《中华人民共和国政府采购法》第二十二条规定：</w:t>
      </w:r>
    </w:p>
    <w:p w14:paraId="1E1CBF06">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一</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具有独立承担民事责任的能力;</w:t>
      </w:r>
    </w:p>
    <w:p w14:paraId="50F68311">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（二）</w:t>
      </w:r>
      <w:r>
        <w:rPr>
          <w:rFonts w:hint="eastAsia" w:ascii="宋体" w:hAnsi="宋体" w:eastAsia="宋体" w:cs="宋体"/>
          <w:i w:val="0"/>
          <w:iCs w:val="0"/>
          <w:color w:val="auto"/>
          <w:kern w:val="0"/>
          <w:sz w:val="24"/>
          <w:szCs w:val="24"/>
          <w:highlight w:val="none"/>
        </w:rPr>
        <w:t>具有良好的商业信誉和健全的财务会计制度;</w:t>
      </w:r>
    </w:p>
    <w:p w14:paraId="15BB654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（三）</w:t>
      </w:r>
      <w:r>
        <w:rPr>
          <w:rFonts w:hint="eastAsia" w:ascii="宋体" w:hAnsi="宋体" w:eastAsia="宋体" w:cs="宋体"/>
          <w:i w:val="0"/>
          <w:iCs w:val="0"/>
          <w:color w:val="auto"/>
          <w:kern w:val="0"/>
          <w:sz w:val="24"/>
          <w:szCs w:val="24"/>
          <w:highlight w:val="none"/>
        </w:rPr>
        <w:t>具有履行合同所必需的设备和专业技术能力;</w:t>
      </w:r>
    </w:p>
    <w:p w14:paraId="4962EBC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（四）</w:t>
      </w:r>
      <w:r>
        <w:rPr>
          <w:rFonts w:hint="eastAsia" w:ascii="宋体" w:hAnsi="宋体" w:eastAsia="宋体" w:cs="宋体"/>
          <w:i w:val="0"/>
          <w:iCs w:val="0"/>
          <w:color w:val="auto"/>
          <w:kern w:val="0"/>
          <w:sz w:val="24"/>
          <w:szCs w:val="24"/>
          <w:highlight w:val="none"/>
        </w:rPr>
        <w:t>有依法缴纳税收和社会保障资金的良好记录;</w:t>
      </w:r>
    </w:p>
    <w:p w14:paraId="28020959">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（五）</w:t>
      </w:r>
      <w:r>
        <w:rPr>
          <w:rFonts w:hint="eastAsia" w:ascii="宋体" w:hAnsi="宋体" w:eastAsia="宋体" w:cs="宋体"/>
          <w:i w:val="0"/>
          <w:iCs w:val="0"/>
          <w:color w:val="auto"/>
          <w:kern w:val="0"/>
          <w:sz w:val="24"/>
          <w:szCs w:val="24"/>
          <w:highlight w:val="none"/>
        </w:rPr>
        <w:t>参加政府采购活动前三年内，在经营活动中没有重大违法记录;</w:t>
      </w:r>
    </w:p>
    <w:p w14:paraId="102E1A8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（六）</w:t>
      </w:r>
      <w:r>
        <w:rPr>
          <w:rFonts w:hint="eastAsia" w:ascii="宋体" w:hAnsi="宋体" w:eastAsia="宋体" w:cs="宋体"/>
          <w:i w:val="0"/>
          <w:iCs w:val="0"/>
          <w:color w:val="auto"/>
          <w:kern w:val="0"/>
          <w:sz w:val="24"/>
          <w:szCs w:val="24"/>
          <w:highlight w:val="none"/>
        </w:rPr>
        <w:t>符合法律、行政法规规定的其他条件。</w:t>
      </w:r>
    </w:p>
    <w:p w14:paraId="26F6B952">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二、我单位</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本人</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未被列入严重违法失信名单、失信被执行人</w:t>
      </w:r>
      <w:r>
        <w:rPr>
          <w:rFonts w:hint="eastAsia" w:ascii="宋体" w:hAnsi="宋体" w:eastAsia="宋体" w:cs="宋体"/>
          <w:i w:val="0"/>
          <w:iCs w:val="0"/>
          <w:color w:val="auto"/>
          <w:kern w:val="0"/>
          <w:sz w:val="24"/>
          <w:szCs w:val="24"/>
          <w:highlight w:val="none"/>
          <w:lang w:eastAsia="zh-CN"/>
        </w:rPr>
        <w:t>名单</w:t>
      </w:r>
      <w:r>
        <w:rPr>
          <w:rFonts w:hint="eastAsia" w:ascii="宋体" w:hAnsi="宋体" w:eastAsia="宋体" w:cs="宋体"/>
          <w:i w:val="0"/>
          <w:iCs w:val="0"/>
          <w:color w:val="auto"/>
          <w:kern w:val="0"/>
          <w:sz w:val="24"/>
          <w:szCs w:val="24"/>
          <w:highlight w:val="none"/>
        </w:rPr>
        <w:t>、重大税收违法案件当事人名单、政府采购严重违法失信行为记录名</w:t>
      </w:r>
      <w:r>
        <w:rPr>
          <w:rFonts w:hint="eastAsia" w:ascii="宋体" w:hAnsi="宋体" w:eastAsia="宋体" w:cs="宋体"/>
          <w:i w:val="0"/>
          <w:iCs w:val="0"/>
          <w:color w:val="auto"/>
          <w:kern w:val="0"/>
          <w:sz w:val="24"/>
          <w:szCs w:val="24"/>
          <w:highlight w:val="none"/>
          <w:lang w:eastAsia="zh-CN"/>
        </w:rPr>
        <w:t>单</w:t>
      </w:r>
      <w:r>
        <w:rPr>
          <w:rFonts w:hint="eastAsia" w:ascii="宋体" w:hAnsi="宋体" w:eastAsia="宋体" w:cs="宋体"/>
          <w:i w:val="0"/>
          <w:iCs w:val="0"/>
          <w:color w:val="auto"/>
          <w:kern w:val="0"/>
          <w:sz w:val="24"/>
          <w:szCs w:val="24"/>
          <w:highlight w:val="none"/>
        </w:rPr>
        <w:t>。</w:t>
      </w:r>
    </w:p>
    <w:p w14:paraId="7817EDEE">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三、如果本公司（本人）有幸中标（成交），在合同签订之前，采购单位有权要求本公司（本人）提供资格证明材料原件进行核验。</w:t>
      </w:r>
    </w:p>
    <w:p w14:paraId="4D4BE410">
      <w:pPr>
        <w:spacing w:line="560" w:lineRule="exact"/>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四、我单位</w:t>
      </w:r>
      <w:r>
        <w:rPr>
          <w:rFonts w:hint="eastAsia" w:ascii="宋体" w:hAnsi="宋体" w:eastAsia="宋体" w:cs="宋体"/>
          <w:i w:val="0"/>
          <w:iCs w:val="0"/>
          <w:color w:val="auto"/>
          <w:kern w:val="0"/>
          <w:sz w:val="24"/>
          <w:szCs w:val="24"/>
          <w:highlight w:val="none"/>
          <w:lang w:eastAsia="zh-CN"/>
        </w:rPr>
        <w:t>（本人）</w:t>
      </w:r>
      <w:r>
        <w:rPr>
          <w:rFonts w:hint="eastAsia" w:ascii="宋体" w:hAnsi="宋体" w:eastAsia="宋体" w:cs="宋体"/>
          <w:i w:val="0"/>
          <w:iCs w:val="0"/>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125E5E">
      <w:pPr>
        <w:spacing w:line="560" w:lineRule="exact"/>
        <w:rPr>
          <w:rFonts w:hint="eastAsia" w:ascii="宋体" w:hAnsi="宋体" w:eastAsia="宋体" w:cs="宋体"/>
          <w:i w:val="0"/>
          <w:iCs w:val="0"/>
          <w:color w:val="auto"/>
          <w:kern w:val="0"/>
          <w:sz w:val="24"/>
          <w:szCs w:val="24"/>
          <w:highlight w:val="none"/>
        </w:rPr>
      </w:pPr>
    </w:p>
    <w:p w14:paraId="03704243">
      <w:pPr>
        <w:spacing w:line="560" w:lineRule="exact"/>
        <w:rPr>
          <w:rFonts w:hint="eastAsia" w:ascii="宋体" w:hAnsi="宋体" w:eastAsia="宋体" w:cs="宋体"/>
          <w:i w:val="0"/>
          <w:iCs w:val="0"/>
          <w:color w:val="auto"/>
          <w:kern w:val="0"/>
          <w:sz w:val="24"/>
          <w:szCs w:val="24"/>
          <w:highlight w:val="none"/>
        </w:rPr>
      </w:pPr>
    </w:p>
    <w:p w14:paraId="30F018FE">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B9564E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w:t>
      </w:r>
      <w:r>
        <w:rPr>
          <w:rFonts w:hint="eastAsia" w:cs="宋体"/>
          <w:i w:val="0"/>
          <w:iCs w:val="0"/>
          <w:color w:val="auto"/>
          <w:kern w:val="0"/>
          <w:sz w:val="24"/>
          <w:szCs w:val="24"/>
          <w:highlight w:val="none"/>
          <w:lang w:eastAsia="zh-CN"/>
        </w:rPr>
        <w:t>盖章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3B74078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282D3BE6">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33E55E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670" w:name="_Toc163492923"/>
      <w:bookmarkStart w:id="671" w:name="_Toc155185930"/>
      <w:bookmarkStart w:id="672" w:name="_Toc109899917"/>
      <w:bookmarkStart w:id="673" w:name="_Toc140132840"/>
      <w:bookmarkStart w:id="674" w:name="_Toc109900336"/>
      <w:bookmarkStart w:id="675" w:name="_Toc109899498"/>
      <w:bookmarkStart w:id="676" w:name="_Toc18882"/>
      <w:r>
        <w:rPr>
          <w:rFonts w:hint="eastAsia" w:eastAsia="宋体" w:asciiTheme="majorHAnsi" w:hAnsiTheme="majorHAnsi" w:cstheme="majorBidi"/>
          <w:b/>
          <w:bCs/>
          <w:i w:val="0"/>
          <w:iCs w:val="0"/>
          <w:color w:val="auto"/>
          <w:kern w:val="2"/>
          <w:sz w:val="28"/>
          <w:szCs w:val="28"/>
          <w:highlight w:val="none"/>
          <w:lang w:val="en-US" w:eastAsia="zh-CN" w:bidi="ar-SA"/>
        </w:rPr>
        <w:t>二、</w:t>
      </w:r>
      <w:bookmarkEnd w:id="670"/>
      <w:bookmarkEnd w:id="671"/>
      <w:bookmarkEnd w:id="672"/>
      <w:bookmarkEnd w:id="673"/>
      <w:bookmarkEnd w:id="674"/>
      <w:bookmarkEnd w:id="675"/>
      <w:bookmarkStart w:id="677" w:name="_Toc155185931"/>
      <w:r>
        <w:rPr>
          <w:rFonts w:hint="eastAsia" w:eastAsia="宋体" w:asciiTheme="majorHAnsi" w:hAnsiTheme="majorHAnsi" w:cstheme="majorBidi"/>
          <w:b/>
          <w:bCs/>
          <w:i w:val="0"/>
          <w:iCs w:val="0"/>
          <w:color w:val="auto"/>
          <w:kern w:val="2"/>
          <w:sz w:val="28"/>
          <w:szCs w:val="28"/>
          <w:highlight w:val="none"/>
          <w:lang w:val="zh-CN" w:eastAsia="zh-CN" w:bidi="ar-SA"/>
        </w:rPr>
        <w:t>联合体协议书</w:t>
      </w:r>
      <w:bookmarkEnd w:id="677"/>
      <w:r>
        <w:rPr>
          <w:rFonts w:hint="eastAsia" w:ascii="宋体" w:hAnsi="宋体" w:eastAsia="宋体" w:cstheme="minorBidi"/>
          <w:b w:val="0"/>
          <w:bCs w:val="0"/>
          <w:i w:val="0"/>
          <w:iCs w:val="0"/>
          <w:color w:val="auto"/>
          <w:kern w:val="2"/>
          <w:sz w:val="28"/>
          <w:szCs w:val="28"/>
          <w:highlight w:val="none"/>
          <w:lang w:val="zh-CN" w:eastAsia="zh-CN" w:bidi="ar-SA"/>
        </w:rPr>
        <w:t>【如适用】</w:t>
      </w:r>
      <w:bookmarkEnd w:id="676"/>
    </w:p>
    <w:p w14:paraId="39563C7F">
      <w:pPr>
        <w:snapToGrid w:val="0"/>
        <w:spacing w:line="360" w:lineRule="auto"/>
        <w:jc w:val="center"/>
        <w:outlineLvl w:val="0"/>
        <w:rPr>
          <w:rFonts w:hint="eastAsia" w:ascii="宋体" w:hAnsi="宋体" w:cs="宋体"/>
          <w:b/>
          <w:i w:val="0"/>
          <w:iCs w:val="0"/>
          <w:color w:val="auto"/>
          <w:kern w:val="0"/>
          <w:sz w:val="32"/>
          <w:szCs w:val="32"/>
          <w:highlight w:val="none"/>
        </w:rPr>
      </w:pPr>
    </w:p>
    <w:p w14:paraId="2AA212CE">
      <w:pPr>
        <w:snapToGrid w:val="0"/>
        <w:spacing w:line="360" w:lineRule="auto"/>
        <w:jc w:val="center"/>
        <w:outlineLvl w:val="0"/>
        <w:rPr>
          <w:rFonts w:hint="eastAsia" w:ascii="宋体" w:hAnsi="宋体" w:cs="宋体"/>
          <w:b/>
          <w:i w:val="0"/>
          <w:iCs w:val="0"/>
          <w:color w:val="auto"/>
          <w:kern w:val="0"/>
          <w:sz w:val="32"/>
          <w:szCs w:val="32"/>
          <w:highlight w:val="none"/>
        </w:rPr>
      </w:pPr>
      <w:bookmarkStart w:id="678" w:name="_Toc4639"/>
      <w:r>
        <w:rPr>
          <w:rFonts w:hint="eastAsia" w:ascii="宋体" w:hAnsi="宋体" w:cs="宋体"/>
          <w:b/>
          <w:i w:val="0"/>
          <w:iCs w:val="0"/>
          <w:color w:val="auto"/>
          <w:kern w:val="0"/>
          <w:sz w:val="32"/>
          <w:szCs w:val="32"/>
          <w:highlight w:val="none"/>
        </w:rPr>
        <w:t>联合体协议书</w:t>
      </w:r>
      <w:bookmarkEnd w:id="678"/>
    </w:p>
    <w:p w14:paraId="67954623">
      <w:pPr>
        <w:widowControl/>
        <w:spacing w:line="360" w:lineRule="auto"/>
        <w:ind w:firstLine="482" w:firstLineChars="200"/>
        <w:jc w:val="left"/>
        <w:rPr>
          <w:rFonts w:ascii="宋体" w:hAnsi="宋体" w:cs="宋体"/>
          <w:b/>
          <w:i w:val="0"/>
          <w:iCs w:val="0"/>
          <w:color w:val="auto"/>
          <w:sz w:val="24"/>
          <w:highlight w:val="none"/>
        </w:rPr>
      </w:pPr>
      <w:r>
        <w:rPr>
          <w:rFonts w:hint="eastAsia" w:ascii="宋体" w:hAnsi="宋体" w:cs="宋体"/>
          <w:b/>
          <w:i w:val="0"/>
          <w:iCs w:val="0"/>
          <w:color w:val="auto"/>
          <w:sz w:val="24"/>
          <w:highlight w:val="none"/>
        </w:rPr>
        <w:t>（以联合体形式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的，提供联合</w:t>
      </w:r>
      <w:r>
        <w:rPr>
          <w:rFonts w:hint="eastAsia" w:cs="宋体"/>
          <w:b/>
          <w:i w:val="0"/>
          <w:iCs w:val="0"/>
          <w:color w:val="auto"/>
          <w:sz w:val="24"/>
          <w:highlight w:val="none"/>
          <w:lang w:val="en-US" w:eastAsia="zh-CN"/>
        </w:rPr>
        <w:t>体</w:t>
      </w:r>
      <w:r>
        <w:rPr>
          <w:rFonts w:hint="eastAsia" w:ascii="宋体" w:hAnsi="宋体" w:cs="宋体"/>
          <w:b/>
          <w:i w:val="0"/>
          <w:iCs w:val="0"/>
          <w:color w:val="auto"/>
          <w:sz w:val="24"/>
          <w:highlight w:val="none"/>
        </w:rPr>
        <w:t>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；本项目不接受联合体</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或者</w:t>
      </w:r>
      <w:r>
        <w:rPr>
          <w:rFonts w:hint="eastAsia" w:cs="宋体"/>
          <w:b/>
          <w:i w:val="0"/>
          <w:iCs w:val="0"/>
          <w:color w:val="auto"/>
          <w:sz w:val="24"/>
          <w:highlight w:val="none"/>
          <w:lang w:val="en-US" w:eastAsia="zh-CN"/>
        </w:rPr>
        <w:t>供应商</w:t>
      </w:r>
      <w:r>
        <w:rPr>
          <w:rFonts w:hint="eastAsia" w:ascii="宋体" w:hAnsi="宋体" w:cs="宋体"/>
          <w:b/>
          <w:i w:val="0"/>
          <w:iCs w:val="0"/>
          <w:color w:val="auto"/>
          <w:sz w:val="24"/>
          <w:highlight w:val="none"/>
        </w:rPr>
        <w:t>不以联合体形式</w:t>
      </w:r>
      <w:r>
        <w:rPr>
          <w:rFonts w:hint="eastAsia" w:cs="宋体"/>
          <w:b/>
          <w:i w:val="0"/>
          <w:iCs w:val="0"/>
          <w:color w:val="auto"/>
          <w:sz w:val="24"/>
          <w:highlight w:val="none"/>
          <w:lang w:val="en-US" w:eastAsia="zh-CN"/>
        </w:rPr>
        <w:t>磋商响应</w:t>
      </w:r>
      <w:r>
        <w:rPr>
          <w:rFonts w:hint="eastAsia" w:ascii="宋体" w:hAnsi="宋体" w:cs="宋体"/>
          <w:b/>
          <w:i w:val="0"/>
          <w:iCs w:val="0"/>
          <w:color w:val="auto"/>
          <w:sz w:val="24"/>
          <w:highlight w:val="none"/>
        </w:rPr>
        <w:t>的，则不需要提供）</w:t>
      </w:r>
    </w:p>
    <w:p w14:paraId="14187E6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（联合体所有成员名称）</w:t>
      </w:r>
      <w:r>
        <w:rPr>
          <w:rFonts w:hint="eastAsia" w:ascii="宋体" w:hAnsi="宋体" w:cs="宋体"/>
          <w:i w:val="0"/>
          <w:iCs w:val="0"/>
          <w:color w:val="auto"/>
          <w:kern w:val="0"/>
          <w:sz w:val="24"/>
          <w:highlight w:val="none"/>
        </w:rPr>
        <w:t>自愿</w:t>
      </w:r>
      <w:r>
        <w:rPr>
          <w:rFonts w:hint="eastAsia" w:ascii="宋体" w:hAnsi="宋体" w:cs="宋体"/>
          <w:i w:val="0"/>
          <w:iCs w:val="0"/>
          <w:color w:val="auto"/>
          <w:kern w:val="0"/>
          <w:sz w:val="24"/>
          <w:highlight w:val="none"/>
          <w:lang w:val="zh-CN"/>
        </w:rPr>
        <w:t>组成一个联合体，以一个</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的身份</w:t>
      </w:r>
      <w:r>
        <w:rPr>
          <w:rFonts w:hint="eastAsia" w:ascii="宋体" w:hAnsi="宋体" w:cs="宋体"/>
          <w:i w:val="0"/>
          <w:iCs w:val="0"/>
          <w:color w:val="auto"/>
          <w:kern w:val="0"/>
          <w:sz w:val="24"/>
          <w:highlight w:val="none"/>
        </w:rPr>
        <w:t>参加</w:t>
      </w:r>
      <w:r>
        <w:rPr>
          <w:rFonts w:hint="eastAsia" w:ascii="宋体" w:hAnsi="宋体" w:cs="宋体"/>
          <w:i w:val="0"/>
          <w:iCs w:val="0"/>
          <w:color w:val="auto"/>
          <w:sz w:val="24"/>
          <w:highlight w:val="none"/>
          <w:u w:val="single"/>
        </w:rPr>
        <w:t>（项目名称）</w:t>
      </w:r>
      <w:r>
        <w:rPr>
          <w:rFonts w:hint="eastAsia"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项目</w:t>
      </w:r>
      <w:r>
        <w:rPr>
          <w:rFonts w:hint="eastAsia" w:ascii="宋体" w:hAnsi="宋体" w:cs="宋体"/>
          <w:i w:val="0"/>
          <w:iCs w:val="0"/>
          <w:color w:val="auto"/>
          <w:sz w:val="24"/>
          <w:highlight w:val="none"/>
        </w:rPr>
        <w:t>编号</w:t>
      </w:r>
      <w:r>
        <w:rPr>
          <w:rFonts w:hint="eastAsia" w:cs="宋体"/>
          <w:i w:val="0"/>
          <w:iCs w:val="0"/>
          <w:color w:val="auto"/>
          <w:sz w:val="24"/>
          <w:highlight w:val="none"/>
          <w:lang w:val="en-US" w:eastAsia="zh-CN"/>
        </w:rPr>
        <w:t>/包号</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kern w:val="0"/>
          <w:sz w:val="24"/>
          <w:highlight w:val="none"/>
          <w:lang w:val="en-US" w:eastAsia="zh-CN"/>
        </w:rPr>
        <w:t>磋商</w:t>
      </w:r>
      <w:r>
        <w:rPr>
          <w:rFonts w:hint="eastAsia" w:ascii="宋体" w:hAnsi="宋体" w:cs="宋体"/>
          <w:i w:val="0"/>
          <w:iCs w:val="0"/>
          <w:color w:val="auto"/>
          <w:kern w:val="0"/>
          <w:sz w:val="24"/>
          <w:highlight w:val="none"/>
          <w:lang w:val="zh-CN"/>
        </w:rPr>
        <w:t xml:space="preserve">。 </w:t>
      </w:r>
    </w:p>
    <w:p w14:paraId="5649241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一、各方一致决定，</w:t>
      </w:r>
      <w:r>
        <w:rPr>
          <w:rFonts w:hint="eastAsia" w:ascii="宋体" w:hAnsi="宋体" w:cs="宋体"/>
          <w:i w:val="0"/>
          <w:iCs w:val="0"/>
          <w:color w:val="auto"/>
          <w:kern w:val="0"/>
          <w:sz w:val="24"/>
          <w:highlight w:val="none"/>
          <w:u w:val="single"/>
        </w:rPr>
        <w:t>（某联合体成员名称）</w:t>
      </w:r>
      <w:r>
        <w:rPr>
          <w:rFonts w:hint="eastAsia" w:ascii="宋体" w:hAnsi="宋体" w:cs="宋体"/>
          <w:i w:val="0"/>
          <w:iCs w:val="0"/>
          <w:color w:val="auto"/>
          <w:kern w:val="0"/>
          <w:sz w:val="24"/>
          <w:highlight w:val="none"/>
        </w:rPr>
        <w:t>为联合体</w:t>
      </w:r>
      <w:r>
        <w:rPr>
          <w:rFonts w:hint="eastAsia" w:ascii="宋体" w:hAnsi="宋体" w:cs="宋体"/>
          <w:i w:val="0"/>
          <w:iCs w:val="0"/>
          <w:color w:val="auto"/>
          <w:kern w:val="0"/>
          <w:sz w:val="24"/>
          <w:highlight w:val="none"/>
          <w:lang w:val="zh-CN"/>
        </w:rPr>
        <w:t>牵头人</w:t>
      </w:r>
      <w:r>
        <w:rPr>
          <w:rFonts w:hint="eastAsia" w:ascii="宋体" w:hAnsi="宋体" w:cs="宋体"/>
          <w:i w:val="0"/>
          <w:iCs w:val="0"/>
          <w:color w:val="auto"/>
          <w:sz w:val="24"/>
          <w:highlight w:val="none"/>
        </w:rPr>
        <w:t>，代表所有联合体</w:t>
      </w:r>
      <w:r>
        <w:rPr>
          <w:rFonts w:hint="eastAsia" w:ascii="宋体" w:hAnsi="宋体" w:eastAsia="宋体" w:cs="宋体"/>
          <w:i w:val="0"/>
          <w:iCs w:val="0"/>
          <w:color w:val="auto"/>
          <w:sz w:val="24"/>
          <w:highlight w:val="none"/>
        </w:rPr>
        <w:t>成员负责</w:t>
      </w:r>
      <w:r>
        <w:rPr>
          <w:rFonts w:hint="eastAsia" w:ascii="宋体" w:hAnsi="宋体" w:eastAsia="宋体" w:cs="宋体"/>
          <w:i w:val="0"/>
          <w:iCs w:val="0"/>
          <w:color w:val="auto"/>
          <w:sz w:val="24"/>
          <w:highlight w:val="none"/>
          <w:lang w:val="en-US" w:eastAsia="zh-CN"/>
        </w:rPr>
        <w:t>磋商响应</w:t>
      </w:r>
      <w:r>
        <w:rPr>
          <w:rFonts w:hint="eastAsia" w:ascii="宋体" w:hAnsi="宋体" w:eastAsia="宋体" w:cs="宋体"/>
          <w:i w:val="0"/>
          <w:iCs w:val="0"/>
          <w:color w:val="auto"/>
          <w:sz w:val="24"/>
          <w:highlight w:val="none"/>
        </w:rPr>
        <w:t>和合同实施阶段的</w:t>
      </w:r>
      <w:r>
        <w:rPr>
          <w:rFonts w:hint="eastAsia" w:ascii="宋体" w:hAnsi="宋体" w:cs="宋体"/>
          <w:i w:val="0"/>
          <w:iCs w:val="0"/>
          <w:color w:val="auto"/>
          <w:sz w:val="24"/>
          <w:highlight w:val="none"/>
        </w:rPr>
        <w:t>主办、协调工作</w:t>
      </w:r>
      <w:r>
        <w:rPr>
          <w:rFonts w:hint="eastAsia" w:ascii="宋体" w:hAnsi="宋体" w:cs="宋体"/>
          <w:i w:val="0"/>
          <w:iCs w:val="0"/>
          <w:color w:val="auto"/>
          <w:kern w:val="0"/>
          <w:sz w:val="24"/>
          <w:highlight w:val="none"/>
          <w:lang w:val="zh-CN"/>
        </w:rPr>
        <w:t>。</w:t>
      </w:r>
    </w:p>
    <w:p w14:paraId="0D56DBD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w:t>
      </w:r>
      <w:r>
        <w:rPr>
          <w:rFonts w:hint="eastAsia" w:ascii="宋体" w:hAnsi="宋体" w:cs="宋体"/>
          <w:i w:val="0"/>
          <w:iCs w:val="0"/>
          <w:color w:val="auto"/>
          <w:sz w:val="24"/>
          <w:highlight w:val="none"/>
        </w:rPr>
        <w:t>所有联合体成员各方签署授权书，授权书载明的</w:t>
      </w:r>
      <w:r>
        <w:rPr>
          <w:rFonts w:hint="eastAsia" w:ascii="宋体" w:hAnsi="宋体" w:cs="宋体"/>
          <w:i w:val="0"/>
          <w:iCs w:val="0"/>
          <w:color w:val="auto"/>
          <w:kern w:val="0"/>
          <w:sz w:val="24"/>
          <w:highlight w:val="none"/>
          <w:lang w:val="zh-CN"/>
        </w:rPr>
        <w:t>授权代表根据</w:t>
      </w:r>
      <w:r>
        <w:rPr>
          <w:rFonts w:hint="eastAsia" w:ascii="宋体" w:hAnsi="宋体" w:cs="宋体"/>
          <w:i w:val="0"/>
          <w:iCs w:val="0"/>
          <w:color w:val="auto"/>
          <w:kern w:val="0"/>
          <w:sz w:val="24"/>
          <w:highlight w:val="none"/>
          <w:lang w:val="zh-CN" w:eastAsia="zh-CN"/>
        </w:rPr>
        <w:t>竞争性磋商</w:t>
      </w:r>
      <w:r>
        <w:rPr>
          <w:rFonts w:hint="eastAsia" w:ascii="宋体" w:hAnsi="宋体" w:cs="宋体"/>
          <w:i w:val="0"/>
          <w:iCs w:val="0"/>
          <w:color w:val="auto"/>
          <w:kern w:val="0"/>
          <w:sz w:val="24"/>
          <w:highlight w:val="none"/>
          <w:lang w:val="zh-CN"/>
        </w:rPr>
        <w:t>文件规定及</w:t>
      </w:r>
      <w:r>
        <w:rPr>
          <w:rFonts w:hint="eastAsia" w:cs="宋体"/>
          <w:i w:val="0"/>
          <w:iCs w:val="0"/>
          <w:color w:val="auto"/>
          <w:kern w:val="0"/>
          <w:sz w:val="24"/>
          <w:highlight w:val="none"/>
          <w:lang w:val="en-US" w:eastAsia="zh-CN"/>
        </w:rPr>
        <w:t>响应</w:t>
      </w:r>
      <w:r>
        <w:rPr>
          <w:rFonts w:hint="eastAsia" w:ascii="宋体" w:hAnsi="宋体" w:cs="宋体"/>
          <w:i w:val="0"/>
          <w:iCs w:val="0"/>
          <w:color w:val="auto"/>
          <w:kern w:val="0"/>
          <w:sz w:val="24"/>
          <w:highlight w:val="none"/>
          <w:lang w:val="zh-CN"/>
        </w:rPr>
        <w:t>内容而对采购人、采购代理机构所作的任何合法承诺，包括书面澄清及相应等均对联合投标各方产生约束力。</w:t>
      </w:r>
    </w:p>
    <w:p w14:paraId="07A293C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中，分工如下：</w:t>
      </w:r>
    </w:p>
    <w:p w14:paraId="1C5D81AB">
      <w:pPr>
        <w:snapToGrid w:val="0"/>
        <w:spacing w:line="360" w:lineRule="auto"/>
        <w:ind w:firstLine="576"/>
        <w:rPr>
          <w:rFonts w:ascii="宋体" w:hAnsi="宋体" w:cs="宋体"/>
          <w:i w:val="0"/>
          <w:iCs w:val="0"/>
          <w:color w:val="auto"/>
          <w:kern w:val="0"/>
          <w:sz w:val="24"/>
          <w:highlight w:val="none"/>
          <w:lang w:val="zh-CN"/>
        </w:rPr>
      </w:pPr>
      <w:bookmarkStart w:id="679" w:name="_Hlk101134295"/>
      <w:r>
        <w:rPr>
          <w:rFonts w:hint="eastAsia" w:ascii="宋体" w:hAnsi="宋体" w:cs="宋体"/>
          <w:i w:val="0"/>
          <w:iCs w:val="0"/>
          <w:color w:val="auto"/>
          <w:kern w:val="0"/>
          <w:sz w:val="24"/>
          <w:highlight w:val="none"/>
          <w:u w:val="single"/>
        </w:rPr>
        <w:t>（联合体成员1）</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3BADC44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2</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lang w:val="zh-CN"/>
        </w:rPr>
        <w:t>承担</w:t>
      </w:r>
      <w:r>
        <w:rPr>
          <w:rFonts w:hint="eastAsia" w:ascii="宋体" w:hAnsi="宋体" w:cs="宋体"/>
          <w:i w:val="0"/>
          <w:iCs w:val="0"/>
          <w:color w:val="auto"/>
          <w:kern w:val="0"/>
          <w:sz w:val="24"/>
          <w:highlight w:val="none"/>
          <w:lang w:val="en-US" w:eastAsia="zh-CN"/>
        </w:rPr>
        <w:t>项目采购合同金额的</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highlight w:val="none"/>
          <w:u w:val="none"/>
          <w:lang w:val="en-US" w:eastAsia="zh-CN"/>
        </w:rPr>
        <w:t>，负责</w:t>
      </w:r>
      <w:r>
        <w:rPr>
          <w:rFonts w:hint="eastAsia" w:ascii="宋体" w:hAnsi="宋体" w:cs="宋体"/>
          <w:i w:val="0"/>
          <w:iCs w:val="0"/>
          <w:color w:val="auto"/>
          <w:kern w:val="0"/>
          <w:sz w:val="24"/>
          <w:highlight w:val="none"/>
          <w:lang w:val="zh-CN"/>
        </w:rPr>
        <w:t>的工作和义务为：</w:t>
      </w: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w:t>
      </w:r>
    </w:p>
    <w:p w14:paraId="67CB0AD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w:t>
      </w:r>
    </w:p>
    <w:bookmarkEnd w:id="679"/>
    <w:p w14:paraId="15AF1CA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四、联合体成员中小企业合同份额。</w:t>
      </w:r>
    </w:p>
    <w:p w14:paraId="3CA3168E">
      <w:pPr>
        <w:snapToGrid w:val="0"/>
        <w:spacing w:line="360" w:lineRule="auto"/>
        <w:ind w:firstLine="576"/>
        <w:rPr>
          <w:rFonts w:ascii="宋体" w:hAnsi="宋体" w:cs="宋体"/>
          <w:b/>
          <w:i w:val="0"/>
          <w:iCs w:val="0"/>
          <w:color w:val="auto"/>
          <w:kern w:val="0"/>
          <w:sz w:val="24"/>
          <w:highlight w:val="none"/>
          <w:lang w:val="zh-CN"/>
        </w:rPr>
      </w:pPr>
      <w:r>
        <w:rPr>
          <w:rFonts w:hint="eastAsia" w:ascii="宋体" w:hAnsi="宋体" w:cs="宋体"/>
          <w:i w:val="0"/>
          <w:iCs w:val="0"/>
          <w:color w:val="auto"/>
          <w:kern w:val="0"/>
          <w:sz w:val="24"/>
          <w:highlight w:val="none"/>
          <w:lang w:val="zh-CN"/>
        </w:rPr>
        <w:t>1、</w:t>
      </w:r>
      <w:r>
        <w:rPr>
          <w:rFonts w:hint="eastAsia" w:ascii="宋体" w:hAnsi="宋体" w:cs="宋体"/>
          <w:i w:val="0"/>
          <w:iCs w:val="0"/>
          <w:color w:val="auto"/>
          <w:kern w:val="0"/>
          <w:sz w:val="24"/>
          <w:highlight w:val="none"/>
          <w:u w:val="single"/>
        </w:rPr>
        <w:t>（联合体成员</w:t>
      </w:r>
      <w:r>
        <w:rPr>
          <w:rFonts w:ascii="宋体" w:hAnsi="宋体" w:cs="宋体"/>
          <w:i w:val="0"/>
          <w:iCs w:val="0"/>
          <w:color w:val="auto"/>
          <w:kern w:val="0"/>
          <w:sz w:val="24"/>
          <w:highlight w:val="none"/>
          <w:u w:val="single"/>
        </w:rPr>
        <w:t>X,</w:t>
      </w:r>
      <w:r>
        <w:rPr>
          <w:rFonts w:hint="eastAsia"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rPr>
        <w:t>提供的全部</w:t>
      </w:r>
      <w:r>
        <w:rPr>
          <w:rFonts w:hint="eastAsia" w:cs="宋体"/>
          <w:i w:val="0"/>
          <w:iCs w:val="0"/>
          <w:color w:val="auto"/>
          <w:kern w:val="0"/>
          <w:sz w:val="24"/>
          <w:highlight w:val="none"/>
          <w:lang w:val="en-US" w:eastAsia="zh-CN"/>
        </w:rPr>
        <w:t>服务及包含的</w:t>
      </w:r>
      <w:r>
        <w:rPr>
          <w:rFonts w:hint="eastAsia" w:ascii="宋体" w:hAnsi="宋体" w:cs="宋体"/>
          <w:i w:val="0"/>
          <w:iCs w:val="0"/>
          <w:color w:val="auto"/>
          <w:kern w:val="0"/>
          <w:sz w:val="24"/>
          <w:highlight w:val="none"/>
        </w:rPr>
        <w:t>货物由小微企业制造，其合同份额占到合同总金额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kern w:val="0"/>
          <w:sz w:val="24"/>
          <w:highlight w:val="none"/>
          <w:lang w:val="zh-CN"/>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（未预留份额专门面向中小企业采购的采购项目，以及预留份额中的非预留部分采购包，接受联合体投标的，联合</w:t>
      </w:r>
      <w:r>
        <w:rPr>
          <w:rFonts w:hint="eastAsia" w:cs="宋体"/>
          <w:b/>
          <w:i w:val="0"/>
          <w:iCs w:val="0"/>
          <w:color w:val="auto"/>
          <w:kern w:val="0"/>
          <w:sz w:val="24"/>
          <w:highlight w:val="none"/>
          <w:lang w:val="en-US" w:eastAsia="zh-CN"/>
        </w:rPr>
        <w:t>体</w:t>
      </w:r>
      <w:r>
        <w:rPr>
          <w:rFonts w:hint="eastAsia" w:ascii="宋体" w:hAnsi="宋体" w:cs="宋体"/>
          <w:b/>
          <w:i w:val="0"/>
          <w:iCs w:val="0"/>
          <w:color w:val="auto"/>
          <w:kern w:val="0"/>
          <w:sz w:val="24"/>
          <w:highlight w:val="none"/>
          <w:lang w:val="zh-CN"/>
        </w:rPr>
        <w:t>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约定小微企业的合同份额占到合同总金额30%以上的，对联合体报价按评</w:t>
      </w:r>
      <w:r>
        <w:rPr>
          <w:rFonts w:hint="eastAsia" w:cs="宋体"/>
          <w:b/>
          <w:i w:val="0"/>
          <w:iCs w:val="0"/>
          <w:color w:val="auto"/>
          <w:kern w:val="0"/>
          <w:sz w:val="24"/>
          <w:highlight w:val="none"/>
          <w:lang w:val="en-US" w:eastAsia="zh-CN"/>
        </w:rPr>
        <w:t>审</w:t>
      </w:r>
      <w:r>
        <w:rPr>
          <w:rFonts w:hint="eastAsia" w:ascii="宋体" w:hAnsi="宋体" w:cs="宋体"/>
          <w:b/>
          <w:i w:val="0"/>
          <w:iCs w:val="0"/>
          <w:color w:val="auto"/>
          <w:kern w:val="0"/>
          <w:sz w:val="24"/>
          <w:highlight w:val="none"/>
          <w:lang w:val="zh-CN"/>
        </w:rPr>
        <w:t>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47752F4F">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sz w:val="24"/>
          <w:highlight w:val="none"/>
        </w:rPr>
        <w:t>2、中小企业合同金额达到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要求以联合体形式参加的项目或采购包，供应商按</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文件第一部分</w:t>
      </w:r>
      <w:r>
        <w:rPr>
          <w:rFonts w:hint="eastAsia" w:cs="宋体"/>
          <w:b/>
          <w:bCs/>
          <w:i w:val="0"/>
          <w:iCs w:val="0"/>
          <w:color w:val="auto"/>
          <w:sz w:val="24"/>
          <w:highlight w:val="none"/>
          <w:lang w:val="en-US" w:eastAsia="zh-CN"/>
        </w:rPr>
        <w:t>竞争性磋商</w:t>
      </w:r>
      <w:r>
        <w:rPr>
          <w:rFonts w:hint="eastAsia" w:ascii="宋体" w:hAnsi="宋体" w:cs="宋体"/>
          <w:b/>
          <w:bCs/>
          <w:i w:val="0"/>
          <w:iCs w:val="0"/>
          <w:color w:val="auto"/>
          <w:sz w:val="24"/>
          <w:highlight w:val="none"/>
        </w:rPr>
        <w:t>公告申请人的资格要求中规定的联合</w:t>
      </w:r>
      <w:r>
        <w:rPr>
          <w:rFonts w:hint="eastAsia" w:cs="宋体"/>
          <w:b/>
          <w:bCs/>
          <w:i w:val="0"/>
          <w:iCs w:val="0"/>
          <w:color w:val="auto"/>
          <w:sz w:val="24"/>
          <w:highlight w:val="none"/>
          <w:lang w:val="en-US" w:eastAsia="zh-CN"/>
        </w:rPr>
        <w:t>体</w:t>
      </w:r>
      <w:r>
        <w:rPr>
          <w:rFonts w:hint="eastAsia" w:ascii="宋体" w:hAnsi="宋体" w:cs="宋体"/>
          <w:b/>
          <w:bCs/>
          <w:i w:val="0"/>
          <w:iCs w:val="0"/>
          <w:color w:val="auto"/>
          <w:sz w:val="24"/>
          <w:highlight w:val="none"/>
        </w:rPr>
        <w:t>协议</w:t>
      </w:r>
      <w:r>
        <w:rPr>
          <w:rFonts w:hint="eastAsia" w:cs="宋体"/>
          <w:b/>
          <w:bCs/>
          <w:i w:val="0"/>
          <w:iCs w:val="0"/>
          <w:color w:val="auto"/>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p>
    <w:p w14:paraId="371898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五、如果</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sz w:val="24"/>
          <w:highlight w:val="none"/>
        </w:rPr>
        <w:t>联合体各成员方共同与采购人签订</w:t>
      </w:r>
      <w:r>
        <w:rPr>
          <w:rFonts w:hint="eastAsia" w:ascii="宋体" w:hAnsi="宋体" w:cs="宋体"/>
          <w:i w:val="0"/>
          <w:iCs w:val="0"/>
          <w:color w:val="auto"/>
          <w:sz w:val="24"/>
          <w:highlight w:val="none"/>
          <w:lang w:val="en-US" w:eastAsia="zh-CN"/>
        </w:rPr>
        <w:t>采购</w:t>
      </w:r>
      <w:r>
        <w:rPr>
          <w:rFonts w:hint="eastAsia" w:ascii="宋体" w:hAnsi="宋体" w:cs="宋体"/>
          <w:i w:val="0"/>
          <w:iCs w:val="0"/>
          <w:color w:val="auto"/>
          <w:sz w:val="24"/>
          <w:highlight w:val="none"/>
        </w:rPr>
        <w:t>合同，并就采购合同约定的事项对采购人承担连带责任。</w:t>
      </w:r>
    </w:p>
    <w:p w14:paraId="4189AEE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六、有关本次联合</w:t>
      </w:r>
      <w:r>
        <w:rPr>
          <w:rFonts w:hint="eastAsia" w:cs="宋体"/>
          <w:i w:val="0"/>
          <w:iCs w:val="0"/>
          <w:color w:val="auto"/>
          <w:kern w:val="0"/>
          <w:sz w:val="24"/>
          <w:highlight w:val="none"/>
          <w:lang w:val="en-US" w:eastAsia="zh-CN"/>
        </w:rPr>
        <w:t>磋商响应</w:t>
      </w:r>
      <w:r>
        <w:rPr>
          <w:rFonts w:hint="eastAsia" w:ascii="宋体" w:hAnsi="宋体" w:cs="宋体"/>
          <w:i w:val="0"/>
          <w:iCs w:val="0"/>
          <w:color w:val="auto"/>
          <w:kern w:val="0"/>
          <w:sz w:val="24"/>
          <w:highlight w:val="none"/>
          <w:lang w:val="zh-CN"/>
        </w:rPr>
        <w:t>的其他事宜：</w:t>
      </w:r>
    </w:p>
    <w:p w14:paraId="0314761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1、联合体各方不再单独参加或者与其他供应商另外组成联合体参加同一合同项下的政府采购活动。</w:t>
      </w:r>
    </w:p>
    <w:p w14:paraId="7802B51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2、联合体中有同类资质的各方按照联合体分工承担相同工作的，按照资质等级较低的供应商确定资质等级。</w:t>
      </w:r>
    </w:p>
    <w:p w14:paraId="288D0668">
      <w:pPr>
        <w:snapToGrid w:val="0"/>
        <w:spacing w:line="360" w:lineRule="auto"/>
        <w:ind w:firstLine="576"/>
        <w:rPr>
          <w:rFonts w:hint="eastAsia"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3、本协议提交采购人、采购代理机构后，联合体各方不得以任何形式对上述内容进行修改或撤销。</w:t>
      </w:r>
    </w:p>
    <w:p w14:paraId="6D0ADF90">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4、</w:t>
      </w:r>
      <w:r>
        <w:rPr>
          <w:rFonts w:hint="eastAsia" w:ascii="宋体" w:hAnsi="宋体" w:cs="宋体"/>
          <w:i w:val="0"/>
          <w:iCs w:val="0"/>
          <w:color w:val="auto"/>
          <w:kern w:val="0"/>
          <w:sz w:val="24"/>
          <w:highlight w:val="none"/>
          <w:lang w:val="zh-CN"/>
        </w:rPr>
        <w:t>其他：……</w:t>
      </w:r>
    </w:p>
    <w:p w14:paraId="43009373">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5、</w:t>
      </w:r>
      <w:r>
        <w:rPr>
          <w:rFonts w:hint="eastAsia" w:ascii="宋体" w:hAnsi="宋体" w:cs="宋体"/>
          <w:i w:val="0"/>
          <w:iCs w:val="0"/>
          <w:color w:val="auto"/>
          <w:kern w:val="0"/>
          <w:sz w:val="24"/>
          <w:highlight w:val="none"/>
          <w:lang w:val="zh-CN"/>
        </w:rPr>
        <w:t>本协议书自签署之日起生效，若未</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，自本</w:t>
      </w:r>
      <w:r>
        <w:rPr>
          <w:rFonts w:hint="eastAsia" w:cs="宋体"/>
          <w:i w:val="0"/>
          <w:iCs w:val="0"/>
          <w:color w:val="auto"/>
          <w:kern w:val="0"/>
          <w:sz w:val="24"/>
          <w:highlight w:val="none"/>
          <w:lang w:val="en-US" w:eastAsia="zh-CN"/>
        </w:rPr>
        <w:t>响应文件</w:t>
      </w:r>
      <w:r>
        <w:rPr>
          <w:rFonts w:hint="eastAsia" w:ascii="宋体" w:hAnsi="宋体" w:cs="宋体"/>
          <w:i w:val="0"/>
          <w:iCs w:val="0"/>
          <w:color w:val="auto"/>
          <w:kern w:val="0"/>
          <w:sz w:val="24"/>
          <w:highlight w:val="none"/>
          <w:lang w:val="zh-CN"/>
        </w:rPr>
        <w:t>有效期结束后自行失效；若</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，自合同书规定的期限之后自行失效。</w:t>
      </w:r>
    </w:p>
    <w:p w14:paraId="580F475F">
      <w:pPr>
        <w:snapToGrid w:val="0"/>
        <w:spacing w:line="360" w:lineRule="auto"/>
        <w:ind w:firstLine="576"/>
        <w:rPr>
          <w:rFonts w:hint="eastAsia" w:ascii="宋体" w:hAnsi="宋体" w:cs="宋体"/>
          <w:i w:val="0"/>
          <w:iCs w:val="0"/>
          <w:color w:val="auto"/>
          <w:kern w:val="0"/>
          <w:sz w:val="24"/>
          <w:highlight w:val="none"/>
          <w:lang w:val="zh-CN"/>
        </w:rPr>
      </w:pPr>
      <w:r>
        <w:rPr>
          <w:rFonts w:hint="eastAsia" w:cs="宋体"/>
          <w:i w:val="0"/>
          <w:iCs w:val="0"/>
          <w:color w:val="auto"/>
          <w:kern w:val="0"/>
          <w:sz w:val="24"/>
          <w:highlight w:val="none"/>
          <w:lang w:val="en-US" w:eastAsia="zh-CN"/>
        </w:rPr>
        <w:t>6、</w:t>
      </w:r>
      <w:r>
        <w:rPr>
          <w:rFonts w:hint="eastAsia" w:ascii="宋体" w:hAnsi="宋体" w:cs="宋体"/>
          <w:i w:val="0"/>
          <w:iCs w:val="0"/>
          <w:color w:val="auto"/>
          <w:kern w:val="0"/>
          <w:sz w:val="24"/>
          <w:highlight w:val="none"/>
          <w:lang w:val="zh-CN"/>
        </w:rPr>
        <w:t>本协议书正本一式</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份，联合体成员各执</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份；副本一式</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份，联合体成员各执</w:t>
      </w:r>
      <w:r>
        <w:rPr>
          <w:rFonts w:hint="eastAsia" w:ascii="宋体" w:hAnsi="宋体" w:cs="宋体"/>
          <w:i w:val="0"/>
          <w:iCs w:val="0"/>
          <w:color w:val="auto"/>
          <w:kern w:val="0"/>
          <w:sz w:val="24"/>
          <w:highlight w:val="none"/>
          <w:u w:val="single"/>
          <w:lang w:val="zh-CN"/>
        </w:rPr>
        <w:t xml:space="preserve">     </w:t>
      </w:r>
      <w:r>
        <w:rPr>
          <w:rFonts w:hint="eastAsia" w:ascii="宋体" w:hAnsi="宋体" w:cs="宋体"/>
          <w:i w:val="0"/>
          <w:iCs w:val="0"/>
          <w:color w:val="auto"/>
          <w:kern w:val="0"/>
          <w:sz w:val="24"/>
          <w:highlight w:val="none"/>
          <w:lang w:val="zh-CN"/>
        </w:rPr>
        <w:t>份。</w:t>
      </w:r>
    </w:p>
    <w:p w14:paraId="1797DC92">
      <w:pPr>
        <w:pStyle w:val="2"/>
        <w:rPr>
          <w:i w:val="0"/>
          <w:iCs w:val="0"/>
          <w:color w:val="auto"/>
          <w:highlight w:val="none"/>
          <w:lang w:val="zh-CN"/>
        </w:rPr>
      </w:pPr>
    </w:p>
    <w:p w14:paraId="6A1B5B57">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lang w:val="zh-CN"/>
        </w:rPr>
        <w:t>名称(公章)：</w:t>
      </w:r>
    </w:p>
    <w:p w14:paraId="21DBA726">
      <w:pPr>
        <w:snapToGrid w:val="0"/>
        <w:spacing w:line="360" w:lineRule="auto"/>
        <w:ind w:firstLine="3840" w:firstLineChars="16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联合体成员</w:t>
      </w:r>
      <w:r>
        <w:rPr>
          <w:rFonts w:hint="eastAsia" w:ascii="宋体" w:hAnsi="宋体" w:cs="宋体"/>
          <w:i w:val="0"/>
          <w:iCs w:val="0"/>
          <w:color w:val="auto"/>
          <w:kern w:val="0"/>
          <w:sz w:val="24"/>
          <w:highlight w:val="none"/>
          <w:lang w:val="en-US" w:eastAsia="zh-CN"/>
        </w:rPr>
        <w:t>2</w:t>
      </w:r>
      <w:r>
        <w:rPr>
          <w:rFonts w:hint="eastAsia" w:ascii="宋体" w:hAnsi="宋体" w:cs="宋体"/>
          <w:i w:val="0"/>
          <w:iCs w:val="0"/>
          <w:color w:val="auto"/>
          <w:kern w:val="0"/>
          <w:sz w:val="24"/>
          <w:highlight w:val="none"/>
          <w:lang w:val="zh-CN"/>
        </w:rPr>
        <w:t>名称(公章)：</w:t>
      </w:r>
    </w:p>
    <w:p w14:paraId="2C01AA77">
      <w:pPr>
        <w:snapToGrid w:val="0"/>
        <w:spacing w:line="360" w:lineRule="auto"/>
        <w:ind w:right="960"/>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p>
    <w:p w14:paraId="64D03F6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日期：  年  月   日</w:t>
      </w:r>
    </w:p>
    <w:p w14:paraId="69BB115A">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i w:val="0"/>
          <w:iCs w:val="0"/>
          <w:color w:val="auto"/>
          <w:highlight w:val="none"/>
          <w:u w:val="single"/>
        </w:rPr>
      </w:pPr>
      <w:r>
        <w:rPr>
          <w:rFonts w:cs="Tahoma"/>
          <w:i w:val="0"/>
          <w:iCs w:val="0"/>
          <w:color w:val="auto"/>
          <w:highlight w:val="none"/>
          <w:u w:val="single"/>
        </w:rPr>
        <w:br w:type="page"/>
      </w:r>
    </w:p>
    <w:p w14:paraId="75121566">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zh-CN" w:eastAsia="zh-CN" w:bidi="ar-SA"/>
        </w:rPr>
      </w:pPr>
      <w:bookmarkStart w:id="680" w:name="_Toc10112"/>
      <w:bookmarkStart w:id="681" w:name="_Toc162299566"/>
      <w:bookmarkStart w:id="682" w:name="_Toc156490356"/>
      <w:bookmarkStart w:id="683" w:name="_Hlk101169080"/>
      <w:r>
        <w:rPr>
          <w:rFonts w:hint="eastAsia" w:cstheme="majorBidi"/>
          <w:b/>
          <w:bCs/>
          <w:i w:val="0"/>
          <w:iCs w:val="0"/>
          <w:color w:val="auto"/>
          <w:kern w:val="2"/>
          <w:sz w:val="28"/>
          <w:szCs w:val="28"/>
          <w:highlight w:val="none"/>
          <w:lang w:val="en-US" w:eastAsia="zh-CN" w:bidi="ar-SA"/>
        </w:rPr>
        <w:t>三</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分包意向协议书</w:t>
      </w:r>
      <w:r>
        <w:rPr>
          <w:rFonts w:hint="eastAsia" w:ascii="宋体" w:hAnsi="宋体" w:eastAsia="宋体" w:cstheme="minorBidi"/>
          <w:b w:val="0"/>
          <w:bCs w:val="0"/>
          <w:i w:val="0"/>
          <w:iCs w:val="0"/>
          <w:color w:val="auto"/>
          <w:kern w:val="2"/>
          <w:sz w:val="28"/>
          <w:szCs w:val="28"/>
          <w:highlight w:val="none"/>
          <w:lang w:val="zh-CN" w:eastAsia="zh-CN" w:bidi="ar-SA"/>
        </w:rPr>
        <w:t>【如适用】</w:t>
      </w:r>
      <w:bookmarkEnd w:id="680"/>
      <w:bookmarkEnd w:id="681"/>
      <w:bookmarkEnd w:id="682"/>
    </w:p>
    <w:p w14:paraId="72EF9FB2">
      <w:pPr>
        <w:snapToGrid w:val="0"/>
        <w:spacing w:line="360" w:lineRule="auto"/>
        <w:jc w:val="center"/>
        <w:outlineLvl w:val="0"/>
        <w:rPr>
          <w:rFonts w:hint="eastAsia" w:ascii="宋体" w:hAnsi="宋体" w:cs="宋体"/>
          <w:b/>
          <w:i w:val="0"/>
          <w:iCs w:val="0"/>
          <w:color w:val="auto"/>
          <w:kern w:val="0"/>
          <w:sz w:val="32"/>
          <w:szCs w:val="32"/>
          <w:highlight w:val="none"/>
        </w:rPr>
      </w:pPr>
    </w:p>
    <w:p w14:paraId="51ED9DD2">
      <w:pPr>
        <w:snapToGrid w:val="0"/>
        <w:spacing w:line="360" w:lineRule="auto"/>
        <w:jc w:val="center"/>
        <w:outlineLvl w:val="0"/>
        <w:rPr>
          <w:rFonts w:hint="eastAsia" w:ascii="宋体" w:hAnsi="宋体" w:eastAsia="宋体" w:cs="宋体"/>
          <w:b/>
          <w:i w:val="0"/>
          <w:iCs w:val="0"/>
          <w:color w:val="auto"/>
          <w:kern w:val="0"/>
          <w:sz w:val="32"/>
          <w:szCs w:val="32"/>
          <w:highlight w:val="none"/>
          <w:lang w:val="en-US" w:eastAsia="zh-CN"/>
        </w:rPr>
      </w:pPr>
      <w:bookmarkStart w:id="684" w:name="_Toc21028"/>
      <w:r>
        <w:rPr>
          <w:rFonts w:hint="eastAsia" w:ascii="宋体" w:hAnsi="宋体" w:cs="宋体"/>
          <w:b/>
          <w:i w:val="0"/>
          <w:iCs w:val="0"/>
          <w:color w:val="auto"/>
          <w:kern w:val="0"/>
          <w:sz w:val="32"/>
          <w:szCs w:val="32"/>
          <w:highlight w:val="none"/>
        </w:rPr>
        <w:t>分包意向协议</w:t>
      </w:r>
      <w:r>
        <w:rPr>
          <w:rFonts w:hint="eastAsia" w:ascii="宋体" w:hAnsi="宋体" w:cs="宋体"/>
          <w:b/>
          <w:i w:val="0"/>
          <w:iCs w:val="0"/>
          <w:color w:val="auto"/>
          <w:kern w:val="0"/>
          <w:sz w:val="32"/>
          <w:szCs w:val="32"/>
          <w:highlight w:val="none"/>
          <w:lang w:val="en-US" w:eastAsia="zh-CN"/>
        </w:rPr>
        <w:t>书</w:t>
      </w:r>
      <w:bookmarkEnd w:id="684"/>
    </w:p>
    <w:p w14:paraId="4E9F0BF4">
      <w:pPr>
        <w:widowControl/>
        <w:spacing w:line="360" w:lineRule="auto"/>
        <w:ind w:firstLine="120" w:firstLineChars="5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cs="宋体"/>
          <w:b/>
          <w:i w:val="0"/>
          <w:iCs w:val="0"/>
          <w:color w:val="auto"/>
          <w:sz w:val="24"/>
          <w:highlight w:val="none"/>
          <w:lang w:val="en-US" w:eastAsia="zh-CN"/>
        </w:rPr>
        <w:t>成交</w:t>
      </w:r>
      <w:r>
        <w:rPr>
          <w:rFonts w:hint="eastAsia" w:ascii="宋体" w:hAnsi="宋体" w:cs="宋体"/>
          <w:b/>
          <w:i w:val="0"/>
          <w:iCs w:val="0"/>
          <w:color w:val="auto"/>
          <w:sz w:val="24"/>
          <w:highlight w:val="none"/>
        </w:rPr>
        <w:t>后以分包方式履行合同的，提供分包意向协议</w:t>
      </w:r>
      <w:r>
        <w:rPr>
          <w:rFonts w:hint="eastAsia" w:cs="宋体"/>
          <w:b/>
          <w:i w:val="0"/>
          <w:iCs w:val="0"/>
          <w:color w:val="auto"/>
          <w:sz w:val="24"/>
          <w:highlight w:val="none"/>
          <w:lang w:val="en-US" w:eastAsia="zh-CN"/>
        </w:rPr>
        <w:t>书</w:t>
      </w:r>
      <w:r>
        <w:rPr>
          <w:rFonts w:hint="eastAsia" w:ascii="宋体" w:hAnsi="宋体" w:cs="宋体"/>
          <w:b/>
          <w:i w:val="0"/>
          <w:iCs w:val="0"/>
          <w:color w:val="auto"/>
          <w:sz w:val="24"/>
          <w:highlight w:val="none"/>
        </w:rPr>
        <w:t>；采购人不同意分包或者</w:t>
      </w:r>
      <w:r>
        <w:rPr>
          <w:rFonts w:hint="eastAsia" w:cs="宋体"/>
          <w:b/>
          <w:i w:val="0"/>
          <w:iCs w:val="0"/>
          <w:color w:val="auto"/>
          <w:sz w:val="24"/>
          <w:highlight w:val="none"/>
          <w:lang w:val="en-US" w:eastAsia="zh-CN"/>
        </w:rPr>
        <w:t>供应商成交</w:t>
      </w:r>
      <w:r>
        <w:rPr>
          <w:rFonts w:hint="eastAsia" w:ascii="宋体" w:hAnsi="宋体" w:cs="宋体"/>
          <w:b/>
          <w:i w:val="0"/>
          <w:iCs w:val="0"/>
          <w:color w:val="auto"/>
          <w:sz w:val="24"/>
          <w:highlight w:val="none"/>
        </w:rPr>
        <w:t>后不以分包方式履行合同的，则不需要提供。</w:t>
      </w:r>
      <w:r>
        <w:rPr>
          <w:rFonts w:hint="eastAsia" w:ascii="宋体" w:hAnsi="宋体" w:cs="宋体"/>
          <w:i w:val="0"/>
          <w:iCs w:val="0"/>
          <w:color w:val="auto"/>
          <w:sz w:val="24"/>
          <w:highlight w:val="none"/>
        </w:rPr>
        <w:t>）</w:t>
      </w:r>
    </w:p>
    <w:p w14:paraId="5791A4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u w:val="single"/>
        </w:rPr>
        <w:t>（项目名称）</w:t>
      </w:r>
      <w:r>
        <w:rPr>
          <w:rFonts w:hint="eastAsia"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项目</w:t>
      </w:r>
      <w:r>
        <w:rPr>
          <w:rFonts w:hint="eastAsia" w:ascii="宋体" w:hAnsi="宋体" w:cs="宋体"/>
          <w:i w:val="0"/>
          <w:iCs w:val="0"/>
          <w:color w:val="auto"/>
          <w:sz w:val="24"/>
          <w:highlight w:val="none"/>
        </w:rPr>
        <w:t>编号</w:t>
      </w:r>
      <w:r>
        <w:rPr>
          <w:rFonts w:hint="eastAsia" w:cs="宋体"/>
          <w:i w:val="0"/>
          <w:iCs w:val="0"/>
          <w:color w:val="auto"/>
          <w:sz w:val="24"/>
          <w:highlight w:val="none"/>
          <w:lang w:val="en-US" w:eastAsia="zh-CN"/>
        </w:rPr>
        <w:t>/包号</w:t>
      </w:r>
      <w:r>
        <w:rPr>
          <w:rFonts w:hint="eastAsia" w:ascii="宋体" w:hAnsi="宋体" w:cs="宋体"/>
          <w:i w:val="0"/>
          <w:iCs w:val="0"/>
          <w:color w:val="auto"/>
          <w:sz w:val="24"/>
          <w:highlight w:val="none"/>
        </w:rPr>
        <w:t>：</w:t>
      </w:r>
      <w:r>
        <w:rPr>
          <w:rFonts w:hint="eastAsia" w:cs="宋体"/>
          <w:i w:val="0"/>
          <w:iCs w:val="0"/>
          <w:color w:val="auto"/>
          <w:sz w:val="24"/>
          <w:highlight w:val="non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的</w:t>
      </w:r>
      <w:r>
        <w:rPr>
          <w:rFonts w:hint="eastAsia" w:cs="宋体"/>
          <w:i w:val="0"/>
          <w:iCs w:val="0"/>
          <w:color w:val="auto"/>
          <w:kern w:val="0"/>
          <w:sz w:val="24"/>
          <w:highlight w:val="none"/>
          <w:lang w:val="en-US" w:eastAsia="zh-CN"/>
        </w:rPr>
        <w:t>成交</w:t>
      </w:r>
      <w:r>
        <w:rPr>
          <w:rFonts w:hint="eastAsia" w:ascii="宋体" w:hAnsi="宋体" w:cs="宋体"/>
          <w:i w:val="0"/>
          <w:iCs w:val="0"/>
          <w:color w:val="auto"/>
          <w:kern w:val="0"/>
          <w:sz w:val="24"/>
          <w:highlight w:val="none"/>
          <w:lang w:val="zh-CN"/>
        </w:rPr>
        <w:t>供应商，将依法采取分包方式履行合同。</w:t>
      </w: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cs="宋体"/>
          <w:i w:val="0"/>
          <w:iCs w:val="0"/>
          <w:color w:val="auto"/>
          <w:kern w:val="0"/>
          <w:sz w:val="24"/>
          <w:highlight w:val="none"/>
          <w:lang w:val="en-US" w:eastAsia="zh-CN"/>
        </w:rPr>
        <w:t>书</w:t>
      </w:r>
      <w:r>
        <w:rPr>
          <w:rFonts w:hint="eastAsia" w:ascii="宋体" w:hAnsi="宋体" w:cs="宋体"/>
          <w:i w:val="0"/>
          <w:iCs w:val="0"/>
          <w:color w:val="auto"/>
          <w:kern w:val="0"/>
          <w:sz w:val="24"/>
          <w:highlight w:val="none"/>
          <w:lang w:val="zh-CN"/>
        </w:rPr>
        <w:t xml:space="preserve">。 </w:t>
      </w:r>
    </w:p>
    <w:p w14:paraId="545E907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一、分包标的及数量</w:t>
      </w:r>
    </w:p>
    <w:p w14:paraId="5E08737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w:t>
      </w:r>
      <w:r>
        <w:rPr>
          <w:rFonts w:hint="eastAsia" w:cs="宋体"/>
          <w:i w:val="0"/>
          <w:iCs w:val="0"/>
          <w:color w:val="auto"/>
          <w:kern w:val="0"/>
          <w:sz w:val="24"/>
          <w:highlight w:val="none"/>
          <w:u w:val="single"/>
          <w:lang w:val="en-US" w:eastAsia="zh-CN"/>
        </w:rPr>
        <w:t>供应商</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lang w:val="zh-CN"/>
        </w:rPr>
        <w:t>具备承</w:t>
      </w:r>
      <w:r>
        <w:rPr>
          <w:rFonts w:hint="eastAsia" w:ascii="宋体" w:hAnsi="宋体" w:cs="宋体"/>
          <w:i w:val="0"/>
          <w:iCs w:val="0"/>
          <w:color w:val="auto"/>
          <w:kern w:val="0"/>
          <w:sz w:val="24"/>
          <w:highlight w:val="none"/>
        </w:rPr>
        <w:t>担</w:t>
      </w:r>
      <w:r>
        <w:rPr>
          <w:rFonts w:hint="eastAsia" w:ascii="宋体" w:hAnsi="宋体" w:cs="宋体"/>
          <w:i w:val="0"/>
          <w:iCs w:val="0"/>
          <w:color w:val="auto"/>
          <w:kern w:val="0"/>
          <w:sz w:val="24"/>
          <w:highlight w:val="none"/>
          <w:u w:val="single"/>
          <w:lang w:val="zh-CN"/>
        </w:rPr>
        <w:t>XX工作内容</w:t>
      </w:r>
      <w:r>
        <w:rPr>
          <w:rFonts w:hint="eastAsia" w:ascii="宋体" w:hAnsi="宋体" w:cs="宋体"/>
          <w:i w:val="0"/>
          <w:iCs w:val="0"/>
          <w:color w:val="auto"/>
          <w:kern w:val="0"/>
          <w:sz w:val="24"/>
          <w:highlight w:val="none"/>
          <w:lang w:val="zh-CN"/>
        </w:rPr>
        <w:t>相应资质条件且不得再次分包；</w:t>
      </w:r>
    </w:p>
    <w:p w14:paraId="37B916C5">
      <w:pPr>
        <w:pStyle w:val="2"/>
        <w:tabs>
          <w:tab w:val="left" w:pos="432"/>
        </w:tabs>
        <w:ind w:left="758" w:leftChars="316" w:firstLine="229" w:firstLineChars="95"/>
        <w:rPr>
          <w:rFonts w:ascii="宋体" w:hAnsi="宋体" w:eastAsia="宋体" w:cs="宋体"/>
          <w:i w:val="0"/>
          <w:iCs w:val="0"/>
          <w:color w:val="auto"/>
          <w:kern w:val="0"/>
          <w:sz w:val="24"/>
          <w:szCs w:val="24"/>
          <w:highlight w:val="none"/>
        </w:rPr>
      </w:pPr>
      <w:bookmarkStart w:id="685" w:name="_Toc12110"/>
      <w:r>
        <w:rPr>
          <w:rFonts w:hint="eastAsia" w:ascii="宋体" w:hAnsi="宋体" w:eastAsia="宋体" w:cs="宋体"/>
          <w:i w:val="0"/>
          <w:iCs w:val="0"/>
          <w:color w:val="auto"/>
          <w:kern w:val="0"/>
          <w:sz w:val="24"/>
          <w:szCs w:val="24"/>
          <w:highlight w:val="none"/>
        </w:rPr>
        <w:t>……</w:t>
      </w:r>
      <w:bookmarkEnd w:id="685"/>
    </w:p>
    <w:p w14:paraId="042688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i w:val="0"/>
          <w:iCs w:val="0"/>
          <w:color w:val="auto"/>
          <w:kern w:val="0"/>
          <w:sz w:val="24"/>
          <w:highlight w:val="none"/>
          <w:lang w:val="zh-CN"/>
        </w:rPr>
      </w:pPr>
      <w:r>
        <w:rPr>
          <w:rFonts w:ascii="宋体" w:hAnsi="宋体" w:cs="宋体"/>
          <w:i w:val="0"/>
          <w:iCs w:val="0"/>
          <w:color w:val="auto"/>
          <w:kern w:val="0"/>
          <w:sz w:val="24"/>
          <w:highlight w:val="none"/>
        </w:rPr>
        <w:t>1、</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w:t>
      </w:r>
      <w:r>
        <w:rPr>
          <w:rFonts w:hint="eastAsia" w:cs="宋体"/>
          <w:i w:val="0"/>
          <w:iCs w:val="0"/>
          <w:color w:val="auto"/>
          <w:kern w:val="0"/>
          <w:sz w:val="24"/>
          <w:highlight w:val="none"/>
          <w:u w:val="single"/>
          <w:lang w:val="en-US" w:eastAsia="zh-CN"/>
        </w:rPr>
        <w:t>服务</w:t>
      </w:r>
      <w:r>
        <w:rPr>
          <w:rFonts w:hint="eastAsia" w:ascii="宋体" w:hAnsi="宋体" w:cs="宋体"/>
          <w:i w:val="0"/>
          <w:iCs w:val="0"/>
          <w:color w:val="auto"/>
          <w:kern w:val="0"/>
          <w:sz w:val="24"/>
          <w:highlight w:val="none"/>
          <w:u w:val="single"/>
        </w:rPr>
        <w:t>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（未预留份额专门面向中小企业采购的采购项目，以及预留份额中的非预留部分采购包，允许分包的，分包意向协议</w:t>
      </w:r>
      <w:r>
        <w:rPr>
          <w:rFonts w:hint="eastAsia" w:cs="宋体"/>
          <w:b/>
          <w:i w:val="0"/>
          <w:iCs w:val="0"/>
          <w:color w:val="auto"/>
          <w:kern w:val="0"/>
          <w:sz w:val="24"/>
          <w:highlight w:val="none"/>
          <w:lang w:val="en-US" w:eastAsia="zh-CN"/>
        </w:rPr>
        <w:t>书</w:t>
      </w:r>
      <w:r>
        <w:rPr>
          <w:rFonts w:hint="eastAsia" w:ascii="宋体" w:hAnsi="宋体" w:cs="宋体"/>
          <w:b/>
          <w:i w:val="0"/>
          <w:iCs w:val="0"/>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45FF207">
      <w:pPr>
        <w:spacing w:line="360" w:lineRule="auto"/>
        <w:ind w:firstLine="480" w:firstLineChars="200"/>
        <w:rPr>
          <w:rFonts w:ascii="宋体" w:hAnsi="宋体" w:cs="宋体"/>
          <w:b/>
          <w:bCs/>
          <w:i w:val="0"/>
          <w:iCs w:val="0"/>
          <w:color w:val="auto"/>
          <w:kern w:val="0"/>
          <w:sz w:val="24"/>
          <w:highlight w:val="none"/>
          <w:lang w:val="zh-CN"/>
        </w:rPr>
      </w:pPr>
      <w:r>
        <w:rPr>
          <w:rFonts w:hint="eastAsia" w:ascii="宋体" w:hAnsi="宋体" w:cs="宋体"/>
          <w:i w:val="0"/>
          <w:iCs w:val="0"/>
          <w:color w:val="auto"/>
          <w:sz w:val="24"/>
          <w:highlight w:val="none"/>
        </w:rPr>
        <w:t>2、</w:t>
      </w:r>
      <w:bookmarkStart w:id="686"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%，其中小微企业合同金额达到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cs="宋体"/>
          <w:b/>
          <w:i w:val="0"/>
          <w:iCs w:val="0"/>
          <w:color w:val="auto"/>
          <w:kern w:val="0"/>
          <w:sz w:val="24"/>
          <w:highlight w:val="none"/>
          <w:lang w:val="en-US" w:eastAsia="zh-CN"/>
        </w:rPr>
        <w:t>书</w:t>
      </w:r>
      <w:r>
        <w:rPr>
          <w:rFonts w:hint="eastAsia" w:ascii="宋体" w:hAnsi="宋体" w:cs="宋体"/>
          <w:b/>
          <w:bCs/>
          <w:i w:val="0"/>
          <w:iCs w:val="0"/>
          <w:color w:val="auto"/>
          <w:sz w:val="24"/>
          <w:highlight w:val="none"/>
        </w:rPr>
        <w:t>中中小企业、小微企业合同金额应当达到的比例要求填写。</w:t>
      </w:r>
      <w:r>
        <w:rPr>
          <w:rFonts w:hint="eastAsia" w:ascii="宋体" w:hAnsi="宋体" w:cs="宋体"/>
          <w:b/>
          <w:bCs/>
          <w:i w:val="0"/>
          <w:iCs w:val="0"/>
          <w:color w:val="auto"/>
          <w:kern w:val="0"/>
          <w:sz w:val="24"/>
          <w:highlight w:val="none"/>
          <w:lang w:val="zh-CN"/>
        </w:rPr>
        <w:t>）</w:t>
      </w:r>
      <w:bookmarkEnd w:id="686"/>
    </w:p>
    <w:p w14:paraId="51C56E7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7F26E4A3">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7925029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7369B1B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0E7AB092">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32B92C8">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0C79FAF7">
      <w:pPr>
        <w:snapToGrid w:val="0"/>
        <w:spacing w:line="360" w:lineRule="auto"/>
        <w:ind w:left="655"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17F77B9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2CBB9B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5D83C45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A9066DF">
      <w:pPr>
        <w:snapToGrid w:val="0"/>
        <w:spacing w:line="360" w:lineRule="auto"/>
        <w:ind w:left="5861" w:leftChars="342" w:hanging="5040" w:hangingChars="2100"/>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w:t>
      </w:r>
      <w:r>
        <w:rPr>
          <w:rFonts w:hint="eastAsia" w:cs="宋体"/>
          <w:i w:val="0"/>
          <w:iCs w:val="0"/>
          <w:color w:val="auto"/>
          <w:kern w:val="0"/>
          <w:sz w:val="24"/>
          <w:highlight w:val="none"/>
          <w:lang w:val="en-US" w:eastAsia="zh-CN"/>
        </w:rPr>
        <w:t>供应商</w:t>
      </w:r>
      <w:r>
        <w:rPr>
          <w:rFonts w:hint="eastAsia" w:ascii="宋体" w:hAnsi="宋体" w:cs="宋体"/>
          <w:i w:val="0"/>
          <w:iCs w:val="0"/>
          <w:color w:val="auto"/>
          <w:kern w:val="0"/>
          <w:sz w:val="24"/>
          <w:highlight w:val="none"/>
          <w:lang w:val="zh-CN"/>
        </w:rPr>
        <w:t>名称(</w:t>
      </w:r>
      <w:r>
        <w:rPr>
          <w:rFonts w:hint="eastAsia" w:cs="宋体"/>
          <w:i w:val="0"/>
          <w:iCs w:val="0"/>
          <w:color w:val="auto"/>
          <w:kern w:val="0"/>
          <w:sz w:val="24"/>
          <w:highlight w:val="none"/>
          <w:lang w:val="zh-CN"/>
        </w:rPr>
        <w:t>公章</w:t>
      </w:r>
      <w:r>
        <w:rPr>
          <w:rFonts w:hint="eastAsia" w:ascii="宋体" w:hAnsi="宋体" w:cs="宋体"/>
          <w:i w:val="0"/>
          <w:iCs w:val="0"/>
          <w:color w:val="auto"/>
          <w:kern w:val="0"/>
          <w:sz w:val="24"/>
          <w:highlight w:val="none"/>
          <w:lang w:val="zh-CN"/>
        </w:rPr>
        <w:t>)：</w:t>
      </w:r>
    </w:p>
    <w:p w14:paraId="665C464B">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分包供应商名称(公章)：</w:t>
      </w:r>
    </w:p>
    <w:p w14:paraId="102F6BD9">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22C38D7A">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49A2F910">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1"/>
          <w:szCs w:val="21"/>
          <w:highlight w:val="none"/>
        </w:rPr>
        <w:t>注：按本格式和要求提供。</w:t>
      </w:r>
    </w:p>
    <w:p w14:paraId="7F0D76CC">
      <w:pPr>
        <w:topLinePunct/>
        <w:ind w:firstLine="480" w:firstLineChars="200"/>
        <w:rPr>
          <w:rFonts w:hint="eastAsia"/>
          <w:i w:val="0"/>
          <w:iCs w:val="0"/>
          <w:color w:val="auto"/>
          <w:szCs w:val="32"/>
          <w:highlight w:val="none"/>
        </w:rPr>
      </w:pPr>
    </w:p>
    <w:p w14:paraId="5F400CB9">
      <w:pPr>
        <w:topLinePunct/>
        <w:ind w:firstLine="480" w:firstLineChars="200"/>
        <w:rPr>
          <w:rFonts w:hint="eastAsia"/>
          <w:i w:val="0"/>
          <w:iCs w:val="0"/>
          <w:color w:val="auto"/>
          <w:szCs w:val="32"/>
          <w:highlight w:val="none"/>
        </w:rPr>
      </w:pPr>
    </w:p>
    <w:p w14:paraId="11CAF290">
      <w:pPr>
        <w:topLinePunct/>
        <w:ind w:firstLine="480" w:firstLineChars="200"/>
        <w:rPr>
          <w:rFonts w:hint="eastAsia"/>
          <w:i w:val="0"/>
          <w:iCs w:val="0"/>
          <w:color w:val="auto"/>
          <w:szCs w:val="32"/>
          <w:highlight w:val="none"/>
        </w:rPr>
      </w:pPr>
    </w:p>
    <w:p w14:paraId="35CFE103">
      <w:pPr>
        <w:topLinePunct/>
        <w:ind w:firstLine="480" w:firstLineChars="200"/>
        <w:rPr>
          <w:rFonts w:hint="eastAsia"/>
          <w:i w:val="0"/>
          <w:iCs w:val="0"/>
          <w:color w:val="auto"/>
          <w:szCs w:val="32"/>
          <w:highlight w:val="none"/>
        </w:rPr>
      </w:pPr>
    </w:p>
    <w:bookmarkEnd w:id="683"/>
    <w:p w14:paraId="5775F461">
      <w:pPr>
        <w:ind w:left="2520" w:leftChars="1050"/>
        <w:rPr>
          <w:i w:val="0"/>
          <w:iCs w:val="0"/>
          <w:color w:val="auto"/>
          <w:highlight w:val="none"/>
        </w:rPr>
      </w:pPr>
      <w:r>
        <w:rPr>
          <w:rFonts w:cs="Courier New"/>
          <w:i w:val="0"/>
          <w:iCs w:val="0"/>
          <w:color w:val="auto"/>
          <w:szCs w:val="24"/>
          <w:highlight w:val="none"/>
        </w:rPr>
        <w:br w:type="page"/>
      </w:r>
    </w:p>
    <w:p w14:paraId="27442EE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bookmarkStart w:id="687" w:name="_Toc163492926"/>
      <w:bookmarkStart w:id="688" w:name="_Toc155185932"/>
      <w:bookmarkStart w:id="689" w:name="_Toc26686"/>
      <w:r>
        <w:rPr>
          <w:rFonts w:hint="eastAsia" w:cstheme="majorBidi"/>
          <w:b/>
          <w:bCs/>
          <w:i w:val="0"/>
          <w:iCs w:val="0"/>
          <w:color w:val="auto"/>
          <w:kern w:val="2"/>
          <w:sz w:val="28"/>
          <w:szCs w:val="28"/>
          <w:highlight w:val="none"/>
          <w:lang w:val="en-US" w:eastAsia="zh-CN" w:bidi="ar-SA"/>
        </w:rPr>
        <w:t>四</w:t>
      </w:r>
      <w:r>
        <w:rPr>
          <w:rFonts w:hint="eastAsia" w:eastAsia="宋体" w:asciiTheme="majorHAnsi" w:hAnsiTheme="majorHAnsi" w:cstheme="majorBidi"/>
          <w:b/>
          <w:bCs/>
          <w:i w:val="0"/>
          <w:iCs w:val="0"/>
          <w:color w:val="auto"/>
          <w:kern w:val="2"/>
          <w:sz w:val="28"/>
          <w:szCs w:val="28"/>
          <w:highlight w:val="none"/>
          <w:lang w:val="en-US" w:eastAsia="zh-CN" w:bidi="ar-SA"/>
        </w:rPr>
        <w:t>、</w:t>
      </w:r>
      <w:bookmarkEnd w:id="687"/>
      <w:bookmarkEnd w:id="688"/>
      <w:r>
        <w:rPr>
          <w:rFonts w:hint="eastAsia" w:eastAsia="宋体" w:asciiTheme="majorHAnsi" w:hAnsiTheme="majorHAnsi" w:cstheme="majorBidi"/>
          <w:b/>
          <w:bCs/>
          <w:i w:val="0"/>
          <w:iCs w:val="0"/>
          <w:color w:val="auto"/>
          <w:kern w:val="2"/>
          <w:sz w:val="28"/>
          <w:szCs w:val="28"/>
          <w:highlight w:val="none"/>
          <w:lang w:val="en-US" w:eastAsia="zh-CN" w:bidi="ar-SA"/>
        </w:rPr>
        <w:t>落实政府采购政策相关证明文件</w:t>
      </w:r>
      <w:bookmarkEnd w:id="689"/>
    </w:p>
    <w:p w14:paraId="0BDCE4AB">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en-US" w:eastAsia="zh-CN" w:bidi="ar-SA"/>
        </w:rPr>
      </w:pPr>
      <w:bookmarkStart w:id="690" w:name="_Toc163492938"/>
      <w:bookmarkStart w:id="691" w:name="_Toc21782"/>
      <w:r>
        <w:rPr>
          <w:rFonts w:hint="eastAsia" w:ascii="宋体" w:hAnsi="宋体" w:eastAsia="宋体" w:cs="宋体"/>
          <w:b/>
          <w:bCs/>
          <w:i w:val="0"/>
          <w:iCs w:val="0"/>
          <w:color w:val="auto"/>
          <w:kern w:val="2"/>
          <w:sz w:val="24"/>
          <w:szCs w:val="24"/>
          <w:highlight w:val="none"/>
          <w:lang w:val="en-US" w:eastAsia="zh-CN" w:bidi="ar-SA"/>
        </w:rPr>
        <w:t>（一）节能环保产品清单及证明材料</w:t>
      </w:r>
      <w:r>
        <w:rPr>
          <w:rFonts w:hint="eastAsia" w:ascii="宋体" w:hAnsi="宋体" w:eastAsia="宋体" w:cs="宋体"/>
          <w:b w:val="0"/>
          <w:bCs w:val="0"/>
          <w:i w:val="0"/>
          <w:iCs w:val="0"/>
          <w:color w:val="auto"/>
          <w:kern w:val="2"/>
          <w:sz w:val="24"/>
          <w:szCs w:val="24"/>
          <w:highlight w:val="none"/>
          <w:lang w:val="en-US" w:eastAsia="zh-CN" w:bidi="ar-SA"/>
        </w:rPr>
        <w:t>【如适用】</w:t>
      </w:r>
      <w:bookmarkEnd w:id="690"/>
      <w:bookmarkEnd w:id="691"/>
    </w:p>
    <w:p w14:paraId="738C7A23">
      <w:pPr>
        <w:spacing w:line="300" w:lineRule="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p>
    <w:p w14:paraId="74728550">
      <w:pPr>
        <w:spacing w:line="30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节能产品</w:t>
      </w:r>
    </w:p>
    <w:tbl>
      <w:tblPr>
        <w:tblStyle w:val="3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0D7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FCF36A0">
            <w:pPr>
              <w:pStyle w:val="52"/>
              <w:jc w:val="center"/>
              <w:rPr>
                <w:i w:val="0"/>
                <w:iCs w:val="0"/>
                <w:color w:val="auto"/>
                <w:sz w:val="21"/>
                <w:szCs w:val="21"/>
                <w:highlight w:val="none"/>
              </w:rPr>
            </w:pPr>
            <w:r>
              <w:rPr>
                <w:rFonts w:hint="eastAsia"/>
                <w:i w:val="0"/>
                <w:iCs w:val="0"/>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54C6998">
            <w:pPr>
              <w:pStyle w:val="52"/>
              <w:jc w:val="center"/>
              <w:rPr>
                <w:i w:val="0"/>
                <w:iCs w:val="0"/>
                <w:color w:val="auto"/>
                <w:sz w:val="21"/>
                <w:szCs w:val="21"/>
                <w:highlight w:val="none"/>
              </w:rPr>
            </w:pPr>
            <w:r>
              <w:rPr>
                <w:rFonts w:hint="eastAsia"/>
                <w:i w:val="0"/>
                <w:iCs w:val="0"/>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4BB5F633">
            <w:pPr>
              <w:pStyle w:val="52"/>
              <w:jc w:val="center"/>
              <w:rPr>
                <w:i w:val="0"/>
                <w:iCs w:val="0"/>
                <w:color w:val="auto"/>
                <w:sz w:val="21"/>
                <w:szCs w:val="21"/>
                <w:highlight w:val="none"/>
              </w:rPr>
            </w:pPr>
            <w:r>
              <w:rPr>
                <w:rFonts w:hint="eastAsia"/>
                <w:i w:val="0"/>
                <w:iCs w:val="0"/>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05539A93">
            <w:pPr>
              <w:pStyle w:val="52"/>
              <w:jc w:val="center"/>
              <w:rPr>
                <w:i w:val="0"/>
                <w:iCs w:val="0"/>
                <w:color w:val="auto"/>
                <w:sz w:val="21"/>
                <w:szCs w:val="21"/>
                <w:highlight w:val="none"/>
              </w:rPr>
            </w:pPr>
            <w:r>
              <w:rPr>
                <w:rFonts w:hint="eastAsia"/>
                <w:i w:val="0"/>
                <w:iCs w:val="0"/>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0DDEEF99">
            <w:pPr>
              <w:pStyle w:val="52"/>
              <w:jc w:val="center"/>
              <w:rPr>
                <w:i w:val="0"/>
                <w:iCs w:val="0"/>
                <w:color w:val="auto"/>
                <w:sz w:val="21"/>
                <w:szCs w:val="21"/>
                <w:highlight w:val="none"/>
              </w:rPr>
            </w:pPr>
            <w:r>
              <w:rPr>
                <w:rFonts w:hint="eastAsia"/>
                <w:i w:val="0"/>
                <w:iCs w:val="0"/>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3F9D9ED4">
            <w:pPr>
              <w:pStyle w:val="52"/>
              <w:jc w:val="center"/>
              <w:rPr>
                <w:i w:val="0"/>
                <w:iCs w:val="0"/>
                <w:color w:val="auto"/>
                <w:sz w:val="21"/>
                <w:szCs w:val="21"/>
                <w:highlight w:val="none"/>
              </w:rPr>
            </w:pPr>
            <w:r>
              <w:rPr>
                <w:rFonts w:hint="eastAsia"/>
                <w:i w:val="0"/>
                <w:iCs w:val="0"/>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46E5422B">
            <w:pPr>
              <w:pStyle w:val="52"/>
              <w:jc w:val="center"/>
              <w:rPr>
                <w:i w:val="0"/>
                <w:iCs w:val="0"/>
                <w:color w:val="auto"/>
                <w:sz w:val="21"/>
                <w:szCs w:val="21"/>
                <w:highlight w:val="none"/>
              </w:rPr>
            </w:pPr>
            <w:r>
              <w:rPr>
                <w:rFonts w:hint="eastAsia"/>
                <w:i w:val="0"/>
                <w:iCs w:val="0"/>
                <w:color w:val="auto"/>
                <w:sz w:val="21"/>
                <w:szCs w:val="21"/>
                <w:highlight w:val="none"/>
              </w:rPr>
              <w:t>单价</w:t>
            </w:r>
          </w:p>
          <w:p w14:paraId="4D8AC9C4">
            <w:pPr>
              <w:pStyle w:val="52"/>
              <w:jc w:val="center"/>
              <w:rPr>
                <w:i w:val="0"/>
                <w:iCs w:val="0"/>
                <w:color w:val="auto"/>
                <w:sz w:val="21"/>
                <w:szCs w:val="21"/>
                <w:highlight w:val="none"/>
              </w:rPr>
            </w:pPr>
            <w:r>
              <w:rPr>
                <w:rFonts w:hint="eastAsia"/>
                <w:i w:val="0"/>
                <w:iCs w:val="0"/>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514FB4B3">
            <w:pPr>
              <w:pStyle w:val="52"/>
              <w:jc w:val="center"/>
              <w:rPr>
                <w:i w:val="0"/>
                <w:iCs w:val="0"/>
                <w:color w:val="auto"/>
                <w:sz w:val="21"/>
                <w:szCs w:val="21"/>
                <w:highlight w:val="none"/>
              </w:rPr>
            </w:pPr>
            <w:r>
              <w:rPr>
                <w:rFonts w:hint="eastAsia"/>
                <w:i w:val="0"/>
                <w:iCs w:val="0"/>
                <w:color w:val="auto"/>
                <w:sz w:val="21"/>
                <w:szCs w:val="21"/>
                <w:highlight w:val="none"/>
              </w:rPr>
              <w:t>总价</w:t>
            </w:r>
          </w:p>
          <w:p w14:paraId="4637FB3E">
            <w:pPr>
              <w:pStyle w:val="52"/>
              <w:jc w:val="center"/>
              <w:rPr>
                <w:i w:val="0"/>
                <w:iCs w:val="0"/>
                <w:color w:val="auto"/>
                <w:sz w:val="21"/>
                <w:szCs w:val="21"/>
                <w:highlight w:val="none"/>
              </w:rPr>
            </w:pPr>
            <w:r>
              <w:rPr>
                <w:rFonts w:hint="eastAsia"/>
                <w:i w:val="0"/>
                <w:iCs w:val="0"/>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3D113D7A">
            <w:pPr>
              <w:pStyle w:val="52"/>
              <w:jc w:val="center"/>
              <w:rPr>
                <w:i w:val="0"/>
                <w:iCs w:val="0"/>
                <w:color w:val="auto"/>
                <w:sz w:val="21"/>
                <w:szCs w:val="21"/>
                <w:highlight w:val="none"/>
              </w:rPr>
            </w:pPr>
            <w:r>
              <w:rPr>
                <w:rFonts w:hint="eastAsia"/>
                <w:i w:val="0"/>
                <w:iCs w:val="0"/>
                <w:color w:val="auto"/>
                <w:sz w:val="21"/>
                <w:szCs w:val="21"/>
                <w:highlight w:val="none"/>
              </w:rPr>
              <w:t>属强制采购或优先采购</w:t>
            </w:r>
          </w:p>
        </w:tc>
      </w:tr>
      <w:tr w14:paraId="18D7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95B8E6D">
            <w:pPr>
              <w:pStyle w:val="52"/>
              <w:numPr>
                <w:ilvl w:val="0"/>
                <w:numId w:val="1"/>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532E04E">
            <w:pPr>
              <w:pStyle w:val="52"/>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3CDFCC5">
            <w:pPr>
              <w:pStyle w:val="52"/>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A4E845A">
            <w:pPr>
              <w:pStyle w:val="52"/>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348699">
            <w:pPr>
              <w:pStyle w:val="52"/>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CEBECC8">
            <w:pPr>
              <w:pStyle w:val="52"/>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782F642">
            <w:pPr>
              <w:pStyle w:val="52"/>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2EADA19A">
            <w:pPr>
              <w:pStyle w:val="52"/>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BC80F3F">
            <w:pPr>
              <w:pStyle w:val="52"/>
              <w:jc w:val="center"/>
              <w:rPr>
                <w:i w:val="0"/>
                <w:iCs w:val="0"/>
                <w:color w:val="auto"/>
                <w:sz w:val="21"/>
                <w:szCs w:val="21"/>
                <w:highlight w:val="none"/>
              </w:rPr>
            </w:pPr>
          </w:p>
        </w:tc>
      </w:tr>
      <w:tr w14:paraId="13A5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09443BF">
            <w:pPr>
              <w:pStyle w:val="52"/>
              <w:numPr>
                <w:ilvl w:val="0"/>
                <w:numId w:val="1"/>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FB1FB35">
            <w:pPr>
              <w:pStyle w:val="52"/>
              <w:jc w:val="center"/>
              <w:rPr>
                <w:i w:val="0"/>
                <w:iCs w:val="0"/>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219D569">
            <w:pPr>
              <w:pStyle w:val="52"/>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9AEC486">
            <w:pPr>
              <w:pStyle w:val="52"/>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1046AFD5">
            <w:pPr>
              <w:pStyle w:val="52"/>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19C65DA">
            <w:pPr>
              <w:pStyle w:val="52"/>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B1B3EB9">
            <w:pPr>
              <w:pStyle w:val="52"/>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894FDF6">
            <w:pPr>
              <w:pStyle w:val="52"/>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C379112">
            <w:pPr>
              <w:pStyle w:val="52"/>
              <w:jc w:val="center"/>
              <w:rPr>
                <w:i w:val="0"/>
                <w:iCs w:val="0"/>
                <w:color w:val="auto"/>
                <w:sz w:val="21"/>
                <w:szCs w:val="21"/>
                <w:highlight w:val="none"/>
              </w:rPr>
            </w:pPr>
          </w:p>
        </w:tc>
      </w:tr>
      <w:tr w14:paraId="1A33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4FA40F">
            <w:pPr>
              <w:pStyle w:val="52"/>
              <w:numPr>
                <w:ilvl w:val="0"/>
                <w:numId w:val="1"/>
              </w:numPr>
              <w:jc w:val="center"/>
              <w:rPr>
                <w:i w:val="0"/>
                <w:iCs w:val="0"/>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87F5988">
            <w:pPr>
              <w:pStyle w:val="52"/>
              <w:jc w:val="center"/>
              <w:rPr>
                <w:i w:val="0"/>
                <w:iCs w:val="0"/>
                <w:color w:val="auto"/>
                <w:sz w:val="21"/>
                <w:szCs w:val="21"/>
                <w:highlight w:val="none"/>
              </w:rPr>
            </w:pPr>
            <w:r>
              <w:rPr>
                <w:i w:val="0"/>
                <w:iCs w:val="0"/>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90E1A28">
            <w:pPr>
              <w:pStyle w:val="52"/>
              <w:jc w:val="center"/>
              <w:rPr>
                <w:i w:val="0"/>
                <w:iCs w:val="0"/>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A0864AE">
            <w:pPr>
              <w:pStyle w:val="52"/>
              <w:jc w:val="center"/>
              <w:rPr>
                <w:i w:val="0"/>
                <w:iCs w:val="0"/>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4C9F1D0">
            <w:pPr>
              <w:pStyle w:val="52"/>
              <w:jc w:val="center"/>
              <w:rPr>
                <w:i w:val="0"/>
                <w:iCs w:val="0"/>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686AC29">
            <w:pPr>
              <w:pStyle w:val="52"/>
              <w:jc w:val="center"/>
              <w:rPr>
                <w:i w:val="0"/>
                <w:iCs w:val="0"/>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343A306">
            <w:pPr>
              <w:pStyle w:val="52"/>
              <w:jc w:val="center"/>
              <w:rPr>
                <w:i w:val="0"/>
                <w:iCs w:val="0"/>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A6317B8">
            <w:pPr>
              <w:pStyle w:val="52"/>
              <w:jc w:val="center"/>
              <w:rPr>
                <w:i w:val="0"/>
                <w:iCs w:val="0"/>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E24D072">
            <w:pPr>
              <w:pStyle w:val="52"/>
              <w:jc w:val="center"/>
              <w:rPr>
                <w:i w:val="0"/>
                <w:iCs w:val="0"/>
                <w:color w:val="auto"/>
                <w:sz w:val="21"/>
                <w:szCs w:val="21"/>
                <w:highlight w:val="none"/>
              </w:rPr>
            </w:pPr>
          </w:p>
        </w:tc>
      </w:tr>
    </w:tbl>
    <w:p w14:paraId="2831E0BE">
      <w:pPr>
        <w:spacing w:line="300" w:lineRule="auto"/>
        <w:rPr>
          <w:rFonts w:ascii="Arial" w:hAnsi="Arial" w:cs="Arial"/>
          <w:i w:val="0"/>
          <w:iCs w:val="0"/>
          <w:color w:val="auto"/>
          <w:szCs w:val="21"/>
          <w:highlight w:val="none"/>
        </w:rPr>
      </w:pPr>
    </w:p>
    <w:p w14:paraId="60D44E3F">
      <w:pPr>
        <w:spacing w:line="30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2</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环保产品</w:t>
      </w:r>
    </w:p>
    <w:tbl>
      <w:tblPr>
        <w:tblStyle w:val="3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1D2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57131EF">
            <w:pPr>
              <w:pStyle w:val="52"/>
              <w:jc w:val="center"/>
              <w:rPr>
                <w:i w:val="0"/>
                <w:iCs w:val="0"/>
                <w:color w:val="auto"/>
                <w:sz w:val="21"/>
                <w:szCs w:val="21"/>
                <w:highlight w:val="none"/>
              </w:rPr>
            </w:pPr>
            <w:r>
              <w:rPr>
                <w:rFonts w:hint="eastAsia"/>
                <w:i w:val="0"/>
                <w:iCs w:val="0"/>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B75546E">
            <w:pPr>
              <w:pStyle w:val="52"/>
              <w:jc w:val="center"/>
              <w:rPr>
                <w:i w:val="0"/>
                <w:iCs w:val="0"/>
                <w:color w:val="auto"/>
                <w:sz w:val="21"/>
                <w:szCs w:val="21"/>
                <w:highlight w:val="none"/>
              </w:rPr>
            </w:pPr>
            <w:r>
              <w:rPr>
                <w:rFonts w:hint="eastAsia"/>
                <w:i w:val="0"/>
                <w:iCs w:val="0"/>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48807FE9">
            <w:pPr>
              <w:pStyle w:val="52"/>
              <w:jc w:val="center"/>
              <w:rPr>
                <w:i w:val="0"/>
                <w:iCs w:val="0"/>
                <w:color w:val="auto"/>
                <w:sz w:val="21"/>
                <w:szCs w:val="21"/>
                <w:highlight w:val="none"/>
              </w:rPr>
            </w:pPr>
            <w:r>
              <w:rPr>
                <w:rFonts w:hint="eastAsia"/>
                <w:i w:val="0"/>
                <w:iCs w:val="0"/>
                <w:color w:val="auto"/>
                <w:sz w:val="21"/>
                <w:szCs w:val="21"/>
                <w:highlight w:val="none"/>
              </w:rPr>
              <w:t>制造商</w:t>
            </w:r>
          </w:p>
          <w:p w14:paraId="6871D586">
            <w:pPr>
              <w:pStyle w:val="52"/>
              <w:jc w:val="center"/>
              <w:rPr>
                <w:i w:val="0"/>
                <w:iCs w:val="0"/>
                <w:color w:val="auto"/>
                <w:sz w:val="21"/>
                <w:szCs w:val="21"/>
                <w:highlight w:val="none"/>
              </w:rPr>
            </w:pPr>
            <w:r>
              <w:rPr>
                <w:rFonts w:hint="eastAsia"/>
                <w:i w:val="0"/>
                <w:iCs w:val="0"/>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63CB73BC">
            <w:pPr>
              <w:pStyle w:val="52"/>
              <w:jc w:val="center"/>
              <w:rPr>
                <w:i w:val="0"/>
                <w:iCs w:val="0"/>
                <w:color w:val="auto"/>
                <w:sz w:val="21"/>
                <w:szCs w:val="21"/>
                <w:highlight w:val="none"/>
              </w:rPr>
            </w:pPr>
            <w:r>
              <w:rPr>
                <w:rFonts w:hint="eastAsia"/>
                <w:i w:val="0"/>
                <w:iCs w:val="0"/>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6FFC544">
            <w:pPr>
              <w:pStyle w:val="52"/>
              <w:jc w:val="center"/>
              <w:rPr>
                <w:i w:val="0"/>
                <w:iCs w:val="0"/>
                <w:color w:val="auto"/>
                <w:sz w:val="21"/>
                <w:szCs w:val="21"/>
                <w:highlight w:val="none"/>
              </w:rPr>
            </w:pPr>
            <w:r>
              <w:rPr>
                <w:rFonts w:hint="eastAsia"/>
                <w:i w:val="0"/>
                <w:iCs w:val="0"/>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067CEFC8">
            <w:pPr>
              <w:pStyle w:val="52"/>
              <w:jc w:val="center"/>
              <w:rPr>
                <w:i w:val="0"/>
                <w:iCs w:val="0"/>
                <w:color w:val="auto"/>
                <w:sz w:val="21"/>
                <w:szCs w:val="21"/>
                <w:highlight w:val="none"/>
              </w:rPr>
            </w:pPr>
            <w:r>
              <w:rPr>
                <w:rFonts w:hint="eastAsia"/>
                <w:i w:val="0"/>
                <w:iCs w:val="0"/>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37A87868">
            <w:pPr>
              <w:pStyle w:val="52"/>
              <w:jc w:val="center"/>
              <w:rPr>
                <w:i w:val="0"/>
                <w:iCs w:val="0"/>
                <w:color w:val="auto"/>
                <w:sz w:val="21"/>
                <w:szCs w:val="21"/>
                <w:highlight w:val="none"/>
              </w:rPr>
            </w:pPr>
            <w:r>
              <w:rPr>
                <w:rFonts w:hint="eastAsia"/>
                <w:i w:val="0"/>
                <w:iCs w:val="0"/>
                <w:color w:val="auto"/>
                <w:sz w:val="21"/>
                <w:szCs w:val="21"/>
                <w:highlight w:val="none"/>
              </w:rPr>
              <w:t>单价</w:t>
            </w:r>
          </w:p>
          <w:p w14:paraId="09FBCB92">
            <w:pPr>
              <w:pStyle w:val="52"/>
              <w:jc w:val="center"/>
              <w:rPr>
                <w:i w:val="0"/>
                <w:iCs w:val="0"/>
                <w:color w:val="auto"/>
                <w:sz w:val="21"/>
                <w:szCs w:val="21"/>
                <w:highlight w:val="none"/>
              </w:rPr>
            </w:pPr>
            <w:r>
              <w:rPr>
                <w:rFonts w:hint="eastAsia"/>
                <w:i w:val="0"/>
                <w:iCs w:val="0"/>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0A825EE6">
            <w:pPr>
              <w:pStyle w:val="52"/>
              <w:jc w:val="center"/>
              <w:rPr>
                <w:i w:val="0"/>
                <w:iCs w:val="0"/>
                <w:color w:val="auto"/>
                <w:sz w:val="21"/>
                <w:szCs w:val="21"/>
                <w:highlight w:val="none"/>
              </w:rPr>
            </w:pPr>
            <w:r>
              <w:rPr>
                <w:rFonts w:hint="eastAsia"/>
                <w:i w:val="0"/>
                <w:iCs w:val="0"/>
                <w:color w:val="auto"/>
                <w:sz w:val="21"/>
                <w:szCs w:val="21"/>
                <w:highlight w:val="none"/>
              </w:rPr>
              <w:t>总价</w:t>
            </w:r>
          </w:p>
          <w:p w14:paraId="33CDE01B">
            <w:pPr>
              <w:pStyle w:val="52"/>
              <w:jc w:val="center"/>
              <w:rPr>
                <w:i w:val="0"/>
                <w:iCs w:val="0"/>
                <w:color w:val="auto"/>
                <w:sz w:val="21"/>
                <w:szCs w:val="21"/>
                <w:highlight w:val="none"/>
              </w:rPr>
            </w:pPr>
            <w:r>
              <w:rPr>
                <w:rFonts w:hint="eastAsia"/>
                <w:i w:val="0"/>
                <w:iCs w:val="0"/>
                <w:color w:val="auto"/>
                <w:sz w:val="21"/>
                <w:szCs w:val="21"/>
                <w:highlight w:val="none"/>
              </w:rPr>
              <w:t>（万元）</w:t>
            </w:r>
          </w:p>
        </w:tc>
      </w:tr>
      <w:tr w14:paraId="7304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6FF683B">
            <w:pPr>
              <w:pStyle w:val="52"/>
              <w:numPr>
                <w:ilvl w:val="0"/>
                <w:numId w:val="2"/>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2A116FE">
            <w:pPr>
              <w:pStyle w:val="52"/>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37EAFD8">
            <w:pPr>
              <w:pStyle w:val="52"/>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148B80C">
            <w:pPr>
              <w:pStyle w:val="52"/>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6C9D21">
            <w:pPr>
              <w:pStyle w:val="52"/>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6E01E2C">
            <w:pPr>
              <w:pStyle w:val="52"/>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EBB7355">
            <w:pPr>
              <w:pStyle w:val="52"/>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00014CA">
            <w:pPr>
              <w:pStyle w:val="52"/>
              <w:jc w:val="center"/>
              <w:rPr>
                <w:i w:val="0"/>
                <w:iCs w:val="0"/>
                <w:color w:val="auto"/>
                <w:sz w:val="21"/>
                <w:szCs w:val="21"/>
                <w:highlight w:val="none"/>
              </w:rPr>
            </w:pPr>
          </w:p>
        </w:tc>
      </w:tr>
      <w:tr w14:paraId="7D1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3AE9564A">
            <w:pPr>
              <w:pStyle w:val="52"/>
              <w:numPr>
                <w:ilvl w:val="0"/>
                <w:numId w:val="2"/>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2EB56">
            <w:pPr>
              <w:pStyle w:val="52"/>
              <w:jc w:val="center"/>
              <w:rPr>
                <w:i w:val="0"/>
                <w:iCs w:val="0"/>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8C31A9">
            <w:pPr>
              <w:pStyle w:val="52"/>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90A4A93">
            <w:pPr>
              <w:pStyle w:val="52"/>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6DA7E15">
            <w:pPr>
              <w:pStyle w:val="52"/>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37ECDB">
            <w:pPr>
              <w:pStyle w:val="52"/>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3BD0E45">
            <w:pPr>
              <w:pStyle w:val="52"/>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5D0710D8">
            <w:pPr>
              <w:pStyle w:val="52"/>
              <w:jc w:val="center"/>
              <w:rPr>
                <w:i w:val="0"/>
                <w:iCs w:val="0"/>
                <w:color w:val="auto"/>
                <w:sz w:val="21"/>
                <w:szCs w:val="21"/>
                <w:highlight w:val="none"/>
              </w:rPr>
            </w:pPr>
          </w:p>
        </w:tc>
      </w:tr>
      <w:tr w14:paraId="7AC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31B4FC">
            <w:pPr>
              <w:pStyle w:val="52"/>
              <w:numPr>
                <w:ilvl w:val="0"/>
                <w:numId w:val="2"/>
              </w:numPr>
              <w:jc w:val="center"/>
              <w:rPr>
                <w:i w:val="0"/>
                <w:iCs w:val="0"/>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83E45D">
            <w:pPr>
              <w:pStyle w:val="52"/>
              <w:jc w:val="center"/>
              <w:rPr>
                <w:i w:val="0"/>
                <w:iCs w:val="0"/>
                <w:color w:val="auto"/>
                <w:sz w:val="21"/>
                <w:szCs w:val="21"/>
                <w:highlight w:val="none"/>
              </w:rPr>
            </w:pPr>
            <w:r>
              <w:rPr>
                <w:i w:val="0"/>
                <w:iCs w:val="0"/>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13CA41C">
            <w:pPr>
              <w:pStyle w:val="52"/>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553DA88">
            <w:pPr>
              <w:pStyle w:val="52"/>
              <w:jc w:val="center"/>
              <w:rPr>
                <w:i w:val="0"/>
                <w:iCs w:val="0"/>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DE0615D">
            <w:pPr>
              <w:pStyle w:val="52"/>
              <w:jc w:val="center"/>
              <w:rPr>
                <w:i w:val="0"/>
                <w:iCs w:val="0"/>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874A069">
            <w:pPr>
              <w:pStyle w:val="52"/>
              <w:jc w:val="center"/>
              <w:rPr>
                <w:i w:val="0"/>
                <w:iCs w:val="0"/>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5BE9E4">
            <w:pPr>
              <w:pStyle w:val="52"/>
              <w:jc w:val="center"/>
              <w:rPr>
                <w:i w:val="0"/>
                <w:iCs w:val="0"/>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2910C53">
            <w:pPr>
              <w:pStyle w:val="52"/>
              <w:jc w:val="center"/>
              <w:rPr>
                <w:i w:val="0"/>
                <w:iCs w:val="0"/>
                <w:color w:val="auto"/>
                <w:sz w:val="21"/>
                <w:szCs w:val="21"/>
                <w:highlight w:val="none"/>
              </w:rPr>
            </w:pPr>
          </w:p>
        </w:tc>
      </w:tr>
    </w:tbl>
    <w:p w14:paraId="141E07B3">
      <w:pPr>
        <w:spacing w:line="300" w:lineRule="auto"/>
        <w:rPr>
          <w:rFonts w:ascii="Arial" w:hAnsi="Arial" w:cs="Arial"/>
          <w:i w:val="0"/>
          <w:iCs w:val="0"/>
          <w:color w:val="auto"/>
          <w:szCs w:val="21"/>
          <w:highlight w:val="none"/>
        </w:rPr>
      </w:pPr>
    </w:p>
    <w:p w14:paraId="606E5A08">
      <w:pPr>
        <w:rPr>
          <w:rFonts w:ascii="Arial" w:hAnsi="Arial" w:cs="Arial"/>
          <w:b/>
          <w:i w:val="0"/>
          <w:iCs w:val="0"/>
          <w:color w:val="auto"/>
          <w:szCs w:val="21"/>
          <w:highlight w:val="none"/>
        </w:rPr>
      </w:pPr>
      <w:r>
        <w:rPr>
          <w:rFonts w:hint="eastAsia" w:ascii="Arial" w:hAnsi="Arial" w:cs="Arial"/>
          <w:b/>
          <w:i w:val="0"/>
          <w:iCs w:val="0"/>
          <w:color w:val="auto"/>
          <w:sz w:val="21"/>
          <w:szCs w:val="21"/>
          <w:highlight w:val="none"/>
        </w:rPr>
        <w:t>特别说明：</w:t>
      </w:r>
      <w:r>
        <w:rPr>
          <w:rFonts w:hint="eastAsia" w:ascii="Arial" w:hAnsi="Arial" w:cs="Arial"/>
          <w:b/>
          <w:i w:val="0"/>
          <w:iCs w:val="0"/>
          <w:color w:val="auto"/>
          <w:sz w:val="21"/>
          <w:szCs w:val="21"/>
          <w:highlight w:val="none"/>
          <w:lang w:val="en-US" w:eastAsia="zh-CN"/>
        </w:rPr>
        <w:t>供应商</w:t>
      </w:r>
      <w:r>
        <w:rPr>
          <w:rFonts w:hint="eastAsia" w:ascii="Arial" w:hAnsi="Arial" w:cs="Arial"/>
          <w:b/>
          <w:i w:val="0"/>
          <w:iCs w:val="0"/>
          <w:color w:val="auto"/>
          <w:sz w:val="21"/>
          <w:szCs w:val="21"/>
          <w:highlight w:val="none"/>
        </w:rPr>
        <w:t>应将所投产品中节能、环保产品分别列入上表中，并按本</w:t>
      </w:r>
      <w:r>
        <w:rPr>
          <w:rFonts w:hint="eastAsia" w:ascii="Arial" w:hAnsi="Arial" w:cs="Arial"/>
          <w:b/>
          <w:i w:val="0"/>
          <w:iCs w:val="0"/>
          <w:color w:val="auto"/>
          <w:sz w:val="21"/>
          <w:szCs w:val="21"/>
          <w:highlight w:val="none"/>
          <w:lang w:val="en-US" w:eastAsia="zh-CN"/>
        </w:rPr>
        <w:t>竞争性磋商</w:t>
      </w:r>
      <w:r>
        <w:rPr>
          <w:rFonts w:hint="eastAsia" w:ascii="Arial" w:hAnsi="Arial" w:cs="Arial"/>
          <w:b/>
          <w:i w:val="0"/>
          <w:iCs w:val="0"/>
          <w:color w:val="auto"/>
          <w:sz w:val="21"/>
          <w:szCs w:val="21"/>
          <w:highlight w:val="none"/>
        </w:rPr>
        <w:t>文件</w:t>
      </w:r>
      <w:r>
        <w:rPr>
          <w:rFonts w:hint="eastAsia" w:ascii="Arial" w:hAnsi="Arial" w:eastAsia="宋体" w:cs="Arial"/>
          <w:b/>
          <w:i w:val="0"/>
          <w:iCs w:val="0"/>
          <w:color w:val="auto"/>
          <w:sz w:val="21"/>
          <w:szCs w:val="21"/>
          <w:highlight w:val="none"/>
          <w:lang w:val="en-US" w:eastAsia="zh-CN"/>
        </w:rPr>
        <w:t>“</w:t>
      </w:r>
      <w:r>
        <w:rPr>
          <w:rFonts w:hint="eastAsia" w:ascii="Arial" w:hAnsi="Arial" w:eastAsia="宋体" w:cs="Arial"/>
          <w:b/>
          <w:i w:val="0"/>
          <w:iCs w:val="0"/>
          <w:color w:val="auto"/>
          <w:sz w:val="21"/>
          <w:szCs w:val="21"/>
          <w:highlight w:val="none"/>
        </w:rPr>
        <w:t>第二章</w:t>
      </w:r>
      <w:r>
        <w:rPr>
          <w:rFonts w:hint="eastAsia" w:ascii="Arial" w:hAnsi="Arial" w:eastAsia="宋体" w:cs="Arial"/>
          <w:b/>
          <w:i w:val="0"/>
          <w:iCs w:val="0"/>
          <w:color w:val="auto"/>
          <w:sz w:val="21"/>
          <w:szCs w:val="21"/>
          <w:highlight w:val="none"/>
          <w:lang w:val="en-US" w:eastAsia="zh-CN"/>
        </w:rPr>
        <w:t>供应商须知”</w:t>
      </w:r>
      <w:r>
        <w:rPr>
          <w:rFonts w:hint="eastAsia" w:ascii="Arial" w:hAnsi="Arial" w:eastAsia="宋体" w:cs="Arial"/>
          <w:b/>
          <w:i w:val="0"/>
          <w:iCs w:val="0"/>
          <w:color w:val="auto"/>
          <w:sz w:val="21"/>
          <w:szCs w:val="21"/>
          <w:highlight w:val="none"/>
        </w:rPr>
        <w:t>提</w:t>
      </w:r>
      <w:r>
        <w:rPr>
          <w:rFonts w:hint="eastAsia" w:ascii="Arial" w:hAnsi="Arial" w:cs="Arial"/>
          <w:b/>
          <w:i w:val="0"/>
          <w:iCs w:val="0"/>
          <w:color w:val="auto"/>
          <w:sz w:val="21"/>
          <w:szCs w:val="21"/>
          <w:highlight w:val="none"/>
        </w:rPr>
        <w:t>供相关证明材料，未填写本表或未提供有效认证证书</w:t>
      </w:r>
      <w:r>
        <w:rPr>
          <w:rFonts w:ascii="Arial" w:hAnsi="Arial" w:cs="Arial"/>
          <w:b/>
          <w:i w:val="0"/>
          <w:iCs w:val="0"/>
          <w:color w:val="auto"/>
          <w:sz w:val="21"/>
          <w:szCs w:val="21"/>
          <w:highlight w:val="none"/>
        </w:rPr>
        <w:t>的</w:t>
      </w:r>
      <w:r>
        <w:rPr>
          <w:rFonts w:hint="eastAsia" w:ascii="Arial" w:hAnsi="Arial" w:cs="Arial"/>
          <w:b/>
          <w:i w:val="0"/>
          <w:iCs w:val="0"/>
          <w:color w:val="auto"/>
          <w:sz w:val="21"/>
          <w:szCs w:val="21"/>
          <w:highlight w:val="none"/>
        </w:rPr>
        <w:t>不给予</w:t>
      </w:r>
      <w:r>
        <w:rPr>
          <w:rFonts w:ascii="Arial" w:hAnsi="Arial" w:cs="Arial"/>
          <w:b/>
          <w:i w:val="0"/>
          <w:iCs w:val="0"/>
          <w:color w:val="auto"/>
          <w:sz w:val="21"/>
          <w:szCs w:val="21"/>
          <w:highlight w:val="none"/>
        </w:rPr>
        <w:t>价格扣除</w:t>
      </w:r>
      <w:r>
        <w:rPr>
          <w:rFonts w:hint="eastAsia" w:ascii="Arial" w:hAnsi="Arial" w:cs="Arial"/>
          <w:b/>
          <w:i w:val="0"/>
          <w:iCs w:val="0"/>
          <w:color w:val="auto"/>
          <w:sz w:val="21"/>
          <w:szCs w:val="21"/>
          <w:highlight w:val="none"/>
        </w:rPr>
        <w:t>。</w:t>
      </w:r>
    </w:p>
    <w:p w14:paraId="675C9164">
      <w:pPr>
        <w:spacing w:line="300" w:lineRule="auto"/>
        <w:rPr>
          <w:rFonts w:ascii="Arial" w:hAnsi="Arial" w:cs="Arial"/>
          <w:i w:val="0"/>
          <w:iCs w:val="0"/>
          <w:color w:val="auto"/>
          <w:szCs w:val="21"/>
          <w:highlight w:val="none"/>
        </w:rPr>
      </w:pPr>
    </w:p>
    <w:p w14:paraId="0FCB6BF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247AFE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70617D68">
      <w:pPr>
        <w:rPr>
          <w:rFonts w:ascii="Arial" w:hAnsi="Arial" w:cs="Arial"/>
          <w:i w:val="0"/>
          <w:iCs w:val="0"/>
          <w:color w:val="auto"/>
          <w:szCs w:val="21"/>
          <w:highlight w:val="none"/>
        </w:rPr>
      </w:pPr>
      <w:r>
        <w:rPr>
          <w:rFonts w:ascii="Arial" w:hAnsi="Arial" w:cs="Arial"/>
          <w:i w:val="0"/>
          <w:iCs w:val="0"/>
          <w:color w:val="auto"/>
          <w:szCs w:val="21"/>
          <w:highlight w:val="none"/>
        </w:rPr>
        <w:br w:type="page"/>
      </w:r>
    </w:p>
    <w:p w14:paraId="711C0C58">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92" w:name="_Toc27847"/>
      <w:bookmarkStart w:id="693" w:name="_Toc163492939"/>
      <w:r>
        <w:rPr>
          <w:rFonts w:hint="eastAsia" w:ascii="宋体" w:hAnsi="宋体" w:eastAsia="宋体" w:cstheme="minorBidi"/>
          <w:b/>
          <w:bCs/>
          <w:i w:val="0"/>
          <w:iCs w:val="0"/>
          <w:color w:val="auto"/>
          <w:kern w:val="2"/>
          <w:sz w:val="24"/>
          <w:szCs w:val="24"/>
          <w:highlight w:val="none"/>
          <w:lang w:val="en-US" w:eastAsia="zh-CN" w:bidi="ar-SA"/>
        </w:rPr>
        <w:t>（二）中小企业声明函</w:t>
      </w:r>
      <w:r>
        <w:rPr>
          <w:rFonts w:hint="eastAsia" w:ascii="宋体" w:hAnsi="宋体" w:eastAsia="宋体" w:cstheme="minorBidi"/>
          <w:b w:val="0"/>
          <w:bCs w:val="0"/>
          <w:i w:val="0"/>
          <w:i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i w:val="0"/>
          <w:iCs w:val="0"/>
          <w:color w:val="auto"/>
          <w:kern w:val="2"/>
          <w:sz w:val="24"/>
          <w:szCs w:val="24"/>
          <w:highlight w:val="none"/>
          <w:lang w:val="en-US" w:eastAsia="zh-CN" w:bidi="ar-SA"/>
        </w:rPr>
        <w:t>】</w:t>
      </w:r>
      <w:bookmarkEnd w:id="692"/>
      <w:bookmarkEnd w:id="693"/>
    </w:p>
    <w:p w14:paraId="17DF8322">
      <w:pPr>
        <w:pStyle w:val="45"/>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i w:val="0"/>
          <w:iCs w:val="0"/>
          <w:color w:val="auto"/>
          <w:sz w:val="32"/>
          <w:szCs w:val="32"/>
          <w:highlight w:val="none"/>
        </w:rPr>
      </w:pPr>
    </w:p>
    <w:p w14:paraId="3E31A8EB">
      <w:pPr>
        <w:pStyle w:val="45"/>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中小企业声明函</w:t>
      </w:r>
    </w:p>
    <w:p w14:paraId="78BC1CF1">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本公司（联合体）郑重声明，根据《政府采购促进中小企业发展管理办法》（财库﹝2020﹞46 号）的规定，本公司（联合体）参加</w:t>
      </w:r>
      <w:r>
        <w:rPr>
          <w:rFonts w:hint="eastAsia" w:cs="宋体"/>
          <w:i w:val="0"/>
          <w:iCs w:val="0"/>
          <w:color w:val="auto"/>
          <w:spacing w:val="6"/>
          <w:szCs w:val="24"/>
          <w:highlight w:val="none"/>
          <w:u w:val="single"/>
        </w:rPr>
        <w:t xml:space="preserve"> （单位名称）</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u w:val="single"/>
        </w:rPr>
        <w:t xml:space="preserve"> </w:t>
      </w:r>
      <w:r>
        <w:rPr>
          <w:rFonts w:hint="eastAsia" w:cs="宋体"/>
          <w:i w:val="0"/>
          <w:iCs w:val="0"/>
          <w:color w:val="auto"/>
          <w:spacing w:val="6"/>
          <w:szCs w:val="24"/>
          <w:highlight w:val="none"/>
        </w:rPr>
        <w:t xml:space="preserve">的 </w:t>
      </w:r>
      <w:r>
        <w:rPr>
          <w:rFonts w:hint="eastAsia" w:cs="宋体"/>
          <w:i w:val="0"/>
          <w:iCs w:val="0"/>
          <w:color w:val="auto"/>
          <w:spacing w:val="6"/>
          <w:szCs w:val="24"/>
          <w:highlight w:val="none"/>
          <w:u w:val="single"/>
        </w:rPr>
        <w:t xml:space="preserve">（项目名称） </w:t>
      </w:r>
      <w:r>
        <w:rPr>
          <w:rFonts w:hint="eastAsia" w:cs="宋体"/>
          <w:i w:val="0"/>
          <w:iCs w:val="0"/>
          <w:color w:val="auto"/>
          <w:spacing w:val="6"/>
          <w:szCs w:val="24"/>
          <w:highlight w:val="none"/>
        </w:rPr>
        <w:t>采购活动，服务全部由符合政策要求的中小企业承接。相关企业（含联合体中的中小企业、签订分包意向协议</w:t>
      </w:r>
      <w:r>
        <w:rPr>
          <w:rFonts w:hint="eastAsia" w:cs="宋体"/>
          <w:i w:val="0"/>
          <w:iCs w:val="0"/>
          <w:color w:val="auto"/>
          <w:spacing w:val="6"/>
          <w:szCs w:val="24"/>
          <w:highlight w:val="none"/>
          <w:lang w:val="en-US" w:eastAsia="zh-CN"/>
        </w:rPr>
        <w:t>书</w:t>
      </w:r>
      <w:r>
        <w:rPr>
          <w:rFonts w:hint="eastAsia" w:cs="宋体"/>
          <w:i w:val="0"/>
          <w:iCs w:val="0"/>
          <w:color w:val="auto"/>
          <w:spacing w:val="6"/>
          <w:szCs w:val="24"/>
          <w:highlight w:val="none"/>
        </w:rPr>
        <w:t>的中小企业）的具体情况如下：</w:t>
      </w:r>
    </w:p>
    <w:p w14:paraId="5FCC96F1">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1.</w:t>
      </w:r>
      <w:r>
        <w:rPr>
          <w:rFonts w:hint="eastAsia" w:cs="宋体"/>
          <w:i w:val="0"/>
          <w:iCs w:val="0"/>
          <w:color w:val="auto"/>
          <w:spacing w:val="6"/>
          <w:szCs w:val="24"/>
          <w:highlight w:val="none"/>
          <w:u w:val="single"/>
        </w:rPr>
        <w:t xml:space="preserve"> （标的名称） </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 xml:space="preserve"> （采购文件中明确的所属行业）</w:t>
      </w:r>
      <w:r>
        <w:rPr>
          <w:rFonts w:hint="eastAsia" w:cs="宋体"/>
          <w:i w:val="0"/>
          <w:iCs w:val="0"/>
          <w:color w:val="auto"/>
          <w:spacing w:val="6"/>
          <w:szCs w:val="24"/>
          <w:highlight w:val="none"/>
        </w:rPr>
        <w:t>行业 ；承接企业为</w:t>
      </w:r>
      <w:r>
        <w:rPr>
          <w:rFonts w:hint="eastAsia" w:cs="宋体"/>
          <w:i w:val="0"/>
          <w:iCs w:val="0"/>
          <w:color w:val="auto"/>
          <w:spacing w:val="6"/>
          <w:szCs w:val="24"/>
          <w:highlight w:val="none"/>
          <w:u w:val="single"/>
        </w:rPr>
        <w:t xml:space="preserve"> （企业名称） </w:t>
      </w:r>
      <w:r>
        <w:rPr>
          <w:rFonts w:hint="eastAsia" w:cs="宋体"/>
          <w:i w:val="0"/>
          <w:iCs w:val="0"/>
          <w:color w:val="auto"/>
          <w:spacing w:val="6"/>
          <w:szCs w:val="24"/>
          <w:highlight w:val="none"/>
        </w:rPr>
        <w:t>，从业人员</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人，营业收入为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万元，资产总额为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万元，属于</w:t>
      </w:r>
      <w:r>
        <w:rPr>
          <w:rFonts w:hint="eastAsia" w:cs="宋体"/>
          <w:i w:val="0"/>
          <w:iCs w:val="0"/>
          <w:color w:val="auto"/>
          <w:spacing w:val="6"/>
          <w:szCs w:val="24"/>
          <w:highlight w:val="none"/>
          <w:u w:val="single"/>
        </w:rPr>
        <w:t xml:space="preserve"> （中型企业、小型企业、微型企业）</w:t>
      </w:r>
      <w:r>
        <w:rPr>
          <w:rFonts w:hint="eastAsia" w:cs="宋体"/>
          <w:i w:val="0"/>
          <w:iCs w:val="0"/>
          <w:color w:val="auto"/>
          <w:spacing w:val="6"/>
          <w:szCs w:val="24"/>
          <w:highlight w:val="none"/>
        </w:rPr>
        <w:t>；</w:t>
      </w:r>
    </w:p>
    <w:p w14:paraId="1D01E102">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2.</w:t>
      </w:r>
      <w:r>
        <w:rPr>
          <w:rFonts w:hint="eastAsia" w:cs="宋体"/>
          <w:i w:val="0"/>
          <w:iCs w:val="0"/>
          <w:color w:val="auto"/>
          <w:spacing w:val="6"/>
          <w:szCs w:val="24"/>
          <w:highlight w:val="none"/>
          <w:u w:val="single"/>
        </w:rPr>
        <w:t xml:space="preserve"> （标的名称） </w:t>
      </w:r>
      <w:r>
        <w:rPr>
          <w:rFonts w:hint="eastAsia" w:cs="宋体"/>
          <w:i w:val="0"/>
          <w:iCs w:val="0"/>
          <w:color w:val="auto"/>
          <w:spacing w:val="6"/>
          <w:szCs w:val="24"/>
          <w:highlight w:val="none"/>
        </w:rPr>
        <w:t>，属于</w:t>
      </w:r>
      <w:r>
        <w:rPr>
          <w:rFonts w:hint="eastAsia" w:cs="宋体"/>
          <w:i w:val="0"/>
          <w:iCs w:val="0"/>
          <w:color w:val="auto"/>
          <w:spacing w:val="6"/>
          <w:szCs w:val="24"/>
          <w:highlight w:val="none"/>
          <w:u w:val="single"/>
        </w:rPr>
        <w:t xml:space="preserve"> （采购文件中明确的所属行业）</w:t>
      </w:r>
      <w:r>
        <w:rPr>
          <w:rFonts w:hint="eastAsia" w:cs="宋体"/>
          <w:i w:val="0"/>
          <w:iCs w:val="0"/>
          <w:color w:val="auto"/>
          <w:spacing w:val="6"/>
          <w:szCs w:val="24"/>
          <w:highlight w:val="none"/>
        </w:rPr>
        <w:t>行业 ；承接企业为</w:t>
      </w:r>
      <w:r>
        <w:rPr>
          <w:rFonts w:hint="eastAsia" w:cs="宋体"/>
          <w:i w:val="0"/>
          <w:iCs w:val="0"/>
          <w:color w:val="auto"/>
          <w:spacing w:val="6"/>
          <w:szCs w:val="24"/>
          <w:highlight w:val="none"/>
          <w:u w:val="single"/>
        </w:rPr>
        <w:t xml:space="preserve"> （企业名称） </w:t>
      </w:r>
      <w:r>
        <w:rPr>
          <w:rFonts w:hint="eastAsia" w:cs="宋体"/>
          <w:i w:val="0"/>
          <w:iCs w:val="0"/>
          <w:color w:val="auto"/>
          <w:spacing w:val="6"/>
          <w:szCs w:val="24"/>
          <w:highlight w:val="none"/>
        </w:rPr>
        <w:t>，从业人员</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人，营业收入为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万元，资产总额为</w:t>
      </w:r>
      <w:r>
        <w:rPr>
          <w:rFonts w:hint="eastAsia" w:cs="宋体"/>
          <w:i w:val="0"/>
          <w:iCs w:val="0"/>
          <w:color w:val="auto"/>
          <w:spacing w:val="6"/>
          <w:szCs w:val="24"/>
          <w:highlight w:val="none"/>
          <w:u w:val="single"/>
          <w:lang w:val="en-US" w:eastAsia="zh-CN"/>
        </w:rPr>
        <w:t xml:space="preserve">     </w:t>
      </w:r>
      <w:r>
        <w:rPr>
          <w:rFonts w:hint="eastAsia" w:cs="宋体"/>
          <w:i w:val="0"/>
          <w:iCs w:val="0"/>
          <w:color w:val="auto"/>
          <w:spacing w:val="6"/>
          <w:szCs w:val="24"/>
          <w:highlight w:val="none"/>
        </w:rPr>
        <w:t>万元，属于</w:t>
      </w:r>
      <w:r>
        <w:rPr>
          <w:rFonts w:hint="eastAsia" w:cs="宋体"/>
          <w:i w:val="0"/>
          <w:iCs w:val="0"/>
          <w:color w:val="auto"/>
          <w:spacing w:val="6"/>
          <w:szCs w:val="24"/>
          <w:highlight w:val="none"/>
          <w:u w:val="single"/>
        </w:rPr>
        <w:t xml:space="preserve"> （中型企业、小型企业、微型企业）</w:t>
      </w:r>
      <w:r>
        <w:rPr>
          <w:rFonts w:hint="eastAsia" w:cs="宋体"/>
          <w:i w:val="0"/>
          <w:iCs w:val="0"/>
          <w:color w:val="auto"/>
          <w:spacing w:val="6"/>
          <w:szCs w:val="24"/>
          <w:highlight w:val="none"/>
        </w:rPr>
        <w:t>；</w:t>
      </w:r>
    </w:p>
    <w:p w14:paraId="7CB1DD8C">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w:t>
      </w:r>
    </w:p>
    <w:p w14:paraId="776FE44A">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i w:val="0"/>
          <w:iCs w:val="0"/>
          <w:color w:val="auto"/>
          <w:spacing w:val="6"/>
          <w:szCs w:val="24"/>
          <w:highlight w:val="none"/>
        </w:rPr>
      </w:pPr>
      <w:r>
        <w:rPr>
          <w:rFonts w:hint="eastAsia" w:cs="宋体"/>
          <w:i w:val="0"/>
          <w:iCs w:val="0"/>
          <w:color w:val="auto"/>
          <w:spacing w:val="6"/>
          <w:szCs w:val="24"/>
          <w:highlight w:val="none"/>
        </w:rPr>
        <w:t>本企业对上述声明内容的真实性负责。如有虚假，将依法承担相应责任。</w:t>
      </w:r>
    </w:p>
    <w:p w14:paraId="5A6D844B">
      <w:pPr>
        <w:ind w:right="1008" w:firstLine="4788" w:firstLineChars="1900"/>
        <w:rPr>
          <w:rFonts w:cs="宋体"/>
          <w:i w:val="0"/>
          <w:iCs w:val="0"/>
          <w:color w:val="auto"/>
          <w:spacing w:val="6"/>
          <w:szCs w:val="24"/>
          <w:highlight w:val="none"/>
        </w:rPr>
      </w:pPr>
    </w:p>
    <w:p w14:paraId="165AEE2D">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183E380">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7BA8C73B">
      <w:pPr>
        <w:ind w:firstLine="504" w:firstLineChars="200"/>
        <w:rPr>
          <w:rFonts w:cs="宋体"/>
          <w:i w:val="0"/>
          <w:iCs w:val="0"/>
          <w:color w:val="auto"/>
          <w:spacing w:val="6"/>
          <w:szCs w:val="24"/>
          <w:highlight w:val="none"/>
        </w:rPr>
      </w:pPr>
    </w:p>
    <w:p w14:paraId="748B4DD4">
      <w:pPr>
        <w:spacing w:line="360" w:lineRule="auto"/>
        <w:rPr>
          <w:rFonts w:hint="default" w:cs="宋体"/>
          <w:b/>
          <w:bCs/>
          <w:i w:val="0"/>
          <w:iCs w:val="0"/>
          <w:color w:val="auto"/>
          <w:spacing w:val="6"/>
          <w:sz w:val="21"/>
          <w:szCs w:val="21"/>
          <w:highlight w:val="none"/>
          <w:lang w:val="en-US" w:eastAsia="zh-CN"/>
        </w:rPr>
      </w:pPr>
      <w:r>
        <w:rPr>
          <w:rFonts w:hint="eastAsia" w:cs="宋体"/>
          <w:b/>
          <w:bCs/>
          <w:i w:val="0"/>
          <w:iCs w:val="0"/>
          <w:color w:val="auto"/>
          <w:spacing w:val="6"/>
          <w:sz w:val="21"/>
          <w:szCs w:val="21"/>
          <w:highlight w:val="none"/>
        </w:rPr>
        <w:t>说明：</w:t>
      </w:r>
      <w:r>
        <w:rPr>
          <w:rFonts w:hint="eastAsia" w:cs="宋体"/>
          <w:b/>
          <w:bCs/>
          <w:i w:val="0"/>
          <w:iCs w:val="0"/>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30478923">
      <w:pPr>
        <w:spacing w:line="360" w:lineRule="auto"/>
        <w:ind w:firstLine="446" w:firstLineChars="200"/>
        <w:rPr>
          <w:rFonts w:hint="eastAsia" w:cs="宋体"/>
          <w:i w:val="0"/>
          <w:iCs w:val="0"/>
          <w:color w:val="auto"/>
          <w:spacing w:val="6"/>
          <w:sz w:val="24"/>
          <w:szCs w:val="24"/>
          <w:highlight w:val="none"/>
        </w:rPr>
      </w:pPr>
      <w:r>
        <w:rPr>
          <w:rFonts w:hint="eastAsia" w:cs="宋体"/>
          <w:b/>
          <w:bCs/>
          <w:i w:val="0"/>
          <w:iCs w:val="0"/>
          <w:color w:val="auto"/>
          <w:spacing w:val="6"/>
          <w:sz w:val="21"/>
          <w:szCs w:val="21"/>
          <w:highlight w:val="none"/>
          <w:lang w:val="en-US" w:eastAsia="zh-CN"/>
        </w:rPr>
        <w:t>2.</w:t>
      </w:r>
      <w:r>
        <w:rPr>
          <w:rFonts w:hint="eastAsia" w:cs="宋体"/>
          <w:i w:val="0"/>
          <w:iCs w:val="0"/>
          <w:color w:val="auto"/>
          <w:spacing w:val="6"/>
          <w:sz w:val="21"/>
          <w:szCs w:val="21"/>
          <w:highlight w:val="none"/>
        </w:rPr>
        <w:t>从业人员、营业收入、资产总额填报上一年度数据，无上一年度数据的新成立企业可不填报。</w:t>
      </w:r>
    </w:p>
    <w:p w14:paraId="645259F9">
      <w:pPr>
        <w:rPr>
          <w:rFonts w:cs="宋体"/>
          <w:i w:val="0"/>
          <w:iCs w:val="0"/>
          <w:color w:val="auto"/>
          <w:spacing w:val="6"/>
          <w:sz w:val="21"/>
          <w:szCs w:val="21"/>
          <w:highlight w:val="none"/>
        </w:rPr>
      </w:pPr>
    </w:p>
    <w:p w14:paraId="38D889F8">
      <w:pPr>
        <w:rPr>
          <w:rFonts w:cs="宋体"/>
          <w:i w:val="0"/>
          <w:iCs w:val="0"/>
          <w:color w:val="auto"/>
          <w:spacing w:val="6"/>
          <w:sz w:val="21"/>
          <w:szCs w:val="21"/>
          <w:highlight w:val="none"/>
        </w:rPr>
      </w:pPr>
    </w:p>
    <w:p w14:paraId="501C8029">
      <w:pPr>
        <w:rPr>
          <w:rFonts w:cs="宋体"/>
          <w:i w:val="0"/>
          <w:iCs w:val="0"/>
          <w:color w:val="auto"/>
          <w:spacing w:val="6"/>
          <w:sz w:val="21"/>
          <w:szCs w:val="21"/>
          <w:highlight w:val="none"/>
        </w:rPr>
      </w:pPr>
    </w:p>
    <w:p w14:paraId="325BBB21">
      <w:pPr>
        <w:rPr>
          <w:rFonts w:cs="宋体"/>
          <w:i w:val="0"/>
          <w:iCs w:val="0"/>
          <w:color w:val="auto"/>
          <w:spacing w:val="6"/>
          <w:sz w:val="21"/>
          <w:szCs w:val="21"/>
          <w:highlight w:val="none"/>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i w:val="0"/>
          <w:iCs w:val="0"/>
          <w:color w:val="auto"/>
          <w:highlight w:val="none"/>
          <w:lang w:val="en-US" w:eastAsia="zh-CN"/>
        </w:rPr>
      </w:pPr>
    </w:p>
    <w:p w14:paraId="7006C7B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i w:val="0"/>
          <w:iCs w:val="0"/>
          <w:color w:val="auto"/>
          <w:highlight w:val="none"/>
          <w:lang w:val="en-US" w:eastAsia="zh-CN"/>
        </w:rPr>
      </w:pPr>
      <w:r>
        <w:rPr>
          <w:rFonts w:hint="eastAsia"/>
          <w:b/>
          <w:bCs/>
          <w:i w:val="0"/>
          <w:iCs w:val="0"/>
          <w:color w:val="auto"/>
          <w:highlight w:val="none"/>
          <w:lang w:val="en-US" w:eastAsia="zh-CN"/>
        </w:rPr>
        <w:t xml:space="preserve">附件1 </w:t>
      </w:r>
    </w:p>
    <w:p w14:paraId="0A0B18BB">
      <w:pPr>
        <w:keepNext w:val="0"/>
        <w:keepLines w:val="0"/>
        <w:widowControl/>
        <w:suppressLineNumbers w:val="0"/>
        <w:ind w:firstLine="562" w:firstLineChars="200"/>
        <w:jc w:val="left"/>
        <w:rPr>
          <w:rStyle w:val="38"/>
          <w:rFonts w:hint="eastAsia" w:ascii="宋体" w:hAnsi="宋体" w:eastAsia="宋体" w:cs="宋体"/>
          <w:i w:val="0"/>
          <w:iCs w:val="0"/>
          <w:color w:val="auto"/>
          <w:kern w:val="0"/>
          <w:sz w:val="28"/>
          <w:szCs w:val="28"/>
          <w:highlight w:val="none"/>
          <w:lang w:val="en-US" w:eastAsia="zh-CN" w:bidi="ar"/>
        </w:rPr>
      </w:pPr>
    </w:p>
    <w:p w14:paraId="2318C2EC">
      <w:pPr>
        <w:keepNext w:val="0"/>
        <w:keepLines w:val="0"/>
        <w:widowControl/>
        <w:suppressLineNumbers w:val="0"/>
        <w:ind w:firstLine="482" w:firstLineChars="200"/>
        <w:jc w:val="left"/>
        <w:rPr>
          <w:rStyle w:val="38"/>
          <w:rFonts w:hint="eastAsia" w:ascii="宋体" w:hAnsi="宋体" w:eastAsia="宋体" w:cs="宋体"/>
          <w:i w:val="0"/>
          <w:iCs w:val="0"/>
          <w:color w:val="auto"/>
          <w:kern w:val="0"/>
          <w:sz w:val="28"/>
          <w:szCs w:val="28"/>
          <w:highlight w:val="none"/>
          <w:lang w:val="en-US" w:eastAsia="zh-CN" w:bidi="ar"/>
        </w:rPr>
      </w:pPr>
      <w:r>
        <w:rPr>
          <w:rStyle w:val="38"/>
          <w:rFonts w:hint="eastAsia" w:ascii="宋体" w:hAnsi="宋体" w:eastAsia="宋体" w:cs="宋体"/>
          <w:i w:val="0"/>
          <w:iCs w:val="0"/>
          <w:color w:val="auto"/>
          <w:kern w:val="0"/>
          <w:sz w:val="24"/>
          <w:szCs w:val="24"/>
          <w:highlight w:val="none"/>
          <w:lang w:val="en-US" w:eastAsia="zh-CN" w:bidi="ar"/>
        </w:rPr>
        <w:t>（一）关于</w:t>
      </w:r>
      <w:r>
        <w:rPr>
          <w:rStyle w:val="38"/>
          <w:rFonts w:hint="eastAsia" w:cs="宋体"/>
          <w:i w:val="0"/>
          <w:iCs w:val="0"/>
          <w:color w:val="auto"/>
          <w:kern w:val="0"/>
          <w:sz w:val="24"/>
          <w:szCs w:val="24"/>
          <w:highlight w:val="none"/>
          <w:lang w:val="en-US" w:eastAsia="zh-CN" w:bidi="ar"/>
        </w:rPr>
        <w:t>“</w:t>
      </w:r>
      <w:r>
        <w:rPr>
          <w:rStyle w:val="38"/>
          <w:rFonts w:hint="eastAsia" w:ascii="宋体" w:hAnsi="宋体" w:eastAsia="宋体" w:cs="宋体"/>
          <w:i w:val="0"/>
          <w:iCs w:val="0"/>
          <w:color w:val="auto"/>
          <w:kern w:val="0"/>
          <w:sz w:val="24"/>
          <w:szCs w:val="24"/>
          <w:highlight w:val="none"/>
          <w:lang w:val="en-US" w:eastAsia="zh-CN" w:bidi="ar"/>
        </w:rPr>
        <w:t>中小企业声明函</w:t>
      </w:r>
      <w:r>
        <w:rPr>
          <w:rStyle w:val="38"/>
          <w:rFonts w:hint="eastAsia" w:cs="宋体"/>
          <w:i w:val="0"/>
          <w:iCs w:val="0"/>
          <w:color w:val="auto"/>
          <w:kern w:val="0"/>
          <w:sz w:val="24"/>
          <w:szCs w:val="24"/>
          <w:highlight w:val="none"/>
          <w:lang w:val="en-US" w:eastAsia="zh-CN" w:bidi="ar"/>
        </w:rPr>
        <w:t>”</w:t>
      </w:r>
      <w:r>
        <w:rPr>
          <w:rStyle w:val="38"/>
          <w:rFonts w:hint="eastAsia" w:ascii="宋体" w:hAnsi="宋体" w:eastAsia="宋体" w:cs="宋体"/>
          <w:i w:val="0"/>
          <w:iCs w:val="0"/>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8"/>
          <w:rFonts w:hint="eastAsia" w:ascii="宋体" w:hAnsi="宋体" w:eastAsia="宋体" w:cs="宋体"/>
          <w:i w:val="0"/>
          <w:iCs w:val="0"/>
          <w:color w:val="auto"/>
          <w:kern w:val="0"/>
          <w:sz w:val="24"/>
          <w:szCs w:val="24"/>
          <w:highlight w:val="none"/>
          <w:lang w:val="en-US" w:eastAsia="zh-CN" w:bidi="ar"/>
        </w:rPr>
      </w:pPr>
      <w:r>
        <w:rPr>
          <w:rStyle w:val="38"/>
          <w:rFonts w:hint="eastAsia" w:ascii="宋体" w:hAnsi="宋体" w:eastAsia="宋体" w:cs="宋体"/>
          <w:i w:val="0"/>
          <w:iCs w:val="0"/>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5309701E">
      <w:pPr>
        <w:ind w:firstLine="480" w:firstLineChars="200"/>
        <w:rPr>
          <w:rFonts w:cs="宋体"/>
          <w:i w:val="0"/>
          <w:iCs w:val="0"/>
          <w:color w:val="auto"/>
          <w:spacing w:val="6"/>
          <w:sz w:val="21"/>
          <w:szCs w:val="21"/>
          <w:highlight w:val="none"/>
        </w:rPr>
      </w:pPr>
      <w:r>
        <w:rPr>
          <w:rFonts w:hint="eastAsia" w:ascii="宋体" w:hAnsi="宋体" w:eastAsia="宋体" w:cs="宋体"/>
          <w:i w:val="0"/>
          <w:iCs w:val="0"/>
          <w:color w:val="auto"/>
          <w:kern w:val="0"/>
          <w:sz w:val="24"/>
          <w:szCs w:val="28"/>
          <w:highlight w:val="none"/>
          <w:lang w:val="en-US" w:eastAsia="zh-CN" w:bidi="ar"/>
        </w:rPr>
        <w:t>3.如供应商提供的</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中小企业声明函</w:t>
      </w:r>
      <w:r>
        <w:rPr>
          <w:rFonts w:hint="eastAsia" w:cs="宋体"/>
          <w:i w:val="0"/>
          <w:iCs w:val="0"/>
          <w:color w:val="auto"/>
          <w:kern w:val="0"/>
          <w:sz w:val="24"/>
          <w:szCs w:val="28"/>
          <w:highlight w:val="none"/>
          <w:lang w:val="en-US" w:eastAsia="zh-CN" w:bidi="ar"/>
        </w:rPr>
        <w:t>”</w:t>
      </w:r>
      <w:r>
        <w:rPr>
          <w:rFonts w:hint="eastAsia" w:ascii="宋体" w:hAnsi="宋体" w:eastAsia="宋体" w:cs="宋体"/>
          <w:i w:val="0"/>
          <w:iCs w:val="0"/>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46E8A2">
      <w:pPr>
        <w:rPr>
          <w:rFonts w:cs="宋体"/>
          <w:i w:val="0"/>
          <w:iCs w:val="0"/>
          <w:color w:val="auto"/>
          <w:spacing w:val="6"/>
          <w:sz w:val="21"/>
          <w:szCs w:val="21"/>
          <w:highlight w:val="none"/>
        </w:rPr>
      </w:pPr>
    </w:p>
    <w:p w14:paraId="6E224C04">
      <w:pPr>
        <w:rPr>
          <w:rFonts w:cs="宋体"/>
          <w:i w:val="0"/>
          <w:iCs w:val="0"/>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i w:val="0"/>
          <w:iCs w:val="0"/>
          <w:color w:val="auto"/>
          <w:highlight w:val="none"/>
          <w:lang w:val="en-US" w:eastAsia="zh-CN"/>
        </w:rPr>
      </w:pPr>
      <w:r>
        <w:rPr>
          <w:rFonts w:hint="eastAsia"/>
          <w:b/>
          <w:bCs/>
          <w:i w:val="0"/>
          <w:iCs w:val="0"/>
          <w:color w:val="auto"/>
          <w:highlight w:val="none"/>
          <w:lang w:val="en-US" w:eastAsia="zh-CN"/>
        </w:rPr>
        <w:t>附件2：</w:t>
      </w:r>
    </w:p>
    <w:p w14:paraId="243BB2FE">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关于印发中小企业划型标准规定的通知</w:t>
      </w:r>
    </w:p>
    <w:p w14:paraId="7FFC0F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8"/>
          <w:rFonts w:hint="eastAsia" w:ascii="宋体" w:hAnsi="宋体" w:eastAsia="宋体" w:cs="宋体"/>
          <w:b w:val="0"/>
          <w:i w:val="0"/>
          <w:iCs w:val="0"/>
          <w:color w:val="auto"/>
          <w:sz w:val="24"/>
          <w:szCs w:val="24"/>
          <w:highlight w:val="none"/>
        </w:rPr>
      </w:pPr>
      <w:r>
        <w:rPr>
          <w:rStyle w:val="38"/>
          <w:rFonts w:hint="eastAsia" w:ascii="宋体" w:hAnsi="宋体" w:eastAsia="宋体" w:cs="宋体"/>
          <w:b w:val="0"/>
          <w:i w:val="0"/>
          <w:iCs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8"/>
          <w:rFonts w:hint="eastAsia" w:ascii="宋体" w:hAnsi="宋体" w:eastAsia="宋体" w:cs="宋体"/>
          <w:b w:val="0"/>
          <w:i w:val="0"/>
          <w:iCs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8"/>
          <w:rFonts w:hint="eastAsia" w:ascii="宋体" w:hAnsi="宋体" w:eastAsia="宋体" w:cs="宋体"/>
          <w:b w:val="0"/>
          <w:i w:val="0"/>
          <w:iCs w:val="0"/>
          <w:color w:val="auto"/>
          <w:sz w:val="24"/>
          <w:szCs w:val="24"/>
          <w:highlight w:val="none"/>
        </w:rPr>
      </w:pPr>
      <w:r>
        <w:rPr>
          <w:rStyle w:val="38"/>
          <w:rFonts w:hint="eastAsia" w:ascii="宋体" w:hAnsi="宋体" w:eastAsia="宋体" w:cs="宋体"/>
          <w:b w:val="0"/>
          <w:i w:val="0"/>
          <w:iCs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8"/>
          <w:rFonts w:hint="eastAsia" w:ascii="宋体" w:hAnsi="宋体" w:eastAsia="宋体" w:cs="宋体"/>
          <w:b/>
          <w:bCs w:val="0"/>
          <w:i w:val="0"/>
          <w:iCs w:val="0"/>
          <w:color w:val="auto"/>
          <w:sz w:val="28"/>
          <w:szCs w:val="28"/>
          <w:highlight w:val="none"/>
        </w:rPr>
      </w:pPr>
      <w:r>
        <w:rPr>
          <w:rStyle w:val="38"/>
          <w:rFonts w:hint="eastAsia" w:ascii="宋体" w:hAnsi="宋体" w:eastAsia="宋体" w:cs="宋体"/>
          <w:b/>
          <w:bCs w:val="0"/>
          <w:i w:val="0"/>
          <w:i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w:t>
      </w:r>
      <w:r>
        <w:rPr>
          <w:rStyle w:val="38"/>
          <w:rFonts w:hint="eastAsia" w:cs="宋体"/>
          <w:b w:val="0"/>
          <w:bCs w:val="0"/>
          <w:i w:val="0"/>
          <w:iCs w:val="0"/>
          <w:color w:val="auto"/>
          <w:sz w:val="24"/>
          <w:szCs w:val="24"/>
          <w:highlight w:val="none"/>
          <w:lang w:eastAsia="zh-CN"/>
        </w:rPr>
        <w:t>餐饮业</w:t>
      </w:r>
      <w:r>
        <w:rPr>
          <w:rStyle w:val="38"/>
          <w:rFonts w:hint="eastAsia" w:ascii="宋体" w:hAnsi="宋体" w:eastAsia="宋体" w:cs="宋体"/>
          <w:b w:val="0"/>
          <w:bCs w:val="0"/>
          <w:i w:val="0"/>
          <w:iCs w:val="0"/>
          <w:color w:val="auto"/>
          <w:sz w:val="24"/>
          <w:szCs w:val="24"/>
          <w:highlight w:val="none"/>
        </w:rPr>
        <w:t>，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（四）</w:t>
      </w:r>
      <w:r>
        <w:rPr>
          <w:rStyle w:val="38"/>
          <w:rFonts w:hint="eastAsia" w:cs="宋体"/>
          <w:b w:val="0"/>
          <w:bCs w:val="0"/>
          <w:i w:val="0"/>
          <w:iCs w:val="0"/>
          <w:color w:val="auto"/>
          <w:sz w:val="24"/>
          <w:szCs w:val="24"/>
          <w:highlight w:val="none"/>
          <w:lang w:eastAsia="zh-CN"/>
        </w:rPr>
        <w:t>餐饮业</w:t>
      </w:r>
      <w:r>
        <w:rPr>
          <w:rStyle w:val="38"/>
          <w:rFonts w:hint="eastAsia" w:ascii="宋体" w:hAnsi="宋体" w:eastAsia="宋体" w:cs="宋体"/>
          <w:b w:val="0"/>
          <w:bCs w:val="0"/>
          <w:i w:val="0"/>
          <w:iCs w:val="0"/>
          <w:color w:val="auto"/>
          <w:sz w:val="24"/>
          <w:szCs w:val="24"/>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i w:val="0"/>
          <w:iCs w:val="0"/>
          <w:color w:val="auto"/>
          <w:spacing w:val="6"/>
          <w:sz w:val="21"/>
          <w:szCs w:val="21"/>
          <w:highlight w:val="none"/>
        </w:rPr>
      </w:pPr>
      <w:r>
        <w:rPr>
          <w:rStyle w:val="38"/>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p w14:paraId="20B4770A">
      <w:pPr>
        <w:rPr>
          <w:rFonts w:cs="宋体"/>
          <w:i w:val="0"/>
          <w:iCs w:val="0"/>
          <w:color w:val="auto"/>
          <w:spacing w:val="6"/>
          <w:sz w:val="21"/>
          <w:szCs w:val="21"/>
          <w:highlight w:val="none"/>
        </w:rPr>
      </w:pPr>
      <w:bookmarkStart w:id="694" w:name="_Toc163492940"/>
    </w:p>
    <w:p w14:paraId="5FA7D1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i w:val="0"/>
          <w:iCs w:val="0"/>
          <w:color w:val="auto"/>
          <w:highlight w:val="none"/>
          <w:lang w:val="en-US" w:eastAsia="zh-CN"/>
        </w:rPr>
      </w:pPr>
      <w:r>
        <w:rPr>
          <w:rFonts w:hint="eastAsia"/>
          <w:b/>
          <w:bCs/>
          <w:i w:val="0"/>
          <w:iCs w:val="0"/>
          <w:color w:val="auto"/>
          <w:highlight w:val="none"/>
          <w:lang w:val="en-US" w:eastAsia="zh-CN"/>
        </w:rPr>
        <w:t>附件3：</w:t>
      </w:r>
    </w:p>
    <w:p w14:paraId="1AF7C83B">
      <w:pPr>
        <w:rPr>
          <w:rFonts w:hint="eastAsia" w:cs="宋体"/>
          <w:i w:val="0"/>
          <w:iCs w:val="0"/>
          <w:color w:val="auto"/>
          <w:spacing w:val="6"/>
          <w:sz w:val="21"/>
          <w:szCs w:val="21"/>
          <w:highlight w:val="none"/>
        </w:rPr>
      </w:pPr>
    </w:p>
    <w:p w14:paraId="134F6EBF">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关于印发《金融业企业划型标准规定》的通知</w:t>
      </w:r>
    </w:p>
    <w:p w14:paraId="60239E26">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Style w:val="38"/>
          <w:rFonts w:hint="eastAsia" w:ascii="宋体" w:hAnsi="宋体" w:eastAsia="宋体" w:cs="宋体"/>
          <w:b w:val="0"/>
          <w:i w:val="0"/>
          <w:iCs w:val="0"/>
          <w:color w:val="auto"/>
          <w:sz w:val="24"/>
          <w:szCs w:val="24"/>
          <w:highlight w:val="none"/>
        </w:rPr>
      </w:pPr>
      <w:r>
        <w:rPr>
          <w:rStyle w:val="38"/>
          <w:rFonts w:hint="eastAsia" w:ascii="宋体" w:hAnsi="宋体" w:eastAsia="宋体" w:cs="宋体"/>
          <w:b w:val="0"/>
          <w:i w:val="0"/>
          <w:iCs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i w:val="0"/>
          <w:i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8"/>
          <w:rFonts w:hint="eastAsia" w:ascii="宋体" w:hAnsi="宋体" w:eastAsia="宋体" w:cs="宋体"/>
          <w:b w:val="0"/>
          <w:bCs w:val="0"/>
          <w:i w:val="0"/>
          <w:iCs w:val="0"/>
          <w:color w:val="auto"/>
          <w:sz w:val="24"/>
          <w:szCs w:val="24"/>
          <w:highlight w:val="none"/>
        </w:rPr>
      </w:pPr>
      <w:r>
        <w:rPr>
          <w:rFonts w:hint="eastAsia" w:cs="宋体"/>
          <w:i w:val="0"/>
          <w:iCs w:val="0"/>
          <w:color w:val="auto"/>
          <w:spacing w:val="6"/>
          <w:sz w:val="24"/>
          <w:szCs w:val="24"/>
          <w:highlight w:val="none"/>
        </w:rPr>
        <w:t>                                      </w:t>
      </w:r>
      <w:r>
        <w:rPr>
          <w:rStyle w:val="38"/>
          <w:rFonts w:hint="eastAsia" w:ascii="宋体" w:hAnsi="宋体" w:eastAsia="宋体" w:cs="宋体"/>
          <w:b w:val="0"/>
          <w:bCs w:val="0"/>
          <w:i w:val="0"/>
          <w:iCs w:val="0"/>
          <w:color w:val="auto"/>
          <w:sz w:val="24"/>
          <w:szCs w:val="24"/>
          <w:highlight w:val="none"/>
        </w:rPr>
        <w:t>       </w:t>
      </w:r>
      <w:r>
        <w:rPr>
          <w:rStyle w:val="38"/>
          <w:rFonts w:hint="eastAsia" w:cs="宋体"/>
          <w:b w:val="0"/>
          <w:bCs w:val="0"/>
          <w:i w:val="0"/>
          <w:iCs w:val="0"/>
          <w:color w:val="auto"/>
          <w:sz w:val="24"/>
          <w:szCs w:val="24"/>
          <w:highlight w:val="none"/>
          <w:lang w:val="en-US" w:eastAsia="zh-CN"/>
        </w:rPr>
        <w:t xml:space="preserve">                            </w:t>
      </w:r>
      <w:r>
        <w:rPr>
          <w:rStyle w:val="38"/>
          <w:rFonts w:hint="eastAsia" w:ascii="宋体" w:hAnsi="宋体" w:eastAsia="宋体" w:cs="宋体"/>
          <w:b w:val="0"/>
          <w:bCs w:val="0"/>
          <w:i w:val="0"/>
          <w:i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                                                     </w:t>
      </w:r>
      <w:r>
        <w:rPr>
          <w:rStyle w:val="38"/>
          <w:rFonts w:hint="eastAsia" w:cs="宋体"/>
          <w:b w:val="0"/>
          <w:bCs w:val="0"/>
          <w:i w:val="0"/>
          <w:iCs w:val="0"/>
          <w:color w:val="auto"/>
          <w:sz w:val="24"/>
          <w:szCs w:val="24"/>
          <w:highlight w:val="none"/>
          <w:lang w:val="en-US" w:eastAsia="zh-CN"/>
        </w:rPr>
        <w:t xml:space="preserve">     </w:t>
      </w:r>
      <w:r>
        <w:rPr>
          <w:rStyle w:val="38"/>
          <w:rFonts w:hint="eastAsia" w:ascii="宋体" w:hAnsi="宋体" w:eastAsia="宋体" w:cs="宋体"/>
          <w:b w:val="0"/>
          <w:bCs w:val="0"/>
          <w:i w:val="0"/>
          <w:iCs w:val="0"/>
          <w:color w:val="auto"/>
          <w:sz w:val="24"/>
          <w:szCs w:val="24"/>
          <w:highlight w:val="none"/>
        </w:rPr>
        <w:t> 2015年9月28日</w:t>
      </w:r>
    </w:p>
    <w:p w14:paraId="2D875BF0">
      <w:pPr>
        <w:rPr>
          <w:rFonts w:hint="eastAsia" w:cs="宋体"/>
          <w:i w:val="0"/>
          <w:iCs w:val="0"/>
          <w:color w:val="auto"/>
          <w:spacing w:val="6"/>
          <w:sz w:val="21"/>
          <w:szCs w:val="21"/>
          <w:highlight w:val="none"/>
        </w:rPr>
      </w:pPr>
    </w:p>
    <w:p w14:paraId="3D3E2F07">
      <w:pPr>
        <w:rPr>
          <w:rFonts w:hint="eastAsia" w:cs="宋体"/>
          <w:i w:val="0"/>
          <w:iCs w:val="0"/>
          <w:color w:val="auto"/>
          <w:spacing w:val="6"/>
          <w:sz w:val="21"/>
          <w:szCs w:val="21"/>
          <w:highlight w:val="none"/>
          <w:lang w:val="en-US" w:eastAsia="zh-CN"/>
        </w:rPr>
      </w:pPr>
    </w:p>
    <w:p w14:paraId="7D55D2C4">
      <w:pPr>
        <w:rPr>
          <w:rFonts w:hint="eastAsia" w:cs="宋体"/>
          <w:i w:val="0"/>
          <w:iCs w:val="0"/>
          <w:color w:val="auto"/>
          <w:spacing w:val="6"/>
          <w:sz w:val="21"/>
          <w:szCs w:val="21"/>
          <w:highlight w:val="none"/>
          <w:lang w:val="en-US" w:eastAsia="zh-CN"/>
        </w:rPr>
      </w:pPr>
    </w:p>
    <w:p w14:paraId="535B7B3C">
      <w:pPr>
        <w:rPr>
          <w:rFonts w:hint="eastAsia" w:cs="宋体"/>
          <w:i w:val="0"/>
          <w:iCs w:val="0"/>
          <w:color w:val="auto"/>
          <w:spacing w:val="6"/>
          <w:sz w:val="21"/>
          <w:szCs w:val="21"/>
          <w:highlight w:val="none"/>
          <w:lang w:val="en-US" w:eastAsia="zh-CN"/>
        </w:rPr>
      </w:pPr>
    </w:p>
    <w:p w14:paraId="0003DA46">
      <w:pPr>
        <w:rPr>
          <w:rFonts w:hint="eastAsia" w:cs="宋体"/>
          <w:i w:val="0"/>
          <w:iCs w:val="0"/>
          <w:color w:val="auto"/>
          <w:spacing w:val="6"/>
          <w:sz w:val="21"/>
          <w:szCs w:val="21"/>
          <w:highlight w:val="none"/>
          <w:lang w:val="en-US" w:eastAsia="zh-CN"/>
        </w:rPr>
      </w:pPr>
    </w:p>
    <w:p w14:paraId="2EB5298D">
      <w:pPr>
        <w:rPr>
          <w:rFonts w:hint="eastAsia" w:cs="宋体"/>
          <w:i w:val="0"/>
          <w:iCs w:val="0"/>
          <w:color w:val="auto"/>
          <w:spacing w:val="6"/>
          <w:sz w:val="21"/>
          <w:szCs w:val="21"/>
          <w:highlight w:val="none"/>
          <w:lang w:val="en-US" w:eastAsia="zh-CN"/>
        </w:rPr>
      </w:pPr>
    </w:p>
    <w:p w14:paraId="56C175D4">
      <w:pPr>
        <w:rPr>
          <w:rFonts w:hint="eastAsia" w:cs="宋体"/>
          <w:i w:val="0"/>
          <w:iCs w:val="0"/>
          <w:color w:val="auto"/>
          <w:spacing w:val="6"/>
          <w:sz w:val="21"/>
          <w:szCs w:val="21"/>
          <w:highlight w:val="none"/>
          <w:lang w:val="en-US" w:eastAsia="zh-CN"/>
        </w:rPr>
      </w:pPr>
    </w:p>
    <w:p w14:paraId="04253368">
      <w:pPr>
        <w:rPr>
          <w:rFonts w:hint="eastAsia" w:cs="宋体"/>
          <w:i w:val="0"/>
          <w:iCs w:val="0"/>
          <w:color w:val="auto"/>
          <w:spacing w:val="6"/>
          <w:sz w:val="21"/>
          <w:szCs w:val="21"/>
          <w:highlight w:val="none"/>
          <w:lang w:val="en-US" w:eastAsia="zh-CN"/>
        </w:rPr>
      </w:pPr>
    </w:p>
    <w:p w14:paraId="0C202F82">
      <w:pPr>
        <w:rPr>
          <w:rFonts w:hint="eastAsia" w:cs="宋体"/>
          <w:i w:val="0"/>
          <w:iCs w:val="0"/>
          <w:color w:val="auto"/>
          <w:spacing w:val="6"/>
          <w:sz w:val="21"/>
          <w:szCs w:val="21"/>
          <w:highlight w:val="none"/>
        </w:rPr>
      </w:pPr>
      <w:r>
        <w:rPr>
          <w:rFonts w:hint="eastAsia" w:cs="宋体"/>
          <w:i w:val="0"/>
          <w:iCs w:val="0"/>
          <w:color w:val="auto"/>
          <w:spacing w:val="6"/>
          <w:sz w:val="21"/>
          <w:szCs w:val="21"/>
          <w:highlight w:val="none"/>
          <w:lang w:val="en-US" w:eastAsia="zh-CN"/>
        </w:rPr>
        <w:t>附件</w:t>
      </w:r>
      <w:r>
        <w:rPr>
          <w:rFonts w:hint="eastAsia" w:cs="宋体"/>
          <w:i w:val="0"/>
          <w:iCs w:val="0"/>
          <w:color w:val="auto"/>
          <w:spacing w:val="6"/>
          <w:sz w:val="21"/>
          <w:szCs w:val="21"/>
          <w:highlight w:val="none"/>
        </w:rPr>
        <w:t>              </w:t>
      </w:r>
    </w:p>
    <w:p w14:paraId="197435F7">
      <w:pPr>
        <w:pStyle w:val="21"/>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i w:val="0"/>
          <w:i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lang w:eastAsia="zh-CN"/>
        </w:rPr>
      </w:pPr>
      <w:r>
        <w:rPr>
          <w:rStyle w:val="38"/>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8"/>
          <w:rFonts w:hint="eastAsia" w:cs="宋体"/>
          <w:b w:val="0"/>
          <w:bCs w:val="0"/>
          <w:i w:val="0"/>
          <w:i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8"/>
          <w:rFonts w:hint="eastAsia" w:cs="宋体"/>
          <w:b w:val="0"/>
          <w:bCs w:val="0"/>
          <w:i w:val="0"/>
          <w:iCs w:val="0"/>
          <w:color w:val="auto"/>
          <w:sz w:val="24"/>
          <w:szCs w:val="24"/>
          <w:highlight w:val="none"/>
          <w:lang w:eastAsia="zh-CN"/>
        </w:rPr>
        <w:t>，</w:t>
      </w:r>
      <w:r>
        <w:rPr>
          <w:rStyle w:val="38"/>
          <w:rFonts w:hint="eastAsia" w:ascii="宋体" w:hAnsi="宋体" w:eastAsia="宋体" w:cs="宋体"/>
          <w:b w:val="0"/>
          <w:bCs w:val="0"/>
          <w:i w:val="0"/>
          <w:i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lang w:eastAsia="zh-CN"/>
        </w:rPr>
      </w:pPr>
      <w:r>
        <w:rPr>
          <w:rStyle w:val="38"/>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8"/>
          <w:rFonts w:hint="eastAsia" w:cs="宋体"/>
          <w:b w:val="0"/>
          <w:bCs w:val="0"/>
          <w:i w:val="0"/>
          <w:i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lang w:eastAsia="zh-CN"/>
        </w:rPr>
      </w:pPr>
      <w:r>
        <w:rPr>
          <w:rStyle w:val="38"/>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38"/>
          <w:rFonts w:hint="eastAsia" w:cs="宋体"/>
          <w:b w:val="0"/>
          <w:bCs w:val="0"/>
          <w:i w:val="0"/>
          <w:i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十一、本规定自发布之日起实施,</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8"/>
          <w:rFonts w:hint="eastAsia" w:ascii="宋体" w:hAnsi="宋体" w:eastAsia="宋体" w:cs="宋体"/>
          <w:b w:val="0"/>
          <w:bCs w:val="0"/>
          <w:i w:val="0"/>
          <w:iCs w:val="0"/>
          <w:color w:val="auto"/>
          <w:sz w:val="24"/>
          <w:szCs w:val="24"/>
          <w:highlight w:val="none"/>
        </w:rPr>
      </w:pPr>
      <w:r>
        <w:rPr>
          <w:rStyle w:val="38"/>
          <w:rFonts w:hint="eastAsia" w:ascii="宋体" w:hAnsi="宋体" w:eastAsia="宋体" w:cs="宋体"/>
          <w:b w:val="0"/>
          <w:bCs w:val="0"/>
          <w:i w:val="0"/>
          <w:iCs w:val="0"/>
          <w:color w:val="auto"/>
          <w:sz w:val="24"/>
          <w:szCs w:val="24"/>
          <w:highlight w:val="none"/>
        </w:rPr>
        <w:t>附:金融业企业划型标准</w:t>
      </w:r>
    </w:p>
    <w:p w14:paraId="4CB94869">
      <w:pPr>
        <w:rPr>
          <w:rFonts w:cs="宋体"/>
          <w:i w:val="0"/>
          <w:iCs w:val="0"/>
          <w:color w:val="auto"/>
          <w:spacing w:val="6"/>
          <w:sz w:val="21"/>
          <w:szCs w:val="21"/>
          <w:highlight w:val="none"/>
        </w:rPr>
      </w:pPr>
    </w:p>
    <w:p w14:paraId="018058A8">
      <w:pPr>
        <w:rPr>
          <w:rFonts w:hint="eastAsia" w:cs="宋体"/>
          <w:i w:val="0"/>
          <w:iCs w:val="0"/>
          <w:color w:val="auto"/>
          <w:spacing w:val="6"/>
          <w:sz w:val="24"/>
          <w:szCs w:val="24"/>
          <w:highlight w:val="none"/>
          <w:lang w:val="en-US" w:eastAsia="zh-CN"/>
        </w:rPr>
      </w:pPr>
    </w:p>
    <w:p w14:paraId="5023B69E">
      <w:pPr>
        <w:rPr>
          <w:rFonts w:hint="eastAsia" w:cs="宋体"/>
          <w:i w:val="0"/>
          <w:iCs w:val="0"/>
          <w:color w:val="auto"/>
          <w:spacing w:val="6"/>
          <w:sz w:val="24"/>
          <w:szCs w:val="24"/>
          <w:highlight w:val="none"/>
          <w:lang w:val="en-US" w:eastAsia="zh-CN"/>
        </w:rPr>
      </w:pPr>
    </w:p>
    <w:p w14:paraId="5F7D4B83">
      <w:pPr>
        <w:rPr>
          <w:rFonts w:hint="eastAsia" w:cs="宋体"/>
          <w:i w:val="0"/>
          <w:iCs w:val="0"/>
          <w:color w:val="auto"/>
          <w:spacing w:val="6"/>
          <w:sz w:val="24"/>
          <w:szCs w:val="24"/>
          <w:highlight w:val="none"/>
          <w:lang w:val="en-US" w:eastAsia="zh-CN"/>
        </w:rPr>
      </w:pPr>
    </w:p>
    <w:p w14:paraId="20B74F82">
      <w:pPr>
        <w:rPr>
          <w:rFonts w:hint="eastAsia" w:cs="宋体"/>
          <w:i w:val="0"/>
          <w:iCs w:val="0"/>
          <w:color w:val="auto"/>
          <w:spacing w:val="6"/>
          <w:sz w:val="24"/>
          <w:szCs w:val="24"/>
          <w:highlight w:val="none"/>
          <w:lang w:val="en-US" w:eastAsia="zh-CN"/>
        </w:rPr>
      </w:pPr>
    </w:p>
    <w:p w14:paraId="2C0B2223">
      <w:pPr>
        <w:rPr>
          <w:rFonts w:hint="eastAsia" w:cs="宋体"/>
          <w:i w:val="0"/>
          <w:iCs w:val="0"/>
          <w:color w:val="auto"/>
          <w:spacing w:val="6"/>
          <w:sz w:val="24"/>
          <w:szCs w:val="24"/>
          <w:highlight w:val="none"/>
          <w:lang w:val="en-US" w:eastAsia="zh-CN"/>
        </w:rPr>
      </w:pPr>
    </w:p>
    <w:p w14:paraId="5D736742">
      <w:pPr>
        <w:rPr>
          <w:rFonts w:hint="eastAsia" w:cs="宋体"/>
          <w:i w:val="0"/>
          <w:iCs w:val="0"/>
          <w:color w:val="auto"/>
          <w:spacing w:val="6"/>
          <w:sz w:val="24"/>
          <w:szCs w:val="24"/>
          <w:highlight w:val="none"/>
          <w:lang w:val="en-US" w:eastAsia="zh-CN"/>
        </w:rPr>
      </w:pPr>
    </w:p>
    <w:p w14:paraId="226ECDE6">
      <w:pPr>
        <w:rPr>
          <w:rFonts w:hint="eastAsia" w:cs="宋体"/>
          <w:i w:val="0"/>
          <w:iCs w:val="0"/>
          <w:color w:val="auto"/>
          <w:spacing w:val="6"/>
          <w:sz w:val="24"/>
          <w:szCs w:val="24"/>
          <w:highlight w:val="none"/>
          <w:lang w:val="en-US" w:eastAsia="zh-CN"/>
        </w:rPr>
      </w:pPr>
      <w:r>
        <w:rPr>
          <w:rFonts w:hint="eastAsia" w:cs="宋体"/>
          <w:i w:val="0"/>
          <w:iCs w:val="0"/>
          <w:color w:val="auto"/>
          <w:spacing w:val="6"/>
          <w:sz w:val="24"/>
          <w:szCs w:val="24"/>
          <w:highlight w:val="none"/>
          <w:lang w:val="en-US" w:eastAsia="zh-CN"/>
        </w:rPr>
        <w:t>附</w:t>
      </w:r>
    </w:p>
    <w:p w14:paraId="14431C70">
      <w:pPr>
        <w:pStyle w:val="21"/>
        <w:keepNext w:val="0"/>
        <w:keepLines w:val="0"/>
        <w:pageBreakBefore w:val="0"/>
        <w:widowControl w:val="0"/>
        <w:kinsoku/>
        <w:wordWrap/>
        <w:overflowPunct/>
        <w:topLinePunct w:val="0"/>
        <w:autoSpaceDE/>
        <w:autoSpaceDN/>
        <w:bidi w:val="0"/>
        <w:adjustRightInd/>
        <w:snapToGrid/>
        <w:spacing w:before="0" w:beforeLines="50" w:after="0" w:afterLines="50" w:line="240" w:lineRule="auto"/>
        <w:jc w:val="center"/>
        <w:textAlignment w:val="auto"/>
        <w:rPr>
          <w:rFonts w:hint="eastAsia" w:ascii="方正小标宋_GBK" w:hAnsi="方正小标宋_GBK" w:eastAsia="方正小标宋_GBK" w:cs="方正小标宋_GBK"/>
          <w:bCs/>
          <w:i w:val="0"/>
          <w:iCs w:val="0"/>
          <w:color w:val="auto"/>
          <w:sz w:val="32"/>
          <w:szCs w:val="32"/>
          <w:highlight w:val="none"/>
        </w:rPr>
      </w:pPr>
      <w:r>
        <w:rPr>
          <w:rFonts w:hint="eastAsia" w:ascii="宋体" w:hAnsi="宋体" w:eastAsia="宋体" w:cs="宋体"/>
          <w:b/>
          <w:bCs w:val="0"/>
          <w:i w:val="0"/>
          <w:iCs w:val="0"/>
          <w:color w:val="auto"/>
          <w:sz w:val="28"/>
          <w:szCs w:val="28"/>
          <w:highlight w:val="none"/>
        </w:rPr>
        <w:t>金融业企业划型标准</w:t>
      </w:r>
    </w:p>
    <w:tbl>
      <w:tblPr>
        <w:tblStyle w:val="36"/>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18C696DB">
      <w:pPr>
        <w:rPr>
          <w:rFonts w:cs="宋体"/>
          <w:i w:val="0"/>
          <w:iCs w:val="0"/>
          <w:color w:val="auto"/>
          <w:spacing w:val="6"/>
          <w:sz w:val="21"/>
          <w:szCs w:val="21"/>
          <w:highlight w:val="none"/>
        </w:rPr>
      </w:pPr>
      <w:r>
        <w:rPr>
          <w:rFonts w:cs="宋体"/>
          <w:i w:val="0"/>
          <w:iCs w:val="0"/>
          <w:color w:val="auto"/>
          <w:spacing w:val="6"/>
          <w:sz w:val="21"/>
          <w:szCs w:val="21"/>
          <w:highlight w:val="none"/>
        </w:rPr>
        <w:br w:type="page"/>
      </w:r>
    </w:p>
    <w:bookmarkEnd w:id="694"/>
    <w:p w14:paraId="5D4F19F2">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i w:val="0"/>
          <w:iCs w:val="0"/>
          <w:color w:val="auto"/>
          <w:sz w:val="36"/>
          <w:szCs w:val="36"/>
          <w:highlight w:val="none"/>
          <w:lang w:val="en-US" w:eastAsia="zh-CN"/>
        </w:rPr>
      </w:pPr>
    </w:p>
    <w:p w14:paraId="639FE59E">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95" w:name="_Toc23416"/>
      <w:r>
        <w:rPr>
          <w:rFonts w:hint="eastAsia" w:ascii="宋体" w:hAnsi="宋体" w:eastAsia="宋体" w:cstheme="minorBidi"/>
          <w:b/>
          <w:bCs/>
          <w:i w:val="0"/>
          <w:iCs w:val="0"/>
          <w:color w:val="auto"/>
          <w:kern w:val="2"/>
          <w:sz w:val="24"/>
          <w:szCs w:val="24"/>
          <w:highlight w:val="none"/>
          <w:lang w:val="en-US" w:eastAsia="zh-CN" w:bidi="ar-SA"/>
        </w:rPr>
        <w:t>（三）监狱企业证明文件</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695"/>
    </w:p>
    <w:p w14:paraId="2C3D834F">
      <w:pPr>
        <w:rPr>
          <w:rFonts w:cs="仿宋_GB2312"/>
          <w:b/>
          <w:i w:val="0"/>
          <w:iCs w:val="0"/>
          <w:color w:val="auto"/>
          <w:sz w:val="28"/>
          <w:szCs w:val="28"/>
          <w:highlight w:val="none"/>
        </w:rPr>
      </w:pPr>
    </w:p>
    <w:p w14:paraId="23D1BFCD">
      <w:pPr>
        <w:adjustRightInd w:val="0"/>
        <w:snapToGrid w:val="0"/>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i w:val="0"/>
          <w:iCs w:val="0"/>
          <w:color w:val="auto"/>
          <w:sz w:val="24"/>
          <w:szCs w:val="24"/>
          <w:highlight w:val="none"/>
          <w:lang w:val="en-US" w:eastAsia="zh-CN"/>
        </w:rPr>
        <w:t>如下</w:t>
      </w:r>
      <w:r>
        <w:rPr>
          <w:rFonts w:hint="eastAsia" w:ascii="宋体" w:hAnsi="宋体" w:eastAsia="宋体" w:cs="宋体"/>
          <w:i w:val="0"/>
          <w:iCs w:val="0"/>
          <w:color w:val="auto"/>
          <w:sz w:val="24"/>
          <w:szCs w:val="24"/>
          <w:highlight w:val="none"/>
        </w:rPr>
        <w:t>】。</w:t>
      </w:r>
    </w:p>
    <w:p w14:paraId="75238DB1">
      <w:pPr>
        <w:pStyle w:val="21"/>
        <w:spacing w:line="360" w:lineRule="auto"/>
        <w:jc w:val="center"/>
        <w:rPr>
          <w:rFonts w:hint="eastAsia" w:ascii="宋体" w:hAnsi="宋体" w:eastAsia="宋体" w:cs="宋体"/>
          <w:b/>
          <w:bCs w:val="0"/>
          <w:i w:val="0"/>
          <w:iCs w:val="0"/>
          <w:color w:val="auto"/>
          <w:sz w:val="32"/>
          <w:szCs w:val="32"/>
          <w:highlight w:val="none"/>
        </w:rPr>
      </w:pPr>
    </w:p>
    <w:p w14:paraId="3EAA5E2A">
      <w:pPr>
        <w:pStyle w:val="21"/>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73EFA9C1">
      <w:pPr>
        <w:spacing w:line="360" w:lineRule="auto"/>
        <w:rPr>
          <w:rFonts w:hint="eastAsia" w:ascii="仿宋_GB2312" w:hAnsi="仿宋_GB2312" w:eastAsia="仿宋_GB2312" w:cs="仿宋_GB2312"/>
          <w:i w:val="0"/>
          <w:iCs w:val="0"/>
          <w:color w:val="auto"/>
          <w:sz w:val="32"/>
          <w:szCs w:val="32"/>
          <w:highlight w:val="none"/>
        </w:rPr>
      </w:pPr>
    </w:p>
    <w:p w14:paraId="7E6FDB37">
      <w:pPr>
        <w:ind w:firstLine="504" w:firstLineChars="200"/>
        <w:rPr>
          <w:rFonts w:hint="eastAsia" w:cs="宋体"/>
          <w:i w:val="0"/>
          <w:iCs w:val="0"/>
          <w:color w:val="auto"/>
          <w:spacing w:val="6"/>
          <w:szCs w:val="24"/>
          <w:highlight w:val="none"/>
        </w:rPr>
      </w:pPr>
      <w:r>
        <w:rPr>
          <w:rFonts w:hint="eastAsia" w:cs="宋体"/>
          <w:i w:val="0"/>
          <w:iCs w:val="0"/>
          <w:color w:val="auto"/>
          <w:spacing w:val="6"/>
          <w:szCs w:val="24"/>
          <w:highlight w:val="none"/>
        </w:rPr>
        <w:t>本公司郑重声明，根据财政部、司法部《关于政府采购支持监狱企业发展有关问题的通知》（财库【2014】68号）的规定，本公司为监狱企业。</w:t>
      </w:r>
    </w:p>
    <w:p w14:paraId="3C2CE4C6">
      <w:pPr>
        <w:spacing w:line="360" w:lineRule="auto"/>
        <w:rPr>
          <w:rFonts w:hint="eastAsia" w:ascii="宋体" w:hAnsi="宋体" w:eastAsia="宋体" w:cs="宋体"/>
          <w:i w:val="0"/>
          <w:iCs w:val="0"/>
          <w:color w:val="auto"/>
          <w:sz w:val="24"/>
          <w:szCs w:val="24"/>
          <w:highlight w:val="none"/>
        </w:rPr>
      </w:pPr>
    </w:p>
    <w:p w14:paraId="25406F97">
      <w:pPr>
        <w:ind w:firstLine="4440" w:firstLineChars="1850"/>
        <w:rPr>
          <w:rFonts w:hint="eastAsia" w:ascii="宋体" w:hAnsi="宋体" w:eastAsia="宋体" w:cs="宋体"/>
          <w:i w:val="0"/>
          <w:iCs w:val="0"/>
          <w:color w:val="auto"/>
          <w:sz w:val="24"/>
          <w:szCs w:val="24"/>
          <w:highlight w:val="none"/>
        </w:rPr>
      </w:pPr>
    </w:p>
    <w:p w14:paraId="44FF352C">
      <w:pPr>
        <w:ind w:firstLine="4440" w:firstLineChars="1850"/>
        <w:rPr>
          <w:rFonts w:hint="eastAsia" w:ascii="宋体" w:hAnsi="宋体" w:eastAsia="宋体" w:cs="宋体"/>
          <w:i w:val="0"/>
          <w:iCs w:val="0"/>
          <w:color w:val="auto"/>
          <w:sz w:val="24"/>
          <w:szCs w:val="24"/>
          <w:highlight w:val="none"/>
        </w:rPr>
      </w:pPr>
    </w:p>
    <w:p w14:paraId="22DEAA2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38A830B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6C7FB09E">
      <w:pPr>
        <w:spacing w:line="360" w:lineRule="auto"/>
        <w:ind w:firstLine="240" w:firstLineChars="100"/>
        <w:rPr>
          <w:rFonts w:hint="eastAsia" w:ascii="宋体" w:hAnsi="宋体" w:eastAsia="宋体" w:cs="宋体"/>
          <w:i w:val="0"/>
          <w:iCs w:val="0"/>
          <w:color w:val="auto"/>
          <w:sz w:val="24"/>
          <w:szCs w:val="24"/>
          <w:highlight w:val="none"/>
        </w:rPr>
      </w:pPr>
    </w:p>
    <w:p w14:paraId="7B8735C9">
      <w:pPr>
        <w:spacing w:line="360" w:lineRule="auto"/>
        <w:ind w:firstLine="240" w:firstLineChars="100"/>
        <w:rPr>
          <w:rFonts w:hint="eastAsia" w:ascii="宋体" w:hAnsi="宋体" w:eastAsia="宋体" w:cs="宋体"/>
          <w:i w:val="0"/>
          <w:iCs w:val="0"/>
          <w:color w:val="auto"/>
          <w:sz w:val="24"/>
          <w:szCs w:val="24"/>
          <w:highlight w:val="none"/>
        </w:rPr>
      </w:pPr>
    </w:p>
    <w:p w14:paraId="32722C7E">
      <w:pPr>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20204BC0">
      <w:pPr>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（含新疆生产建设兵团）（盖章）：  </w:t>
      </w:r>
    </w:p>
    <w:p w14:paraId="4A414B41">
      <w:pPr>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i w:val="0"/>
          <w:iCs w:val="0"/>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i w:val="0"/>
          <w:iCs w:val="0"/>
          <w:color w:val="auto"/>
          <w:sz w:val="32"/>
          <w:szCs w:val="32"/>
          <w:highlight w:val="none"/>
        </w:rPr>
      </w:pPr>
    </w:p>
    <w:p w14:paraId="206A9633">
      <w:pPr>
        <w:spacing w:line="360" w:lineRule="auto"/>
        <w:rPr>
          <w:rFonts w:hint="eastAsia" w:ascii="仿宋_GB2312" w:hAnsi="仿宋_GB2312" w:eastAsia="仿宋_GB2312" w:cs="仿宋_GB2312"/>
          <w:i w:val="0"/>
          <w:iCs w:val="0"/>
          <w:color w:val="auto"/>
          <w:sz w:val="32"/>
          <w:szCs w:val="32"/>
          <w:highlight w:val="none"/>
        </w:rPr>
      </w:pPr>
    </w:p>
    <w:p w14:paraId="283F77FC">
      <w:pPr>
        <w:widowControl/>
        <w:spacing w:before="100" w:beforeAutospacing="1" w:after="100" w:afterAutospacing="1"/>
        <w:rPr>
          <w:rFonts w:ascii="Arial" w:hAnsi="Arial" w:cs="Arial"/>
          <w:i w:val="0"/>
          <w:iCs w:val="0"/>
          <w:color w:val="auto"/>
          <w:sz w:val="21"/>
          <w:szCs w:val="21"/>
          <w:highlight w:val="none"/>
        </w:rPr>
      </w:pPr>
    </w:p>
    <w:p w14:paraId="3ACDD48E">
      <w:pPr>
        <w:widowControl/>
        <w:spacing w:before="100" w:beforeAutospacing="1" w:after="100" w:afterAutospacing="1"/>
        <w:rPr>
          <w:rFonts w:ascii="Arial" w:hAnsi="Arial" w:cs="Arial"/>
          <w:i w:val="0"/>
          <w:iCs w:val="0"/>
          <w:color w:val="auto"/>
          <w:sz w:val="21"/>
          <w:szCs w:val="21"/>
          <w:highlight w:val="none"/>
        </w:rPr>
      </w:pPr>
    </w:p>
    <w:p w14:paraId="22F7A202">
      <w:pPr>
        <w:widowControl/>
        <w:spacing w:before="100" w:beforeAutospacing="1" w:after="100" w:afterAutospacing="1"/>
        <w:rPr>
          <w:rFonts w:ascii="Arial" w:hAnsi="Arial" w:cs="Arial"/>
          <w:i w:val="0"/>
          <w:iCs w:val="0"/>
          <w:color w:val="auto"/>
          <w:sz w:val="21"/>
          <w:szCs w:val="21"/>
          <w:highlight w:val="none"/>
        </w:rPr>
      </w:pPr>
    </w:p>
    <w:p w14:paraId="2AA0844D">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96" w:name="_Toc163492941"/>
    </w:p>
    <w:p w14:paraId="69ACD5D5">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bookmarkStart w:id="697" w:name="_Toc15561"/>
      <w:r>
        <w:rPr>
          <w:rFonts w:hint="eastAsia" w:ascii="宋体" w:hAnsi="宋体" w:eastAsia="宋体" w:cstheme="minorBidi"/>
          <w:b/>
          <w:bCs/>
          <w:i w:val="0"/>
          <w:iCs w:val="0"/>
          <w:color w:val="auto"/>
          <w:kern w:val="2"/>
          <w:sz w:val="24"/>
          <w:szCs w:val="24"/>
          <w:highlight w:val="none"/>
          <w:lang w:val="en-US" w:eastAsia="zh-CN" w:bidi="ar-SA"/>
        </w:rPr>
        <w:t>（四）残疾人福利性单位声明函</w:t>
      </w:r>
      <w:r>
        <w:rPr>
          <w:rFonts w:hint="eastAsia" w:ascii="宋体" w:hAnsi="宋体" w:eastAsia="宋体" w:cstheme="minorBidi"/>
          <w:b w:val="0"/>
          <w:bCs w:val="0"/>
          <w:i w:val="0"/>
          <w:iCs w:val="0"/>
          <w:color w:val="auto"/>
          <w:kern w:val="2"/>
          <w:sz w:val="24"/>
          <w:szCs w:val="24"/>
          <w:highlight w:val="none"/>
          <w:lang w:val="en-US" w:eastAsia="zh-CN" w:bidi="ar-SA"/>
        </w:rPr>
        <w:t>【如适用】</w:t>
      </w:r>
      <w:bookmarkEnd w:id="696"/>
      <w:bookmarkEnd w:id="697"/>
    </w:p>
    <w:p w14:paraId="57F303A4">
      <w:pPr>
        <w:pStyle w:val="45"/>
        <w:numPr>
          <w:ilvl w:val="0"/>
          <w:numId w:val="0"/>
        </w:numPr>
        <w:ind w:left="420" w:leftChars="0" w:hanging="420" w:firstLineChars="0"/>
        <w:jc w:val="center"/>
        <w:rPr>
          <w:rFonts w:hint="eastAsia"/>
          <w:b/>
          <w:bCs/>
          <w:i w:val="0"/>
          <w:iCs w:val="0"/>
          <w:color w:val="auto"/>
          <w:sz w:val="32"/>
          <w:szCs w:val="32"/>
          <w:highlight w:val="none"/>
        </w:rPr>
      </w:pPr>
    </w:p>
    <w:p w14:paraId="091B47EA">
      <w:pPr>
        <w:pStyle w:val="45"/>
        <w:numPr>
          <w:ilvl w:val="0"/>
          <w:numId w:val="0"/>
        </w:numPr>
        <w:ind w:left="420" w:leftChars="0" w:hanging="420" w:firstLineChars="0"/>
        <w:jc w:val="center"/>
        <w:rPr>
          <w:b/>
          <w:bCs/>
          <w:i w:val="0"/>
          <w:iCs w:val="0"/>
          <w:color w:val="auto"/>
          <w:sz w:val="32"/>
          <w:szCs w:val="32"/>
          <w:highlight w:val="none"/>
        </w:rPr>
      </w:pPr>
      <w:r>
        <w:rPr>
          <w:rFonts w:hint="eastAsia"/>
          <w:b/>
          <w:bCs/>
          <w:i w:val="0"/>
          <w:iCs w:val="0"/>
          <w:color w:val="auto"/>
          <w:sz w:val="32"/>
          <w:szCs w:val="32"/>
          <w:highlight w:val="none"/>
        </w:rPr>
        <w:t>残疾人福利性单位声明函</w:t>
      </w:r>
    </w:p>
    <w:p w14:paraId="28D13EE8">
      <w:pPr>
        <w:wordWrap w:val="0"/>
        <w:ind w:firstLine="480" w:firstLineChars="200"/>
        <w:rPr>
          <w:rFonts w:hint="eastAsia"/>
          <w:i w:val="0"/>
          <w:iCs w:val="0"/>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承接</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44C7A080">
      <w:pPr>
        <w:wordWrap w:val="0"/>
        <w:ind w:left="1091" w:hanging="1091" w:hangingChars="453"/>
        <w:rPr>
          <w:b/>
          <w:bCs/>
          <w:i w:val="0"/>
          <w:iCs w:val="0"/>
          <w:color w:val="auto"/>
          <w:szCs w:val="24"/>
          <w:highlight w:val="none"/>
        </w:rPr>
      </w:pPr>
    </w:p>
    <w:p w14:paraId="43523196">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4"/>
          <w:highlight w:val="none"/>
          <w:lang w:val="en-US" w:eastAsia="zh-CN"/>
        </w:rPr>
        <w:t>服务</w:t>
      </w:r>
      <w:r>
        <w:rPr>
          <w:rFonts w:hint="eastAsia"/>
          <w:bCs/>
          <w:i w:val="0"/>
          <w:iCs w:val="0"/>
          <w:color w:val="auto"/>
          <w:szCs w:val="21"/>
          <w:highlight w:val="none"/>
          <w:lang w:val="zh-CN"/>
        </w:rPr>
        <w:t>应当全部由符合政策要求的残疾人福利性单位</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且使用该残疾人福利性单位商号或注册商标（与代理商或</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无关）；应当严格按上述格式及内容进行填写（应当明确每个</w:t>
      </w:r>
      <w:r>
        <w:rPr>
          <w:rFonts w:hint="eastAsia"/>
          <w:bCs/>
          <w:i w:val="0"/>
          <w:iCs w:val="0"/>
          <w:color w:val="auto"/>
          <w:szCs w:val="21"/>
          <w:highlight w:val="none"/>
          <w:lang w:val="en-US" w:eastAsia="zh-CN"/>
        </w:rPr>
        <w:t>包</w:t>
      </w:r>
      <w:r>
        <w:rPr>
          <w:rFonts w:hint="eastAsia"/>
          <w:bCs/>
          <w:i w:val="0"/>
          <w:iCs w:val="0"/>
          <w:color w:val="auto"/>
          <w:szCs w:val="21"/>
          <w:highlight w:val="none"/>
          <w:lang w:val="zh-CN"/>
        </w:rPr>
        <w:t>的的</w:t>
      </w:r>
      <w:r>
        <w:rPr>
          <w:rFonts w:hint="eastAsia"/>
          <w:bCs/>
          <w:i w:val="0"/>
          <w:iCs w:val="0"/>
          <w:color w:val="auto"/>
          <w:szCs w:val="21"/>
          <w:highlight w:val="none"/>
          <w:lang w:val="en-US" w:eastAsia="zh-CN"/>
        </w:rPr>
        <w:t>承接</w:t>
      </w:r>
      <w:r>
        <w:rPr>
          <w:rFonts w:hint="eastAsia"/>
          <w:bCs/>
          <w:i w:val="0"/>
          <w:iCs w:val="0"/>
          <w:color w:val="auto"/>
          <w:szCs w:val="21"/>
          <w:highlight w:val="none"/>
          <w:lang w:val="zh-CN"/>
        </w:rPr>
        <w:t>企业类型及相关数据），否则导致的后果由</w:t>
      </w:r>
      <w:r>
        <w:rPr>
          <w:rFonts w:hint="eastAsia"/>
          <w:bCs/>
          <w:i w:val="0"/>
          <w:iCs w:val="0"/>
          <w:color w:val="auto"/>
          <w:szCs w:val="21"/>
          <w:highlight w:val="none"/>
          <w:lang w:val="en-US" w:eastAsia="zh-CN"/>
        </w:rPr>
        <w:t>供应商</w:t>
      </w:r>
      <w:r>
        <w:rPr>
          <w:rFonts w:hint="eastAsia"/>
          <w:bCs/>
          <w:i w:val="0"/>
          <w:iCs w:val="0"/>
          <w:color w:val="auto"/>
          <w:szCs w:val="21"/>
          <w:highlight w:val="none"/>
          <w:lang w:val="zh-CN"/>
        </w:rPr>
        <w:t>自行承担；</w:t>
      </w:r>
    </w:p>
    <w:p w14:paraId="2288B711">
      <w:pPr>
        <w:wordWrap w:val="0"/>
        <w:ind w:left="1087" w:hanging="1087" w:hangingChars="453"/>
        <w:rPr>
          <w:rFonts w:cs="Courier New"/>
          <w:i w:val="0"/>
          <w:iCs w:val="0"/>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71983F83">
      <w:pPr>
        <w:wordWrap w:val="0"/>
        <w:spacing w:before="100" w:beforeAutospacing="1" w:after="100" w:afterAutospacing="1"/>
        <w:ind w:firstLine="3316" w:firstLineChars="1382"/>
        <w:rPr>
          <w:bCs/>
          <w:i w:val="0"/>
          <w:iCs w:val="0"/>
          <w:color w:val="auto"/>
          <w:szCs w:val="21"/>
          <w:highlight w:val="none"/>
          <w:lang w:val="zh-CN"/>
        </w:rPr>
      </w:pPr>
      <w:r>
        <w:rPr>
          <w:rFonts w:hint="eastAsia"/>
          <w:bCs/>
          <w:i w:val="0"/>
          <w:iCs w:val="0"/>
          <w:color w:val="auto"/>
          <w:szCs w:val="21"/>
          <w:highlight w:val="none"/>
          <w:lang w:val="en-US" w:eastAsia="zh-CN"/>
        </w:rPr>
        <w:t>供应商</w:t>
      </w:r>
      <w:r>
        <w:rPr>
          <w:rFonts w:hint="eastAsia" w:ascii="宋体" w:hAnsi="宋体" w:eastAsia="宋体"/>
          <w:bCs/>
          <w:i w:val="0"/>
          <w:iCs w:val="0"/>
          <w:color w:val="auto"/>
          <w:szCs w:val="21"/>
          <w:highlight w:val="none"/>
          <w:lang w:val="en-US" w:eastAsia="zh-CN"/>
        </w:rPr>
        <w:t>名称</w:t>
      </w:r>
      <w:r>
        <w:rPr>
          <w:rFonts w:hint="eastAsia"/>
          <w:bCs/>
          <w:i w:val="0"/>
          <w:iCs w:val="0"/>
          <w:color w:val="auto"/>
          <w:szCs w:val="21"/>
          <w:highlight w:val="none"/>
          <w:lang w:val="en-US" w:eastAsia="zh-CN"/>
        </w:rPr>
        <w:t>（公章）</w:t>
      </w:r>
      <w:r>
        <w:rPr>
          <w:rFonts w:hint="eastAsia"/>
          <w:bCs/>
          <w:i w:val="0"/>
          <w:iCs w:val="0"/>
          <w:color w:val="auto"/>
          <w:szCs w:val="21"/>
          <w:highlight w:val="none"/>
          <w:lang w:val="zh-CN"/>
        </w:rPr>
        <w:t>：</w:t>
      </w:r>
      <w:r>
        <w:rPr>
          <w:rFonts w:hint="eastAsia"/>
          <w:bCs/>
          <w:i w:val="0"/>
          <w:iCs w:val="0"/>
          <w:color w:val="auto"/>
          <w:szCs w:val="21"/>
          <w:highlight w:val="none"/>
          <w:u w:val="single"/>
          <w:lang w:val="zh-CN"/>
        </w:rPr>
        <w:t xml:space="preserve">              </w:t>
      </w:r>
    </w:p>
    <w:p w14:paraId="3A972AC9">
      <w:pPr>
        <w:wordWrap w:val="0"/>
        <w:spacing w:before="100" w:beforeAutospacing="1" w:after="100" w:afterAutospacing="1"/>
        <w:ind w:firstLine="3316" w:firstLineChars="1382"/>
        <w:rPr>
          <w:i w:val="0"/>
          <w:iCs w:val="0"/>
          <w:color w:val="auto"/>
          <w:highlight w:val="none"/>
        </w:rPr>
      </w:pPr>
      <w:r>
        <w:rPr>
          <w:rFonts w:hint="eastAsia"/>
          <w:i w:val="0"/>
          <w:iCs w:val="0"/>
          <w:color w:val="auto"/>
          <w:szCs w:val="24"/>
          <w:highlight w:val="none"/>
        </w:rPr>
        <w:t>日</w:t>
      </w:r>
      <w:r>
        <w:rPr>
          <w:i w:val="0"/>
          <w:iCs w:val="0"/>
          <w:color w:val="auto"/>
          <w:szCs w:val="24"/>
          <w:highlight w:val="none"/>
        </w:rPr>
        <w:t xml:space="preserve">  </w:t>
      </w:r>
      <w:r>
        <w:rPr>
          <w:rFonts w:hint="eastAsia"/>
          <w:i w:val="0"/>
          <w:iCs w:val="0"/>
          <w:color w:val="auto"/>
          <w:szCs w:val="24"/>
          <w:highlight w:val="none"/>
        </w:rPr>
        <w:t>期：</w:t>
      </w:r>
      <w:r>
        <w:rPr>
          <w:bCs/>
          <w:i w:val="0"/>
          <w:iCs w:val="0"/>
          <w:color w:val="auto"/>
          <w:szCs w:val="24"/>
          <w:highlight w:val="none"/>
          <w:u w:val="single"/>
        </w:rPr>
        <w:t xml:space="preserve">                         </w:t>
      </w:r>
    </w:p>
    <w:p w14:paraId="6F5F8DCA">
      <w:pPr>
        <w:ind w:left="4620" w:firstLine="281" w:firstLineChars="100"/>
        <w:rPr>
          <w:rFonts w:cs="仿宋_GB2312"/>
          <w:b/>
          <w:i w:val="0"/>
          <w:iCs w:val="0"/>
          <w:color w:val="auto"/>
          <w:sz w:val="28"/>
          <w:szCs w:val="28"/>
          <w:highlight w:val="none"/>
        </w:rPr>
      </w:pPr>
    </w:p>
    <w:p w14:paraId="7BDD1A80">
      <w:pPr>
        <w:rPr>
          <w:i w:val="0"/>
          <w:iCs w:val="0"/>
          <w:color w:val="auto"/>
          <w:highlight w:val="none"/>
        </w:rPr>
      </w:pPr>
      <w:r>
        <w:rPr>
          <w:i w:val="0"/>
          <w:iCs w:val="0"/>
          <w:color w:val="auto"/>
          <w:highlight w:val="none"/>
        </w:rPr>
        <w:br w:type="page"/>
      </w:r>
    </w:p>
    <w:p w14:paraId="4044E1FE">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p>
    <w:p w14:paraId="14689676">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i w:val="0"/>
          <w:iCs w:val="0"/>
          <w:color w:val="auto"/>
          <w:kern w:val="2"/>
          <w:sz w:val="28"/>
          <w:szCs w:val="28"/>
          <w:highlight w:val="none"/>
          <w:lang w:val="en-US" w:eastAsia="zh-CN" w:bidi="ar-SA"/>
        </w:rPr>
      </w:pPr>
      <w:bookmarkStart w:id="698" w:name="_Toc25754"/>
      <w:r>
        <w:rPr>
          <w:rFonts w:hint="eastAsia" w:cstheme="majorBidi"/>
          <w:b/>
          <w:bCs/>
          <w:i w:val="0"/>
          <w:iCs w:val="0"/>
          <w:color w:val="auto"/>
          <w:kern w:val="2"/>
          <w:sz w:val="28"/>
          <w:szCs w:val="28"/>
          <w:highlight w:val="none"/>
          <w:lang w:val="en-US" w:eastAsia="zh-CN" w:bidi="ar-SA"/>
        </w:rPr>
        <w:t>五、不参与围标串标承诺书</w:t>
      </w:r>
      <w:bookmarkEnd w:id="698"/>
    </w:p>
    <w:p w14:paraId="415F309A">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p>
    <w:p w14:paraId="1FE71F6D">
      <w:pPr>
        <w:jc w:val="center"/>
        <w:rPr>
          <w:rFonts w:hint="eastAsia"/>
          <w:i w:val="0"/>
          <w:iCs w:val="0"/>
          <w:color w:val="auto"/>
          <w:highlight w:val="none"/>
          <w:lang w:val="en-US" w:eastAsia="zh-CN"/>
        </w:rPr>
      </w:pPr>
      <w:r>
        <w:rPr>
          <w:rFonts w:hint="eastAsia" w:cstheme="majorBidi"/>
          <w:b/>
          <w:bCs/>
          <w:i w:val="0"/>
          <w:iCs w:val="0"/>
          <w:color w:val="auto"/>
          <w:kern w:val="2"/>
          <w:sz w:val="32"/>
          <w:szCs w:val="32"/>
          <w:highlight w:val="none"/>
          <w:lang w:val="en-US" w:eastAsia="zh-CN" w:bidi="ar-SA"/>
        </w:rPr>
        <w:t>不参与围标串标承诺书</w:t>
      </w:r>
    </w:p>
    <w:p w14:paraId="2DC5E9C8">
      <w:pPr>
        <w:rPr>
          <w:rFonts w:hint="eastAsia"/>
          <w:i w:val="0"/>
          <w:iCs w:val="0"/>
          <w:color w:val="auto"/>
          <w:highlight w:val="none"/>
          <w:lang w:val="en-US" w:eastAsia="zh-CN"/>
        </w:rPr>
      </w:pPr>
      <w:r>
        <w:rPr>
          <w:rFonts w:hint="eastAsia"/>
          <w:i w:val="0"/>
          <w:iCs w:val="0"/>
          <w:color w:val="auto"/>
          <w:highlight w:val="none"/>
          <w:lang w:val="en-US" w:eastAsia="zh-CN"/>
        </w:rPr>
        <w:t>  </w:t>
      </w:r>
    </w:p>
    <w:p w14:paraId="338C56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本人作为经授权的供应商代表,清楚知晓我单位参与本项目竞争性磋商活动,对以下事项作出承诺：</w:t>
      </w:r>
    </w:p>
    <w:p w14:paraId="0FD000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p>
    <w:p w14:paraId="5E3346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一、我单位和我本人遵循公开透明、公平竞争、公正和诚实信用的原则,依法依规参与本项目竞标。</w:t>
      </w:r>
    </w:p>
    <w:p w14:paraId="13CE2D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二、我单位和我本人在本项目政府采购竞争性磋商活动中,未参与围标串标。</w:t>
      </w:r>
    </w:p>
    <w:p w14:paraId="21D04E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i w:val="0"/>
          <w:iCs w:val="0"/>
          <w:color w:val="auto"/>
          <w:highlight w:val="none"/>
          <w:lang w:val="en-US" w:eastAsia="zh-CN"/>
        </w:rPr>
      </w:pPr>
      <w:r>
        <w:rPr>
          <w:rFonts w:hint="eastAsia"/>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2AF251D5">
      <w:pPr>
        <w:pStyle w:val="16"/>
        <w:rPr>
          <w:rFonts w:hint="eastAsia"/>
          <w:i w:val="0"/>
          <w:iCs w:val="0"/>
          <w:color w:val="auto"/>
          <w:highlight w:val="none"/>
          <w:lang w:val="en-US" w:eastAsia="zh-CN"/>
        </w:rPr>
      </w:pPr>
    </w:p>
    <w:p w14:paraId="3F7EEDEF">
      <w:pPr>
        <w:spacing w:line="560" w:lineRule="exact"/>
        <w:rPr>
          <w:rFonts w:hint="eastAsia" w:ascii="宋体" w:hAnsi="宋体" w:eastAsia="宋体" w:cs="宋体"/>
          <w:i w:val="0"/>
          <w:iCs w:val="0"/>
          <w:color w:val="auto"/>
          <w:kern w:val="0"/>
          <w:sz w:val="24"/>
          <w:szCs w:val="24"/>
          <w:highlight w:val="none"/>
        </w:rPr>
      </w:pPr>
    </w:p>
    <w:p w14:paraId="663E9337">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w:t>
      </w:r>
      <w:r>
        <w:rPr>
          <w:rFonts w:hint="eastAsia" w:cs="宋体"/>
          <w:i w:val="0"/>
          <w:iCs w:val="0"/>
          <w:color w:val="auto"/>
          <w:kern w:val="0"/>
          <w:sz w:val="24"/>
          <w:szCs w:val="24"/>
          <w:highlight w:val="none"/>
          <w:lang w:eastAsia="zh-CN"/>
        </w:rPr>
        <w:t>公</w:t>
      </w:r>
      <w:r>
        <w:rPr>
          <w:rFonts w:hint="eastAsia" w:ascii="宋体" w:hAnsi="宋体" w:eastAsia="宋体" w:cs="宋体"/>
          <w:i w:val="0"/>
          <w:iCs w:val="0"/>
          <w:color w:val="auto"/>
          <w:kern w:val="0"/>
          <w:sz w:val="24"/>
          <w:szCs w:val="24"/>
          <w:highlight w:val="none"/>
          <w:lang w:eastAsia="zh-CN"/>
        </w:rPr>
        <w:t>章）</w:t>
      </w:r>
      <w:r>
        <w:rPr>
          <w:rFonts w:hint="eastAsia" w:ascii="宋体" w:hAnsi="宋体" w:eastAsia="宋体" w:cs="宋体"/>
          <w:i w:val="0"/>
          <w:iCs w:val="0"/>
          <w:color w:val="auto"/>
          <w:kern w:val="0"/>
          <w:sz w:val="24"/>
          <w:szCs w:val="24"/>
          <w:highlight w:val="none"/>
        </w:rPr>
        <w:t>：</w:t>
      </w:r>
    </w:p>
    <w:p w14:paraId="7D2617C5">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57156FA6">
      <w:pPr>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日期： 年 月 日</w:t>
      </w:r>
    </w:p>
    <w:p w14:paraId="55EFB222">
      <w:pPr>
        <w:spacing w:line="560" w:lineRule="exact"/>
        <w:rPr>
          <w:rFonts w:hint="eastAsia" w:ascii="宋体" w:hAnsi="宋体" w:eastAsia="宋体" w:cs="宋体"/>
          <w:i w:val="0"/>
          <w:iCs w:val="0"/>
          <w:color w:val="auto"/>
          <w:kern w:val="0"/>
          <w:sz w:val="24"/>
          <w:szCs w:val="24"/>
          <w:highlight w:val="none"/>
        </w:rPr>
      </w:pPr>
    </w:p>
    <w:p w14:paraId="13DA43E0">
      <w:pPr>
        <w:widowControl/>
        <w:spacing w:line="560" w:lineRule="exact"/>
        <w:ind w:firstLine="630"/>
        <w:jc w:val="left"/>
        <w:rPr>
          <w:rFonts w:hint="eastAsia" w:ascii="宋体" w:hAnsi="宋体" w:eastAsia="宋体" w:cs="宋体"/>
          <w:i w:val="0"/>
          <w:iCs w:val="0"/>
          <w:color w:val="auto"/>
          <w:kern w:val="0"/>
          <w:sz w:val="24"/>
          <w:szCs w:val="24"/>
          <w:highlight w:val="none"/>
        </w:rPr>
      </w:pPr>
    </w:p>
    <w:p w14:paraId="7CD72A88">
      <w:pPr>
        <w:pStyle w:val="16"/>
        <w:rPr>
          <w:rFonts w:hint="eastAsia"/>
          <w:i w:val="0"/>
          <w:iCs w:val="0"/>
          <w:color w:val="auto"/>
          <w:highlight w:val="none"/>
          <w:lang w:val="en-US" w:eastAsia="zh-CN"/>
        </w:rPr>
      </w:pPr>
    </w:p>
    <w:p w14:paraId="6FC519D1">
      <w:pPr>
        <w:pStyle w:val="16"/>
        <w:rPr>
          <w:rFonts w:hint="eastAsia"/>
          <w:i w:val="0"/>
          <w:iCs w:val="0"/>
          <w:color w:val="auto"/>
          <w:highlight w:val="none"/>
          <w:lang w:val="en-US" w:eastAsia="zh-CN"/>
        </w:rPr>
      </w:pPr>
    </w:p>
    <w:p w14:paraId="7500053D">
      <w:pPr>
        <w:pStyle w:val="16"/>
        <w:rPr>
          <w:rFonts w:hint="eastAsia"/>
          <w:i w:val="0"/>
          <w:iCs w:val="0"/>
          <w:color w:val="auto"/>
          <w:highlight w:val="none"/>
          <w:lang w:val="en-US" w:eastAsia="zh-CN"/>
        </w:rPr>
      </w:pPr>
    </w:p>
    <w:p w14:paraId="5BF64493">
      <w:pPr>
        <w:pStyle w:val="16"/>
        <w:rPr>
          <w:rFonts w:hint="eastAsia"/>
          <w:i w:val="0"/>
          <w:iCs w:val="0"/>
          <w:color w:val="auto"/>
          <w:highlight w:val="none"/>
          <w:lang w:val="en-US" w:eastAsia="zh-CN"/>
        </w:rPr>
      </w:pPr>
    </w:p>
    <w:p w14:paraId="5CA01A8B">
      <w:pPr>
        <w:pStyle w:val="16"/>
        <w:rPr>
          <w:rFonts w:hint="eastAsia"/>
          <w:i w:val="0"/>
          <w:iCs w:val="0"/>
          <w:color w:val="auto"/>
          <w:highlight w:val="none"/>
          <w:lang w:val="en-US" w:eastAsia="zh-CN"/>
        </w:rPr>
      </w:pPr>
    </w:p>
    <w:p w14:paraId="029F743D">
      <w:pPr>
        <w:pStyle w:val="16"/>
        <w:rPr>
          <w:rFonts w:hint="eastAsia"/>
          <w:i w:val="0"/>
          <w:iCs w:val="0"/>
          <w:color w:val="auto"/>
          <w:highlight w:val="none"/>
          <w:lang w:val="en-US" w:eastAsia="zh-CN"/>
        </w:rPr>
      </w:pPr>
    </w:p>
    <w:p w14:paraId="41587146">
      <w:pPr>
        <w:pStyle w:val="16"/>
        <w:rPr>
          <w:rFonts w:hint="eastAsia"/>
          <w:i w:val="0"/>
          <w:iCs w:val="0"/>
          <w:color w:val="auto"/>
          <w:highlight w:val="none"/>
          <w:lang w:val="en-US" w:eastAsia="zh-CN"/>
        </w:rPr>
      </w:pPr>
    </w:p>
    <w:p w14:paraId="34406338">
      <w:pPr>
        <w:widowControl/>
        <w:spacing w:before="100" w:beforeAutospacing="1" w:after="100" w:afterAutospacing="1"/>
        <w:rPr>
          <w:rFonts w:hint="eastAsia" w:ascii="Arial" w:hAnsi="Arial" w:cs="Arial"/>
          <w:i w:val="0"/>
          <w:iCs w:val="0"/>
          <w:color w:val="auto"/>
          <w:sz w:val="21"/>
          <w:szCs w:val="21"/>
          <w:highlight w:val="none"/>
          <w:lang w:val="en-US" w:eastAsia="zh-CN"/>
        </w:rPr>
      </w:pPr>
    </w:p>
    <w:p w14:paraId="13DEAFB3">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i w:val="0"/>
          <w:iCs w:val="0"/>
          <w:color w:val="auto"/>
          <w:kern w:val="2"/>
          <w:sz w:val="24"/>
          <w:szCs w:val="24"/>
          <w:highlight w:val="none"/>
          <w:lang w:val="en-US" w:eastAsia="zh-CN" w:bidi="ar-SA"/>
        </w:rPr>
      </w:pPr>
    </w:p>
    <w:p w14:paraId="2F6D1729">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i w:val="0"/>
          <w:iCs w:val="0"/>
          <w:color w:val="auto"/>
          <w:kern w:val="2"/>
          <w:sz w:val="28"/>
          <w:szCs w:val="28"/>
          <w:highlight w:val="none"/>
          <w:lang w:val="zh-CN" w:eastAsia="zh-CN" w:bidi="ar-SA"/>
        </w:rPr>
      </w:pPr>
      <w:bookmarkStart w:id="699" w:name="_Toc19980"/>
      <w:r>
        <w:rPr>
          <w:rFonts w:hint="eastAsia" w:cstheme="majorBidi"/>
          <w:b/>
          <w:bCs/>
          <w:i w:val="0"/>
          <w:iCs w:val="0"/>
          <w:color w:val="auto"/>
          <w:kern w:val="2"/>
          <w:sz w:val="28"/>
          <w:szCs w:val="28"/>
          <w:highlight w:val="none"/>
          <w:lang w:val="en-US" w:eastAsia="zh-CN" w:bidi="ar-SA"/>
        </w:rPr>
        <w:t>六</w:t>
      </w:r>
      <w:r>
        <w:rPr>
          <w:rFonts w:hint="eastAsia" w:eastAsia="宋体" w:asciiTheme="majorHAnsi" w:hAnsiTheme="majorHAnsi" w:cstheme="majorBidi"/>
          <w:b/>
          <w:bCs/>
          <w:i w:val="0"/>
          <w:iCs w:val="0"/>
          <w:color w:val="auto"/>
          <w:kern w:val="2"/>
          <w:sz w:val="28"/>
          <w:szCs w:val="28"/>
          <w:highlight w:val="none"/>
          <w:lang w:val="en-US" w:eastAsia="zh-CN" w:bidi="ar-SA"/>
        </w:rPr>
        <w:t>、</w:t>
      </w:r>
      <w:r>
        <w:rPr>
          <w:rFonts w:hint="eastAsia" w:eastAsia="宋体" w:asciiTheme="majorHAnsi" w:hAnsiTheme="majorHAnsi" w:cstheme="majorBidi"/>
          <w:b/>
          <w:bCs/>
          <w:i w:val="0"/>
          <w:iCs w:val="0"/>
          <w:color w:val="auto"/>
          <w:kern w:val="2"/>
          <w:sz w:val="28"/>
          <w:szCs w:val="28"/>
          <w:highlight w:val="none"/>
          <w:lang w:val="zh-CN" w:eastAsia="zh-CN" w:bidi="ar-SA"/>
        </w:rPr>
        <w:t>其他资格证明文件</w:t>
      </w:r>
      <w:bookmarkEnd w:id="699"/>
    </w:p>
    <w:p w14:paraId="0C24F0AE">
      <w:pPr>
        <w:pStyle w:val="41"/>
        <w:rPr>
          <w:rFonts w:hint="eastAsia"/>
          <w:i w:val="0"/>
          <w:iCs w:val="0"/>
          <w:color w:val="auto"/>
          <w:highlight w:val="none"/>
        </w:rPr>
      </w:pPr>
      <w:r>
        <w:rPr>
          <w:rFonts w:hint="eastAsia" w:cs="Courier New"/>
          <w:i w:val="0"/>
          <w:iCs w:val="0"/>
          <w:color w:val="auto"/>
          <w:szCs w:val="24"/>
          <w:highlight w:val="none"/>
          <w:lang w:val="en-US" w:eastAsia="zh-CN"/>
        </w:rPr>
        <w:t>供应商</w:t>
      </w:r>
      <w:r>
        <w:rPr>
          <w:rFonts w:hint="eastAsia" w:cs="Courier New"/>
          <w:i w:val="0"/>
          <w:iCs w:val="0"/>
          <w:color w:val="auto"/>
          <w:szCs w:val="24"/>
          <w:highlight w:val="none"/>
        </w:rPr>
        <w:t>认为需提供的其它相关资格证明材料</w:t>
      </w:r>
    </w:p>
    <w:p w14:paraId="7C2C3E83">
      <w:pPr>
        <w:pStyle w:val="41"/>
        <w:rPr>
          <w:rFonts w:hint="eastAsia"/>
          <w:i w:val="0"/>
          <w:iCs w:val="0"/>
          <w:color w:val="auto"/>
          <w:highlight w:val="none"/>
        </w:rPr>
      </w:pPr>
    </w:p>
    <w:p w14:paraId="58A36194">
      <w:pPr>
        <w:pStyle w:val="41"/>
        <w:rPr>
          <w:rFonts w:hint="eastAsia"/>
          <w:i w:val="0"/>
          <w:iCs w:val="0"/>
          <w:color w:val="auto"/>
          <w:highlight w:val="none"/>
        </w:rPr>
      </w:pPr>
    </w:p>
    <w:p w14:paraId="3553B395">
      <w:pPr>
        <w:pStyle w:val="41"/>
        <w:rPr>
          <w:rFonts w:hint="eastAsia"/>
          <w:i w:val="0"/>
          <w:iCs w:val="0"/>
          <w:color w:val="auto"/>
          <w:highlight w:val="none"/>
        </w:rPr>
      </w:pPr>
    </w:p>
    <w:p w14:paraId="49D404FC">
      <w:pPr>
        <w:pStyle w:val="41"/>
        <w:rPr>
          <w:rFonts w:hint="eastAsia"/>
          <w:i w:val="0"/>
          <w:iCs w:val="0"/>
          <w:color w:val="auto"/>
          <w:highlight w:val="none"/>
        </w:rPr>
      </w:pPr>
    </w:p>
    <w:p w14:paraId="4B98E4B6">
      <w:pPr>
        <w:pStyle w:val="41"/>
        <w:rPr>
          <w:rFonts w:hint="eastAsia"/>
          <w:i w:val="0"/>
          <w:iCs w:val="0"/>
          <w:color w:val="auto"/>
          <w:highlight w:val="none"/>
        </w:rPr>
      </w:pPr>
    </w:p>
    <w:p w14:paraId="737FEDD3">
      <w:pPr>
        <w:pStyle w:val="41"/>
        <w:rPr>
          <w:rFonts w:hint="eastAsia"/>
          <w:i w:val="0"/>
          <w:iCs w:val="0"/>
          <w:color w:val="auto"/>
          <w:highlight w:val="none"/>
        </w:rPr>
      </w:pPr>
    </w:p>
    <w:p w14:paraId="1C876135">
      <w:pPr>
        <w:pStyle w:val="41"/>
        <w:rPr>
          <w:rFonts w:hint="eastAsia"/>
          <w:i w:val="0"/>
          <w:iCs w:val="0"/>
          <w:color w:val="auto"/>
          <w:highlight w:val="none"/>
        </w:rPr>
      </w:pPr>
    </w:p>
    <w:p w14:paraId="7E85C842">
      <w:pPr>
        <w:pStyle w:val="41"/>
        <w:rPr>
          <w:rFonts w:hint="eastAsia"/>
          <w:i w:val="0"/>
          <w:iCs w:val="0"/>
          <w:color w:val="auto"/>
          <w:highlight w:val="none"/>
        </w:rPr>
      </w:pPr>
    </w:p>
    <w:p w14:paraId="4CBE3B0D">
      <w:pPr>
        <w:pStyle w:val="41"/>
        <w:rPr>
          <w:rFonts w:hint="eastAsia"/>
          <w:i w:val="0"/>
          <w:iCs w:val="0"/>
          <w:color w:val="auto"/>
          <w:highlight w:val="none"/>
        </w:rPr>
      </w:pPr>
    </w:p>
    <w:p w14:paraId="2E6E451F">
      <w:pPr>
        <w:pStyle w:val="41"/>
        <w:rPr>
          <w:rFonts w:hint="eastAsia"/>
          <w:i w:val="0"/>
          <w:iCs w:val="0"/>
          <w:color w:val="auto"/>
          <w:highlight w:val="none"/>
        </w:rPr>
      </w:pPr>
    </w:p>
    <w:p w14:paraId="38DC2C55">
      <w:pPr>
        <w:pStyle w:val="41"/>
        <w:rPr>
          <w:rFonts w:hint="eastAsia"/>
          <w:i w:val="0"/>
          <w:iCs w:val="0"/>
          <w:color w:val="auto"/>
          <w:highlight w:val="none"/>
        </w:rPr>
      </w:pPr>
    </w:p>
    <w:p w14:paraId="04DAFD3C">
      <w:pPr>
        <w:pStyle w:val="41"/>
        <w:rPr>
          <w:rFonts w:hint="eastAsia"/>
          <w:i w:val="0"/>
          <w:iCs w:val="0"/>
          <w:color w:val="auto"/>
          <w:highlight w:val="none"/>
        </w:rPr>
      </w:pPr>
    </w:p>
    <w:p w14:paraId="51E24CDC">
      <w:pPr>
        <w:pStyle w:val="41"/>
        <w:rPr>
          <w:rFonts w:hint="eastAsia"/>
          <w:i w:val="0"/>
          <w:iCs w:val="0"/>
          <w:color w:val="auto"/>
          <w:highlight w:val="none"/>
        </w:rPr>
      </w:pPr>
    </w:p>
    <w:p w14:paraId="1AC1942E">
      <w:pPr>
        <w:pStyle w:val="41"/>
        <w:rPr>
          <w:rFonts w:hint="eastAsia"/>
          <w:i w:val="0"/>
          <w:iCs w:val="0"/>
          <w:color w:val="auto"/>
          <w:highlight w:val="none"/>
        </w:rPr>
      </w:pPr>
    </w:p>
    <w:p w14:paraId="4722E259">
      <w:pPr>
        <w:pStyle w:val="41"/>
        <w:rPr>
          <w:rFonts w:hint="eastAsia"/>
          <w:i w:val="0"/>
          <w:iCs w:val="0"/>
          <w:color w:val="auto"/>
          <w:highlight w:val="none"/>
        </w:rPr>
      </w:pPr>
    </w:p>
    <w:p w14:paraId="07033BD3">
      <w:pPr>
        <w:pStyle w:val="41"/>
        <w:rPr>
          <w:rFonts w:hint="eastAsia"/>
          <w:i w:val="0"/>
          <w:iCs w:val="0"/>
          <w:color w:val="auto"/>
          <w:highlight w:val="none"/>
        </w:rPr>
      </w:pPr>
    </w:p>
    <w:p w14:paraId="6E1D094D">
      <w:pPr>
        <w:pStyle w:val="41"/>
        <w:rPr>
          <w:rFonts w:hint="eastAsia"/>
          <w:i w:val="0"/>
          <w:iCs w:val="0"/>
          <w:color w:val="auto"/>
          <w:highlight w:val="none"/>
        </w:rPr>
      </w:pPr>
    </w:p>
    <w:p w14:paraId="23B0DB54">
      <w:pPr>
        <w:pStyle w:val="41"/>
        <w:rPr>
          <w:rFonts w:hint="eastAsia"/>
          <w:i w:val="0"/>
          <w:iCs w:val="0"/>
          <w:color w:val="auto"/>
          <w:highlight w:val="none"/>
        </w:rPr>
      </w:pPr>
    </w:p>
    <w:p w14:paraId="07159DF6">
      <w:pPr>
        <w:pStyle w:val="41"/>
        <w:rPr>
          <w:rFonts w:hint="eastAsia"/>
          <w:i w:val="0"/>
          <w:iCs w:val="0"/>
          <w:color w:val="auto"/>
          <w:highlight w:val="none"/>
        </w:rPr>
      </w:pPr>
    </w:p>
    <w:p w14:paraId="44B3A5AA">
      <w:pPr>
        <w:pStyle w:val="41"/>
        <w:rPr>
          <w:rFonts w:hint="eastAsia"/>
          <w:i w:val="0"/>
          <w:iCs w:val="0"/>
          <w:color w:val="auto"/>
          <w:highlight w:val="none"/>
        </w:rPr>
      </w:pPr>
    </w:p>
    <w:p w14:paraId="05BB178A">
      <w:pPr>
        <w:pStyle w:val="41"/>
        <w:rPr>
          <w:rFonts w:hint="eastAsia"/>
          <w:i w:val="0"/>
          <w:iCs w:val="0"/>
          <w:color w:val="auto"/>
          <w:highlight w:val="none"/>
        </w:rPr>
      </w:pPr>
    </w:p>
    <w:p w14:paraId="0E7980AB">
      <w:pPr>
        <w:pStyle w:val="41"/>
        <w:rPr>
          <w:rFonts w:hint="eastAsia"/>
          <w:i w:val="0"/>
          <w:iCs w:val="0"/>
          <w:color w:val="auto"/>
          <w:highlight w:val="none"/>
        </w:rPr>
      </w:pPr>
    </w:p>
    <w:p w14:paraId="5A09B930">
      <w:pPr>
        <w:pStyle w:val="41"/>
        <w:rPr>
          <w:rFonts w:hint="eastAsia"/>
          <w:i w:val="0"/>
          <w:iCs w:val="0"/>
          <w:color w:val="auto"/>
          <w:highlight w:val="none"/>
        </w:rPr>
      </w:pPr>
    </w:p>
    <w:p w14:paraId="3FB1F62E">
      <w:pPr>
        <w:pStyle w:val="41"/>
        <w:rPr>
          <w:rFonts w:hint="eastAsia"/>
          <w:i w:val="0"/>
          <w:iCs w:val="0"/>
          <w:color w:val="auto"/>
          <w:highlight w:val="none"/>
        </w:rPr>
      </w:pPr>
    </w:p>
    <w:p w14:paraId="674D4B47">
      <w:pPr>
        <w:pStyle w:val="41"/>
        <w:rPr>
          <w:rFonts w:hint="eastAsia"/>
          <w:i w:val="0"/>
          <w:iCs w:val="0"/>
          <w:color w:val="auto"/>
          <w:highlight w:val="none"/>
        </w:rPr>
      </w:pPr>
    </w:p>
    <w:p w14:paraId="29F4C723">
      <w:pPr>
        <w:pStyle w:val="41"/>
        <w:rPr>
          <w:rFonts w:hint="eastAsia"/>
          <w:i w:val="0"/>
          <w:iCs w:val="0"/>
          <w:color w:val="auto"/>
          <w:highlight w:val="none"/>
        </w:rPr>
      </w:pPr>
    </w:p>
    <w:p w14:paraId="1047D3EE">
      <w:pPr>
        <w:pStyle w:val="7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FC23E9A">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579E32CA">
      <w:pPr>
        <w:autoSpaceDE w:val="0"/>
        <w:autoSpaceDN w:val="0"/>
        <w:adjustRightInd w:val="0"/>
        <w:rPr>
          <w:i w:val="0"/>
          <w:iCs w:val="0"/>
          <w:color w:val="auto"/>
          <w:sz w:val="21"/>
          <w:szCs w:val="24"/>
          <w:highlight w:val="none"/>
        </w:rPr>
      </w:pPr>
    </w:p>
    <w:p w14:paraId="2CC27B4B">
      <w:pPr>
        <w:autoSpaceDE w:val="0"/>
        <w:autoSpaceDN w:val="0"/>
        <w:adjustRightInd w:val="0"/>
        <w:rPr>
          <w:i w:val="0"/>
          <w:iCs w:val="0"/>
          <w:color w:val="auto"/>
          <w:sz w:val="21"/>
          <w:szCs w:val="24"/>
          <w:highlight w:val="none"/>
        </w:rPr>
      </w:pPr>
    </w:p>
    <w:p w14:paraId="63CA31F9">
      <w:pPr>
        <w:autoSpaceDE w:val="0"/>
        <w:autoSpaceDN w:val="0"/>
        <w:adjustRightInd w:val="0"/>
        <w:jc w:val="center"/>
        <w:rPr>
          <w:i w:val="0"/>
          <w:iCs w:val="0"/>
          <w:color w:val="auto"/>
          <w:sz w:val="21"/>
          <w:szCs w:val="24"/>
          <w:highlight w:val="none"/>
        </w:rPr>
      </w:pPr>
    </w:p>
    <w:p w14:paraId="0F2A8793">
      <w:pPr>
        <w:pStyle w:val="2"/>
        <w:bidi w:val="0"/>
        <w:jc w:val="center"/>
        <w:rPr>
          <w:sz w:val="84"/>
          <w:szCs w:val="84"/>
        </w:rPr>
      </w:pPr>
      <w:bookmarkStart w:id="700" w:name="_Toc25204"/>
      <w:r>
        <w:rPr>
          <w:rFonts w:hint="eastAsia"/>
          <w:sz w:val="84"/>
          <w:szCs w:val="84"/>
          <w:lang w:val="en-US" w:eastAsia="zh-CN"/>
        </w:rPr>
        <w:t>响 应</w:t>
      </w:r>
      <w:r>
        <w:rPr>
          <w:rFonts w:hint="eastAsia"/>
          <w:sz w:val="84"/>
          <w:szCs w:val="84"/>
        </w:rPr>
        <w:t xml:space="preserve"> 文 件</w:t>
      </w:r>
      <w:bookmarkEnd w:id="700"/>
    </w:p>
    <w:p w14:paraId="383861DE">
      <w:pPr>
        <w:pStyle w:val="2"/>
        <w:bidi w:val="0"/>
        <w:jc w:val="center"/>
        <w:rPr>
          <w:rFonts w:hint="eastAsia"/>
          <w:sz w:val="56"/>
          <w:szCs w:val="56"/>
          <w:lang w:val="en-US" w:eastAsia="zh-CN"/>
        </w:rPr>
      </w:pPr>
      <w:bookmarkStart w:id="701" w:name="_Toc6323"/>
      <w:r>
        <w:rPr>
          <w:rFonts w:hint="eastAsia"/>
          <w:sz w:val="56"/>
          <w:szCs w:val="56"/>
          <w:lang w:val="en-US" w:eastAsia="zh-CN"/>
        </w:rPr>
        <w:t>报价文件</w:t>
      </w:r>
      <w:bookmarkEnd w:id="701"/>
    </w:p>
    <w:p w14:paraId="213DD66C">
      <w:pPr>
        <w:autoSpaceDE w:val="0"/>
        <w:autoSpaceDN w:val="0"/>
        <w:adjustRightInd w:val="0"/>
        <w:jc w:val="center"/>
        <w:rPr>
          <w:rFonts w:hint="eastAsia" w:eastAsia="宋体"/>
          <w:i w:val="0"/>
          <w:iCs w:val="0"/>
          <w:color w:val="auto"/>
          <w:sz w:val="36"/>
          <w:szCs w:val="36"/>
          <w:highlight w:val="none"/>
          <w:lang w:eastAsia="zh-CN"/>
        </w:rPr>
      </w:pPr>
      <w:r>
        <w:rPr>
          <w:rFonts w:hint="eastAsia"/>
          <w:i w:val="0"/>
          <w:iCs w:val="0"/>
          <w:color w:val="auto"/>
          <w:sz w:val="36"/>
          <w:szCs w:val="36"/>
          <w:highlight w:val="none"/>
          <w:lang w:val="en-US" w:eastAsia="zh-CN"/>
        </w:rPr>
        <w:t>（第XX包</w:t>
      </w:r>
      <w:r>
        <w:rPr>
          <w:rFonts w:hint="eastAsia"/>
          <w:i w:val="0"/>
          <w:iCs w:val="0"/>
          <w:color w:val="auto"/>
          <w:sz w:val="36"/>
          <w:szCs w:val="36"/>
          <w:highlight w:val="none"/>
          <w:lang w:eastAsia="zh-CN"/>
        </w:rPr>
        <w:t>）【</w:t>
      </w:r>
      <w:r>
        <w:rPr>
          <w:rFonts w:hint="eastAsia"/>
          <w:i w:val="0"/>
          <w:iCs w:val="0"/>
          <w:color w:val="auto"/>
          <w:sz w:val="36"/>
          <w:szCs w:val="36"/>
          <w:highlight w:val="none"/>
          <w:lang w:val="en-US" w:eastAsia="zh-CN"/>
        </w:rPr>
        <w:t>如不分包，请删去本行</w:t>
      </w:r>
      <w:r>
        <w:rPr>
          <w:rFonts w:hint="eastAsia"/>
          <w:i w:val="0"/>
          <w:iCs w:val="0"/>
          <w:color w:val="auto"/>
          <w:sz w:val="36"/>
          <w:szCs w:val="36"/>
          <w:highlight w:val="none"/>
          <w:lang w:eastAsia="zh-CN"/>
        </w:rPr>
        <w:t>】</w:t>
      </w:r>
    </w:p>
    <w:p w14:paraId="798A956E">
      <w:pPr>
        <w:pStyle w:val="2"/>
        <w:rPr>
          <w:i w:val="0"/>
          <w:iCs w:val="0"/>
          <w:color w:val="auto"/>
          <w:sz w:val="21"/>
          <w:szCs w:val="21"/>
          <w:highlight w:val="none"/>
        </w:rPr>
      </w:pPr>
    </w:p>
    <w:p w14:paraId="24B6A268">
      <w:pPr>
        <w:rPr>
          <w:i w:val="0"/>
          <w:iCs w:val="0"/>
          <w:color w:val="auto"/>
          <w:sz w:val="21"/>
          <w:szCs w:val="21"/>
          <w:highlight w:val="none"/>
        </w:rPr>
      </w:pPr>
    </w:p>
    <w:p w14:paraId="3DC104B3">
      <w:pPr>
        <w:rPr>
          <w:i w:val="0"/>
          <w:iCs w:val="0"/>
          <w:color w:val="auto"/>
          <w:highlight w:val="none"/>
        </w:rPr>
      </w:pPr>
    </w:p>
    <w:p w14:paraId="6EE89269">
      <w:pPr>
        <w:autoSpaceDE w:val="0"/>
        <w:autoSpaceDN w:val="0"/>
        <w:adjustRightInd w:val="0"/>
        <w:rPr>
          <w:i w:val="0"/>
          <w:iCs w:val="0"/>
          <w:color w:val="auto"/>
          <w:sz w:val="21"/>
          <w:szCs w:val="21"/>
          <w:highlight w:val="none"/>
        </w:rPr>
      </w:pPr>
    </w:p>
    <w:p w14:paraId="6F475132">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0173F70E">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01680F9">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3B6644C">
      <w:pPr>
        <w:ind w:left="840" w:firstLine="420"/>
        <w:rPr>
          <w:b/>
          <w:bCs/>
          <w:i w:val="0"/>
          <w:iCs w:val="0"/>
          <w:color w:val="auto"/>
          <w:sz w:val="28"/>
          <w:szCs w:val="28"/>
          <w:highlight w:val="none"/>
        </w:rPr>
      </w:pPr>
    </w:p>
    <w:p w14:paraId="17D47AB2">
      <w:pPr>
        <w:ind w:left="840" w:firstLine="420"/>
        <w:rPr>
          <w:b/>
          <w:bCs/>
          <w:i w:val="0"/>
          <w:iCs w:val="0"/>
          <w:color w:val="auto"/>
          <w:sz w:val="28"/>
          <w:szCs w:val="28"/>
          <w:highlight w:val="none"/>
        </w:rPr>
      </w:pPr>
    </w:p>
    <w:p w14:paraId="189AF4A8">
      <w:pPr>
        <w:jc w:val="center"/>
        <w:rPr>
          <w:rFonts w:ascii="黑体" w:hAnsi="黑体" w:eastAsia="黑体"/>
          <w:i w:val="0"/>
          <w:iCs w:val="0"/>
          <w:color w:val="auto"/>
          <w:sz w:val="32"/>
          <w:szCs w:val="32"/>
          <w:highlight w:val="none"/>
        </w:rPr>
      </w:pPr>
      <w:r>
        <w:rPr>
          <w:rFonts w:hint="eastAsia" w:ascii="宋体" w:hAnsi="宋体" w:eastAsia="宋体" w:cs="宋体"/>
          <w:i w:val="0"/>
          <w:iCs w:val="0"/>
          <w:color w:val="auto"/>
          <w:sz w:val="32"/>
          <w:szCs w:val="32"/>
          <w:highlight w:val="none"/>
        </w:rPr>
        <w:t>年   月    日</w:t>
      </w:r>
    </w:p>
    <w:p w14:paraId="2B025C97">
      <w:pPr>
        <w:rPr>
          <w:i w:val="0"/>
          <w:iCs w:val="0"/>
          <w:color w:val="auto"/>
          <w:highlight w:val="none"/>
          <w:lang w:val="zh-CN"/>
        </w:rPr>
      </w:pPr>
      <w:r>
        <w:rPr>
          <w:i w:val="0"/>
          <w:iCs w:val="0"/>
          <w:color w:val="auto"/>
          <w:highlight w:val="none"/>
          <w:lang w:val="zh-CN"/>
        </w:rPr>
        <w:br w:type="page"/>
      </w:r>
    </w:p>
    <w:p w14:paraId="5A6B7717">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30DA0B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702" w:name="_Toc10882"/>
      <w:r>
        <w:rPr>
          <w:rFonts w:hint="eastAsia" w:cstheme="majorBidi"/>
          <w:b/>
          <w:bCs/>
          <w:i w:val="0"/>
          <w:iCs w:val="0"/>
          <w:color w:val="auto"/>
          <w:kern w:val="2"/>
          <w:sz w:val="32"/>
          <w:szCs w:val="32"/>
          <w:highlight w:val="none"/>
          <w:lang w:val="en-US" w:eastAsia="zh-CN" w:bidi="ar-SA"/>
        </w:rPr>
        <w:t>一、报价一览表</w:t>
      </w:r>
      <w:bookmarkEnd w:id="702"/>
    </w:p>
    <w:p w14:paraId="2AB3D72A">
      <w:pPr>
        <w:spacing w:line="300" w:lineRule="auto"/>
        <w:rPr>
          <w:rFonts w:cs="仿宋_GB2312"/>
          <w:i w:val="0"/>
          <w:iCs w:val="0"/>
          <w:color w:val="auto"/>
          <w:szCs w:val="24"/>
          <w:highlight w:val="none"/>
        </w:rPr>
      </w:pPr>
    </w:p>
    <w:p w14:paraId="2E702B28">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p>
    <w:p w14:paraId="573A0361">
      <w:pPr>
        <w:rPr>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3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序号</w:t>
            </w:r>
          </w:p>
        </w:tc>
        <w:tc>
          <w:tcPr>
            <w:tcW w:w="2352" w:type="dxa"/>
            <w:vAlign w:val="center"/>
          </w:tcPr>
          <w:p w14:paraId="5D10FF2E">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磋商</w:t>
            </w:r>
            <w:r>
              <w:rPr>
                <w:rFonts w:hint="eastAsia"/>
                <w:i w:val="0"/>
                <w:iCs w:val="0"/>
                <w:color w:val="auto"/>
                <w:szCs w:val="21"/>
                <w:highlight w:val="none"/>
              </w:rPr>
              <w:t>报价</w:t>
            </w:r>
          </w:p>
        </w:tc>
        <w:tc>
          <w:tcPr>
            <w:tcW w:w="2161" w:type="dxa"/>
            <w:vAlign w:val="center"/>
          </w:tcPr>
          <w:p w14:paraId="48CC1886">
            <w:pPr>
              <w:widowControl/>
              <w:autoSpaceDE w:val="0"/>
              <w:autoSpaceDN w:val="0"/>
              <w:ind w:left="851" w:hanging="851"/>
              <w:jc w:val="center"/>
              <w:textAlignment w:val="bottom"/>
              <w:rPr>
                <w:i w:val="0"/>
                <w:iCs w:val="0"/>
                <w:color w:val="auto"/>
                <w:szCs w:val="21"/>
                <w:highlight w:val="none"/>
              </w:rPr>
            </w:pPr>
            <w:r>
              <w:rPr>
                <w:rFonts w:hint="eastAsia"/>
                <w:i w:val="0"/>
                <w:iCs w:val="0"/>
                <w:color w:val="auto"/>
                <w:szCs w:val="21"/>
                <w:highlight w:val="none"/>
                <w:lang w:val="en-US" w:eastAsia="zh-CN"/>
              </w:rPr>
              <w:t>服务</w:t>
            </w:r>
            <w:r>
              <w:rPr>
                <w:rFonts w:hint="eastAsia"/>
                <w:i w:val="0"/>
                <w:iCs w:val="0"/>
                <w:color w:val="auto"/>
                <w:szCs w:val="21"/>
                <w:highlight w:val="none"/>
              </w:rPr>
              <w:t>期限</w:t>
            </w:r>
          </w:p>
        </w:tc>
        <w:tc>
          <w:tcPr>
            <w:tcW w:w="2611" w:type="dxa"/>
            <w:vAlign w:val="center"/>
          </w:tcPr>
          <w:p w14:paraId="620875ED">
            <w:pPr>
              <w:widowControl/>
              <w:autoSpaceDE w:val="0"/>
              <w:autoSpaceDN w:val="0"/>
              <w:jc w:val="center"/>
              <w:textAlignment w:val="bottom"/>
              <w:rPr>
                <w:i w:val="0"/>
                <w:iCs w:val="0"/>
                <w:color w:val="auto"/>
                <w:szCs w:val="21"/>
                <w:highlight w:val="none"/>
              </w:rPr>
            </w:pPr>
            <w:r>
              <w:rPr>
                <w:rFonts w:hint="eastAsia"/>
                <w:i w:val="0"/>
                <w:iCs w:val="0"/>
                <w:color w:val="auto"/>
                <w:szCs w:val="21"/>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i w:val="0"/>
                <w:iCs w:val="0"/>
                <w:color w:val="auto"/>
                <w:sz w:val="28"/>
                <w:highlight w:val="none"/>
              </w:rPr>
            </w:pPr>
          </w:p>
        </w:tc>
        <w:tc>
          <w:tcPr>
            <w:tcW w:w="2352" w:type="dxa"/>
            <w:vAlign w:val="center"/>
          </w:tcPr>
          <w:p w14:paraId="5670501B">
            <w:pPr>
              <w:widowControl/>
              <w:autoSpaceDE w:val="0"/>
              <w:autoSpaceDN w:val="0"/>
              <w:spacing w:line="240" w:lineRule="auto"/>
              <w:ind w:left="851" w:hanging="851"/>
              <w:jc w:val="left"/>
              <w:textAlignment w:val="bottom"/>
              <w:rPr>
                <w:rFonts w:hint="eastAsia"/>
                <w:i w:val="0"/>
                <w:iCs w:val="0"/>
                <w:color w:val="auto"/>
                <w:szCs w:val="21"/>
                <w:highlight w:val="none"/>
                <w:lang w:val="en-US" w:eastAsia="zh-CN"/>
              </w:rPr>
            </w:pPr>
            <w:r>
              <w:rPr>
                <w:rFonts w:hint="eastAsia"/>
                <w:i w:val="0"/>
                <w:iCs w:val="0"/>
                <w:color w:val="auto"/>
                <w:szCs w:val="21"/>
                <w:highlight w:val="none"/>
                <w:lang w:val="en-US" w:eastAsia="zh-CN"/>
              </w:rPr>
              <w:t>小写：</w:t>
            </w:r>
          </w:p>
          <w:p w14:paraId="5238C712">
            <w:pPr>
              <w:jc w:val="left"/>
              <w:rPr>
                <w:i w:val="0"/>
                <w:iCs w:val="0"/>
                <w:color w:val="auto"/>
                <w:sz w:val="28"/>
                <w:highlight w:val="none"/>
              </w:rPr>
            </w:pPr>
            <w:r>
              <w:rPr>
                <w:rFonts w:hint="eastAsia"/>
                <w:i w:val="0"/>
                <w:iCs w:val="0"/>
                <w:color w:val="auto"/>
                <w:szCs w:val="21"/>
                <w:highlight w:val="none"/>
                <w:lang w:val="en-US" w:eastAsia="zh-CN"/>
              </w:rPr>
              <w:t>大写：</w:t>
            </w:r>
          </w:p>
        </w:tc>
        <w:tc>
          <w:tcPr>
            <w:tcW w:w="2161" w:type="dxa"/>
            <w:vAlign w:val="center"/>
          </w:tcPr>
          <w:p w14:paraId="3409D243">
            <w:pPr>
              <w:jc w:val="center"/>
              <w:rPr>
                <w:i w:val="0"/>
                <w:iCs w:val="0"/>
                <w:color w:val="auto"/>
                <w:sz w:val="28"/>
                <w:highlight w:val="none"/>
              </w:rPr>
            </w:pPr>
          </w:p>
        </w:tc>
        <w:tc>
          <w:tcPr>
            <w:tcW w:w="2611" w:type="dxa"/>
            <w:vAlign w:val="center"/>
          </w:tcPr>
          <w:p w14:paraId="35602B49">
            <w:pPr>
              <w:jc w:val="center"/>
              <w:rPr>
                <w:i w:val="0"/>
                <w:iCs w:val="0"/>
                <w:color w:val="auto"/>
                <w:sz w:val="28"/>
                <w:highlight w:val="none"/>
              </w:rPr>
            </w:pPr>
          </w:p>
        </w:tc>
      </w:tr>
    </w:tbl>
    <w:p w14:paraId="35185EF7">
      <w:pPr>
        <w:spacing w:line="300" w:lineRule="auto"/>
        <w:rPr>
          <w:rFonts w:ascii="Arial" w:hAnsi="Arial" w:cs="Arial"/>
          <w:i w:val="0"/>
          <w:iCs w:val="0"/>
          <w:color w:val="auto"/>
          <w:szCs w:val="21"/>
          <w:highlight w:val="none"/>
          <w:u w:val="single"/>
        </w:rPr>
      </w:pPr>
    </w:p>
    <w:p w14:paraId="0D79AA68">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5DD29C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4CB5297">
      <w:pPr>
        <w:rPr>
          <w:rFonts w:cs="Arial"/>
          <w:i w:val="0"/>
          <w:iCs w:val="0"/>
          <w:color w:val="auto"/>
          <w:szCs w:val="24"/>
          <w:highlight w:val="none"/>
        </w:rPr>
      </w:pPr>
    </w:p>
    <w:p w14:paraId="21BB3A26">
      <w:pPr>
        <w:pStyle w:val="16"/>
        <w:rPr>
          <w:rFonts w:cs="Arial"/>
          <w:i w:val="0"/>
          <w:iCs w:val="0"/>
          <w:color w:val="auto"/>
          <w:szCs w:val="24"/>
          <w:highlight w:val="none"/>
        </w:rPr>
      </w:pPr>
    </w:p>
    <w:p w14:paraId="4C551945">
      <w:pPr>
        <w:pStyle w:val="16"/>
        <w:rPr>
          <w:rFonts w:cs="Arial"/>
          <w:i w:val="0"/>
          <w:iCs w:val="0"/>
          <w:color w:val="auto"/>
          <w:szCs w:val="24"/>
          <w:highlight w:val="none"/>
        </w:rPr>
      </w:pPr>
    </w:p>
    <w:p w14:paraId="09ACCEBB">
      <w:pPr>
        <w:pStyle w:val="16"/>
        <w:rPr>
          <w:rFonts w:cs="Arial"/>
          <w:i w:val="0"/>
          <w:iCs w:val="0"/>
          <w:color w:val="auto"/>
          <w:szCs w:val="24"/>
          <w:highlight w:val="none"/>
        </w:rPr>
      </w:pPr>
    </w:p>
    <w:p w14:paraId="54CAC625">
      <w:pPr>
        <w:pStyle w:val="16"/>
        <w:rPr>
          <w:rFonts w:cs="Arial"/>
          <w:i w:val="0"/>
          <w:iCs w:val="0"/>
          <w:color w:val="auto"/>
          <w:szCs w:val="24"/>
          <w:highlight w:val="none"/>
        </w:rPr>
      </w:pPr>
    </w:p>
    <w:p w14:paraId="5D119674">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1266F1C5">
      <w:pPr>
        <w:pStyle w:val="16"/>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1.表中磋商报价即为分项报价表中的报价合计。</w:t>
      </w:r>
    </w:p>
    <w:p w14:paraId="26C7BD91">
      <w:pPr>
        <w:pStyle w:val="16"/>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2.特殊事项在备注中注明。</w:t>
      </w:r>
    </w:p>
    <w:p w14:paraId="28F2BE88">
      <w:pPr>
        <w:pStyle w:val="16"/>
        <w:ind w:firstLine="420" w:firstLineChars="200"/>
        <w:rPr>
          <w:rFonts w:hint="eastAsia" w:ascii="宋体" w:hAnsi="宋体" w:eastAsia="宋体" w:cs="宋体"/>
          <w:i w:val="0"/>
          <w:iCs w:val="0"/>
          <w:color w:val="auto"/>
          <w:sz w:val="21"/>
          <w:szCs w:val="21"/>
          <w:highlight w:val="none"/>
        </w:rPr>
        <w:sectPr>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i w:val="0"/>
          <w:iCs w:val="0"/>
          <w:color w:val="auto"/>
          <w:sz w:val="21"/>
          <w:szCs w:val="21"/>
          <w:highlight w:val="none"/>
          <w:lang w:val="en-US" w:eastAsia="zh-CN"/>
        </w:rPr>
        <w:t>3.表中大写与小写不一致的，以大写为准</w:t>
      </w:r>
      <w:r>
        <w:rPr>
          <w:rFonts w:hint="eastAsia" w:ascii="宋体" w:hAnsi="宋体" w:eastAsia="宋体" w:cs="宋体"/>
          <w:i w:val="0"/>
          <w:iCs w:val="0"/>
          <w:color w:val="auto"/>
          <w:sz w:val="21"/>
          <w:szCs w:val="21"/>
          <w:highlight w:val="none"/>
        </w:rPr>
        <w:t>。</w:t>
      </w:r>
    </w:p>
    <w:p w14:paraId="7B2B178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bookmarkStart w:id="703" w:name="_Toc27300"/>
      <w:r>
        <w:rPr>
          <w:rFonts w:hint="eastAsia" w:cstheme="majorBidi"/>
          <w:b/>
          <w:bCs/>
          <w:i w:val="0"/>
          <w:iCs w:val="0"/>
          <w:color w:val="auto"/>
          <w:kern w:val="2"/>
          <w:sz w:val="32"/>
          <w:szCs w:val="32"/>
          <w:highlight w:val="none"/>
          <w:lang w:val="en-US" w:eastAsia="zh-CN" w:bidi="ar-SA"/>
        </w:rPr>
        <w:t>二、分项报价表</w:t>
      </w:r>
      <w:bookmarkEnd w:id="703"/>
    </w:p>
    <w:p w14:paraId="36B29882">
      <w:pPr>
        <w:rPr>
          <w:b w:val="0"/>
          <w:bCs/>
          <w:i w:val="0"/>
          <w:iCs w:val="0"/>
          <w:color w:val="auto"/>
          <w:szCs w:val="21"/>
          <w:highlight w:val="none"/>
          <w:lang w:val="zh-CN"/>
        </w:rPr>
      </w:pPr>
      <w:r>
        <w:rPr>
          <w:rFonts w:hint="eastAsia"/>
          <w:b w:val="0"/>
          <w:bCs/>
          <w:i w:val="0"/>
          <w:iCs w:val="0"/>
          <w:color w:val="auto"/>
          <w:szCs w:val="21"/>
          <w:highlight w:val="none"/>
          <w:lang w:val="zh-CN"/>
        </w:rPr>
        <w:t>项目名称：</w:t>
      </w:r>
      <w:r>
        <w:rPr>
          <w:rFonts w:hint="eastAsia"/>
          <w:b w:val="0"/>
          <w:bCs/>
          <w:i w:val="0"/>
          <w:iCs w:val="0"/>
          <w:color w:val="auto"/>
          <w:szCs w:val="21"/>
          <w:highlight w:val="none"/>
          <w:u w:val="single"/>
          <w:lang w:val="zh-CN"/>
        </w:rPr>
        <w:t xml:space="preserve">                  </w:t>
      </w:r>
      <w:r>
        <w:rPr>
          <w:rFonts w:hint="eastAsia"/>
          <w:b w:val="0"/>
          <w:bCs/>
          <w:i w:val="0"/>
          <w:iCs w:val="0"/>
          <w:color w:val="auto"/>
          <w:szCs w:val="21"/>
          <w:highlight w:val="none"/>
          <w:u w:val="single"/>
          <w:lang w:val="en-US" w:eastAsia="zh-CN"/>
        </w:rPr>
        <w:t xml:space="preserve">     </w:t>
      </w:r>
      <w:r>
        <w:rPr>
          <w:rFonts w:hint="eastAsia"/>
          <w:b w:val="0"/>
          <w:bCs/>
          <w:i w:val="0"/>
          <w:iCs w:val="0"/>
          <w:color w:val="auto"/>
          <w:szCs w:val="21"/>
          <w:highlight w:val="none"/>
          <w:u w:val="single"/>
          <w:lang w:val="zh-CN"/>
        </w:rPr>
        <w:t xml:space="preserve">   </w:t>
      </w:r>
    </w:p>
    <w:p w14:paraId="369D32C9">
      <w:pPr>
        <w:rPr>
          <w:rFonts w:hint="eastAsia"/>
          <w:b w:val="0"/>
          <w:bCs/>
          <w:i w:val="0"/>
          <w:iCs w:val="0"/>
          <w:color w:val="auto"/>
          <w:szCs w:val="21"/>
          <w:highlight w:val="none"/>
          <w:u w:val="single"/>
          <w:lang w:val="zh-CN"/>
        </w:rPr>
      </w:pPr>
      <w:r>
        <w:rPr>
          <w:rFonts w:hint="eastAsia"/>
          <w:b w:val="0"/>
          <w:bCs/>
          <w:i w:val="0"/>
          <w:iCs w:val="0"/>
          <w:color w:val="auto"/>
          <w:szCs w:val="21"/>
          <w:highlight w:val="none"/>
          <w:lang w:val="zh-CN"/>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b w:val="0"/>
          <w:bCs/>
          <w:i w:val="0"/>
          <w:iCs w:val="0"/>
          <w:color w:val="auto"/>
          <w:szCs w:val="21"/>
          <w:highlight w:val="none"/>
          <w:u w:val="single"/>
          <w:lang w:val="zh-CN"/>
        </w:rPr>
        <w:t xml:space="preserve">                     </w:t>
      </w:r>
    </w:p>
    <w:tbl>
      <w:tblPr>
        <w:tblStyle w:val="3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序号</w:t>
            </w:r>
          </w:p>
        </w:tc>
        <w:tc>
          <w:tcPr>
            <w:tcW w:w="3720" w:type="dxa"/>
            <w:vAlign w:val="center"/>
          </w:tcPr>
          <w:p w14:paraId="088C5C1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名称</w:t>
            </w:r>
          </w:p>
        </w:tc>
        <w:tc>
          <w:tcPr>
            <w:tcW w:w="1065" w:type="dxa"/>
            <w:vAlign w:val="center"/>
          </w:tcPr>
          <w:p w14:paraId="73E9587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数量</w:t>
            </w:r>
          </w:p>
        </w:tc>
        <w:tc>
          <w:tcPr>
            <w:tcW w:w="1065" w:type="dxa"/>
            <w:vAlign w:val="center"/>
          </w:tcPr>
          <w:p w14:paraId="46AE39CD">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单价（元）</w:t>
            </w:r>
          </w:p>
        </w:tc>
        <w:tc>
          <w:tcPr>
            <w:tcW w:w="1066" w:type="dxa"/>
            <w:vAlign w:val="center"/>
          </w:tcPr>
          <w:p w14:paraId="39D5688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总价</w:t>
            </w:r>
          </w:p>
        </w:tc>
        <w:tc>
          <w:tcPr>
            <w:tcW w:w="947" w:type="dxa"/>
            <w:vAlign w:val="center"/>
          </w:tcPr>
          <w:p w14:paraId="7A26779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1</w:t>
            </w:r>
          </w:p>
        </w:tc>
        <w:tc>
          <w:tcPr>
            <w:tcW w:w="3720" w:type="dxa"/>
            <w:vAlign w:val="center"/>
          </w:tcPr>
          <w:p w14:paraId="07A38CC0">
            <w:pPr>
              <w:adjustRightInd w:val="0"/>
              <w:snapToGrid w:val="0"/>
              <w:spacing w:line="240" w:lineRule="auto"/>
              <w:jc w:val="center"/>
              <w:rPr>
                <w:i w:val="0"/>
                <w:iCs w:val="0"/>
                <w:color w:val="auto"/>
                <w:szCs w:val="21"/>
                <w:highlight w:val="none"/>
              </w:rPr>
            </w:pPr>
          </w:p>
        </w:tc>
        <w:tc>
          <w:tcPr>
            <w:tcW w:w="1065" w:type="dxa"/>
            <w:vAlign w:val="center"/>
          </w:tcPr>
          <w:p w14:paraId="0D2CE283">
            <w:pPr>
              <w:adjustRightInd w:val="0"/>
              <w:snapToGrid w:val="0"/>
              <w:spacing w:line="240" w:lineRule="auto"/>
              <w:jc w:val="center"/>
              <w:rPr>
                <w:i w:val="0"/>
                <w:iCs w:val="0"/>
                <w:color w:val="auto"/>
                <w:szCs w:val="21"/>
                <w:highlight w:val="none"/>
              </w:rPr>
            </w:pPr>
          </w:p>
        </w:tc>
        <w:tc>
          <w:tcPr>
            <w:tcW w:w="1065" w:type="dxa"/>
            <w:vAlign w:val="center"/>
          </w:tcPr>
          <w:p w14:paraId="347A98B0">
            <w:pPr>
              <w:adjustRightInd w:val="0"/>
              <w:snapToGrid w:val="0"/>
              <w:spacing w:line="240" w:lineRule="auto"/>
              <w:jc w:val="center"/>
              <w:rPr>
                <w:i w:val="0"/>
                <w:iCs w:val="0"/>
                <w:color w:val="auto"/>
                <w:szCs w:val="21"/>
                <w:highlight w:val="none"/>
              </w:rPr>
            </w:pPr>
          </w:p>
        </w:tc>
        <w:tc>
          <w:tcPr>
            <w:tcW w:w="1066" w:type="dxa"/>
            <w:vAlign w:val="center"/>
          </w:tcPr>
          <w:p w14:paraId="439055D0">
            <w:pPr>
              <w:adjustRightInd w:val="0"/>
              <w:snapToGrid w:val="0"/>
              <w:spacing w:line="240" w:lineRule="auto"/>
              <w:jc w:val="center"/>
              <w:rPr>
                <w:i w:val="0"/>
                <w:iCs w:val="0"/>
                <w:color w:val="auto"/>
                <w:szCs w:val="21"/>
                <w:highlight w:val="none"/>
              </w:rPr>
            </w:pPr>
          </w:p>
        </w:tc>
        <w:tc>
          <w:tcPr>
            <w:tcW w:w="947" w:type="dxa"/>
            <w:vAlign w:val="center"/>
          </w:tcPr>
          <w:p w14:paraId="53350EE9">
            <w:pPr>
              <w:adjustRightInd w:val="0"/>
              <w:snapToGrid w:val="0"/>
              <w:spacing w:line="240" w:lineRule="auto"/>
              <w:jc w:val="center"/>
              <w:rPr>
                <w:i w:val="0"/>
                <w:iCs w:val="0"/>
                <w:color w:val="auto"/>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2</w:t>
            </w:r>
          </w:p>
        </w:tc>
        <w:tc>
          <w:tcPr>
            <w:tcW w:w="3720" w:type="dxa"/>
            <w:vAlign w:val="center"/>
          </w:tcPr>
          <w:p w14:paraId="19F17531">
            <w:pPr>
              <w:adjustRightInd w:val="0"/>
              <w:snapToGrid w:val="0"/>
              <w:spacing w:line="240" w:lineRule="auto"/>
              <w:jc w:val="center"/>
              <w:rPr>
                <w:i w:val="0"/>
                <w:iCs w:val="0"/>
                <w:color w:val="auto"/>
                <w:szCs w:val="21"/>
                <w:highlight w:val="none"/>
              </w:rPr>
            </w:pPr>
          </w:p>
        </w:tc>
        <w:tc>
          <w:tcPr>
            <w:tcW w:w="1065" w:type="dxa"/>
            <w:vAlign w:val="center"/>
          </w:tcPr>
          <w:p w14:paraId="5FA2A257">
            <w:pPr>
              <w:adjustRightInd w:val="0"/>
              <w:snapToGrid w:val="0"/>
              <w:spacing w:line="240" w:lineRule="auto"/>
              <w:jc w:val="center"/>
              <w:rPr>
                <w:i w:val="0"/>
                <w:iCs w:val="0"/>
                <w:color w:val="auto"/>
                <w:szCs w:val="21"/>
                <w:highlight w:val="none"/>
              </w:rPr>
            </w:pPr>
          </w:p>
        </w:tc>
        <w:tc>
          <w:tcPr>
            <w:tcW w:w="1065" w:type="dxa"/>
            <w:vAlign w:val="center"/>
          </w:tcPr>
          <w:p w14:paraId="634862ED">
            <w:pPr>
              <w:adjustRightInd w:val="0"/>
              <w:snapToGrid w:val="0"/>
              <w:spacing w:line="240" w:lineRule="auto"/>
              <w:jc w:val="center"/>
              <w:rPr>
                <w:i w:val="0"/>
                <w:iCs w:val="0"/>
                <w:color w:val="auto"/>
                <w:szCs w:val="21"/>
                <w:highlight w:val="none"/>
              </w:rPr>
            </w:pPr>
          </w:p>
        </w:tc>
        <w:tc>
          <w:tcPr>
            <w:tcW w:w="1066" w:type="dxa"/>
            <w:vAlign w:val="center"/>
          </w:tcPr>
          <w:p w14:paraId="604070DF">
            <w:pPr>
              <w:adjustRightInd w:val="0"/>
              <w:snapToGrid w:val="0"/>
              <w:spacing w:line="240" w:lineRule="auto"/>
              <w:jc w:val="center"/>
              <w:rPr>
                <w:i w:val="0"/>
                <w:iCs w:val="0"/>
                <w:color w:val="auto"/>
                <w:szCs w:val="21"/>
                <w:highlight w:val="none"/>
              </w:rPr>
            </w:pPr>
          </w:p>
        </w:tc>
        <w:tc>
          <w:tcPr>
            <w:tcW w:w="947" w:type="dxa"/>
            <w:vAlign w:val="center"/>
          </w:tcPr>
          <w:p w14:paraId="45B52869">
            <w:pPr>
              <w:adjustRightInd w:val="0"/>
              <w:snapToGrid w:val="0"/>
              <w:spacing w:line="240" w:lineRule="auto"/>
              <w:jc w:val="center"/>
              <w:rPr>
                <w:i w:val="0"/>
                <w:iCs w:val="0"/>
                <w:color w:val="auto"/>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3</w:t>
            </w:r>
          </w:p>
        </w:tc>
        <w:tc>
          <w:tcPr>
            <w:tcW w:w="3720" w:type="dxa"/>
            <w:vAlign w:val="center"/>
          </w:tcPr>
          <w:p w14:paraId="7605B56B">
            <w:pPr>
              <w:adjustRightInd w:val="0"/>
              <w:snapToGrid w:val="0"/>
              <w:spacing w:line="240" w:lineRule="auto"/>
              <w:jc w:val="center"/>
              <w:rPr>
                <w:i w:val="0"/>
                <w:iCs w:val="0"/>
                <w:color w:val="auto"/>
                <w:szCs w:val="21"/>
                <w:highlight w:val="none"/>
              </w:rPr>
            </w:pPr>
          </w:p>
        </w:tc>
        <w:tc>
          <w:tcPr>
            <w:tcW w:w="1065" w:type="dxa"/>
            <w:vAlign w:val="center"/>
          </w:tcPr>
          <w:p w14:paraId="2DB12A28">
            <w:pPr>
              <w:adjustRightInd w:val="0"/>
              <w:snapToGrid w:val="0"/>
              <w:spacing w:line="240" w:lineRule="auto"/>
              <w:jc w:val="center"/>
              <w:rPr>
                <w:i w:val="0"/>
                <w:iCs w:val="0"/>
                <w:color w:val="auto"/>
                <w:szCs w:val="21"/>
                <w:highlight w:val="none"/>
              </w:rPr>
            </w:pPr>
          </w:p>
        </w:tc>
        <w:tc>
          <w:tcPr>
            <w:tcW w:w="1065" w:type="dxa"/>
            <w:vAlign w:val="center"/>
          </w:tcPr>
          <w:p w14:paraId="317BFF74">
            <w:pPr>
              <w:adjustRightInd w:val="0"/>
              <w:snapToGrid w:val="0"/>
              <w:spacing w:line="240" w:lineRule="auto"/>
              <w:jc w:val="center"/>
              <w:rPr>
                <w:i w:val="0"/>
                <w:iCs w:val="0"/>
                <w:color w:val="auto"/>
                <w:szCs w:val="21"/>
                <w:highlight w:val="none"/>
              </w:rPr>
            </w:pPr>
          </w:p>
        </w:tc>
        <w:tc>
          <w:tcPr>
            <w:tcW w:w="1066" w:type="dxa"/>
            <w:vAlign w:val="center"/>
          </w:tcPr>
          <w:p w14:paraId="4B6F17D3">
            <w:pPr>
              <w:adjustRightInd w:val="0"/>
              <w:snapToGrid w:val="0"/>
              <w:spacing w:line="240" w:lineRule="auto"/>
              <w:jc w:val="center"/>
              <w:rPr>
                <w:i w:val="0"/>
                <w:iCs w:val="0"/>
                <w:color w:val="auto"/>
                <w:szCs w:val="21"/>
                <w:highlight w:val="none"/>
              </w:rPr>
            </w:pPr>
          </w:p>
        </w:tc>
        <w:tc>
          <w:tcPr>
            <w:tcW w:w="947" w:type="dxa"/>
            <w:vAlign w:val="center"/>
          </w:tcPr>
          <w:p w14:paraId="1E8ED10E">
            <w:pPr>
              <w:adjustRightInd w:val="0"/>
              <w:snapToGrid w:val="0"/>
              <w:spacing w:line="240" w:lineRule="auto"/>
              <w:jc w:val="center"/>
              <w:rPr>
                <w:i w:val="0"/>
                <w:iCs w:val="0"/>
                <w:color w:val="auto"/>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4</w:t>
            </w:r>
          </w:p>
        </w:tc>
        <w:tc>
          <w:tcPr>
            <w:tcW w:w="3720" w:type="dxa"/>
            <w:vAlign w:val="center"/>
          </w:tcPr>
          <w:p w14:paraId="0B0031F2">
            <w:pPr>
              <w:adjustRightInd w:val="0"/>
              <w:snapToGrid w:val="0"/>
              <w:spacing w:line="240" w:lineRule="auto"/>
              <w:jc w:val="center"/>
              <w:rPr>
                <w:i w:val="0"/>
                <w:iCs w:val="0"/>
                <w:color w:val="auto"/>
                <w:szCs w:val="21"/>
                <w:highlight w:val="none"/>
              </w:rPr>
            </w:pPr>
          </w:p>
        </w:tc>
        <w:tc>
          <w:tcPr>
            <w:tcW w:w="1065" w:type="dxa"/>
            <w:vAlign w:val="center"/>
          </w:tcPr>
          <w:p w14:paraId="1A9AB905">
            <w:pPr>
              <w:adjustRightInd w:val="0"/>
              <w:snapToGrid w:val="0"/>
              <w:spacing w:line="240" w:lineRule="auto"/>
              <w:jc w:val="center"/>
              <w:rPr>
                <w:i w:val="0"/>
                <w:iCs w:val="0"/>
                <w:color w:val="auto"/>
                <w:szCs w:val="21"/>
                <w:highlight w:val="none"/>
              </w:rPr>
            </w:pPr>
          </w:p>
        </w:tc>
        <w:tc>
          <w:tcPr>
            <w:tcW w:w="1065" w:type="dxa"/>
            <w:vAlign w:val="center"/>
          </w:tcPr>
          <w:p w14:paraId="20C40B8C">
            <w:pPr>
              <w:adjustRightInd w:val="0"/>
              <w:snapToGrid w:val="0"/>
              <w:spacing w:line="240" w:lineRule="auto"/>
              <w:jc w:val="center"/>
              <w:rPr>
                <w:i w:val="0"/>
                <w:iCs w:val="0"/>
                <w:color w:val="auto"/>
                <w:szCs w:val="21"/>
                <w:highlight w:val="none"/>
              </w:rPr>
            </w:pPr>
          </w:p>
        </w:tc>
        <w:tc>
          <w:tcPr>
            <w:tcW w:w="1066" w:type="dxa"/>
            <w:vAlign w:val="center"/>
          </w:tcPr>
          <w:p w14:paraId="7FDFD679">
            <w:pPr>
              <w:adjustRightInd w:val="0"/>
              <w:snapToGrid w:val="0"/>
              <w:spacing w:line="240" w:lineRule="auto"/>
              <w:jc w:val="center"/>
              <w:rPr>
                <w:i w:val="0"/>
                <w:iCs w:val="0"/>
                <w:color w:val="auto"/>
                <w:szCs w:val="21"/>
                <w:highlight w:val="none"/>
              </w:rPr>
            </w:pPr>
          </w:p>
        </w:tc>
        <w:tc>
          <w:tcPr>
            <w:tcW w:w="947" w:type="dxa"/>
            <w:vAlign w:val="center"/>
          </w:tcPr>
          <w:p w14:paraId="3C259360">
            <w:pPr>
              <w:adjustRightInd w:val="0"/>
              <w:snapToGrid w:val="0"/>
              <w:spacing w:line="240" w:lineRule="auto"/>
              <w:jc w:val="center"/>
              <w:rPr>
                <w:i w:val="0"/>
                <w:iCs w:val="0"/>
                <w:color w:val="auto"/>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5</w:t>
            </w:r>
          </w:p>
        </w:tc>
        <w:tc>
          <w:tcPr>
            <w:tcW w:w="3720" w:type="dxa"/>
            <w:vAlign w:val="center"/>
          </w:tcPr>
          <w:p w14:paraId="2B6E9910">
            <w:pPr>
              <w:adjustRightInd w:val="0"/>
              <w:snapToGrid w:val="0"/>
              <w:spacing w:line="240" w:lineRule="auto"/>
              <w:jc w:val="center"/>
              <w:rPr>
                <w:i w:val="0"/>
                <w:iCs w:val="0"/>
                <w:color w:val="auto"/>
                <w:szCs w:val="21"/>
                <w:highlight w:val="none"/>
              </w:rPr>
            </w:pPr>
          </w:p>
        </w:tc>
        <w:tc>
          <w:tcPr>
            <w:tcW w:w="1065" w:type="dxa"/>
            <w:vAlign w:val="center"/>
          </w:tcPr>
          <w:p w14:paraId="34E951A1">
            <w:pPr>
              <w:adjustRightInd w:val="0"/>
              <w:snapToGrid w:val="0"/>
              <w:spacing w:line="240" w:lineRule="auto"/>
              <w:jc w:val="center"/>
              <w:rPr>
                <w:i w:val="0"/>
                <w:iCs w:val="0"/>
                <w:color w:val="auto"/>
                <w:szCs w:val="21"/>
                <w:highlight w:val="none"/>
              </w:rPr>
            </w:pPr>
          </w:p>
        </w:tc>
        <w:tc>
          <w:tcPr>
            <w:tcW w:w="1065" w:type="dxa"/>
            <w:vAlign w:val="center"/>
          </w:tcPr>
          <w:p w14:paraId="5D9FC8D6">
            <w:pPr>
              <w:adjustRightInd w:val="0"/>
              <w:snapToGrid w:val="0"/>
              <w:spacing w:line="240" w:lineRule="auto"/>
              <w:jc w:val="center"/>
              <w:rPr>
                <w:i w:val="0"/>
                <w:iCs w:val="0"/>
                <w:color w:val="auto"/>
                <w:szCs w:val="21"/>
                <w:highlight w:val="none"/>
              </w:rPr>
            </w:pPr>
          </w:p>
        </w:tc>
        <w:tc>
          <w:tcPr>
            <w:tcW w:w="1066" w:type="dxa"/>
            <w:vAlign w:val="center"/>
          </w:tcPr>
          <w:p w14:paraId="7745BDE0">
            <w:pPr>
              <w:adjustRightInd w:val="0"/>
              <w:snapToGrid w:val="0"/>
              <w:spacing w:line="240" w:lineRule="auto"/>
              <w:jc w:val="center"/>
              <w:rPr>
                <w:i w:val="0"/>
                <w:iCs w:val="0"/>
                <w:color w:val="auto"/>
                <w:szCs w:val="21"/>
                <w:highlight w:val="none"/>
              </w:rPr>
            </w:pPr>
          </w:p>
        </w:tc>
        <w:tc>
          <w:tcPr>
            <w:tcW w:w="947" w:type="dxa"/>
            <w:vAlign w:val="center"/>
          </w:tcPr>
          <w:p w14:paraId="2F20BA25">
            <w:pPr>
              <w:adjustRightInd w:val="0"/>
              <w:snapToGrid w:val="0"/>
              <w:spacing w:line="240" w:lineRule="auto"/>
              <w:jc w:val="center"/>
              <w:rPr>
                <w:i w:val="0"/>
                <w:iCs w:val="0"/>
                <w:color w:val="auto"/>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6</w:t>
            </w:r>
          </w:p>
        </w:tc>
        <w:tc>
          <w:tcPr>
            <w:tcW w:w="3720" w:type="dxa"/>
            <w:vAlign w:val="center"/>
          </w:tcPr>
          <w:p w14:paraId="63E7761B">
            <w:pPr>
              <w:adjustRightInd w:val="0"/>
              <w:snapToGrid w:val="0"/>
              <w:spacing w:line="240" w:lineRule="auto"/>
              <w:jc w:val="center"/>
              <w:rPr>
                <w:i w:val="0"/>
                <w:iCs w:val="0"/>
                <w:color w:val="auto"/>
                <w:szCs w:val="21"/>
                <w:highlight w:val="none"/>
              </w:rPr>
            </w:pPr>
          </w:p>
        </w:tc>
        <w:tc>
          <w:tcPr>
            <w:tcW w:w="1065" w:type="dxa"/>
            <w:vAlign w:val="center"/>
          </w:tcPr>
          <w:p w14:paraId="3BA61A9A">
            <w:pPr>
              <w:adjustRightInd w:val="0"/>
              <w:snapToGrid w:val="0"/>
              <w:spacing w:line="240" w:lineRule="auto"/>
              <w:jc w:val="center"/>
              <w:rPr>
                <w:i w:val="0"/>
                <w:iCs w:val="0"/>
                <w:color w:val="auto"/>
                <w:szCs w:val="21"/>
                <w:highlight w:val="none"/>
              </w:rPr>
            </w:pPr>
          </w:p>
        </w:tc>
        <w:tc>
          <w:tcPr>
            <w:tcW w:w="1065" w:type="dxa"/>
            <w:vAlign w:val="center"/>
          </w:tcPr>
          <w:p w14:paraId="7DCA522F">
            <w:pPr>
              <w:adjustRightInd w:val="0"/>
              <w:snapToGrid w:val="0"/>
              <w:spacing w:line="240" w:lineRule="auto"/>
              <w:jc w:val="center"/>
              <w:rPr>
                <w:i w:val="0"/>
                <w:iCs w:val="0"/>
                <w:color w:val="auto"/>
                <w:szCs w:val="21"/>
                <w:highlight w:val="none"/>
              </w:rPr>
            </w:pPr>
          </w:p>
        </w:tc>
        <w:tc>
          <w:tcPr>
            <w:tcW w:w="1066" w:type="dxa"/>
            <w:vAlign w:val="center"/>
          </w:tcPr>
          <w:p w14:paraId="68A27993">
            <w:pPr>
              <w:adjustRightInd w:val="0"/>
              <w:snapToGrid w:val="0"/>
              <w:spacing w:line="240" w:lineRule="auto"/>
              <w:jc w:val="center"/>
              <w:rPr>
                <w:i w:val="0"/>
                <w:iCs w:val="0"/>
                <w:color w:val="auto"/>
                <w:szCs w:val="21"/>
                <w:highlight w:val="none"/>
              </w:rPr>
            </w:pPr>
          </w:p>
        </w:tc>
        <w:tc>
          <w:tcPr>
            <w:tcW w:w="947" w:type="dxa"/>
            <w:vAlign w:val="center"/>
          </w:tcPr>
          <w:p w14:paraId="33A904F9">
            <w:pPr>
              <w:adjustRightInd w:val="0"/>
              <w:snapToGrid w:val="0"/>
              <w:spacing w:line="240" w:lineRule="auto"/>
              <w:jc w:val="center"/>
              <w:rPr>
                <w:i w:val="0"/>
                <w:iCs w:val="0"/>
                <w:color w:val="auto"/>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7</w:t>
            </w:r>
          </w:p>
        </w:tc>
        <w:tc>
          <w:tcPr>
            <w:tcW w:w="3720" w:type="dxa"/>
            <w:vAlign w:val="center"/>
          </w:tcPr>
          <w:p w14:paraId="7864625B">
            <w:pPr>
              <w:adjustRightInd w:val="0"/>
              <w:snapToGrid w:val="0"/>
              <w:spacing w:line="240" w:lineRule="auto"/>
              <w:jc w:val="center"/>
              <w:rPr>
                <w:i w:val="0"/>
                <w:iCs w:val="0"/>
                <w:color w:val="auto"/>
                <w:szCs w:val="21"/>
                <w:highlight w:val="none"/>
              </w:rPr>
            </w:pPr>
          </w:p>
        </w:tc>
        <w:tc>
          <w:tcPr>
            <w:tcW w:w="1065" w:type="dxa"/>
            <w:vAlign w:val="center"/>
          </w:tcPr>
          <w:p w14:paraId="2B4D906C">
            <w:pPr>
              <w:adjustRightInd w:val="0"/>
              <w:snapToGrid w:val="0"/>
              <w:spacing w:line="240" w:lineRule="auto"/>
              <w:jc w:val="center"/>
              <w:rPr>
                <w:i w:val="0"/>
                <w:iCs w:val="0"/>
                <w:color w:val="auto"/>
                <w:szCs w:val="21"/>
                <w:highlight w:val="none"/>
              </w:rPr>
            </w:pPr>
          </w:p>
        </w:tc>
        <w:tc>
          <w:tcPr>
            <w:tcW w:w="1065" w:type="dxa"/>
            <w:vAlign w:val="center"/>
          </w:tcPr>
          <w:p w14:paraId="6A8DF27F">
            <w:pPr>
              <w:adjustRightInd w:val="0"/>
              <w:snapToGrid w:val="0"/>
              <w:spacing w:line="240" w:lineRule="auto"/>
              <w:jc w:val="center"/>
              <w:rPr>
                <w:i w:val="0"/>
                <w:iCs w:val="0"/>
                <w:color w:val="auto"/>
                <w:szCs w:val="21"/>
                <w:highlight w:val="none"/>
              </w:rPr>
            </w:pPr>
          </w:p>
        </w:tc>
        <w:tc>
          <w:tcPr>
            <w:tcW w:w="1066" w:type="dxa"/>
            <w:vAlign w:val="center"/>
          </w:tcPr>
          <w:p w14:paraId="54C5FBF7">
            <w:pPr>
              <w:adjustRightInd w:val="0"/>
              <w:snapToGrid w:val="0"/>
              <w:spacing w:line="240" w:lineRule="auto"/>
              <w:jc w:val="center"/>
              <w:rPr>
                <w:i w:val="0"/>
                <w:iCs w:val="0"/>
                <w:color w:val="auto"/>
                <w:szCs w:val="21"/>
                <w:highlight w:val="none"/>
              </w:rPr>
            </w:pPr>
          </w:p>
        </w:tc>
        <w:tc>
          <w:tcPr>
            <w:tcW w:w="947" w:type="dxa"/>
            <w:vAlign w:val="center"/>
          </w:tcPr>
          <w:p w14:paraId="2690F475">
            <w:pPr>
              <w:adjustRightInd w:val="0"/>
              <w:snapToGrid w:val="0"/>
              <w:spacing w:line="240" w:lineRule="auto"/>
              <w:jc w:val="center"/>
              <w:rPr>
                <w:i w:val="0"/>
                <w:iCs w:val="0"/>
                <w:color w:val="auto"/>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8</w:t>
            </w:r>
          </w:p>
        </w:tc>
        <w:tc>
          <w:tcPr>
            <w:tcW w:w="3720" w:type="dxa"/>
            <w:vAlign w:val="center"/>
          </w:tcPr>
          <w:p w14:paraId="7C3908AC">
            <w:pPr>
              <w:adjustRightInd w:val="0"/>
              <w:snapToGrid w:val="0"/>
              <w:spacing w:line="240" w:lineRule="auto"/>
              <w:jc w:val="center"/>
              <w:rPr>
                <w:i w:val="0"/>
                <w:iCs w:val="0"/>
                <w:color w:val="auto"/>
                <w:szCs w:val="21"/>
                <w:highlight w:val="none"/>
              </w:rPr>
            </w:pPr>
          </w:p>
        </w:tc>
        <w:tc>
          <w:tcPr>
            <w:tcW w:w="1065" w:type="dxa"/>
            <w:vAlign w:val="center"/>
          </w:tcPr>
          <w:p w14:paraId="362E8E82">
            <w:pPr>
              <w:adjustRightInd w:val="0"/>
              <w:snapToGrid w:val="0"/>
              <w:spacing w:line="240" w:lineRule="auto"/>
              <w:jc w:val="center"/>
              <w:rPr>
                <w:i w:val="0"/>
                <w:iCs w:val="0"/>
                <w:color w:val="auto"/>
                <w:szCs w:val="21"/>
                <w:highlight w:val="none"/>
              </w:rPr>
            </w:pPr>
          </w:p>
        </w:tc>
        <w:tc>
          <w:tcPr>
            <w:tcW w:w="1065" w:type="dxa"/>
            <w:vAlign w:val="center"/>
          </w:tcPr>
          <w:p w14:paraId="6F2704AB">
            <w:pPr>
              <w:adjustRightInd w:val="0"/>
              <w:snapToGrid w:val="0"/>
              <w:spacing w:line="240" w:lineRule="auto"/>
              <w:jc w:val="center"/>
              <w:rPr>
                <w:i w:val="0"/>
                <w:iCs w:val="0"/>
                <w:color w:val="auto"/>
                <w:szCs w:val="21"/>
                <w:highlight w:val="none"/>
              </w:rPr>
            </w:pPr>
          </w:p>
        </w:tc>
        <w:tc>
          <w:tcPr>
            <w:tcW w:w="1066" w:type="dxa"/>
            <w:vAlign w:val="center"/>
          </w:tcPr>
          <w:p w14:paraId="79394E0B">
            <w:pPr>
              <w:adjustRightInd w:val="0"/>
              <w:snapToGrid w:val="0"/>
              <w:spacing w:line="240" w:lineRule="auto"/>
              <w:jc w:val="center"/>
              <w:rPr>
                <w:i w:val="0"/>
                <w:iCs w:val="0"/>
                <w:color w:val="auto"/>
                <w:szCs w:val="21"/>
                <w:highlight w:val="none"/>
              </w:rPr>
            </w:pPr>
          </w:p>
        </w:tc>
        <w:tc>
          <w:tcPr>
            <w:tcW w:w="947" w:type="dxa"/>
            <w:vAlign w:val="center"/>
          </w:tcPr>
          <w:p w14:paraId="5A8DCEE1">
            <w:pPr>
              <w:adjustRightInd w:val="0"/>
              <w:snapToGrid w:val="0"/>
              <w:spacing w:line="240" w:lineRule="auto"/>
              <w:jc w:val="center"/>
              <w:rPr>
                <w:i w:val="0"/>
                <w:iCs w:val="0"/>
                <w:color w:val="auto"/>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3720" w:type="dxa"/>
            <w:shd w:val="clear" w:color="auto" w:fill="auto"/>
            <w:vAlign w:val="center"/>
          </w:tcPr>
          <w:p w14:paraId="547CA859">
            <w:pPr>
              <w:adjustRightInd w:val="0"/>
              <w:snapToGrid w:val="0"/>
              <w:spacing w:line="240" w:lineRule="auto"/>
              <w:jc w:val="center"/>
              <w:rPr>
                <w:rFonts w:ascii="宋体" w:hAnsi="宋体" w:eastAsia="宋体" w:cstheme="minorBidi"/>
                <w:i w:val="0"/>
                <w:iCs w:val="0"/>
                <w:color w:val="auto"/>
                <w:kern w:val="2"/>
                <w:sz w:val="24"/>
                <w:szCs w:val="21"/>
                <w:highlight w:val="none"/>
                <w:lang w:val="en-US" w:eastAsia="zh-CN" w:bidi="ar-SA"/>
              </w:rPr>
            </w:pPr>
            <w:r>
              <w:rPr>
                <w:rFonts w:hint="eastAsia"/>
                <w:i w:val="0"/>
                <w:iCs w:val="0"/>
                <w:color w:val="auto"/>
                <w:szCs w:val="21"/>
                <w:highlight w:val="none"/>
              </w:rPr>
              <w:t>……</w:t>
            </w:r>
          </w:p>
        </w:tc>
        <w:tc>
          <w:tcPr>
            <w:tcW w:w="1065" w:type="dxa"/>
            <w:vAlign w:val="center"/>
          </w:tcPr>
          <w:p w14:paraId="7B9DBE1E">
            <w:pPr>
              <w:adjustRightInd w:val="0"/>
              <w:snapToGrid w:val="0"/>
              <w:spacing w:line="240" w:lineRule="auto"/>
              <w:jc w:val="center"/>
              <w:rPr>
                <w:i w:val="0"/>
                <w:iCs w:val="0"/>
                <w:color w:val="auto"/>
                <w:szCs w:val="21"/>
                <w:highlight w:val="none"/>
              </w:rPr>
            </w:pPr>
          </w:p>
        </w:tc>
        <w:tc>
          <w:tcPr>
            <w:tcW w:w="1065" w:type="dxa"/>
            <w:vAlign w:val="center"/>
          </w:tcPr>
          <w:p w14:paraId="6851C226">
            <w:pPr>
              <w:adjustRightInd w:val="0"/>
              <w:snapToGrid w:val="0"/>
              <w:spacing w:line="240" w:lineRule="auto"/>
              <w:jc w:val="center"/>
              <w:rPr>
                <w:i w:val="0"/>
                <w:iCs w:val="0"/>
                <w:color w:val="auto"/>
                <w:szCs w:val="21"/>
                <w:highlight w:val="none"/>
              </w:rPr>
            </w:pPr>
          </w:p>
        </w:tc>
        <w:tc>
          <w:tcPr>
            <w:tcW w:w="1066" w:type="dxa"/>
            <w:vAlign w:val="center"/>
          </w:tcPr>
          <w:p w14:paraId="39505459">
            <w:pPr>
              <w:adjustRightInd w:val="0"/>
              <w:snapToGrid w:val="0"/>
              <w:spacing w:line="240" w:lineRule="auto"/>
              <w:jc w:val="center"/>
              <w:rPr>
                <w:i w:val="0"/>
                <w:iCs w:val="0"/>
                <w:color w:val="auto"/>
                <w:szCs w:val="21"/>
                <w:highlight w:val="none"/>
              </w:rPr>
            </w:pPr>
          </w:p>
        </w:tc>
        <w:tc>
          <w:tcPr>
            <w:tcW w:w="947" w:type="dxa"/>
            <w:vAlign w:val="center"/>
          </w:tcPr>
          <w:p w14:paraId="14D910E3">
            <w:pPr>
              <w:adjustRightInd w:val="0"/>
              <w:snapToGrid w:val="0"/>
              <w:spacing w:line="240" w:lineRule="auto"/>
              <w:jc w:val="center"/>
              <w:rPr>
                <w:i w:val="0"/>
                <w:iCs w:val="0"/>
                <w:color w:val="auto"/>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i w:val="0"/>
                <w:iCs w:val="0"/>
                <w:color w:val="auto"/>
                <w:szCs w:val="21"/>
                <w:highlight w:val="none"/>
              </w:rPr>
            </w:pPr>
          </w:p>
        </w:tc>
        <w:tc>
          <w:tcPr>
            <w:tcW w:w="3720" w:type="dxa"/>
            <w:vAlign w:val="center"/>
          </w:tcPr>
          <w:p w14:paraId="6E3D4C24">
            <w:pPr>
              <w:adjustRightInd w:val="0"/>
              <w:snapToGrid w:val="0"/>
              <w:spacing w:line="240" w:lineRule="auto"/>
              <w:jc w:val="center"/>
              <w:rPr>
                <w:i w:val="0"/>
                <w:iCs w:val="0"/>
                <w:color w:val="auto"/>
                <w:szCs w:val="21"/>
                <w:highlight w:val="none"/>
              </w:rPr>
            </w:pPr>
            <w:r>
              <w:rPr>
                <w:rFonts w:hint="eastAsia" w:asciiTheme="minorEastAsia" w:hAnsiTheme="minorEastAsia" w:eastAsiaTheme="minorEastAsia"/>
                <w:i w:val="0"/>
                <w:iCs w:val="0"/>
                <w:color w:val="auto"/>
                <w:highlight w:val="none"/>
              </w:rPr>
              <w:t>其他费用</w:t>
            </w:r>
          </w:p>
        </w:tc>
        <w:tc>
          <w:tcPr>
            <w:tcW w:w="1065" w:type="dxa"/>
            <w:vAlign w:val="center"/>
          </w:tcPr>
          <w:p w14:paraId="34269FA2">
            <w:pPr>
              <w:adjustRightInd w:val="0"/>
              <w:snapToGrid w:val="0"/>
              <w:spacing w:line="240" w:lineRule="auto"/>
              <w:jc w:val="center"/>
              <w:rPr>
                <w:i w:val="0"/>
                <w:iCs w:val="0"/>
                <w:color w:val="auto"/>
                <w:szCs w:val="21"/>
                <w:highlight w:val="none"/>
              </w:rPr>
            </w:pPr>
          </w:p>
        </w:tc>
        <w:tc>
          <w:tcPr>
            <w:tcW w:w="1065" w:type="dxa"/>
            <w:vAlign w:val="center"/>
          </w:tcPr>
          <w:p w14:paraId="646717F9">
            <w:pPr>
              <w:adjustRightInd w:val="0"/>
              <w:snapToGrid w:val="0"/>
              <w:spacing w:line="240" w:lineRule="auto"/>
              <w:jc w:val="center"/>
              <w:rPr>
                <w:i w:val="0"/>
                <w:iCs w:val="0"/>
                <w:color w:val="auto"/>
                <w:szCs w:val="21"/>
                <w:highlight w:val="none"/>
              </w:rPr>
            </w:pPr>
          </w:p>
        </w:tc>
        <w:tc>
          <w:tcPr>
            <w:tcW w:w="1066" w:type="dxa"/>
            <w:vAlign w:val="center"/>
          </w:tcPr>
          <w:p w14:paraId="61629B6A">
            <w:pPr>
              <w:adjustRightInd w:val="0"/>
              <w:snapToGrid w:val="0"/>
              <w:spacing w:line="240" w:lineRule="auto"/>
              <w:jc w:val="center"/>
              <w:rPr>
                <w:i w:val="0"/>
                <w:iCs w:val="0"/>
                <w:color w:val="auto"/>
                <w:szCs w:val="21"/>
                <w:highlight w:val="none"/>
              </w:rPr>
            </w:pPr>
          </w:p>
        </w:tc>
        <w:tc>
          <w:tcPr>
            <w:tcW w:w="947" w:type="dxa"/>
            <w:vAlign w:val="center"/>
          </w:tcPr>
          <w:p w14:paraId="7F337C52">
            <w:pPr>
              <w:adjustRightInd w:val="0"/>
              <w:snapToGrid w:val="0"/>
              <w:spacing w:line="240" w:lineRule="auto"/>
              <w:jc w:val="center"/>
              <w:rPr>
                <w:i w:val="0"/>
                <w:iCs w:val="0"/>
                <w:color w:val="auto"/>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3720" w:type="dxa"/>
            <w:vAlign w:val="center"/>
          </w:tcPr>
          <w:p w14:paraId="5D4BF5AE">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w:t>
            </w:r>
          </w:p>
        </w:tc>
        <w:tc>
          <w:tcPr>
            <w:tcW w:w="1065" w:type="dxa"/>
            <w:vAlign w:val="center"/>
          </w:tcPr>
          <w:p w14:paraId="3E6B6F32">
            <w:pPr>
              <w:adjustRightInd w:val="0"/>
              <w:snapToGrid w:val="0"/>
              <w:spacing w:line="240" w:lineRule="auto"/>
              <w:jc w:val="center"/>
              <w:rPr>
                <w:i w:val="0"/>
                <w:iCs w:val="0"/>
                <w:color w:val="auto"/>
                <w:szCs w:val="21"/>
                <w:highlight w:val="none"/>
              </w:rPr>
            </w:pPr>
          </w:p>
        </w:tc>
        <w:tc>
          <w:tcPr>
            <w:tcW w:w="1065" w:type="dxa"/>
            <w:vAlign w:val="center"/>
          </w:tcPr>
          <w:p w14:paraId="02B6CE3C">
            <w:pPr>
              <w:adjustRightInd w:val="0"/>
              <w:snapToGrid w:val="0"/>
              <w:spacing w:line="240" w:lineRule="auto"/>
              <w:jc w:val="center"/>
              <w:rPr>
                <w:i w:val="0"/>
                <w:iCs w:val="0"/>
                <w:color w:val="auto"/>
                <w:szCs w:val="21"/>
                <w:highlight w:val="none"/>
              </w:rPr>
            </w:pPr>
          </w:p>
        </w:tc>
        <w:tc>
          <w:tcPr>
            <w:tcW w:w="1066" w:type="dxa"/>
            <w:vAlign w:val="center"/>
          </w:tcPr>
          <w:p w14:paraId="15025601">
            <w:pPr>
              <w:adjustRightInd w:val="0"/>
              <w:snapToGrid w:val="0"/>
              <w:spacing w:line="240" w:lineRule="auto"/>
              <w:jc w:val="center"/>
              <w:rPr>
                <w:i w:val="0"/>
                <w:iCs w:val="0"/>
                <w:color w:val="auto"/>
                <w:szCs w:val="21"/>
                <w:highlight w:val="none"/>
              </w:rPr>
            </w:pPr>
          </w:p>
        </w:tc>
        <w:tc>
          <w:tcPr>
            <w:tcW w:w="947" w:type="dxa"/>
            <w:vAlign w:val="center"/>
          </w:tcPr>
          <w:p w14:paraId="39116035">
            <w:pPr>
              <w:adjustRightInd w:val="0"/>
              <w:snapToGrid w:val="0"/>
              <w:spacing w:line="240" w:lineRule="auto"/>
              <w:jc w:val="center"/>
              <w:rPr>
                <w:i w:val="0"/>
                <w:iCs w:val="0"/>
                <w:color w:val="auto"/>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i w:val="0"/>
                <w:iCs w:val="0"/>
                <w:color w:val="auto"/>
                <w:szCs w:val="21"/>
                <w:highlight w:val="none"/>
              </w:rPr>
            </w:pPr>
            <w:r>
              <w:rPr>
                <w:rFonts w:hint="eastAsia"/>
                <w:i w:val="0"/>
                <w:iCs w:val="0"/>
                <w:color w:val="auto"/>
                <w:szCs w:val="21"/>
                <w:highlight w:val="none"/>
              </w:rPr>
              <w:t>报价合计（元）</w:t>
            </w:r>
          </w:p>
        </w:tc>
        <w:tc>
          <w:tcPr>
            <w:tcW w:w="2013" w:type="dxa"/>
            <w:gridSpan w:val="2"/>
            <w:vAlign w:val="center"/>
          </w:tcPr>
          <w:p w14:paraId="0609C717">
            <w:pPr>
              <w:adjustRightInd w:val="0"/>
              <w:snapToGrid w:val="0"/>
              <w:spacing w:line="240" w:lineRule="auto"/>
              <w:jc w:val="center"/>
              <w:rPr>
                <w:i w:val="0"/>
                <w:iCs w:val="0"/>
                <w:color w:val="auto"/>
                <w:szCs w:val="21"/>
                <w:highlight w:val="none"/>
              </w:rPr>
            </w:pPr>
          </w:p>
        </w:tc>
      </w:tr>
    </w:tbl>
    <w:p w14:paraId="76D9FA12">
      <w:pPr>
        <w:pStyle w:val="16"/>
        <w:rPr>
          <w:rFonts w:hint="eastAsia"/>
          <w:b w:val="0"/>
          <w:bCs/>
          <w:i w:val="0"/>
          <w:iCs w:val="0"/>
          <w:color w:val="auto"/>
          <w:szCs w:val="21"/>
          <w:highlight w:val="none"/>
          <w:u w:val="single"/>
          <w:lang w:val="zh-CN"/>
        </w:rPr>
      </w:pPr>
    </w:p>
    <w:p w14:paraId="4ADE4675">
      <w:pPr>
        <w:spacing w:line="300" w:lineRule="auto"/>
        <w:rPr>
          <w:rFonts w:ascii="Arial" w:hAnsi="Arial" w:cs="Arial"/>
          <w:i w:val="0"/>
          <w:iCs w:val="0"/>
          <w:color w:val="auto"/>
          <w:szCs w:val="21"/>
          <w:highlight w:val="none"/>
        </w:rPr>
      </w:pPr>
    </w:p>
    <w:p w14:paraId="7856DF79">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10A8DB8">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F99A5A5">
      <w:pPr>
        <w:spacing w:line="300" w:lineRule="auto"/>
        <w:rPr>
          <w:rFonts w:ascii="Arial" w:hAnsi="Arial" w:cs="Arial"/>
          <w:i w:val="0"/>
          <w:iCs w:val="0"/>
          <w:color w:val="auto"/>
          <w:szCs w:val="21"/>
          <w:highlight w:val="none"/>
        </w:rPr>
      </w:pPr>
    </w:p>
    <w:p w14:paraId="19373AA9">
      <w:pPr>
        <w:spacing w:line="360" w:lineRule="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lang w:eastAsia="zh-CN"/>
        </w:rPr>
        <w:t>注：</w:t>
      </w:r>
    </w:p>
    <w:p w14:paraId="4681585F">
      <w:pPr>
        <w:spacing w:line="360" w:lineRule="auto"/>
        <w:ind w:firstLine="435"/>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default" w:ascii="宋体" w:hAnsi="宋体" w:eastAsia="宋体" w:cs="宋体"/>
          <w:i w:val="0"/>
          <w:iCs w:val="0"/>
          <w:color w:val="auto"/>
          <w:sz w:val="21"/>
          <w:szCs w:val="21"/>
          <w:highlight w:val="none"/>
          <w:lang w:val="en-US" w:eastAsia="zh-CN"/>
        </w:rPr>
        <w:t>按照本表填写的各项目的报价合计填写到</w:t>
      </w: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报价</w:t>
      </w:r>
      <w:r>
        <w:rPr>
          <w:rFonts w:hint="eastAsia" w:ascii="宋体" w:hAnsi="宋体" w:eastAsia="宋体" w:cs="宋体"/>
          <w:i w:val="0"/>
          <w:iCs w:val="0"/>
          <w:color w:val="auto"/>
          <w:sz w:val="21"/>
          <w:szCs w:val="21"/>
          <w:highlight w:val="none"/>
          <w:lang w:val="en-US" w:eastAsia="zh-CN"/>
        </w:rPr>
        <w:t>一览表”</w:t>
      </w:r>
      <w:r>
        <w:rPr>
          <w:rFonts w:hint="default" w:ascii="宋体" w:hAnsi="宋体" w:eastAsia="宋体" w:cs="宋体"/>
          <w:i w:val="0"/>
          <w:iCs w:val="0"/>
          <w:color w:val="auto"/>
          <w:sz w:val="21"/>
          <w:szCs w:val="21"/>
          <w:highlight w:val="none"/>
          <w:lang w:val="en-US" w:eastAsia="zh-CN"/>
        </w:rPr>
        <w:t>中对应的</w:t>
      </w:r>
      <w:r>
        <w:rPr>
          <w:rFonts w:hint="eastAsia" w:cs="宋体"/>
          <w:i w:val="0"/>
          <w:iCs w:val="0"/>
          <w:color w:val="auto"/>
          <w:sz w:val="21"/>
          <w:szCs w:val="21"/>
          <w:highlight w:val="none"/>
          <w:lang w:val="en-US" w:eastAsia="zh-CN"/>
        </w:rPr>
        <w:t>“磋商报价”</w:t>
      </w:r>
      <w:r>
        <w:rPr>
          <w:rFonts w:hint="default" w:ascii="宋体" w:hAnsi="宋体" w:eastAsia="宋体" w:cs="宋体"/>
          <w:i w:val="0"/>
          <w:iCs w:val="0"/>
          <w:color w:val="auto"/>
          <w:sz w:val="21"/>
          <w:szCs w:val="21"/>
          <w:highlight w:val="none"/>
          <w:lang w:val="en-US" w:eastAsia="zh-CN"/>
        </w:rPr>
        <w:t>栏中。</w:t>
      </w:r>
    </w:p>
    <w:p w14:paraId="6B43AF2E">
      <w:pPr>
        <w:spacing w:line="360" w:lineRule="auto"/>
        <w:ind w:firstLine="435"/>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.所列服务为对应本项目需求的全部服务内容。如有漏项或缺项，</w:t>
      </w:r>
      <w:r>
        <w:rPr>
          <w:rFonts w:hint="eastAsia"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承担全部责任。</w:t>
      </w:r>
    </w:p>
    <w:p w14:paraId="4A59D451">
      <w:pPr>
        <w:pStyle w:val="7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7B71C0B3">
      <w:pPr>
        <w:pStyle w:val="7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8E1306B">
      <w:pPr>
        <w:pStyle w:val="7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i w:val="0"/>
          <w:iCs w:val="0"/>
          <w:color w:val="auto"/>
          <w:highlight w:val="none"/>
          <w:lang w:val="en-US" w:eastAsia="zh-CN"/>
        </w:rPr>
      </w:pPr>
    </w:p>
    <w:p w14:paraId="164FB4B2">
      <w:pPr>
        <w:ind w:firstLine="480" w:firstLineChars="200"/>
        <w:rPr>
          <w:rFonts w:cs="仿宋_GB2312"/>
          <w:i w:val="0"/>
          <w:iCs w:val="0"/>
          <w:color w:val="auto"/>
          <w:szCs w:val="24"/>
          <w:highlight w:val="none"/>
          <w:lang w:val="zh-CN"/>
        </w:rPr>
      </w:pPr>
      <w:r>
        <w:rPr>
          <w:rFonts w:hint="eastAsia" w:cs="仿宋_GB2312"/>
          <w:i w:val="0"/>
          <w:iCs w:val="0"/>
          <w:color w:val="auto"/>
          <w:szCs w:val="24"/>
          <w:highlight w:val="none"/>
          <w:lang w:val="zh-CN"/>
        </w:rPr>
        <w:t>封面：</w:t>
      </w:r>
    </w:p>
    <w:p w14:paraId="5EC829F4">
      <w:pPr>
        <w:autoSpaceDE w:val="0"/>
        <w:autoSpaceDN w:val="0"/>
        <w:adjustRightInd w:val="0"/>
        <w:rPr>
          <w:i w:val="0"/>
          <w:iCs w:val="0"/>
          <w:color w:val="auto"/>
          <w:sz w:val="21"/>
          <w:szCs w:val="24"/>
          <w:highlight w:val="none"/>
        </w:rPr>
      </w:pPr>
    </w:p>
    <w:p w14:paraId="0D39B890">
      <w:pPr>
        <w:autoSpaceDE w:val="0"/>
        <w:autoSpaceDN w:val="0"/>
        <w:adjustRightInd w:val="0"/>
        <w:rPr>
          <w:i w:val="0"/>
          <w:iCs w:val="0"/>
          <w:color w:val="auto"/>
          <w:sz w:val="21"/>
          <w:szCs w:val="24"/>
          <w:highlight w:val="none"/>
        </w:rPr>
      </w:pPr>
    </w:p>
    <w:p w14:paraId="2314362E">
      <w:pPr>
        <w:autoSpaceDE w:val="0"/>
        <w:autoSpaceDN w:val="0"/>
        <w:adjustRightInd w:val="0"/>
        <w:jc w:val="center"/>
        <w:rPr>
          <w:i w:val="0"/>
          <w:iCs w:val="0"/>
          <w:color w:val="auto"/>
          <w:sz w:val="21"/>
          <w:szCs w:val="24"/>
          <w:highlight w:val="none"/>
        </w:rPr>
      </w:pPr>
    </w:p>
    <w:p w14:paraId="6E0AECFB">
      <w:pPr>
        <w:pStyle w:val="2"/>
        <w:bidi w:val="0"/>
        <w:jc w:val="center"/>
        <w:rPr>
          <w:sz w:val="84"/>
          <w:szCs w:val="84"/>
        </w:rPr>
      </w:pPr>
      <w:bookmarkStart w:id="704" w:name="_Toc20481"/>
      <w:r>
        <w:rPr>
          <w:rFonts w:hint="eastAsia"/>
          <w:sz w:val="84"/>
          <w:szCs w:val="84"/>
          <w:lang w:val="en-US" w:eastAsia="zh-CN"/>
        </w:rPr>
        <w:t>响 应</w:t>
      </w:r>
      <w:r>
        <w:rPr>
          <w:rFonts w:hint="eastAsia"/>
          <w:sz w:val="84"/>
          <w:szCs w:val="84"/>
        </w:rPr>
        <w:t xml:space="preserve"> 文 件</w:t>
      </w:r>
      <w:bookmarkEnd w:id="704"/>
    </w:p>
    <w:p w14:paraId="4AF2D630">
      <w:pPr>
        <w:pStyle w:val="2"/>
        <w:bidi w:val="0"/>
        <w:jc w:val="center"/>
        <w:rPr>
          <w:rFonts w:hint="eastAsia"/>
          <w:sz w:val="56"/>
          <w:szCs w:val="56"/>
          <w:lang w:val="en-US" w:eastAsia="zh-CN"/>
        </w:rPr>
      </w:pPr>
      <w:bookmarkStart w:id="705" w:name="_Toc23374"/>
      <w:r>
        <w:rPr>
          <w:rFonts w:hint="eastAsia"/>
          <w:sz w:val="56"/>
          <w:szCs w:val="56"/>
          <w:lang w:val="en-US" w:eastAsia="zh-CN"/>
        </w:rPr>
        <w:t>商务技术文件</w:t>
      </w:r>
      <w:bookmarkEnd w:id="705"/>
    </w:p>
    <w:p w14:paraId="69CDC1D3">
      <w:pPr>
        <w:autoSpaceDE w:val="0"/>
        <w:autoSpaceDN w:val="0"/>
        <w:adjustRightInd w:val="0"/>
        <w:jc w:val="center"/>
        <w:rPr>
          <w:rFonts w:hint="eastAsia" w:eastAsia="宋体"/>
          <w:i w:val="0"/>
          <w:iCs w:val="0"/>
          <w:color w:val="auto"/>
          <w:sz w:val="36"/>
          <w:szCs w:val="36"/>
          <w:highlight w:val="none"/>
          <w:lang w:eastAsia="zh-CN"/>
        </w:rPr>
      </w:pPr>
      <w:r>
        <w:rPr>
          <w:rFonts w:hint="eastAsia"/>
          <w:i w:val="0"/>
          <w:iCs w:val="0"/>
          <w:color w:val="auto"/>
          <w:sz w:val="36"/>
          <w:szCs w:val="36"/>
          <w:highlight w:val="none"/>
          <w:lang w:val="en-US" w:eastAsia="zh-CN"/>
        </w:rPr>
        <w:t>（第XX包</w:t>
      </w:r>
      <w:r>
        <w:rPr>
          <w:rFonts w:hint="eastAsia"/>
          <w:i w:val="0"/>
          <w:iCs w:val="0"/>
          <w:color w:val="auto"/>
          <w:sz w:val="36"/>
          <w:szCs w:val="36"/>
          <w:highlight w:val="none"/>
          <w:lang w:eastAsia="zh-CN"/>
        </w:rPr>
        <w:t>）【</w:t>
      </w:r>
      <w:r>
        <w:rPr>
          <w:rFonts w:hint="eastAsia"/>
          <w:i w:val="0"/>
          <w:iCs w:val="0"/>
          <w:color w:val="auto"/>
          <w:sz w:val="36"/>
          <w:szCs w:val="36"/>
          <w:highlight w:val="none"/>
          <w:lang w:val="en-US" w:eastAsia="zh-CN"/>
        </w:rPr>
        <w:t>如不分包，请删去本行</w:t>
      </w:r>
      <w:r>
        <w:rPr>
          <w:rFonts w:hint="eastAsia"/>
          <w:i w:val="0"/>
          <w:iCs w:val="0"/>
          <w:color w:val="auto"/>
          <w:sz w:val="36"/>
          <w:szCs w:val="36"/>
          <w:highlight w:val="none"/>
          <w:lang w:eastAsia="zh-CN"/>
        </w:rPr>
        <w:t>】</w:t>
      </w:r>
    </w:p>
    <w:p w14:paraId="4C52C730">
      <w:pPr>
        <w:pStyle w:val="2"/>
        <w:rPr>
          <w:i w:val="0"/>
          <w:iCs w:val="0"/>
          <w:color w:val="auto"/>
          <w:sz w:val="21"/>
          <w:szCs w:val="21"/>
          <w:highlight w:val="none"/>
        </w:rPr>
      </w:pPr>
    </w:p>
    <w:p w14:paraId="14C1B3A8">
      <w:pPr>
        <w:rPr>
          <w:i w:val="0"/>
          <w:iCs w:val="0"/>
          <w:color w:val="auto"/>
          <w:sz w:val="21"/>
          <w:szCs w:val="21"/>
          <w:highlight w:val="none"/>
        </w:rPr>
      </w:pPr>
    </w:p>
    <w:p w14:paraId="15227E06">
      <w:pPr>
        <w:rPr>
          <w:i w:val="0"/>
          <w:iCs w:val="0"/>
          <w:color w:val="auto"/>
          <w:highlight w:val="none"/>
        </w:rPr>
      </w:pPr>
    </w:p>
    <w:p w14:paraId="41D881B8">
      <w:pPr>
        <w:autoSpaceDE w:val="0"/>
        <w:autoSpaceDN w:val="0"/>
        <w:adjustRightInd w:val="0"/>
        <w:rPr>
          <w:i w:val="0"/>
          <w:iCs w:val="0"/>
          <w:color w:val="auto"/>
          <w:sz w:val="21"/>
          <w:szCs w:val="21"/>
          <w:highlight w:val="none"/>
        </w:rPr>
      </w:pPr>
    </w:p>
    <w:p w14:paraId="1C7F5439">
      <w:pPr>
        <w:autoSpaceDE w:val="0"/>
        <w:autoSpaceDN w:val="0"/>
        <w:adjustRightInd w:val="0"/>
        <w:rPr>
          <w:i w:val="0"/>
          <w:iCs w:val="0"/>
          <w:color w:val="auto"/>
          <w:sz w:val="21"/>
          <w:szCs w:val="21"/>
          <w:highlight w:val="none"/>
        </w:rPr>
      </w:pPr>
    </w:p>
    <w:p w14:paraId="037029E5">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项目编号</w:t>
      </w:r>
      <w:r>
        <w:rPr>
          <w:rFonts w:hint="eastAsia" w:ascii="宋体" w:hAnsi="宋体" w:eastAsia="宋体" w:cs="宋体"/>
          <w:i w:val="0"/>
          <w:iCs w:val="0"/>
          <w:color w:val="auto"/>
          <w:sz w:val="36"/>
          <w:szCs w:val="36"/>
          <w:highlight w:val="none"/>
          <w:lang w:val="en-US" w:eastAsia="zh-CN"/>
        </w:rPr>
        <w:t>/包号</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0538909E">
      <w:pPr>
        <w:ind w:left="420" w:leftChars="175"/>
        <w:rPr>
          <w:rFonts w:hint="eastAsia" w:ascii="宋体" w:hAnsi="宋体" w:eastAsia="宋体" w:cs="宋体"/>
          <w:i w:val="0"/>
          <w:iCs w:val="0"/>
          <w:color w:val="auto"/>
          <w:sz w:val="36"/>
          <w:szCs w:val="36"/>
          <w:highlight w:val="none"/>
        </w:rPr>
      </w:pPr>
      <w:r>
        <w:rPr>
          <w:rFonts w:hint="eastAsia" w:ascii="宋体" w:hAnsi="宋体" w:eastAsia="宋体" w:cs="宋体"/>
          <w:i w:val="0"/>
          <w:iCs w:val="0"/>
          <w:color w:val="auto"/>
          <w:sz w:val="36"/>
          <w:szCs w:val="36"/>
          <w:highlight w:val="none"/>
        </w:rPr>
        <w:t>项目名称：</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6D86FB53">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7C5E0224">
      <w:pPr>
        <w:jc w:val="center"/>
        <w:rPr>
          <w:rFonts w:ascii="黑体" w:hAnsi="黑体" w:eastAsia="黑体"/>
          <w:i w:val="0"/>
          <w:iCs w:val="0"/>
          <w:color w:val="auto"/>
          <w:sz w:val="32"/>
          <w:szCs w:val="32"/>
          <w:highlight w:val="none"/>
        </w:rPr>
      </w:pPr>
    </w:p>
    <w:p w14:paraId="77AC50DC">
      <w:pPr>
        <w:jc w:val="center"/>
        <w:rPr>
          <w:rFonts w:ascii="黑体" w:hAnsi="黑体" w:eastAsia="黑体"/>
          <w:i w:val="0"/>
          <w:iCs w:val="0"/>
          <w:color w:val="auto"/>
          <w:sz w:val="32"/>
          <w:szCs w:val="32"/>
          <w:highlight w:val="none"/>
        </w:rPr>
      </w:pPr>
    </w:p>
    <w:p w14:paraId="5C2AEB63">
      <w:pPr>
        <w:rPr>
          <w:i w:val="0"/>
          <w:iCs w:val="0"/>
          <w:color w:val="auto"/>
          <w:highlight w:val="none"/>
          <w:lang w:val="zh-CN"/>
        </w:rPr>
      </w:pPr>
      <w:r>
        <w:rPr>
          <w:i w:val="0"/>
          <w:iCs w:val="0"/>
          <w:color w:val="auto"/>
          <w:highlight w:val="none"/>
          <w:lang w:val="zh-CN"/>
        </w:rPr>
        <w:br w:type="page"/>
      </w:r>
    </w:p>
    <w:p w14:paraId="5A56E26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06" w:name="_Toc3577"/>
      <w:bookmarkStart w:id="707" w:name="_Toc109899489"/>
      <w:bookmarkStart w:id="708" w:name="_Toc109899908"/>
      <w:bookmarkStart w:id="709" w:name="_Toc25402"/>
      <w:bookmarkStart w:id="710" w:name="_Toc140132831"/>
      <w:bookmarkStart w:id="711" w:name="_Toc109900327"/>
      <w:bookmarkStart w:id="712" w:name="_Toc16679"/>
      <w:bookmarkStart w:id="713" w:name="_Toc155185921"/>
      <w:r>
        <w:rPr>
          <w:rFonts w:hint="eastAsia" w:eastAsia="宋体" w:asciiTheme="majorHAnsi" w:hAnsiTheme="majorHAnsi" w:cstheme="majorBidi"/>
          <w:b/>
          <w:bCs/>
          <w:i w:val="0"/>
          <w:iCs w:val="0"/>
          <w:color w:val="auto"/>
          <w:kern w:val="2"/>
          <w:sz w:val="32"/>
          <w:szCs w:val="32"/>
          <w:highlight w:val="none"/>
          <w:lang w:val="en-US" w:eastAsia="zh-CN" w:bidi="ar-SA"/>
        </w:rPr>
        <w:t>一、</w:t>
      </w:r>
      <w:r>
        <w:rPr>
          <w:rFonts w:hint="eastAsia" w:cstheme="majorBidi"/>
          <w:b/>
          <w:bCs/>
          <w:i w:val="0"/>
          <w:iCs w:val="0"/>
          <w:color w:val="auto"/>
          <w:kern w:val="2"/>
          <w:sz w:val="32"/>
          <w:szCs w:val="32"/>
          <w:highlight w:val="none"/>
          <w:lang w:val="en-US" w:eastAsia="zh-CN" w:bidi="ar-SA"/>
        </w:rPr>
        <w:t>响应</w:t>
      </w:r>
      <w:r>
        <w:rPr>
          <w:rFonts w:hint="eastAsia" w:eastAsia="宋体" w:asciiTheme="majorHAnsi" w:hAnsiTheme="majorHAnsi" w:cstheme="majorBidi"/>
          <w:b/>
          <w:bCs/>
          <w:i w:val="0"/>
          <w:iCs w:val="0"/>
          <w:color w:val="auto"/>
          <w:kern w:val="2"/>
          <w:sz w:val="32"/>
          <w:szCs w:val="32"/>
          <w:highlight w:val="none"/>
          <w:lang w:val="en-US" w:eastAsia="zh-CN" w:bidi="ar-SA"/>
        </w:rPr>
        <w:t>函</w:t>
      </w:r>
      <w:bookmarkEnd w:id="706"/>
      <w:bookmarkEnd w:id="707"/>
      <w:bookmarkEnd w:id="708"/>
      <w:bookmarkEnd w:id="709"/>
      <w:bookmarkEnd w:id="710"/>
      <w:bookmarkEnd w:id="711"/>
      <w:bookmarkEnd w:id="712"/>
      <w:bookmarkEnd w:id="713"/>
    </w:p>
    <w:p w14:paraId="69ABB720">
      <w:pPr>
        <w:rPr>
          <w:i w:val="0"/>
          <w:iCs w:val="0"/>
          <w:color w:val="auto"/>
          <w:highlight w:val="none"/>
        </w:rPr>
      </w:pPr>
      <w:r>
        <w:rPr>
          <w:rFonts w:hint="eastAsia"/>
          <w:i w:val="0"/>
          <w:iCs w:val="0"/>
          <w:color w:val="auto"/>
          <w:highlight w:val="none"/>
        </w:rPr>
        <w:t>致：（采购人）</w:t>
      </w:r>
    </w:p>
    <w:p w14:paraId="35C4266A">
      <w:pPr>
        <w:ind w:firstLine="480" w:firstLineChars="200"/>
        <w:rPr>
          <w:rFonts w:cs="仿宋_GB2312"/>
          <w:b/>
          <w:bCs/>
          <w:i w:val="0"/>
          <w:iCs w:val="0"/>
          <w:color w:val="auto"/>
          <w:szCs w:val="24"/>
          <w:highlight w:val="none"/>
        </w:rPr>
      </w:pPr>
      <w:r>
        <w:rPr>
          <w:rFonts w:hint="eastAsia" w:cs="仿宋_GB2312"/>
          <w:i w:val="0"/>
          <w:iCs w:val="0"/>
          <w:color w:val="auto"/>
          <w:szCs w:val="24"/>
          <w:highlight w:val="none"/>
        </w:rPr>
        <w:t>根据贵方</w:t>
      </w:r>
      <w:r>
        <w:rPr>
          <w:rFonts w:hint="eastAsia" w:cs="仿宋_GB2312"/>
          <w:i w:val="0"/>
          <w:iCs w:val="0"/>
          <w:color w:val="auto"/>
          <w:szCs w:val="24"/>
          <w:highlight w:val="none"/>
          <w:u w:val="single"/>
        </w:rPr>
        <w:t>（项目名称）（项目编号</w:t>
      </w:r>
      <w:r>
        <w:rPr>
          <w:rFonts w:hint="eastAsia" w:cs="仿宋_GB2312"/>
          <w:i w:val="0"/>
          <w:iCs w:val="0"/>
          <w:color w:val="auto"/>
          <w:szCs w:val="24"/>
          <w:highlight w:val="none"/>
          <w:u w:val="single"/>
          <w:lang w:val="en-US" w:eastAsia="zh-CN"/>
        </w:rPr>
        <w:t>/包号</w:t>
      </w:r>
      <w:r>
        <w:rPr>
          <w:rFonts w:hint="eastAsia" w:cs="仿宋_GB2312"/>
          <w:i w:val="0"/>
          <w:iCs w:val="0"/>
          <w:color w:val="auto"/>
          <w:szCs w:val="24"/>
          <w:highlight w:val="none"/>
          <w:u w:val="single"/>
        </w:rPr>
        <w:t>）</w:t>
      </w:r>
      <w:r>
        <w:rPr>
          <w:rFonts w:hint="eastAsia" w:cs="仿宋_GB2312"/>
          <w:i w:val="0"/>
          <w:iCs w:val="0"/>
          <w:color w:val="auto"/>
          <w:szCs w:val="24"/>
          <w:highlight w:val="none"/>
          <w:lang w:val="en-US" w:eastAsia="zh-CN"/>
        </w:rPr>
        <w:t>项目</w:t>
      </w:r>
      <w:r>
        <w:rPr>
          <w:rFonts w:hint="eastAsia" w:cs="仿宋_GB2312"/>
          <w:i w:val="0"/>
          <w:iCs w:val="0"/>
          <w:color w:val="auto"/>
          <w:szCs w:val="24"/>
          <w:highlight w:val="none"/>
        </w:rPr>
        <w:t>的</w:t>
      </w:r>
      <w:r>
        <w:rPr>
          <w:rFonts w:hint="eastAsia" w:cs="仿宋_GB2312"/>
          <w:i w:val="0"/>
          <w:iCs w:val="0"/>
          <w:color w:val="auto"/>
          <w:szCs w:val="24"/>
          <w:highlight w:val="none"/>
          <w:lang w:val="en-US" w:eastAsia="zh-CN"/>
        </w:rPr>
        <w:t>竞争性磋商公告</w:t>
      </w:r>
      <w:r>
        <w:rPr>
          <w:rFonts w:hint="eastAsia" w:cs="仿宋_GB2312"/>
          <w:i w:val="0"/>
          <w:iCs w:val="0"/>
          <w:color w:val="auto"/>
          <w:szCs w:val="24"/>
          <w:highlight w:val="none"/>
        </w:rPr>
        <w:t>，签字代表</w:t>
      </w:r>
      <w:r>
        <w:rPr>
          <w:rFonts w:hint="eastAsia" w:cs="仿宋_GB2312"/>
          <w:i w:val="0"/>
          <w:iCs w:val="0"/>
          <w:color w:val="auto"/>
          <w:szCs w:val="24"/>
          <w:highlight w:val="none"/>
          <w:u w:val="single"/>
        </w:rPr>
        <w:t>（姓名、职务）</w:t>
      </w:r>
      <w:r>
        <w:rPr>
          <w:rFonts w:hint="eastAsia" w:cs="仿宋_GB2312"/>
          <w:i w:val="0"/>
          <w:iCs w:val="0"/>
          <w:color w:val="auto"/>
          <w:szCs w:val="24"/>
          <w:highlight w:val="none"/>
        </w:rPr>
        <w:t>经正式授权并代表</w:t>
      </w:r>
      <w:r>
        <w:rPr>
          <w:rFonts w:hint="eastAsia" w:cs="仿宋_GB2312"/>
          <w:i w:val="0"/>
          <w:iCs w:val="0"/>
          <w:color w:val="auto"/>
          <w:szCs w:val="24"/>
          <w:highlight w:val="none"/>
          <w:lang w:val="en-US" w:eastAsia="zh-CN"/>
        </w:rPr>
        <w:t>供应商</w:t>
      </w:r>
      <w:r>
        <w:rPr>
          <w:rFonts w:hint="eastAsia" w:cs="仿宋_GB2312"/>
          <w:i w:val="0"/>
          <w:iCs w:val="0"/>
          <w:color w:val="auto"/>
          <w:szCs w:val="24"/>
          <w:highlight w:val="none"/>
          <w:u w:val="single"/>
        </w:rPr>
        <w:t>（</w:t>
      </w:r>
      <w:r>
        <w:rPr>
          <w:rFonts w:hint="eastAsia" w:cs="仿宋_GB2312"/>
          <w:i w:val="0"/>
          <w:iCs w:val="0"/>
          <w:color w:val="auto"/>
          <w:szCs w:val="24"/>
          <w:highlight w:val="none"/>
          <w:u w:val="single"/>
          <w:lang w:val="en-US" w:eastAsia="zh-CN"/>
        </w:rPr>
        <w:t>供应商</w:t>
      </w:r>
      <w:r>
        <w:rPr>
          <w:rFonts w:hint="eastAsia" w:cs="仿宋_GB2312"/>
          <w:i w:val="0"/>
          <w:iCs w:val="0"/>
          <w:color w:val="auto"/>
          <w:szCs w:val="24"/>
          <w:highlight w:val="none"/>
          <w:u w:val="single"/>
        </w:rPr>
        <w:t>名称、地址）</w:t>
      </w:r>
      <w:r>
        <w:rPr>
          <w:rFonts w:hint="eastAsia" w:cs="仿宋_GB2312"/>
          <w:i w:val="0"/>
          <w:iCs w:val="0"/>
          <w:color w:val="auto"/>
          <w:szCs w:val="24"/>
          <w:highlight w:val="none"/>
        </w:rPr>
        <w:t>提交下述文件</w:t>
      </w:r>
      <w:r>
        <w:rPr>
          <w:rFonts w:hint="eastAsia" w:cs="仿宋_GB2312"/>
          <w:b/>
          <w:bCs/>
          <w:i w:val="0"/>
          <w:iCs w:val="0"/>
          <w:color w:val="auto"/>
          <w:szCs w:val="24"/>
          <w:highlight w:val="none"/>
        </w:rPr>
        <w:t>：</w:t>
      </w:r>
    </w:p>
    <w:p w14:paraId="31DE4B23">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1.资格证明文件；</w:t>
      </w:r>
    </w:p>
    <w:p w14:paraId="7E086E9D">
      <w:pPr>
        <w:spacing w:line="324" w:lineRule="auto"/>
        <w:ind w:firstLine="480" w:firstLineChars="200"/>
        <w:rPr>
          <w:rFonts w:hint="eastAsia" w:cs="Arial"/>
          <w:i w:val="0"/>
          <w:iCs w:val="0"/>
          <w:color w:val="auto"/>
          <w:szCs w:val="24"/>
          <w:highlight w:val="none"/>
          <w:lang w:val="en-US" w:eastAsia="zh-CN"/>
        </w:rPr>
      </w:pPr>
      <w:r>
        <w:rPr>
          <w:rFonts w:hint="eastAsia" w:cs="Arial"/>
          <w:i w:val="0"/>
          <w:iCs w:val="0"/>
          <w:color w:val="auto"/>
          <w:szCs w:val="24"/>
          <w:highlight w:val="none"/>
          <w:lang w:val="en-US" w:eastAsia="zh-CN"/>
        </w:rPr>
        <w:t>2.报价文件；</w:t>
      </w:r>
    </w:p>
    <w:p w14:paraId="7C008F28">
      <w:pPr>
        <w:numPr>
          <w:ilvl w:val="0"/>
          <w:numId w:val="0"/>
        </w:numPr>
        <w:spacing w:line="324" w:lineRule="auto"/>
        <w:ind w:firstLine="480" w:firstLineChars="200"/>
        <w:jc w:val="both"/>
        <w:rPr>
          <w:rFonts w:cs="Arial"/>
          <w:i w:val="0"/>
          <w:iCs w:val="0"/>
          <w:color w:val="auto"/>
          <w:szCs w:val="24"/>
          <w:highlight w:val="none"/>
        </w:rPr>
      </w:pPr>
      <w:r>
        <w:rPr>
          <w:rFonts w:hint="eastAsia" w:cs="Arial"/>
          <w:i w:val="0"/>
          <w:iCs w:val="0"/>
          <w:color w:val="auto"/>
          <w:szCs w:val="24"/>
          <w:highlight w:val="none"/>
          <w:lang w:val="en-US" w:eastAsia="zh-CN"/>
        </w:rPr>
        <w:t>3.商务技术文件</w:t>
      </w:r>
      <w:r>
        <w:rPr>
          <w:rFonts w:cs="Arial"/>
          <w:i w:val="0"/>
          <w:iCs w:val="0"/>
          <w:color w:val="auto"/>
          <w:szCs w:val="24"/>
          <w:highlight w:val="none"/>
        </w:rPr>
        <w:t>。</w:t>
      </w:r>
    </w:p>
    <w:p w14:paraId="2038C573">
      <w:pPr>
        <w:spacing w:line="324" w:lineRule="auto"/>
        <w:ind w:firstLine="480" w:firstLineChars="200"/>
        <w:rPr>
          <w:rFonts w:cs="Arial"/>
          <w:i w:val="0"/>
          <w:iCs w:val="0"/>
          <w:color w:val="auto"/>
          <w:szCs w:val="24"/>
          <w:highlight w:val="none"/>
        </w:rPr>
      </w:pPr>
      <w:r>
        <w:rPr>
          <w:rFonts w:cs="Arial"/>
          <w:i w:val="0"/>
          <w:iCs w:val="0"/>
          <w:color w:val="auto"/>
          <w:szCs w:val="24"/>
          <w:highlight w:val="none"/>
        </w:rPr>
        <w:t>根据此函，签字代表宣布同意如下：</w:t>
      </w:r>
    </w:p>
    <w:p w14:paraId="7021F25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1.</w:t>
      </w:r>
      <w:r>
        <w:rPr>
          <w:rFonts w:cs="Arial"/>
          <w:i w:val="0"/>
          <w:iCs w:val="0"/>
          <w:color w:val="auto"/>
          <w:szCs w:val="24"/>
          <w:highlight w:val="none"/>
        </w:rPr>
        <w:t>所附</w:t>
      </w:r>
      <w:r>
        <w:rPr>
          <w:rFonts w:hint="eastAsia" w:cs="Arial"/>
          <w:i w:val="0"/>
          <w:iCs w:val="0"/>
          <w:color w:val="auto"/>
          <w:szCs w:val="24"/>
          <w:highlight w:val="none"/>
          <w:lang w:val="en-US" w:eastAsia="zh-CN"/>
        </w:rPr>
        <w:t>报价一览</w:t>
      </w:r>
      <w:r>
        <w:rPr>
          <w:rFonts w:cs="Arial"/>
          <w:i w:val="0"/>
          <w:iCs w:val="0"/>
          <w:color w:val="auto"/>
          <w:szCs w:val="24"/>
          <w:highlight w:val="none"/>
        </w:rPr>
        <w:t>表中规定的应提交和交付的服务和</w:t>
      </w:r>
      <w:r>
        <w:rPr>
          <w:rFonts w:hint="eastAsia"/>
          <w:i w:val="0"/>
          <w:iCs w:val="0"/>
          <w:color w:val="auto"/>
          <w:szCs w:val="24"/>
          <w:highlight w:val="none"/>
          <w:lang w:val="en-US" w:eastAsia="zh-CN"/>
        </w:rPr>
        <w:t>包含的</w:t>
      </w:r>
      <w:r>
        <w:rPr>
          <w:rFonts w:hint="eastAsia" w:cs="Arial"/>
          <w:i w:val="0"/>
          <w:iCs w:val="0"/>
          <w:color w:val="auto"/>
          <w:szCs w:val="24"/>
          <w:highlight w:val="none"/>
        </w:rPr>
        <w:t>货物（如有）</w:t>
      </w:r>
      <w:r>
        <w:rPr>
          <w:rFonts w:cs="Arial"/>
          <w:i w:val="0"/>
          <w:iCs w:val="0"/>
          <w:color w:val="auto"/>
          <w:szCs w:val="24"/>
          <w:highlight w:val="none"/>
        </w:rPr>
        <w:t>的</w:t>
      </w:r>
      <w:r>
        <w:rPr>
          <w:rFonts w:hint="eastAsia" w:cs="Arial"/>
          <w:i w:val="0"/>
          <w:iCs w:val="0"/>
          <w:color w:val="auto"/>
          <w:szCs w:val="24"/>
          <w:highlight w:val="none"/>
        </w:rPr>
        <w:t>报价</w:t>
      </w:r>
      <w:r>
        <w:rPr>
          <w:rFonts w:cs="Arial"/>
          <w:i w:val="0"/>
          <w:iCs w:val="0"/>
          <w:color w:val="auto"/>
          <w:szCs w:val="24"/>
          <w:highlight w:val="none"/>
        </w:rPr>
        <w:t>为</w:t>
      </w:r>
      <w:r>
        <w:rPr>
          <w:rFonts w:hint="eastAsia" w:cs="Arial"/>
          <w:i w:val="0"/>
          <w:iCs w:val="0"/>
          <w:color w:val="auto"/>
          <w:szCs w:val="24"/>
          <w:highlight w:val="none"/>
        </w:rPr>
        <w:t xml:space="preserve"> </w:t>
      </w:r>
      <w:r>
        <w:rPr>
          <w:rFonts w:hint="eastAsia" w:cs="Arial"/>
          <w:i w:val="0"/>
          <w:iCs w:val="0"/>
          <w:color w:val="auto"/>
          <w:szCs w:val="24"/>
          <w:highlight w:val="none"/>
          <w:u w:val="single"/>
        </w:rPr>
        <w:t xml:space="preserve">                  </w:t>
      </w:r>
      <w:r>
        <w:rPr>
          <w:rFonts w:cs="Arial"/>
          <w:i w:val="0"/>
          <w:iCs w:val="0"/>
          <w:color w:val="auto"/>
          <w:szCs w:val="24"/>
          <w:highlight w:val="none"/>
        </w:rPr>
        <w:t>。</w:t>
      </w:r>
    </w:p>
    <w:p w14:paraId="3FF1B405">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2.</w:t>
      </w:r>
      <w:r>
        <w:rPr>
          <w:rFonts w:hint="eastAsia" w:cs="Arial"/>
          <w:i w:val="0"/>
          <w:iCs w:val="0"/>
          <w:color w:val="auto"/>
          <w:szCs w:val="24"/>
          <w:highlight w:val="none"/>
        </w:rPr>
        <w:t>我方</w:t>
      </w:r>
      <w:r>
        <w:rPr>
          <w:rFonts w:cs="Arial"/>
          <w:i w:val="0"/>
          <w:iCs w:val="0"/>
          <w:color w:val="auto"/>
          <w:szCs w:val="24"/>
          <w:highlight w:val="none"/>
        </w:rPr>
        <w:t>将按</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3.</w:t>
      </w:r>
      <w:r>
        <w:rPr>
          <w:rFonts w:hint="eastAsia" w:cs="Arial"/>
          <w:i w:val="0"/>
          <w:iCs w:val="0"/>
          <w:color w:val="auto"/>
          <w:szCs w:val="24"/>
          <w:highlight w:val="none"/>
        </w:rPr>
        <w:t>我方</w:t>
      </w:r>
      <w:r>
        <w:rPr>
          <w:rFonts w:cs="Arial"/>
          <w:i w:val="0"/>
          <w:iCs w:val="0"/>
          <w:color w:val="auto"/>
          <w:szCs w:val="24"/>
          <w:highlight w:val="none"/>
        </w:rPr>
        <w:t>已详细审查全部</w:t>
      </w:r>
      <w:r>
        <w:rPr>
          <w:rFonts w:hint="eastAsia" w:cs="仿宋_GB2312"/>
          <w:i w:val="0"/>
          <w:iCs w:val="0"/>
          <w:color w:val="auto"/>
          <w:szCs w:val="24"/>
          <w:highlight w:val="none"/>
          <w:lang w:val="en-US" w:eastAsia="zh-CN"/>
        </w:rPr>
        <w:t>竞争性磋商</w:t>
      </w:r>
      <w:r>
        <w:rPr>
          <w:rFonts w:cs="Arial"/>
          <w:i w:val="0"/>
          <w:iCs w:val="0"/>
          <w:color w:val="auto"/>
          <w:szCs w:val="24"/>
          <w:highlight w:val="none"/>
        </w:rPr>
        <w:t>文件，包括第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响应有效期为自提交响应文件的截止之日起</w:t>
      </w:r>
      <w:r>
        <w:rPr>
          <w:rFonts w:hint="eastAsia" w:cs="Arial"/>
          <w:i w:val="0"/>
          <w:iCs w:val="0"/>
          <w:color w:val="auto"/>
          <w:szCs w:val="24"/>
          <w:highlight w:val="none"/>
          <w:u w:val="single"/>
        </w:rPr>
        <w:t xml:space="preserve"> （由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竞争性磋商</w:t>
      </w:r>
      <w:r>
        <w:rPr>
          <w:rFonts w:hint="eastAsia" w:cs="Arial"/>
          <w:i w:val="0"/>
          <w:iCs w:val="0"/>
          <w:color w:val="auto"/>
          <w:szCs w:val="24"/>
          <w:highlight w:val="none"/>
        </w:rPr>
        <w:t>文件</w:t>
      </w:r>
      <w:r>
        <w:rPr>
          <w:rFonts w:cs="Arial"/>
          <w:i w:val="0"/>
          <w:iCs w:val="0"/>
          <w:color w:val="auto"/>
          <w:szCs w:val="24"/>
          <w:highlight w:val="none"/>
        </w:rPr>
        <w:t>要求的与其</w:t>
      </w:r>
      <w:r>
        <w:rPr>
          <w:rFonts w:hint="eastAsia" w:cs="Arial"/>
          <w:i w:val="0"/>
          <w:iCs w:val="0"/>
          <w:color w:val="auto"/>
          <w:szCs w:val="24"/>
          <w:highlight w:val="none"/>
          <w:lang w:val="en-US" w:eastAsia="zh-CN"/>
        </w:rPr>
        <w:t>磋商响应</w:t>
      </w:r>
      <w:r>
        <w:rPr>
          <w:rFonts w:cs="Arial"/>
          <w:i w:val="0"/>
          <w:iCs w:val="0"/>
          <w:color w:val="auto"/>
          <w:szCs w:val="24"/>
          <w:highlight w:val="none"/>
        </w:rPr>
        <w:t>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w:t>
      </w:r>
      <w:r>
        <w:rPr>
          <w:rFonts w:hint="eastAsia" w:cs="Arial"/>
          <w:i w:val="0"/>
          <w:iCs w:val="0"/>
          <w:color w:val="auto"/>
          <w:szCs w:val="24"/>
          <w:highlight w:val="none"/>
          <w:lang w:val="en-US" w:eastAsia="zh-CN"/>
        </w:rPr>
        <w:t>响应</w:t>
      </w:r>
      <w:r>
        <w:rPr>
          <w:rFonts w:cs="Arial"/>
          <w:i w:val="0"/>
          <w:iCs w:val="0"/>
          <w:color w:val="auto"/>
          <w:szCs w:val="24"/>
          <w:highlight w:val="none"/>
        </w:rPr>
        <w:t>。</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w:t>
      </w:r>
      <w:r>
        <w:rPr>
          <w:rFonts w:hint="eastAsia" w:cs="Arial"/>
          <w:i w:val="0"/>
          <w:iCs w:val="0"/>
          <w:color w:val="auto"/>
          <w:szCs w:val="24"/>
          <w:highlight w:val="none"/>
          <w:lang w:val="en-US" w:eastAsia="zh-CN"/>
        </w:rPr>
        <w:t>成交</w:t>
      </w:r>
      <w:r>
        <w:rPr>
          <w:rFonts w:hint="eastAsia" w:cs="Arial"/>
          <w:i w:val="0"/>
          <w:iCs w:val="0"/>
          <w:color w:val="auto"/>
          <w:szCs w:val="24"/>
          <w:highlight w:val="none"/>
        </w:rPr>
        <w:t>人支付采购代理服务费，我方同意按</w:t>
      </w:r>
      <w:r>
        <w:rPr>
          <w:rFonts w:hint="eastAsia" w:cs="Arial"/>
          <w:i w:val="0"/>
          <w:iCs w:val="0"/>
          <w:color w:val="auto"/>
          <w:szCs w:val="24"/>
          <w:highlight w:val="none"/>
          <w:lang w:val="en-US" w:eastAsia="zh-CN"/>
        </w:rPr>
        <w:t>供应商</w:t>
      </w:r>
      <w:r>
        <w:rPr>
          <w:rFonts w:hint="eastAsia" w:cs="Arial"/>
          <w:i w:val="0"/>
          <w:iCs w:val="0"/>
          <w:color w:val="auto"/>
          <w:szCs w:val="24"/>
          <w:highlight w:val="none"/>
        </w:rPr>
        <w:t>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w:t>
      </w:r>
      <w:r>
        <w:rPr>
          <w:rFonts w:hint="eastAsia" w:cs="Arial"/>
          <w:i w:val="0"/>
          <w:iCs w:val="0"/>
          <w:color w:val="auto"/>
          <w:szCs w:val="24"/>
          <w:highlight w:val="none"/>
          <w:u w:val="single"/>
          <w:lang w:val="en-US" w:eastAsia="zh-CN"/>
        </w:rPr>
        <w:t>供应商</w:t>
      </w:r>
      <w:r>
        <w:rPr>
          <w:rFonts w:hint="eastAsia" w:cs="Arial"/>
          <w:i w:val="0"/>
          <w:iCs w:val="0"/>
          <w:color w:val="auto"/>
          <w:szCs w:val="24"/>
          <w:highlight w:val="none"/>
          <w:u w:val="single"/>
        </w:rPr>
        <w:t>如实填写）</w:t>
      </w:r>
      <w:r>
        <w:rPr>
          <w:rFonts w:hint="eastAsia"/>
          <w:i w:val="0"/>
          <w:iCs w:val="0"/>
          <w:color w:val="auto"/>
          <w:szCs w:val="24"/>
          <w:highlight w:val="none"/>
        </w:rPr>
        <w:t>。</w:t>
      </w:r>
    </w:p>
    <w:p w14:paraId="4FC84088">
      <w:pPr>
        <w:spacing w:line="324" w:lineRule="auto"/>
        <w:ind w:firstLine="480" w:firstLineChars="200"/>
        <w:rPr>
          <w:i w:val="0"/>
          <w:iCs w:val="0"/>
          <w:color w:val="auto"/>
          <w:szCs w:val="24"/>
          <w:highlight w:val="none"/>
        </w:rPr>
      </w:pPr>
      <w:r>
        <w:rPr>
          <w:rFonts w:hint="eastAsia"/>
          <w:i w:val="0"/>
          <w:iCs w:val="0"/>
          <w:color w:val="auto"/>
          <w:szCs w:val="24"/>
          <w:highlight w:val="none"/>
        </w:rPr>
        <w:t>（备注：以上</w:t>
      </w:r>
      <w:r>
        <w:rPr>
          <w:i w:val="0"/>
          <w:iCs w:val="0"/>
          <w:color w:val="auto"/>
          <w:szCs w:val="24"/>
          <w:highlight w:val="none"/>
        </w:rPr>
        <w:t>3</w:t>
      </w:r>
      <w:r>
        <w:rPr>
          <w:rFonts w:hint="eastAsia"/>
          <w:i w:val="0"/>
          <w:iCs w:val="0"/>
          <w:color w:val="auto"/>
          <w:szCs w:val="24"/>
          <w:highlight w:val="none"/>
        </w:rPr>
        <w:t>项声明，必须如实选择，选中项用</w:t>
      </w:r>
      <w:r>
        <w:rPr>
          <w:rFonts w:hint="eastAsia"/>
          <w:i w:val="0"/>
          <w:iCs w:val="0"/>
          <w:color w:val="auto"/>
          <w:szCs w:val="24"/>
          <w:highlight w:val="none"/>
          <w:lang w:eastAsia="zh-CN"/>
        </w:rPr>
        <w:t>☑</w:t>
      </w:r>
      <w:r>
        <w:rPr>
          <w:rFonts w:hint="eastAsia"/>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4）我方在本</w:t>
      </w:r>
      <w:r>
        <w:rPr>
          <w:rFonts w:hint="eastAsia"/>
          <w:i w:val="0"/>
          <w:iCs w:val="0"/>
          <w:color w:val="auto"/>
          <w:szCs w:val="24"/>
          <w:highlight w:val="none"/>
          <w:lang w:val="en-US" w:eastAsia="zh-CN"/>
        </w:rPr>
        <w:t>响应</w:t>
      </w:r>
      <w:r>
        <w:rPr>
          <w:rFonts w:hint="eastAsia"/>
          <w:i w:val="0"/>
          <w:iCs w:val="0"/>
          <w:color w:val="auto"/>
          <w:szCs w:val="24"/>
          <w:highlight w:val="none"/>
        </w:rPr>
        <w:t>文件中所提供的全部资料均真实有效，我方承诺对其真实性负责并承担相应后果。</w:t>
      </w:r>
    </w:p>
    <w:p w14:paraId="5FB2607B">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5）我方承诺本《</w:t>
      </w:r>
      <w:r>
        <w:rPr>
          <w:rFonts w:hint="eastAsia"/>
          <w:i w:val="0"/>
          <w:iCs w:val="0"/>
          <w:color w:val="auto"/>
          <w:szCs w:val="24"/>
          <w:highlight w:val="none"/>
          <w:lang w:val="en-US" w:eastAsia="zh-CN"/>
        </w:rPr>
        <w:t>响应</w:t>
      </w:r>
      <w:r>
        <w:rPr>
          <w:rFonts w:hint="eastAsia"/>
          <w:i w:val="0"/>
          <w:iCs w:val="0"/>
          <w:color w:val="auto"/>
          <w:szCs w:val="24"/>
          <w:highlight w:val="none"/>
        </w:rPr>
        <w:t>函》的签章对本</w:t>
      </w:r>
      <w:r>
        <w:rPr>
          <w:rFonts w:hint="eastAsia"/>
          <w:i w:val="0"/>
          <w:iCs w:val="0"/>
          <w:color w:val="auto"/>
          <w:szCs w:val="24"/>
          <w:highlight w:val="none"/>
          <w:lang w:val="en-US" w:eastAsia="zh-CN"/>
        </w:rPr>
        <w:t>响应</w:t>
      </w:r>
      <w:r>
        <w:rPr>
          <w:rFonts w:hint="eastAsia"/>
          <w:i w:val="0"/>
          <w:iCs w:val="0"/>
          <w:color w:val="auto"/>
          <w:szCs w:val="24"/>
          <w:highlight w:val="none"/>
        </w:rPr>
        <w:t>文件全部内容具有约束力并承担法律责任。</w:t>
      </w:r>
    </w:p>
    <w:p w14:paraId="2A195747">
      <w:pPr>
        <w:spacing w:line="300" w:lineRule="auto"/>
        <w:rPr>
          <w:rFonts w:cs="Arial"/>
          <w:i w:val="0"/>
          <w:iCs w:val="0"/>
          <w:color w:val="auto"/>
          <w:szCs w:val="24"/>
          <w:highlight w:val="none"/>
        </w:rPr>
      </w:pPr>
    </w:p>
    <w:p w14:paraId="3F664789">
      <w:pPr>
        <w:spacing w:line="300" w:lineRule="auto"/>
        <w:rPr>
          <w:rFonts w:cs="Arial"/>
          <w:i w:val="0"/>
          <w:iCs w:val="0"/>
          <w:color w:val="auto"/>
          <w:szCs w:val="24"/>
          <w:highlight w:val="none"/>
        </w:rPr>
      </w:pPr>
    </w:p>
    <w:p w14:paraId="6C365FF0">
      <w:pPr>
        <w:spacing w:line="300" w:lineRule="auto"/>
        <w:rPr>
          <w:rFonts w:cs="Arial"/>
          <w:i w:val="0"/>
          <w:iCs w:val="0"/>
          <w:color w:val="auto"/>
          <w:szCs w:val="24"/>
          <w:highlight w:val="none"/>
        </w:rPr>
      </w:pPr>
    </w:p>
    <w:p w14:paraId="42CE30DE">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lang w:val="en-US" w:eastAsia="zh-CN"/>
        </w:rPr>
        <w:t>供应商名称</w:t>
      </w:r>
      <w:r>
        <w:rPr>
          <w:rFonts w:hint="eastAsia" w:cs="宋体"/>
          <w:i w:val="0"/>
          <w:iCs w:val="0"/>
          <w:color w:val="auto"/>
          <w:highlight w:val="none"/>
        </w:rPr>
        <w:t>（公章）：</w:t>
      </w:r>
    </w:p>
    <w:p w14:paraId="1ADA86FC">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通  讯  地  址：</w:t>
      </w:r>
    </w:p>
    <w:p w14:paraId="336D3074">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传       </w:t>
      </w:r>
      <w:r>
        <w:rPr>
          <w:rFonts w:cs="宋体"/>
          <w:i w:val="0"/>
          <w:iCs w:val="0"/>
          <w:color w:val="auto"/>
          <w:highlight w:val="none"/>
        </w:rPr>
        <w:t xml:space="preserve">   </w:t>
      </w:r>
      <w:r>
        <w:rPr>
          <w:rFonts w:hint="eastAsia" w:cs="宋体"/>
          <w:i w:val="0"/>
          <w:iCs w:val="0"/>
          <w:color w:val="auto"/>
          <w:highlight w:val="none"/>
        </w:rPr>
        <w:t>真：</w:t>
      </w:r>
    </w:p>
    <w:p w14:paraId="3362611B">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电          话：</w:t>
      </w:r>
    </w:p>
    <w:p w14:paraId="0CD23DFA">
      <w:pPr>
        <w:autoSpaceDE w:val="0"/>
        <w:autoSpaceDN w:val="0"/>
        <w:adjustRightInd w:val="0"/>
        <w:snapToGrid w:val="0"/>
        <w:ind w:firstLine="480" w:firstLineChars="200"/>
        <w:rPr>
          <w:rFonts w:cs="宋体"/>
          <w:i w:val="0"/>
          <w:iCs w:val="0"/>
          <w:color w:val="auto"/>
          <w:highlight w:val="none"/>
        </w:rPr>
      </w:pPr>
      <w:r>
        <w:rPr>
          <w:rFonts w:hint="eastAsia" w:cs="宋体"/>
          <w:i w:val="0"/>
          <w:iCs w:val="0"/>
          <w:color w:val="auto"/>
          <w:highlight w:val="none"/>
        </w:rPr>
        <w:t xml:space="preserve">授 </w:t>
      </w:r>
      <w:r>
        <w:rPr>
          <w:rFonts w:cs="宋体"/>
          <w:i w:val="0"/>
          <w:iCs w:val="0"/>
          <w:color w:val="auto"/>
          <w:highlight w:val="none"/>
        </w:rPr>
        <w:t xml:space="preserve"> </w:t>
      </w:r>
      <w:r>
        <w:rPr>
          <w:rFonts w:hint="eastAsia" w:cs="宋体"/>
          <w:i w:val="0"/>
          <w:iCs w:val="0"/>
          <w:color w:val="auto"/>
          <w:highlight w:val="none"/>
        </w:rPr>
        <w:t xml:space="preserve">权 </w:t>
      </w:r>
      <w:r>
        <w:rPr>
          <w:rFonts w:cs="宋体"/>
          <w:i w:val="0"/>
          <w:iCs w:val="0"/>
          <w:color w:val="auto"/>
          <w:highlight w:val="none"/>
        </w:rPr>
        <w:t xml:space="preserve"> </w:t>
      </w:r>
      <w:r>
        <w:rPr>
          <w:rFonts w:hint="eastAsia" w:cs="宋体"/>
          <w:i w:val="0"/>
          <w:iCs w:val="0"/>
          <w:color w:val="auto"/>
          <w:highlight w:val="none"/>
        </w:rPr>
        <w:t xml:space="preserve">代 </w:t>
      </w:r>
      <w:r>
        <w:rPr>
          <w:rFonts w:cs="宋体"/>
          <w:i w:val="0"/>
          <w:iCs w:val="0"/>
          <w:color w:val="auto"/>
          <w:highlight w:val="none"/>
        </w:rPr>
        <w:t xml:space="preserve"> </w:t>
      </w:r>
      <w:r>
        <w:rPr>
          <w:rFonts w:hint="eastAsia" w:cs="宋体"/>
          <w:i w:val="0"/>
          <w:iCs w:val="0"/>
          <w:color w:val="auto"/>
          <w:highlight w:val="none"/>
        </w:rPr>
        <w:t>表：</w:t>
      </w:r>
    </w:p>
    <w:p w14:paraId="63C92097">
      <w:pPr>
        <w:ind w:firstLine="480" w:firstLineChars="200"/>
        <w:rPr>
          <w:rFonts w:cs="Arial"/>
          <w:i w:val="0"/>
          <w:iCs w:val="0"/>
          <w:color w:val="auto"/>
          <w:szCs w:val="24"/>
          <w:highlight w:val="none"/>
        </w:rPr>
      </w:pPr>
      <w:r>
        <w:rPr>
          <w:rFonts w:hint="eastAsia" w:cs="宋体"/>
          <w:i w:val="0"/>
          <w:iCs w:val="0"/>
          <w:color w:val="auto"/>
          <w:highlight w:val="none"/>
        </w:rPr>
        <w:t xml:space="preserve">日    </w:t>
      </w:r>
      <w:r>
        <w:rPr>
          <w:rFonts w:cs="宋体"/>
          <w:i w:val="0"/>
          <w:iCs w:val="0"/>
          <w:color w:val="auto"/>
          <w:highlight w:val="none"/>
        </w:rPr>
        <w:t xml:space="preserve">  </w:t>
      </w:r>
      <w:r>
        <w:rPr>
          <w:rFonts w:hint="eastAsia" w:cs="宋体"/>
          <w:i w:val="0"/>
          <w:iCs w:val="0"/>
          <w:color w:val="auto"/>
          <w:highlight w:val="none"/>
        </w:rPr>
        <w:t xml:space="preserve">    期：</w:t>
      </w:r>
    </w:p>
    <w:p w14:paraId="6674502E">
      <w:pPr>
        <w:rPr>
          <w:rFonts w:cs="Arial"/>
          <w:i w:val="0"/>
          <w:iCs w:val="0"/>
          <w:color w:val="auto"/>
          <w:szCs w:val="24"/>
          <w:highlight w:val="none"/>
          <w:u w:val="single"/>
        </w:rPr>
      </w:pPr>
    </w:p>
    <w:p w14:paraId="478BFBB8">
      <w:pPr>
        <w:rPr>
          <w:rFonts w:cs="Arial"/>
          <w:i w:val="0"/>
          <w:iCs w:val="0"/>
          <w:color w:val="auto"/>
          <w:szCs w:val="24"/>
          <w:highlight w:val="none"/>
          <w:u w:val="single"/>
        </w:rPr>
      </w:pPr>
      <w:r>
        <w:rPr>
          <w:rFonts w:cs="Arial"/>
          <w:i w:val="0"/>
          <w:iCs w:val="0"/>
          <w:color w:val="auto"/>
          <w:szCs w:val="24"/>
          <w:highlight w:val="none"/>
          <w:u w:val="single"/>
        </w:rPr>
        <w:br w:type="page"/>
      </w:r>
    </w:p>
    <w:p w14:paraId="24B4BD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14" w:name="_Toc155185924"/>
      <w:bookmarkStart w:id="715" w:name="_Toc2702"/>
      <w:r>
        <w:rPr>
          <w:rFonts w:hint="eastAsia" w:cstheme="majorBidi"/>
          <w:b/>
          <w:bCs/>
          <w:i w:val="0"/>
          <w:iCs w:val="0"/>
          <w:color w:val="auto"/>
          <w:kern w:val="2"/>
          <w:sz w:val="32"/>
          <w:szCs w:val="32"/>
          <w:highlight w:val="none"/>
          <w:lang w:val="en-US" w:eastAsia="zh-CN" w:bidi="ar-SA"/>
        </w:rPr>
        <w:t>二</w:t>
      </w:r>
      <w:r>
        <w:rPr>
          <w:rFonts w:hint="eastAsia" w:eastAsia="宋体" w:asciiTheme="majorHAnsi" w:hAnsiTheme="majorHAnsi" w:cstheme="majorBidi"/>
          <w:b/>
          <w:bCs/>
          <w:i w:val="0"/>
          <w:iCs w:val="0"/>
          <w:color w:val="auto"/>
          <w:kern w:val="2"/>
          <w:sz w:val="32"/>
          <w:szCs w:val="32"/>
          <w:highlight w:val="none"/>
          <w:lang w:val="en-US" w:eastAsia="zh-CN" w:bidi="ar-SA"/>
        </w:rPr>
        <w:t>、法定代表人（单位负责人）身份证明</w:t>
      </w:r>
      <w:bookmarkEnd w:id="714"/>
      <w:bookmarkEnd w:id="715"/>
    </w:p>
    <w:p w14:paraId="46CF1AA3">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兹证明， </w:t>
      </w:r>
    </w:p>
    <w:p w14:paraId="1D36B9E0">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系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lang w:val="en-US" w:eastAsia="zh-CN"/>
        </w:rPr>
        <w:t xml:space="preserve">（供应商名称）的法定代表人（单位负责人）。 </w:t>
      </w:r>
    </w:p>
    <w:p w14:paraId="3B002BC6">
      <w:pPr>
        <w:spacing w:line="480" w:lineRule="auto"/>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i w:val="0"/>
          <w:iCs w:val="0"/>
          <w:color w:val="auto"/>
          <w:szCs w:val="24"/>
          <w:highlight w:val="none"/>
        </w:rPr>
      </w:pPr>
    </w:p>
    <w:p w14:paraId="473563CD">
      <w:pPr>
        <w:rPr>
          <w:rFonts w:cs="Arial"/>
          <w:i w:val="0"/>
          <w:iCs w:val="0"/>
          <w:color w:val="auto"/>
          <w:sz w:val="21"/>
          <w:szCs w:val="21"/>
          <w:highlight w:val="none"/>
        </w:rPr>
      </w:pPr>
    </w:p>
    <w:tbl>
      <w:tblPr>
        <w:tblStyle w:val="3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1" w:hRule="atLeast"/>
        </w:trPr>
        <w:tc>
          <w:tcPr>
            <w:tcW w:w="8527" w:type="dxa"/>
          </w:tcPr>
          <w:p w14:paraId="4B7B7E19">
            <w:pPr>
              <w:rPr>
                <w:rFonts w:cs="Arial"/>
                <w:i w:val="0"/>
                <w:iCs w:val="0"/>
                <w:color w:val="auto"/>
                <w:highlight w:val="none"/>
              </w:rPr>
            </w:pPr>
          </w:p>
        </w:tc>
      </w:tr>
    </w:tbl>
    <w:p w14:paraId="76B5C725">
      <w:pPr>
        <w:ind w:firstLine="840" w:firstLineChars="350"/>
        <w:jc w:val="center"/>
        <w:rPr>
          <w:rFonts w:cs="Arial"/>
          <w:i w:val="0"/>
          <w:iCs w:val="0"/>
          <w:color w:val="auto"/>
          <w:highlight w:val="none"/>
        </w:rPr>
      </w:pPr>
    </w:p>
    <w:p w14:paraId="4AD74708">
      <w:pPr>
        <w:keepNext w:val="0"/>
        <w:keepLines w:val="0"/>
        <w:widowControl/>
        <w:suppressLineNumbers w:val="0"/>
        <w:jc w:val="left"/>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364A1245">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i w:val="0"/>
          <w:iCs w:val="0"/>
          <w:color w:val="auto"/>
          <w:kern w:val="0"/>
          <w:sz w:val="24"/>
          <w:szCs w:val="24"/>
          <w:highlight w:val="none"/>
          <w:lang w:val="en-US" w:eastAsia="zh-CN" w:bidi="ar"/>
        </w:rPr>
      </w:pPr>
    </w:p>
    <w:p w14:paraId="7239FE13">
      <w:pPr>
        <w:keepNext w:val="0"/>
        <w:keepLines w:val="0"/>
        <w:widowControl/>
        <w:suppressLineNumbers w:val="0"/>
        <w:jc w:val="left"/>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日</w:t>
      </w:r>
    </w:p>
    <w:p w14:paraId="6948CD78">
      <w:pPr>
        <w:rPr>
          <w:b/>
          <w:i w:val="0"/>
          <w:iCs w:val="0"/>
          <w:color w:val="auto"/>
          <w:sz w:val="28"/>
          <w:szCs w:val="28"/>
          <w:highlight w:val="none"/>
        </w:rPr>
      </w:pPr>
    </w:p>
    <w:p w14:paraId="04FDD702">
      <w:pPr>
        <w:rPr>
          <w:b/>
          <w:i w:val="0"/>
          <w:iCs w:val="0"/>
          <w:color w:val="auto"/>
          <w:sz w:val="28"/>
          <w:szCs w:val="28"/>
          <w:highlight w:val="none"/>
        </w:rPr>
      </w:pPr>
      <w:r>
        <w:rPr>
          <w:b/>
          <w:i w:val="0"/>
          <w:iCs w:val="0"/>
          <w:color w:val="auto"/>
          <w:sz w:val="28"/>
          <w:szCs w:val="28"/>
          <w:highlight w:val="none"/>
        </w:rPr>
        <w:br w:type="page"/>
      </w:r>
    </w:p>
    <w:p w14:paraId="0EEE8A23">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16" w:name="_Toc155185925"/>
      <w:bookmarkStart w:id="717" w:name="_Toc18159"/>
      <w:r>
        <w:rPr>
          <w:rFonts w:hint="eastAsia" w:cstheme="majorBidi"/>
          <w:b/>
          <w:bCs/>
          <w:i w:val="0"/>
          <w:iCs w:val="0"/>
          <w:color w:val="auto"/>
          <w:kern w:val="2"/>
          <w:sz w:val="32"/>
          <w:szCs w:val="32"/>
          <w:highlight w:val="none"/>
          <w:lang w:val="en-US" w:eastAsia="zh-CN" w:bidi="ar-SA"/>
        </w:rPr>
        <w:t>三</w:t>
      </w:r>
      <w:r>
        <w:rPr>
          <w:rFonts w:hint="eastAsia" w:eastAsia="宋体" w:asciiTheme="majorHAnsi" w:hAnsiTheme="majorHAnsi" w:cstheme="majorBidi"/>
          <w:b/>
          <w:bCs/>
          <w:i w:val="0"/>
          <w:iCs w:val="0"/>
          <w:color w:val="auto"/>
          <w:kern w:val="2"/>
          <w:sz w:val="32"/>
          <w:szCs w:val="32"/>
          <w:highlight w:val="none"/>
          <w:lang w:val="en-US" w:eastAsia="zh-CN" w:bidi="ar-SA"/>
        </w:rPr>
        <w:t>、授权委托书</w:t>
      </w:r>
      <w:bookmarkEnd w:id="716"/>
      <w:bookmarkEnd w:id="717"/>
    </w:p>
    <w:p w14:paraId="593F068D">
      <w:pPr>
        <w:ind w:firstLine="480" w:firstLineChars="200"/>
        <w:rPr>
          <w:rFonts w:cs="仿宋_GB2312"/>
          <w:i w:val="0"/>
          <w:iCs w:val="0"/>
          <w:color w:val="auto"/>
          <w:szCs w:val="24"/>
          <w:highlight w:val="none"/>
        </w:rPr>
      </w:pPr>
      <w:r>
        <w:rPr>
          <w:rFonts w:hint="eastAsia" w:cs="仿宋_GB2312"/>
          <w:i w:val="0"/>
          <w:iCs w:val="0"/>
          <w:color w:val="auto"/>
          <w:szCs w:val="24"/>
          <w:highlight w:val="none"/>
        </w:rPr>
        <w:t>本人</w:t>
      </w:r>
      <w:r>
        <w:rPr>
          <w:rFonts w:cs="仿宋_GB2312"/>
          <w:i w:val="0"/>
          <w:iCs w:val="0"/>
          <w:color w:val="auto"/>
          <w:szCs w:val="24"/>
          <w:highlight w:val="none"/>
          <w:u w:val="single"/>
        </w:rPr>
        <w:t xml:space="preserve">     </w:t>
      </w:r>
      <w:r>
        <w:rPr>
          <w:rFonts w:hint="eastAsia" w:cs="仿宋_GB2312"/>
          <w:i w:val="0"/>
          <w:iCs w:val="0"/>
          <w:color w:val="auto"/>
          <w:szCs w:val="24"/>
          <w:highlight w:val="none"/>
          <w:u w:val="none"/>
        </w:rPr>
        <w:t>（姓名）</w:t>
      </w:r>
      <w:r>
        <w:rPr>
          <w:rFonts w:hint="eastAsia" w:cs="仿宋_GB2312"/>
          <w:i w:val="0"/>
          <w:iCs w:val="0"/>
          <w:color w:val="auto"/>
          <w:szCs w:val="24"/>
          <w:highlight w:val="none"/>
        </w:rPr>
        <w:t>系</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none"/>
        </w:rPr>
        <w:t>（</w:t>
      </w:r>
      <w:r>
        <w:rPr>
          <w:rFonts w:hint="eastAsia" w:cs="仿宋_GB2312"/>
          <w:i w:val="0"/>
          <w:iCs w:val="0"/>
          <w:color w:val="auto"/>
          <w:szCs w:val="24"/>
          <w:highlight w:val="none"/>
          <w:u w:val="none"/>
          <w:lang w:val="en-US" w:eastAsia="zh-CN"/>
        </w:rPr>
        <w:t>供应商</w:t>
      </w:r>
      <w:r>
        <w:rPr>
          <w:rFonts w:hint="eastAsia" w:cs="仿宋_GB2312"/>
          <w:i w:val="0"/>
          <w:iCs w:val="0"/>
          <w:color w:val="auto"/>
          <w:szCs w:val="24"/>
          <w:highlight w:val="none"/>
          <w:u w:val="none"/>
        </w:rPr>
        <w:t>名称）</w:t>
      </w:r>
      <w:r>
        <w:rPr>
          <w:rFonts w:hint="eastAsia" w:cs="仿宋_GB2312"/>
          <w:i w:val="0"/>
          <w:iCs w:val="0"/>
          <w:color w:val="auto"/>
          <w:szCs w:val="24"/>
          <w:highlight w:val="none"/>
        </w:rPr>
        <w:t>的法定代表人</w:t>
      </w:r>
      <w:r>
        <w:rPr>
          <w:rFonts w:hint="eastAsia"/>
          <w:i w:val="0"/>
          <w:iCs w:val="0"/>
          <w:color w:val="auto"/>
          <w:highlight w:val="none"/>
        </w:rPr>
        <w:t>（</w:t>
      </w:r>
      <w:r>
        <w:rPr>
          <w:rFonts w:hint="eastAsia"/>
          <w:i w:val="0"/>
          <w:iCs w:val="0"/>
          <w:color w:val="auto"/>
          <w:highlight w:val="none"/>
          <w:lang w:val="en-US" w:eastAsia="zh-CN"/>
        </w:rPr>
        <w:t>单位</w:t>
      </w:r>
      <w:r>
        <w:rPr>
          <w:rFonts w:hint="eastAsia"/>
          <w:i w:val="0"/>
          <w:iCs w:val="0"/>
          <w:color w:val="auto"/>
          <w:highlight w:val="none"/>
        </w:rPr>
        <w:t>负责人）</w:t>
      </w:r>
      <w:r>
        <w:rPr>
          <w:rFonts w:hint="eastAsia" w:cs="仿宋_GB2312"/>
          <w:i w:val="0"/>
          <w:iCs w:val="0"/>
          <w:color w:val="auto"/>
          <w:szCs w:val="24"/>
          <w:highlight w:val="none"/>
        </w:rPr>
        <w:t>，现委托</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（姓名）为我方代理人。代理人根据授权，以我方名义签署、澄清</w:t>
      </w:r>
      <w:r>
        <w:rPr>
          <w:rFonts w:hint="eastAsia" w:cs="仿宋_GB2312"/>
          <w:i w:val="0"/>
          <w:iCs w:val="0"/>
          <w:color w:val="auto"/>
          <w:szCs w:val="24"/>
          <w:highlight w:val="none"/>
          <w:lang w:val="en-US" w:eastAsia="zh-CN"/>
        </w:rPr>
        <w:t>确认</w:t>
      </w:r>
      <w:r>
        <w:rPr>
          <w:rFonts w:hint="eastAsia" w:cs="仿宋_GB2312"/>
          <w:i w:val="0"/>
          <w:iCs w:val="0"/>
          <w:color w:val="auto"/>
          <w:szCs w:val="24"/>
          <w:highlight w:val="none"/>
        </w:rPr>
        <w:t>、说明、补正、递交、撤回、修改</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u w:val="single"/>
          <w:lang w:val="en-US" w:eastAsia="zh-CN"/>
        </w:rPr>
        <w:t xml:space="preserve">      </w:t>
      </w:r>
      <w:r>
        <w:rPr>
          <w:rFonts w:hint="eastAsia" w:cs="仿宋_GB2312"/>
          <w:i w:val="0"/>
          <w:iCs w:val="0"/>
          <w:color w:val="auto"/>
          <w:szCs w:val="24"/>
          <w:highlight w:val="none"/>
          <w:u w:val="single"/>
        </w:rPr>
        <w:t xml:space="preserve">  </w:t>
      </w:r>
      <w:r>
        <w:rPr>
          <w:rFonts w:hint="eastAsia" w:cs="仿宋_GB2312"/>
          <w:i w:val="0"/>
          <w:iCs w:val="0"/>
          <w:color w:val="auto"/>
          <w:szCs w:val="24"/>
          <w:highlight w:val="none"/>
        </w:rPr>
        <w:t>（项目名称）</w:t>
      </w:r>
      <w:r>
        <w:rPr>
          <w:rFonts w:hint="eastAsia" w:cs="仿宋_GB2312"/>
          <w:i w:val="0"/>
          <w:iCs w:val="0"/>
          <w:color w:val="auto"/>
          <w:szCs w:val="24"/>
          <w:highlight w:val="none"/>
          <w:lang w:val="en-US" w:eastAsia="zh-CN"/>
        </w:rPr>
        <w:t>响应</w:t>
      </w:r>
      <w:r>
        <w:rPr>
          <w:rFonts w:hint="eastAsia" w:cs="仿宋_GB2312"/>
          <w:i w:val="0"/>
          <w:iCs w:val="0"/>
          <w:color w:val="auto"/>
          <w:szCs w:val="24"/>
          <w:highlight w:val="none"/>
        </w:rPr>
        <w:t>文件、签订合同和处理有关事宜，其法律后果由我方承担。</w:t>
      </w:r>
    </w:p>
    <w:p w14:paraId="56B80D1C">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rPr>
        <w:t>委托期限：</w:t>
      </w:r>
      <w:r>
        <w:rPr>
          <w:rFonts w:hint="eastAsia" w:cs="仿宋_GB2312"/>
          <w:i w:val="0"/>
          <w:iCs w:val="0"/>
          <w:color w:val="auto"/>
          <w:szCs w:val="24"/>
          <w:highlight w:val="none"/>
          <w:lang w:val="en-US" w:eastAsia="zh-CN"/>
        </w:rPr>
        <w:t>自本授权委托书签署之日起至响应文件有效期届满之日止。</w:t>
      </w:r>
    </w:p>
    <w:p w14:paraId="0A605ABE">
      <w:pPr>
        <w:ind w:firstLine="480" w:firstLineChars="200"/>
        <w:rPr>
          <w:rFonts w:cs="仿宋_GB2312"/>
          <w:i w:val="0"/>
          <w:iCs w:val="0"/>
          <w:color w:val="auto"/>
          <w:szCs w:val="24"/>
          <w:highlight w:val="none"/>
        </w:rPr>
      </w:pPr>
      <w:r>
        <w:rPr>
          <w:rFonts w:hint="eastAsia" w:cs="仿宋_GB2312"/>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cs="宋体"/>
          <w:i w:val="0"/>
          <w:iCs w:val="0"/>
          <w:color w:val="auto"/>
          <w:kern w:val="0"/>
          <w:sz w:val="24"/>
          <w:szCs w:val="24"/>
          <w:highlight w:val="none"/>
          <w:lang w:val="en-US" w:eastAsia="zh-CN" w:bidi="ar"/>
        </w:rPr>
        <w:t>供应商</w:t>
      </w:r>
      <w:r>
        <w:rPr>
          <w:rFonts w:hint="eastAsia" w:ascii="宋体" w:hAnsi="宋体" w:eastAsia="宋体" w:cs="宋体"/>
          <w:i w:val="0"/>
          <w:iCs w:val="0"/>
          <w:color w:val="auto"/>
          <w:kern w:val="0"/>
          <w:sz w:val="24"/>
          <w:szCs w:val="24"/>
          <w:highlight w:val="none"/>
          <w:lang w:val="en-US" w:eastAsia="zh-CN" w:bidi="ar"/>
        </w:rPr>
        <w:t>名称（加盖公章）：</w:t>
      </w:r>
      <w:r>
        <w:rPr>
          <w:rFonts w:ascii="DejaVuSans" w:hAnsi="DejaVuSans" w:eastAsia="DejaVuSans" w:cs="DejaVuSans"/>
          <w:i w:val="0"/>
          <w:iCs w:val="0"/>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法定代表人（单位负责人）（签字或签章）：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i w:val="0"/>
          <w:iCs w:val="0"/>
          <w:color w:val="auto"/>
          <w:highlight w:val="none"/>
          <w:u w:val="single"/>
          <w:lang w:val="en-US"/>
        </w:rPr>
      </w:pPr>
      <w:r>
        <w:rPr>
          <w:rFonts w:hint="eastAsia" w:ascii="宋体" w:hAnsi="宋体" w:eastAsia="宋体" w:cs="宋体"/>
          <w:i w:val="0"/>
          <w:iCs w:val="0"/>
          <w:color w:val="auto"/>
          <w:kern w:val="0"/>
          <w:sz w:val="24"/>
          <w:szCs w:val="24"/>
          <w:highlight w:val="none"/>
          <w:lang w:val="en-US" w:eastAsia="zh-CN" w:bidi="ar"/>
        </w:rPr>
        <w:t>委托代理人（签字或签章）：</w:t>
      </w:r>
      <w:r>
        <w:rPr>
          <w:rFonts w:hint="default" w:ascii="DejaVuSans" w:hAnsi="DejaVuSans" w:eastAsia="DejaVuSans" w:cs="DejaVuSans"/>
          <w:i w:val="0"/>
          <w:iCs w:val="0"/>
          <w:color w:val="auto"/>
          <w:kern w:val="0"/>
          <w:sz w:val="24"/>
          <w:szCs w:val="24"/>
          <w:highlight w:val="none"/>
          <w:lang w:val="en-US" w:eastAsia="zh-CN" w:bidi="ar"/>
        </w:rPr>
        <w:t xml:space="preserve">________________ </w:t>
      </w:r>
      <w:r>
        <w:rPr>
          <w:rFonts w:hint="eastAsia" w:ascii="DejaVuSans" w:hAnsi="DejaVuSans" w:eastAsia="DejaVuSans" w:cs="DejaVuSans"/>
          <w:i w:val="0"/>
          <w:iCs w:val="0"/>
          <w:color w:val="auto"/>
          <w:kern w:val="0"/>
          <w:sz w:val="24"/>
          <w:szCs w:val="24"/>
          <w:highlight w:val="none"/>
          <w:lang w:val="en-US" w:eastAsia="zh-CN" w:bidi="ar"/>
        </w:rPr>
        <w:t xml:space="preserve">  联系电话：</w:t>
      </w:r>
      <w:r>
        <w:rPr>
          <w:rFonts w:hint="eastAsia" w:ascii="DejaVuSans" w:hAnsi="DejaVuSans" w:eastAsia="DejaVuSans" w:cs="DejaVuSans"/>
          <w:i w:val="0"/>
          <w:iCs w:val="0"/>
          <w:color w:val="auto"/>
          <w:kern w:val="0"/>
          <w:sz w:val="24"/>
          <w:szCs w:val="24"/>
          <w:highlight w:val="none"/>
          <w:u w:val="singl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w:t>
      </w:r>
      <w:r>
        <w:rPr>
          <w:rFonts w:hint="default" w:ascii="DejaVuSans" w:hAnsi="DejaVuSans" w:eastAsia="DejaVuSans" w:cs="DejaVuSans"/>
          <w:i w:val="0"/>
          <w:iCs w:val="0"/>
          <w:color w:val="auto"/>
          <w:kern w:val="0"/>
          <w:sz w:val="24"/>
          <w:szCs w:val="24"/>
          <w:highlight w:val="none"/>
          <w:lang w:val="en-US" w:eastAsia="zh-CN" w:bidi="ar"/>
        </w:rPr>
        <w:t>_____</w:t>
      </w:r>
      <w:r>
        <w:rPr>
          <w:rFonts w:hint="eastAsia" w:ascii="宋体" w:hAnsi="宋体" w:eastAsia="宋体" w:cs="宋体"/>
          <w:i w:val="0"/>
          <w:iCs w:val="0"/>
          <w:color w:val="auto"/>
          <w:kern w:val="0"/>
          <w:sz w:val="24"/>
          <w:szCs w:val="24"/>
          <w:highlight w:val="none"/>
          <w:lang w:val="en-US" w:eastAsia="zh-CN" w:bidi="ar"/>
        </w:rPr>
        <w:t>年</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月</w:t>
      </w:r>
      <w:r>
        <w:rPr>
          <w:rFonts w:hint="default" w:ascii="DejaVuSans" w:hAnsi="DejaVuSans" w:eastAsia="DejaVuSans" w:cs="DejaVuSans"/>
          <w:i w:val="0"/>
          <w:iCs w:val="0"/>
          <w:color w:val="auto"/>
          <w:kern w:val="0"/>
          <w:sz w:val="24"/>
          <w:szCs w:val="24"/>
          <w:highlight w:val="none"/>
          <w:lang w:val="en-US" w:eastAsia="zh-CN" w:bidi="ar"/>
        </w:rPr>
        <w:t>______</w:t>
      </w:r>
      <w:r>
        <w:rPr>
          <w:rFonts w:hint="eastAsia" w:ascii="宋体" w:hAnsi="宋体" w:eastAsia="宋体" w:cs="宋体"/>
          <w:i w:val="0"/>
          <w:iCs w:val="0"/>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附：法定代表人及委托代理人身份证明文件电子件： </w:t>
      </w:r>
    </w:p>
    <w:tbl>
      <w:tblPr>
        <w:tblStyle w:val="3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i w:val="0"/>
                <w:iCs w:val="0"/>
                <w:color w:val="auto"/>
                <w:highlight w:val="none"/>
              </w:rPr>
            </w:pPr>
          </w:p>
        </w:tc>
      </w:tr>
    </w:tbl>
    <w:p w14:paraId="003FC2D7">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说明： </w:t>
      </w:r>
    </w:p>
    <w:p w14:paraId="6A6FAC65">
      <w:pPr>
        <w:ind w:firstLine="480" w:firstLineChars="200"/>
        <w:rPr>
          <w:rFonts w:hint="eastAsia" w:cs="仿宋_GB2312"/>
          <w:i w:val="0"/>
          <w:iCs w:val="0"/>
          <w:color w:val="auto"/>
          <w:szCs w:val="24"/>
          <w:highlight w:val="none"/>
        </w:rPr>
      </w:pPr>
      <w:r>
        <w:rPr>
          <w:rFonts w:hint="eastAsia" w:cs="仿宋_GB2312"/>
          <w:i w:val="0"/>
          <w:iCs w:val="0"/>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2.</w:t>
      </w:r>
      <w:r>
        <w:rPr>
          <w:rFonts w:hint="eastAsia" w:cs="仿宋_GB2312"/>
          <w:i w:val="0"/>
          <w:iCs w:val="0"/>
          <w:color w:val="auto"/>
          <w:szCs w:val="24"/>
          <w:highlight w:val="none"/>
          <w:lang w:val="en-US" w:eastAsia="zh-CN"/>
        </w:rPr>
        <w:t xml:space="preserve">若响应文件中签字之处均为法定代表人（单位负责人）本人签署，则可不提供本《授权委托书》，但须提供《法定代表人（单位负责人）身份证明》。 </w:t>
      </w:r>
    </w:p>
    <w:p w14:paraId="7D81952A">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3.</w:t>
      </w:r>
      <w:r>
        <w:rPr>
          <w:rFonts w:hint="eastAsia" w:cs="仿宋_GB2312"/>
          <w:i w:val="0"/>
          <w:iCs w:val="0"/>
          <w:color w:val="auto"/>
          <w:szCs w:val="24"/>
          <w:highlight w:val="none"/>
          <w:lang w:val="en-US" w:eastAsia="zh-CN"/>
        </w:rPr>
        <w:t xml:space="preserve">供应商为自然人的情形，可不提供本《授权委托书》。 </w:t>
      </w:r>
    </w:p>
    <w:p w14:paraId="16E91B57">
      <w:pPr>
        <w:ind w:firstLine="480" w:firstLineChars="200"/>
        <w:rPr>
          <w:rFonts w:hint="eastAsia" w:cs="仿宋_GB2312"/>
          <w:i w:val="0"/>
          <w:iCs w:val="0"/>
          <w:color w:val="auto"/>
          <w:szCs w:val="24"/>
          <w:highlight w:val="none"/>
        </w:rPr>
      </w:pPr>
      <w:r>
        <w:rPr>
          <w:rFonts w:hint="default" w:cs="仿宋_GB2312"/>
          <w:i w:val="0"/>
          <w:iCs w:val="0"/>
          <w:color w:val="auto"/>
          <w:szCs w:val="24"/>
          <w:highlight w:val="none"/>
          <w:lang w:val="en-US" w:eastAsia="zh-CN"/>
        </w:rPr>
        <w:t>4.</w:t>
      </w:r>
      <w:r>
        <w:rPr>
          <w:rFonts w:hint="eastAsia" w:cs="仿宋_GB2312"/>
          <w:i w:val="0"/>
          <w:iCs w:val="0"/>
          <w:color w:val="auto"/>
          <w:szCs w:val="24"/>
          <w:highlight w:val="none"/>
          <w:lang w:val="en-US" w:eastAsia="zh-CN"/>
        </w:rPr>
        <w:t>供应商应随本《授权委托书》同时提供法定代表人（单位负责人）及委托代理人的有效的身份证、护照等身份证明文件电子件。提供身份证的，应同时提供身份证</w:t>
      </w:r>
      <w:r>
        <w:rPr>
          <w:rFonts w:hint="eastAsia" w:cs="仿宋_GB2312"/>
          <w:b/>
          <w:bCs/>
          <w:i w:val="0"/>
          <w:iCs w:val="0"/>
          <w:color w:val="auto"/>
          <w:szCs w:val="24"/>
          <w:highlight w:val="none"/>
          <w:lang w:val="en-US" w:eastAsia="zh-CN"/>
        </w:rPr>
        <w:t>双面</w:t>
      </w:r>
      <w:r>
        <w:rPr>
          <w:rFonts w:hint="eastAsia" w:cs="仿宋_GB2312"/>
          <w:i w:val="0"/>
          <w:iCs w:val="0"/>
          <w:color w:val="auto"/>
          <w:szCs w:val="24"/>
          <w:highlight w:val="none"/>
          <w:lang w:val="en-US" w:eastAsia="zh-CN"/>
        </w:rPr>
        <w:t>电子件。</w:t>
      </w:r>
    </w:p>
    <w:p w14:paraId="0B2EBA16">
      <w:pPr>
        <w:rPr>
          <w:i w:val="0"/>
          <w:iCs w:val="0"/>
          <w:color w:val="auto"/>
          <w:highlight w:val="none"/>
        </w:rPr>
      </w:pPr>
      <w:r>
        <w:rPr>
          <w:i w:val="0"/>
          <w:iCs w:val="0"/>
          <w:color w:val="auto"/>
          <w:highlight w:val="none"/>
        </w:rPr>
        <w:br w:type="page"/>
      </w:r>
    </w:p>
    <w:p w14:paraId="63CF304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18" w:name="_Toc155185934"/>
      <w:bookmarkStart w:id="719" w:name="_Toc163492928"/>
      <w:bookmarkStart w:id="720" w:name="_Toc27582"/>
      <w:r>
        <w:rPr>
          <w:rFonts w:hint="eastAsia" w:cstheme="majorBidi"/>
          <w:b/>
          <w:bCs/>
          <w:i w:val="0"/>
          <w:iCs w:val="0"/>
          <w:color w:val="auto"/>
          <w:kern w:val="2"/>
          <w:sz w:val="32"/>
          <w:szCs w:val="32"/>
          <w:highlight w:val="none"/>
          <w:lang w:val="en-US" w:eastAsia="zh-CN" w:bidi="ar-SA"/>
        </w:rPr>
        <w:t>四</w:t>
      </w:r>
      <w:r>
        <w:rPr>
          <w:rFonts w:hint="eastAsia" w:eastAsia="宋体" w:asciiTheme="majorHAnsi" w:hAnsiTheme="majorHAnsi" w:cstheme="majorBidi"/>
          <w:b/>
          <w:bCs/>
          <w:i w:val="0"/>
          <w:iCs w:val="0"/>
          <w:color w:val="auto"/>
          <w:kern w:val="2"/>
          <w:sz w:val="32"/>
          <w:szCs w:val="32"/>
          <w:highlight w:val="none"/>
          <w:lang w:val="en-US" w:eastAsia="zh-CN" w:bidi="ar-SA"/>
        </w:rPr>
        <w:t>、</w:t>
      </w:r>
      <w:bookmarkEnd w:id="718"/>
      <w:bookmarkEnd w:id="719"/>
      <w:r>
        <w:rPr>
          <w:rFonts w:hint="eastAsia" w:eastAsia="宋体" w:asciiTheme="majorHAnsi" w:hAnsiTheme="majorHAnsi" w:cstheme="majorBidi"/>
          <w:b/>
          <w:bCs/>
          <w:i w:val="0"/>
          <w:iCs w:val="0"/>
          <w:color w:val="auto"/>
          <w:kern w:val="2"/>
          <w:sz w:val="32"/>
          <w:szCs w:val="32"/>
          <w:highlight w:val="none"/>
          <w:lang w:val="zh-CN" w:eastAsia="zh-CN" w:bidi="ar-SA"/>
        </w:rPr>
        <w:t>政府采购供应商廉洁自律承诺书</w:t>
      </w:r>
      <w:bookmarkEnd w:id="720"/>
    </w:p>
    <w:p w14:paraId="1993A163">
      <w:pPr>
        <w:pStyle w:val="16"/>
        <w:rPr>
          <w:i w:val="0"/>
          <w:iCs w:val="0"/>
          <w:color w:val="auto"/>
          <w:highlight w:val="none"/>
        </w:rPr>
      </w:pPr>
    </w:p>
    <w:p w14:paraId="2CE177B4">
      <w:pPr>
        <w:snapToGrid w:val="0"/>
        <w:spacing w:line="360" w:lineRule="auto"/>
        <w:rPr>
          <w:rFonts w:ascii="宋体" w:hAnsi="宋体" w:cs="宋体"/>
          <w:i w:val="0"/>
          <w:iCs w:val="0"/>
          <w:color w:val="auto"/>
          <w:kern w:val="0"/>
          <w:sz w:val="24"/>
          <w:szCs w:val="24"/>
          <w:highlight w:val="none"/>
        </w:rPr>
      </w:pPr>
      <w:r>
        <w:rPr>
          <w:rFonts w:hint="eastAsia" w:ascii="宋体" w:hAnsi="宋体" w:cs="宋体"/>
          <w:i w:val="0"/>
          <w:iCs w:val="0"/>
          <w:color w:val="auto"/>
          <w:sz w:val="24"/>
          <w:szCs w:val="24"/>
          <w:highlight w:val="none"/>
        </w:rPr>
        <w:t>（采购人）、（采购代理机构）</w:t>
      </w:r>
      <w:r>
        <w:rPr>
          <w:rFonts w:hint="eastAsia" w:ascii="宋体" w:hAnsi="宋体" w:cs="宋体"/>
          <w:i w:val="0"/>
          <w:iCs w:val="0"/>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我单位响应你</w:t>
      </w:r>
      <w:r>
        <w:rPr>
          <w:rFonts w:hint="eastAsia" w:ascii="宋体" w:hAnsi="宋体" w:cs="宋体"/>
          <w:i w:val="0"/>
          <w:iCs w:val="0"/>
          <w:color w:val="auto"/>
          <w:sz w:val="24"/>
          <w:szCs w:val="24"/>
          <w:highlight w:val="none"/>
        </w:rPr>
        <w:t>单位</w:t>
      </w:r>
      <w:r>
        <w:rPr>
          <w:rFonts w:hint="eastAsia" w:ascii="宋体" w:hAnsi="宋体" w:cs="宋体"/>
          <w:i w:val="0"/>
          <w:iCs w:val="0"/>
          <w:color w:val="auto"/>
          <w:kern w:val="0"/>
          <w:sz w:val="24"/>
          <w:szCs w:val="24"/>
          <w:highlight w:val="none"/>
          <w:lang w:val="zh-CN"/>
        </w:rPr>
        <w:t>项目</w:t>
      </w:r>
      <w:r>
        <w:rPr>
          <w:rFonts w:hint="eastAsia" w:cs="宋体"/>
          <w:i w:val="0"/>
          <w:iCs w:val="0"/>
          <w:color w:val="auto"/>
          <w:kern w:val="0"/>
          <w:sz w:val="24"/>
          <w:szCs w:val="24"/>
          <w:highlight w:val="none"/>
          <w:lang w:val="en-US" w:eastAsia="zh-CN"/>
        </w:rPr>
        <w:t>竞争性磋商</w:t>
      </w:r>
      <w:r>
        <w:rPr>
          <w:rFonts w:hint="eastAsia" w:ascii="宋体" w:hAnsi="宋体" w:cs="宋体"/>
          <w:i w:val="0"/>
          <w:iCs w:val="0"/>
          <w:color w:val="auto"/>
          <w:kern w:val="0"/>
          <w:sz w:val="24"/>
          <w:szCs w:val="24"/>
          <w:highlight w:val="none"/>
          <w:lang w:val="zh-CN"/>
        </w:rPr>
        <w:t>要求参加</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。在这次</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过程中和</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i w:val="0"/>
          <w:iCs w:val="0"/>
          <w:color w:val="auto"/>
          <w:kern w:val="0"/>
          <w:sz w:val="24"/>
          <w:szCs w:val="24"/>
          <w:highlight w:val="none"/>
          <w:lang w:val="zh-CN"/>
        </w:rPr>
      </w:pPr>
      <w:r>
        <w:rPr>
          <w:rFonts w:hint="eastAsia" w:ascii="宋体" w:hAnsi="宋体" w:cs="宋体"/>
          <w:i w:val="0"/>
          <w:iCs w:val="0"/>
          <w:color w:val="auto"/>
          <w:kern w:val="0"/>
          <w:sz w:val="24"/>
          <w:szCs w:val="24"/>
          <w:highlight w:val="none"/>
          <w:lang w:val="zh-CN"/>
        </w:rPr>
        <w:t>如违反上述承诺，你单位有权立即取消我单位</w:t>
      </w:r>
      <w:r>
        <w:rPr>
          <w:rFonts w:hint="eastAsia" w:cs="宋体"/>
          <w:i w:val="0"/>
          <w:iCs w:val="0"/>
          <w:color w:val="auto"/>
          <w:kern w:val="0"/>
          <w:sz w:val="24"/>
          <w:szCs w:val="24"/>
          <w:highlight w:val="none"/>
          <w:lang w:val="en-US" w:eastAsia="zh-CN"/>
        </w:rPr>
        <w:t>磋商响应</w:t>
      </w:r>
      <w:r>
        <w:rPr>
          <w:rFonts w:hint="eastAsia" w:ascii="宋体" w:hAnsi="宋体" w:cs="宋体"/>
          <w:i w:val="0"/>
          <w:iCs w:val="0"/>
          <w:color w:val="auto"/>
          <w:kern w:val="0"/>
          <w:sz w:val="24"/>
          <w:szCs w:val="24"/>
          <w:highlight w:val="none"/>
          <w:lang w:val="zh-CN"/>
        </w:rPr>
        <w:t>、</w:t>
      </w:r>
      <w:r>
        <w:rPr>
          <w:rFonts w:hint="eastAsia" w:cs="宋体"/>
          <w:i w:val="0"/>
          <w:iCs w:val="0"/>
          <w:color w:val="auto"/>
          <w:kern w:val="0"/>
          <w:sz w:val="24"/>
          <w:szCs w:val="24"/>
          <w:highlight w:val="none"/>
          <w:lang w:val="en-US" w:eastAsia="zh-CN"/>
        </w:rPr>
        <w:t>成交</w:t>
      </w:r>
      <w:r>
        <w:rPr>
          <w:rFonts w:hint="eastAsia" w:ascii="宋体" w:hAnsi="宋体" w:cs="宋体"/>
          <w:i w:val="0"/>
          <w:iCs w:val="0"/>
          <w:color w:val="auto"/>
          <w:kern w:val="0"/>
          <w:sz w:val="24"/>
          <w:szCs w:val="24"/>
          <w:highlight w:val="none"/>
          <w:lang w:val="zh-CN"/>
        </w:rPr>
        <w:t>或在建项目的建设资格，有权拒绝我单位在一定时期内进入你单位进行项目建设或其他经营活动，并通报</w:t>
      </w:r>
      <w:r>
        <w:rPr>
          <w:rFonts w:hint="eastAsia" w:ascii="宋体" w:hAnsi="宋体" w:cs="宋体"/>
          <w:i w:val="0"/>
          <w:iCs w:val="0"/>
          <w:color w:val="auto"/>
          <w:kern w:val="0"/>
          <w:sz w:val="24"/>
          <w:szCs w:val="24"/>
          <w:highlight w:val="none"/>
          <w:lang w:val="en-US" w:eastAsia="zh-CN"/>
        </w:rPr>
        <w:t>兵团</w:t>
      </w:r>
      <w:r>
        <w:rPr>
          <w:rFonts w:hint="eastAsia" w:ascii="宋体" w:hAnsi="宋体" w:cs="宋体"/>
          <w:i w:val="0"/>
          <w:iCs w:val="0"/>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914ACDE">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02E01AF0">
      <w:pPr>
        <w:autoSpaceDE w:val="0"/>
        <w:autoSpaceDN w:val="0"/>
        <w:spacing w:line="360" w:lineRule="auto"/>
        <w:ind w:left="2"/>
        <w:jc w:val="left"/>
        <w:rPr>
          <w:rFonts w:ascii="宋体" w:hAnsi="宋体" w:cs="宋体"/>
          <w:i w:val="0"/>
          <w:iCs w:val="0"/>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i w:val="0"/>
          <w:iCs w:val="0"/>
          <w:color w:val="auto"/>
          <w:kern w:val="0"/>
          <w:sz w:val="24"/>
          <w:szCs w:val="24"/>
          <w:highlight w:val="none"/>
          <w:lang w:val="zh-CN"/>
        </w:rPr>
      </w:pPr>
      <w:r>
        <w:rPr>
          <w:rFonts w:hint="eastAsia" w:cs="宋体"/>
          <w:i w:val="0"/>
          <w:iCs w:val="0"/>
          <w:color w:val="auto"/>
          <w:kern w:val="0"/>
          <w:sz w:val="24"/>
          <w:szCs w:val="24"/>
          <w:highlight w:val="none"/>
          <w:lang w:val="en-US" w:eastAsia="zh-CN"/>
        </w:rPr>
        <w:t>供应商</w:t>
      </w:r>
      <w:r>
        <w:rPr>
          <w:rFonts w:hint="eastAsia" w:ascii="宋体" w:hAnsi="宋体" w:cs="宋体"/>
          <w:i w:val="0"/>
          <w:iCs w:val="0"/>
          <w:color w:val="auto"/>
          <w:kern w:val="0"/>
          <w:sz w:val="24"/>
          <w:szCs w:val="24"/>
          <w:highlight w:val="none"/>
          <w:lang w:val="zh-CN"/>
        </w:rPr>
        <w:t>名称（</w:t>
      </w:r>
      <w:r>
        <w:rPr>
          <w:rFonts w:hint="eastAsia" w:cs="宋体"/>
          <w:i w:val="0"/>
          <w:iCs w:val="0"/>
          <w:color w:val="auto"/>
          <w:sz w:val="24"/>
          <w:szCs w:val="24"/>
          <w:highlight w:val="none"/>
          <w:lang w:eastAsia="zh-CN"/>
        </w:rPr>
        <w:t>公章</w:t>
      </w:r>
      <w:r>
        <w:rPr>
          <w:rFonts w:hint="eastAsia" w:ascii="宋体" w:hAnsi="宋体" w:cs="宋体"/>
          <w:i w:val="0"/>
          <w:iCs w:val="0"/>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i w:val="0"/>
          <w:iCs w:val="0"/>
          <w:color w:val="auto"/>
          <w:kern w:val="2"/>
          <w:sz w:val="24"/>
          <w:szCs w:val="24"/>
          <w:highlight w:val="none"/>
          <w:lang w:val="en-US" w:eastAsia="zh-CN" w:bidi="ar-SA"/>
        </w:rPr>
      </w:pPr>
      <w:r>
        <w:rPr>
          <w:rFonts w:hint="eastAsia" w:ascii="宋体" w:hAnsi="宋体" w:cs="宋体"/>
          <w:i w:val="0"/>
          <w:iCs w:val="0"/>
          <w:color w:val="auto"/>
          <w:kern w:val="0"/>
          <w:sz w:val="24"/>
          <w:szCs w:val="24"/>
          <w:highlight w:val="none"/>
          <w:lang w:val="zh-CN"/>
        </w:rPr>
        <w:t>日期</w:t>
      </w:r>
      <w:r>
        <w:rPr>
          <w:rFonts w:hint="eastAsia" w:ascii="宋体" w:hAnsi="宋体" w:cs="宋体"/>
          <w:i w:val="0"/>
          <w:iCs w:val="0"/>
          <w:color w:val="auto"/>
          <w:kern w:val="0"/>
          <w:sz w:val="24"/>
          <w:szCs w:val="24"/>
          <w:highlight w:val="none"/>
        </w:rPr>
        <w:t>：</w:t>
      </w:r>
      <w:r>
        <w:rPr>
          <w:rFonts w:hint="eastAsia" w:ascii="宋体" w:hAnsi="宋体" w:cs="宋体"/>
          <w:i w:val="0"/>
          <w:iCs w:val="0"/>
          <w:color w:val="auto"/>
          <w:kern w:val="0"/>
          <w:sz w:val="24"/>
          <w:szCs w:val="24"/>
          <w:highlight w:val="none"/>
          <w:lang w:val="zh-CN"/>
        </w:rPr>
        <w:t xml:space="preserve">   年   月   日</w:t>
      </w:r>
    </w:p>
    <w:p w14:paraId="5AA40BF9">
      <w:pPr>
        <w:rPr>
          <w:rFonts w:hint="eastAsia" w:eastAsia="宋体" w:asciiTheme="majorHAnsi" w:hAnsiTheme="majorHAnsi" w:cstheme="majorBidi"/>
          <w:b/>
          <w:bCs/>
          <w:i w:val="0"/>
          <w:iCs w:val="0"/>
          <w:color w:val="auto"/>
          <w:kern w:val="2"/>
          <w:sz w:val="24"/>
          <w:szCs w:val="24"/>
          <w:highlight w:val="none"/>
          <w:lang w:val="en-US" w:eastAsia="zh-CN" w:bidi="ar-SA"/>
        </w:rPr>
      </w:pPr>
    </w:p>
    <w:p w14:paraId="2917743B">
      <w:pPr>
        <w:pStyle w:val="16"/>
        <w:rPr>
          <w:rFonts w:hint="eastAsia" w:eastAsia="宋体" w:asciiTheme="majorHAnsi" w:hAnsiTheme="majorHAnsi" w:cstheme="majorBidi"/>
          <w:b/>
          <w:bCs/>
          <w:i w:val="0"/>
          <w:iCs w:val="0"/>
          <w:color w:val="auto"/>
          <w:kern w:val="2"/>
          <w:sz w:val="24"/>
          <w:szCs w:val="24"/>
          <w:highlight w:val="none"/>
          <w:lang w:val="en-US" w:eastAsia="zh-CN" w:bidi="ar-SA"/>
        </w:rPr>
      </w:pPr>
    </w:p>
    <w:p w14:paraId="2CC927CA">
      <w:pPr>
        <w:pStyle w:val="16"/>
        <w:rPr>
          <w:rFonts w:hint="eastAsia" w:eastAsia="宋体" w:asciiTheme="majorHAnsi" w:hAnsiTheme="majorHAnsi" w:cstheme="majorBidi"/>
          <w:b/>
          <w:bCs/>
          <w:i w:val="0"/>
          <w:iCs w:val="0"/>
          <w:color w:val="auto"/>
          <w:kern w:val="2"/>
          <w:sz w:val="24"/>
          <w:szCs w:val="24"/>
          <w:highlight w:val="none"/>
          <w:lang w:val="en-US" w:eastAsia="zh-CN" w:bidi="ar-SA"/>
        </w:rPr>
      </w:pPr>
    </w:p>
    <w:p w14:paraId="59BFE13A">
      <w:pPr>
        <w:pStyle w:val="16"/>
        <w:rPr>
          <w:rFonts w:hint="eastAsia" w:eastAsia="宋体" w:asciiTheme="majorHAnsi" w:hAnsiTheme="majorHAnsi" w:cstheme="majorBidi"/>
          <w:b/>
          <w:bCs/>
          <w:i w:val="0"/>
          <w:iCs w:val="0"/>
          <w:color w:val="auto"/>
          <w:kern w:val="2"/>
          <w:sz w:val="24"/>
          <w:szCs w:val="24"/>
          <w:highlight w:val="none"/>
          <w:lang w:val="en-US" w:eastAsia="zh-CN" w:bidi="ar-SA"/>
        </w:rPr>
      </w:pPr>
    </w:p>
    <w:p w14:paraId="7CB54CC5">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1" w:name="_Toc17519"/>
      <w:r>
        <w:rPr>
          <w:rFonts w:hint="eastAsia" w:eastAsia="宋体" w:asciiTheme="majorHAnsi" w:hAnsiTheme="majorHAnsi" w:cstheme="majorBidi"/>
          <w:b/>
          <w:bCs/>
          <w:i w:val="0"/>
          <w:iCs w:val="0"/>
          <w:color w:val="auto"/>
          <w:kern w:val="2"/>
          <w:sz w:val="32"/>
          <w:szCs w:val="32"/>
          <w:highlight w:val="none"/>
          <w:lang w:val="en-US" w:eastAsia="zh-CN" w:bidi="ar-SA"/>
        </w:rPr>
        <w:t>五、实质性响应一览表</w:t>
      </w:r>
      <w:r>
        <w:rPr>
          <w:rFonts w:hint="eastAsia" w:eastAsia="宋体" w:asciiTheme="majorHAnsi" w:hAnsiTheme="majorHAnsi" w:cstheme="majorBidi"/>
          <w:b/>
          <w:bCs/>
          <w:i w:val="0"/>
          <w:iCs w:val="0"/>
          <w:color w:val="auto"/>
          <w:kern w:val="2"/>
          <w:sz w:val="32"/>
          <w:szCs w:val="32"/>
          <w:highlight w:val="none"/>
          <w:lang w:val="zh-CN" w:eastAsia="zh-CN" w:bidi="ar-SA"/>
        </w:rPr>
        <w:t>【</w:t>
      </w:r>
      <w:r>
        <w:rPr>
          <w:rFonts w:hint="eastAsia" w:eastAsia="宋体" w:asciiTheme="majorHAnsi" w:hAnsiTheme="majorHAnsi" w:cstheme="majorBidi"/>
          <w:b/>
          <w:bCs/>
          <w:i w:val="0"/>
          <w:iCs w:val="0"/>
          <w:color w:val="auto"/>
          <w:kern w:val="2"/>
          <w:sz w:val="32"/>
          <w:szCs w:val="32"/>
          <w:highlight w:val="none"/>
          <w:lang w:val="en-US" w:eastAsia="zh-CN" w:bidi="ar-SA"/>
        </w:rPr>
        <w:t>本表须与第四章的一致】</w:t>
      </w:r>
      <w:bookmarkEnd w:id="721"/>
    </w:p>
    <w:p w14:paraId="1A00EE72">
      <w:pPr>
        <w:shd w:val="clear" w:color="auto" w:fill="FFFFFF"/>
        <w:tabs>
          <w:tab w:val="left" w:pos="3045"/>
        </w:tabs>
        <w:autoSpaceDE w:val="0"/>
        <w:autoSpaceDN w:val="0"/>
        <w:adjustRightInd w:val="0"/>
        <w:snapToGrid w:val="0"/>
        <w:spacing w:line="360" w:lineRule="exact"/>
        <w:jc w:val="center"/>
        <w:rPr>
          <w:rFonts w:hint="eastAsia" w:ascii="宋体" w:hAnsi="宋体" w:cs="宋体"/>
          <w:b/>
          <w:i w:val="0"/>
          <w:iCs w:val="0"/>
          <w:color w:val="auto"/>
          <w:sz w:val="24"/>
          <w:highlight w:val="none"/>
        </w:rPr>
      </w:pPr>
      <w:r>
        <w:rPr>
          <w:rFonts w:hint="eastAsia" w:ascii="宋体" w:hAnsi="宋体" w:cs="宋体"/>
          <w:b w:val="0"/>
          <w:bCs/>
          <w:i w:val="0"/>
          <w:iCs w:val="0"/>
          <w:color w:val="auto"/>
          <w:sz w:val="24"/>
          <w:highlight w:val="none"/>
        </w:rPr>
        <w:t>（供应商须对本附表所有内容逐条响应且无负偏离，否则</w:t>
      </w:r>
      <w:r>
        <w:rPr>
          <w:rFonts w:hint="eastAsia" w:cs="宋体"/>
          <w:b w:val="0"/>
          <w:bCs/>
          <w:i w:val="0"/>
          <w:iCs w:val="0"/>
          <w:color w:val="auto"/>
          <w:sz w:val="24"/>
          <w:highlight w:val="none"/>
          <w:lang w:val="en-US" w:eastAsia="zh-CN"/>
        </w:rPr>
        <w:t>其</w:t>
      </w:r>
      <w:r>
        <w:rPr>
          <w:rFonts w:hint="eastAsia" w:cs="宋体"/>
          <w:b/>
          <w:i w:val="0"/>
          <w:iCs w:val="0"/>
          <w:color w:val="auto"/>
          <w:sz w:val="24"/>
          <w:highlight w:val="none"/>
          <w:lang w:val="en-US" w:eastAsia="zh-CN"/>
        </w:rPr>
        <w:t>响应</w:t>
      </w:r>
      <w:r>
        <w:rPr>
          <w:rFonts w:hint="eastAsia" w:ascii="宋体" w:hAnsi="宋体" w:cs="宋体"/>
          <w:b/>
          <w:i w:val="0"/>
          <w:iCs w:val="0"/>
          <w:color w:val="auto"/>
          <w:sz w:val="24"/>
          <w:highlight w:val="none"/>
        </w:rPr>
        <w:t>无效</w:t>
      </w:r>
      <w:r>
        <w:rPr>
          <w:rFonts w:hint="eastAsia" w:ascii="宋体" w:hAnsi="宋体" w:cs="宋体"/>
          <w:b w:val="0"/>
          <w:bCs/>
          <w:i w:val="0"/>
          <w:iCs w:val="0"/>
          <w:color w:val="auto"/>
          <w:sz w:val="24"/>
          <w:highlight w:val="none"/>
        </w:rPr>
        <w:t>）</w:t>
      </w:r>
    </w:p>
    <w:p w14:paraId="597D85C2">
      <w:pPr>
        <w:pStyle w:val="27"/>
        <w:rPr>
          <w:rFonts w:hint="eastAsia" w:ascii="宋体" w:hAnsi="宋体" w:cs="宋体"/>
          <w:i w:val="0"/>
          <w:iCs w:val="0"/>
          <w:color w:val="auto"/>
          <w:highlight w:val="none"/>
        </w:rPr>
      </w:pPr>
    </w:p>
    <w:tbl>
      <w:tblPr>
        <w:tblStyle w:val="35"/>
        <w:tblW w:w="5590" w:type="pct"/>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6"/>
        <w:gridCol w:w="3671"/>
        <w:gridCol w:w="1957"/>
        <w:gridCol w:w="732"/>
      </w:tblGrid>
      <w:tr w14:paraId="563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vMerge w:val="restart"/>
            <w:noWrap w:val="0"/>
            <w:vAlign w:val="center"/>
          </w:tcPr>
          <w:p w14:paraId="70DEA68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序号</w:t>
            </w:r>
          </w:p>
        </w:tc>
        <w:tc>
          <w:tcPr>
            <w:tcW w:w="3235" w:type="pct"/>
            <w:gridSpan w:val="2"/>
            <w:noWrap w:val="0"/>
            <w:vAlign w:val="center"/>
          </w:tcPr>
          <w:p w14:paraId="7BD88E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磋商</w:t>
            </w:r>
            <w:r>
              <w:rPr>
                <w:rFonts w:hint="eastAsia" w:ascii="宋体" w:hAnsi="宋体" w:cs="宋体"/>
                <w:i w:val="0"/>
                <w:iCs w:val="0"/>
                <w:color w:val="auto"/>
                <w:sz w:val="24"/>
                <w:highlight w:val="none"/>
              </w:rPr>
              <w:t>文件要求的实质性响应内容</w:t>
            </w:r>
          </w:p>
        </w:tc>
        <w:tc>
          <w:tcPr>
            <w:tcW w:w="1026" w:type="pct"/>
            <w:vMerge w:val="restart"/>
            <w:noWrap w:val="0"/>
            <w:vAlign w:val="center"/>
          </w:tcPr>
          <w:p w14:paraId="2598EDF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cs="宋体"/>
                <w:i w:val="0"/>
                <w:iCs w:val="0"/>
                <w:color w:val="auto"/>
                <w:sz w:val="24"/>
                <w:highlight w:val="none"/>
                <w:lang w:eastAsia="zh-CN"/>
              </w:rPr>
              <w:t>响应</w:t>
            </w:r>
            <w:r>
              <w:rPr>
                <w:rFonts w:hint="eastAsia" w:ascii="宋体" w:hAnsi="宋体" w:cs="宋体"/>
                <w:i w:val="0"/>
                <w:iCs w:val="0"/>
                <w:color w:val="auto"/>
                <w:sz w:val="24"/>
                <w:highlight w:val="none"/>
              </w:rPr>
              <w:t>文件具体</w:t>
            </w:r>
            <w:r>
              <w:rPr>
                <w:rFonts w:hint="eastAsia" w:cs="宋体"/>
                <w:i w:val="0"/>
                <w:iCs w:val="0"/>
                <w:color w:val="auto"/>
                <w:sz w:val="24"/>
                <w:highlight w:val="none"/>
                <w:lang w:val="en-US" w:eastAsia="zh-CN"/>
              </w:rPr>
              <w:t>的</w:t>
            </w:r>
            <w:r>
              <w:rPr>
                <w:rFonts w:hint="eastAsia" w:ascii="宋体" w:hAnsi="宋体" w:cs="宋体"/>
                <w:i w:val="0"/>
                <w:iCs w:val="0"/>
                <w:color w:val="auto"/>
                <w:sz w:val="24"/>
                <w:highlight w:val="none"/>
              </w:rPr>
              <w:t>响应内容</w:t>
            </w:r>
          </w:p>
        </w:tc>
        <w:tc>
          <w:tcPr>
            <w:tcW w:w="384" w:type="pct"/>
            <w:vMerge w:val="restart"/>
            <w:noWrap w:val="0"/>
            <w:vAlign w:val="center"/>
          </w:tcPr>
          <w:p w14:paraId="0E80A1F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备注</w:t>
            </w:r>
          </w:p>
        </w:tc>
      </w:tr>
      <w:tr w14:paraId="22BA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vMerge w:val="continue"/>
            <w:noWrap w:val="0"/>
            <w:vAlign w:val="center"/>
          </w:tcPr>
          <w:p w14:paraId="788F1149">
            <w:pPr>
              <w:keepNext w:val="0"/>
              <w:keepLines w:val="0"/>
              <w:pageBreakBefore w:val="0"/>
              <w:widowControl w:val="0"/>
              <w:kinsoku/>
              <w:wordWrap/>
              <w:overflowPunct/>
              <w:topLinePunct w:val="0"/>
              <w:bidi w:val="0"/>
              <w:adjustRightInd/>
              <w:snapToGrid/>
              <w:spacing w:line="360" w:lineRule="exact"/>
              <w:jc w:val="center"/>
              <w:textAlignment w:val="auto"/>
              <w:rPr>
                <w:i w:val="0"/>
                <w:iCs w:val="0"/>
                <w:color w:val="auto"/>
                <w:highlight w:val="none"/>
              </w:rPr>
            </w:pPr>
          </w:p>
        </w:tc>
        <w:tc>
          <w:tcPr>
            <w:tcW w:w="1309" w:type="pct"/>
            <w:noWrap w:val="0"/>
            <w:vAlign w:val="center"/>
          </w:tcPr>
          <w:p w14:paraId="5B941D5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实质性要求</w:t>
            </w:r>
          </w:p>
        </w:tc>
        <w:tc>
          <w:tcPr>
            <w:tcW w:w="1926" w:type="pct"/>
            <w:noWrap w:val="0"/>
            <w:vAlign w:val="center"/>
          </w:tcPr>
          <w:p w14:paraId="1887A7E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i w:val="0"/>
                <w:iCs w:val="0"/>
                <w:color w:val="auto"/>
                <w:sz w:val="24"/>
                <w:highlight w:val="none"/>
                <w:lang w:val="en-US" w:eastAsia="zh-CN"/>
              </w:rPr>
            </w:pPr>
            <w:r>
              <w:rPr>
                <w:rFonts w:hint="eastAsia" w:cs="宋体"/>
                <w:i w:val="0"/>
                <w:iCs w:val="0"/>
                <w:color w:val="auto"/>
                <w:sz w:val="24"/>
                <w:highlight w:val="none"/>
                <w:lang w:val="en-US" w:eastAsia="zh-CN"/>
              </w:rPr>
              <w:t>磋商文件中的规定</w:t>
            </w:r>
          </w:p>
        </w:tc>
        <w:tc>
          <w:tcPr>
            <w:tcW w:w="1026" w:type="pct"/>
            <w:vMerge w:val="continue"/>
            <w:noWrap w:val="0"/>
            <w:vAlign w:val="center"/>
          </w:tcPr>
          <w:p w14:paraId="5FF6F46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c>
          <w:tcPr>
            <w:tcW w:w="384" w:type="pct"/>
            <w:vMerge w:val="continue"/>
            <w:noWrap w:val="0"/>
            <w:vAlign w:val="center"/>
          </w:tcPr>
          <w:p w14:paraId="231BB2B8">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eastAsia="zh-CN"/>
              </w:rPr>
            </w:pPr>
          </w:p>
        </w:tc>
      </w:tr>
      <w:tr w14:paraId="19E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30499C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1</w:t>
            </w:r>
          </w:p>
        </w:tc>
        <w:tc>
          <w:tcPr>
            <w:tcW w:w="1309" w:type="pct"/>
            <w:noWrap w:val="0"/>
            <w:vAlign w:val="center"/>
          </w:tcPr>
          <w:p w14:paraId="1710CDD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63B0DE9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cs="宋体"/>
                <w:i w:val="0"/>
                <w:iCs w:val="0"/>
                <w:color w:val="auto"/>
                <w:sz w:val="24"/>
                <w:highlight w:val="none"/>
              </w:rPr>
            </w:pPr>
          </w:p>
        </w:tc>
        <w:tc>
          <w:tcPr>
            <w:tcW w:w="1026" w:type="pct"/>
            <w:noWrap w:val="0"/>
            <w:vAlign w:val="center"/>
          </w:tcPr>
          <w:p w14:paraId="0B1E2F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259753B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78B0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4CBD69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2</w:t>
            </w:r>
          </w:p>
        </w:tc>
        <w:tc>
          <w:tcPr>
            <w:tcW w:w="1309" w:type="pct"/>
            <w:noWrap w:val="0"/>
            <w:vAlign w:val="center"/>
          </w:tcPr>
          <w:p w14:paraId="07A7760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5649ACF6">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i w:val="0"/>
                <w:iCs w:val="0"/>
                <w:color w:val="auto"/>
                <w:sz w:val="24"/>
                <w:highlight w:val="none"/>
                <w:lang w:eastAsia="zh-CN"/>
              </w:rPr>
            </w:pPr>
          </w:p>
        </w:tc>
        <w:tc>
          <w:tcPr>
            <w:tcW w:w="1026" w:type="pct"/>
            <w:noWrap w:val="0"/>
            <w:vAlign w:val="center"/>
          </w:tcPr>
          <w:p w14:paraId="4746B94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6627A9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970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3B9948B9">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3</w:t>
            </w:r>
          </w:p>
        </w:tc>
        <w:tc>
          <w:tcPr>
            <w:tcW w:w="1309" w:type="pct"/>
            <w:noWrap w:val="0"/>
            <w:vAlign w:val="center"/>
          </w:tcPr>
          <w:p w14:paraId="3EA4601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kern w:val="2"/>
                <w:sz w:val="24"/>
                <w:szCs w:val="24"/>
                <w:highlight w:val="none"/>
                <w:lang w:val="en-US" w:eastAsia="zh-CN" w:bidi="ar-SA"/>
              </w:rPr>
            </w:pPr>
          </w:p>
        </w:tc>
        <w:tc>
          <w:tcPr>
            <w:tcW w:w="1926" w:type="pct"/>
            <w:noWrap w:val="0"/>
            <w:vAlign w:val="center"/>
          </w:tcPr>
          <w:p w14:paraId="62EC5B93">
            <w:pPr>
              <w:pStyle w:val="7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仿宋_GB2312" w:hAnsi="宋体" w:eastAsia="宋体"/>
                <w:i w:val="0"/>
                <w:iCs w:val="0"/>
                <w:color w:val="auto"/>
                <w:kern w:val="0"/>
                <w:sz w:val="31"/>
                <w:szCs w:val="20"/>
                <w:highlight w:val="none"/>
                <w:lang w:val="en-US" w:eastAsia="zh-CN" w:bidi="ar-SA"/>
              </w:rPr>
            </w:pPr>
          </w:p>
        </w:tc>
        <w:tc>
          <w:tcPr>
            <w:tcW w:w="1026" w:type="pct"/>
            <w:noWrap w:val="0"/>
            <w:vAlign w:val="center"/>
          </w:tcPr>
          <w:p w14:paraId="0A9F833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8E089D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C6F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08F70755">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4</w:t>
            </w:r>
          </w:p>
        </w:tc>
        <w:tc>
          <w:tcPr>
            <w:tcW w:w="1309" w:type="pct"/>
            <w:noWrap w:val="0"/>
            <w:vAlign w:val="center"/>
          </w:tcPr>
          <w:p w14:paraId="695BCC8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kern w:val="2"/>
                <w:sz w:val="24"/>
                <w:szCs w:val="24"/>
                <w:highlight w:val="none"/>
                <w:lang w:val="en-US" w:eastAsia="zh-CN" w:bidi="ar-SA"/>
              </w:rPr>
            </w:pPr>
          </w:p>
        </w:tc>
        <w:tc>
          <w:tcPr>
            <w:tcW w:w="1926" w:type="pct"/>
            <w:noWrap w:val="0"/>
            <w:vAlign w:val="center"/>
          </w:tcPr>
          <w:p w14:paraId="7AA3A6EB">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cs="宋体"/>
                <w:i w:val="0"/>
                <w:iCs w:val="0"/>
                <w:color w:val="auto"/>
                <w:kern w:val="2"/>
                <w:sz w:val="24"/>
                <w:szCs w:val="24"/>
                <w:highlight w:val="none"/>
                <w:lang w:val="en-US" w:eastAsia="zh-CN" w:bidi="ar-SA"/>
              </w:rPr>
            </w:pPr>
          </w:p>
        </w:tc>
        <w:tc>
          <w:tcPr>
            <w:tcW w:w="1026" w:type="pct"/>
            <w:noWrap w:val="0"/>
            <w:vAlign w:val="center"/>
          </w:tcPr>
          <w:p w14:paraId="0F2477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7E09989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1BAE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01C20FB8">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i w:val="0"/>
                <w:iCs w:val="0"/>
                <w:color w:val="auto"/>
                <w:sz w:val="24"/>
                <w:highlight w:val="none"/>
                <w:lang w:val="en-US" w:eastAsia="zh-CN"/>
              </w:rPr>
            </w:pPr>
            <w:r>
              <w:rPr>
                <w:rFonts w:hint="eastAsia" w:cs="宋体"/>
                <w:i w:val="0"/>
                <w:iCs w:val="0"/>
                <w:color w:val="auto"/>
                <w:sz w:val="24"/>
                <w:highlight w:val="none"/>
                <w:lang w:val="en-US" w:eastAsia="zh-CN"/>
              </w:rPr>
              <w:t>5</w:t>
            </w:r>
          </w:p>
        </w:tc>
        <w:tc>
          <w:tcPr>
            <w:tcW w:w="1309" w:type="pct"/>
            <w:noWrap w:val="0"/>
            <w:vAlign w:val="center"/>
          </w:tcPr>
          <w:p w14:paraId="6450B6FD">
            <w:pPr>
              <w:pStyle w:val="7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eastAsia="宋体" w:cs="宋体"/>
                <w:i w:val="0"/>
                <w:iCs w:val="0"/>
                <w:color w:val="auto"/>
                <w:sz w:val="24"/>
                <w:szCs w:val="24"/>
                <w:highlight w:val="none"/>
                <w:lang w:val="en-US" w:eastAsia="zh-CN"/>
              </w:rPr>
            </w:pPr>
          </w:p>
        </w:tc>
        <w:tc>
          <w:tcPr>
            <w:tcW w:w="1926" w:type="pct"/>
            <w:noWrap w:val="0"/>
            <w:vAlign w:val="center"/>
          </w:tcPr>
          <w:p w14:paraId="76FAB450">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i w:val="0"/>
                <w:iCs w:val="0"/>
                <w:color w:val="auto"/>
                <w:sz w:val="24"/>
                <w:highlight w:val="none"/>
                <w:lang w:val="en-US" w:eastAsia="zh-CN"/>
              </w:rPr>
            </w:pPr>
          </w:p>
        </w:tc>
        <w:tc>
          <w:tcPr>
            <w:tcW w:w="1026" w:type="pct"/>
            <w:noWrap w:val="0"/>
            <w:vAlign w:val="center"/>
          </w:tcPr>
          <w:p w14:paraId="07DA94E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07E6D39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27D3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4F43B457">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6</w:t>
            </w:r>
          </w:p>
        </w:tc>
        <w:tc>
          <w:tcPr>
            <w:tcW w:w="1309" w:type="pct"/>
            <w:noWrap w:val="0"/>
            <w:vAlign w:val="center"/>
          </w:tcPr>
          <w:p w14:paraId="369ABC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3A38EA7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24EE6A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ABD1D6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0163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6E2F1659">
            <w:pPr>
              <w:keepNext w:val="0"/>
              <w:keepLines w:val="0"/>
              <w:pageBreakBefore w:val="0"/>
              <w:widowControl w:val="0"/>
              <w:kinsoku/>
              <w:wordWrap/>
              <w:overflowPunct/>
              <w:topLinePunct w:val="0"/>
              <w:bidi w:val="0"/>
              <w:adjustRightInd/>
              <w:snapToGrid/>
              <w:spacing w:line="360" w:lineRule="exact"/>
              <w:jc w:val="center"/>
              <w:textAlignment w:val="auto"/>
              <w:rPr>
                <w:rFonts w:hint="default" w:cs="宋体"/>
                <w:i w:val="0"/>
                <w:iCs w:val="0"/>
                <w:color w:val="auto"/>
                <w:sz w:val="24"/>
                <w:highlight w:val="none"/>
                <w:lang w:val="en-US" w:eastAsia="zh-CN"/>
              </w:rPr>
            </w:pPr>
            <w:r>
              <w:rPr>
                <w:rFonts w:hint="eastAsia" w:cs="宋体"/>
                <w:i w:val="0"/>
                <w:iCs w:val="0"/>
                <w:color w:val="auto"/>
                <w:sz w:val="24"/>
                <w:highlight w:val="none"/>
                <w:lang w:val="en-US" w:eastAsia="zh-CN"/>
              </w:rPr>
              <w:t>7</w:t>
            </w:r>
          </w:p>
        </w:tc>
        <w:tc>
          <w:tcPr>
            <w:tcW w:w="1309" w:type="pct"/>
            <w:noWrap w:val="0"/>
            <w:vAlign w:val="center"/>
          </w:tcPr>
          <w:p w14:paraId="317CE50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1926" w:type="pct"/>
            <w:noWrap w:val="0"/>
            <w:vAlign w:val="center"/>
          </w:tcPr>
          <w:p w14:paraId="678C19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rPr>
            </w:pPr>
          </w:p>
        </w:tc>
        <w:tc>
          <w:tcPr>
            <w:tcW w:w="1026" w:type="pct"/>
            <w:noWrap w:val="0"/>
            <w:vAlign w:val="center"/>
          </w:tcPr>
          <w:p w14:paraId="63C11E7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168EE7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r w14:paraId="5013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3" w:type="pct"/>
            <w:noWrap w:val="0"/>
            <w:vAlign w:val="center"/>
          </w:tcPr>
          <w:p w14:paraId="65574B3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cs="宋体"/>
                <w:i w:val="0"/>
                <w:iCs w:val="0"/>
                <w:color w:val="auto"/>
                <w:sz w:val="24"/>
                <w:highlight w:val="none"/>
                <w:lang w:val="en-US" w:eastAsia="zh-CN"/>
              </w:rPr>
            </w:pPr>
          </w:p>
        </w:tc>
        <w:tc>
          <w:tcPr>
            <w:tcW w:w="1309" w:type="pct"/>
            <w:shd w:val="clear" w:color="auto" w:fill="auto"/>
            <w:noWrap w:val="0"/>
            <w:vAlign w:val="center"/>
          </w:tcPr>
          <w:p w14:paraId="4892F810">
            <w:pPr>
              <w:pStyle w:val="52"/>
              <w:rPr>
                <w:rFonts w:hint="eastAsia" w:ascii="宋体" w:hAnsi="宋体" w:eastAsia="宋体" w:cstheme="minorBidi"/>
                <w:i w:val="0"/>
                <w:iCs w:val="0"/>
                <w:color w:val="auto"/>
                <w:kern w:val="2"/>
                <w:sz w:val="24"/>
                <w:szCs w:val="22"/>
                <w:highlight w:val="none"/>
                <w:lang w:val="zh-CN" w:eastAsia="zh-CN" w:bidi="ar-SA"/>
              </w:rPr>
            </w:pPr>
            <w:r>
              <w:rPr>
                <w:rFonts w:hint="default" w:ascii="Arial" w:hAnsi="Arial" w:cs="Arial"/>
                <w:i w:val="0"/>
                <w:iCs w:val="0"/>
                <w:color w:val="auto"/>
                <w:highlight w:val="none"/>
                <w:lang w:val="zh-CN"/>
              </w:rPr>
              <w:t>……</w:t>
            </w:r>
          </w:p>
        </w:tc>
        <w:tc>
          <w:tcPr>
            <w:tcW w:w="1926" w:type="pct"/>
            <w:noWrap w:val="0"/>
            <w:vAlign w:val="center"/>
          </w:tcPr>
          <w:p w14:paraId="6EE49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i w:val="0"/>
                <w:iCs w:val="0"/>
                <w:color w:val="auto"/>
                <w:sz w:val="24"/>
                <w:highlight w:val="none"/>
                <w:lang w:eastAsia="zh-CN"/>
              </w:rPr>
            </w:pPr>
          </w:p>
        </w:tc>
        <w:tc>
          <w:tcPr>
            <w:tcW w:w="1026" w:type="pct"/>
            <w:noWrap w:val="0"/>
            <w:vAlign w:val="center"/>
          </w:tcPr>
          <w:p w14:paraId="5A390DA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c>
          <w:tcPr>
            <w:tcW w:w="384" w:type="pct"/>
            <w:noWrap w:val="0"/>
            <w:vAlign w:val="center"/>
          </w:tcPr>
          <w:p w14:paraId="639F595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宋体"/>
                <w:i w:val="0"/>
                <w:iCs w:val="0"/>
                <w:color w:val="auto"/>
                <w:sz w:val="24"/>
                <w:highlight w:val="none"/>
              </w:rPr>
            </w:pPr>
          </w:p>
        </w:tc>
      </w:tr>
    </w:tbl>
    <w:p w14:paraId="26B97350">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i w:val="0"/>
          <w:iCs w:val="0"/>
          <w:color w:val="auto"/>
          <w:kern w:val="2"/>
          <w:sz w:val="32"/>
          <w:szCs w:val="32"/>
          <w:highlight w:val="none"/>
          <w:lang w:val="en-US" w:eastAsia="zh-CN" w:bidi="ar-SA"/>
        </w:rPr>
      </w:pPr>
    </w:p>
    <w:p w14:paraId="7ECC9349">
      <w:pPr>
        <w:rPr>
          <w:rFonts w:hint="eastAsia" w:cstheme="majorBidi"/>
          <w:b/>
          <w:bCs/>
          <w:i w:val="0"/>
          <w:iCs w:val="0"/>
          <w:color w:val="auto"/>
          <w:kern w:val="2"/>
          <w:sz w:val="32"/>
          <w:szCs w:val="32"/>
          <w:highlight w:val="none"/>
          <w:lang w:val="en-US" w:eastAsia="zh-CN" w:bidi="ar-SA"/>
        </w:rPr>
      </w:pPr>
    </w:p>
    <w:p w14:paraId="479C11F3">
      <w:pPr>
        <w:rPr>
          <w:rFonts w:hint="eastAsia" w:cstheme="majorBidi"/>
          <w:b/>
          <w:bCs/>
          <w:i w:val="0"/>
          <w:iCs w:val="0"/>
          <w:color w:val="auto"/>
          <w:kern w:val="2"/>
          <w:sz w:val="32"/>
          <w:szCs w:val="32"/>
          <w:highlight w:val="none"/>
          <w:lang w:val="en-US" w:eastAsia="zh-CN" w:bidi="ar-SA"/>
        </w:rPr>
      </w:pPr>
    </w:p>
    <w:p w14:paraId="626EF50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2" w:name="_Toc9777"/>
      <w:r>
        <w:rPr>
          <w:rFonts w:hint="eastAsia" w:cstheme="majorBidi"/>
          <w:b/>
          <w:bCs/>
          <w:i w:val="0"/>
          <w:iCs w:val="0"/>
          <w:color w:val="auto"/>
          <w:kern w:val="2"/>
          <w:sz w:val="32"/>
          <w:szCs w:val="32"/>
          <w:highlight w:val="none"/>
          <w:lang w:val="en-US" w:eastAsia="zh-CN" w:bidi="ar-SA"/>
        </w:rPr>
        <w:t>六</w:t>
      </w:r>
      <w:r>
        <w:rPr>
          <w:rFonts w:hint="eastAsia" w:eastAsia="宋体" w:asciiTheme="majorHAnsi" w:hAnsiTheme="majorHAnsi" w:cstheme="majorBidi"/>
          <w:b/>
          <w:bCs/>
          <w:i w:val="0"/>
          <w:iCs w:val="0"/>
          <w:color w:val="auto"/>
          <w:kern w:val="2"/>
          <w:sz w:val="32"/>
          <w:szCs w:val="32"/>
          <w:highlight w:val="none"/>
          <w:lang w:val="en-US" w:eastAsia="zh-CN" w:bidi="ar-SA"/>
        </w:rPr>
        <w:t>、商务响应偏离表</w:t>
      </w:r>
      <w:bookmarkEnd w:id="722"/>
    </w:p>
    <w:p w14:paraId="6755E4D1">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0424C095">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b w:val="0"/>
          <w:bCs/>
          <w:i w:val="0"/>
          <w:iCs w:val="0"/>
          <w:color w:val="auto"/>
          <w:szCs w:val="21"/>
          <w:highlight w:val="none"/>
          <w:lang w:val="en-US" w:eastAsia="zh-CN"/>
        </w:rPr>
        <w:t>/</w:t>
      </w:r>
      <w:r>
        <w:rPr>
          <w:rFonts w:hint="eastAsia"/>
          <w:b w:val="0"/>
          <w:bCs/>
          <w:i w:val="0"/>
          <w:iCs w:val="0"/>
          <w:color w:val="auto"/>
          <w:szCs w:val="21"/>
          <w:highlight w:val="none"/>
          <w:lang w:val="zh-CN"/>
        </w:rPr>
        <w:t>包号</w:t>
      </w:r>
      <w:r>
        <w:rPr>
          <w:rFonts w:hint="eastAsia" w:cs="仿宋_GB2312"/>
          <w:i w:val="0"/>
          <w:iCs w:val="0"/>
          <w:color w:val="auto"/>
          <w:szCs w:val="24"/>
          <w:highlight w:val="none"/>
        </w:rPr>
        <w:t xml:space="preserve">：        </w:t>
      </w:r>
    </w:p>
    <w:tbl>
      <w:tblPr>
        <w:tblStyle w:val="35"/>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52"/>
              <w:jc w:val="center"/>
              <w:rPr>
                <w:i w:val="0"/>
                <w:iCs w:val="0"/>
                <w:color w:val="auto"/>
                <w:highlight w:val="none"/>
              </w:rPr>
            </w:pPr>
            <w:r>
              <w:rPr>
                <w:rFonts w:hint="eastAsia"/>
                <w:i w:val="0"/>
                <w:iCs w:val="0"/>
                <w:color w:val="auto"/>
                <w:highlight w:val="none"/>
              </w:rPr>
              <w:t>序号</w:t>
            </w:r>
          </w:p>
        </w:tc>
        <w:tc>
          <w:tcPr>
            <w:tcW w:w="1395" w:type="pct"/>
            <w:vAlign w:val="center"/>
          </w:tcPr>
          <w:p w14:paraId="7CB83CD6">
            <w:pPr>
              <w:pStyle w:val="52"/>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文件的商务条款</w:t>
            </w:r>
          </w:p>
        </w:tc>
        <w:tc>
          <w:tcPr>
            <w:tcW w:w="1002" w:type="pct"/>
            <w:vAlign w:val="center"/>
          </w:tcPr>
          <w:p w14:paraId="55A47B57">
            <w:pPr>
              <w:pStyle w:val="52"/>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文件的响应内容</w:t>
            </w:r>
          </w:p>
        </w:tc>
        <w:tc>
          <w:tcPr>
            <w:tcW w:w="1090" w:type="pct"/>
            <w:vAlign w:val="center"/>
          </w:tcPr>
          <w:p w14:paraId="2572E859">
            <w:pPr>
              <w:pStyle w:val="52"/>
              <w:jc w:val="center"/>
              <w:rPr>
                <w:i w:val="0"/>
                <w:iCs w:val="0"/>
                <w:color w:val="auto"/>
                <w:highlight w:val="none"/>
              </w:rPr>
            </w:pPr>
            <w:r>
              <w:rPr>
                <w:rFonts w:hint="eastAsia"/>
                <w:i w:val="0"/>
                <w:iCs w:val="0"/>
                <w:color w:val="auto"/>
                <w:highlight w:val="none"/>
              </w:rPr>
              <w:t>响应情况</w:t>
            </w:r>
          </w:p>
        </w:tc>
        <w:tc>
          <w:tcPr>
            <w:tcW w:w="1090" w:type="pct"/>
            <w:vAlign w:val="center"/>
          </w:tcPr>
          <w:p w14:paraId="7884F206">
            <w:pPr>
              <w:pStyle w:val="52"/>
              <w:jc w:val="center"/>
              <w:rPr>
                <w:i w:val="0"/>
                <w:iCs w:val="0"/>
                <w:color w:val="auto"/>
                <w:highlight w:val="none"/>
              </w:rPr>
            </w:pPr>
            <w:r>
              <w:rPr>
                <w:rFonts w:hint="eastAsia"/>
                <w:i w:val="0"/>
                <w:iCs w:val="0"/>
                <w:color w:val="auto"/>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52"/>
              <w:jc w:val="center"/>
              <w:rPr>
                <w:i w:val="0"/>
                <w:iCs w:val="0"/>
                <w:color w:val="auto"/>
                <w:highlight w:val="none"/>
              </w:rPr>
            </w:pPr>
            <w:r>
              <w:rPr>
                <w:rFonts w:hint="eastAsia"/>
                <w:i w:val="0"/>
                <w:iCs w:val="0"/>
                <w:color w:val="auto"/>
                <w:highlight w:val="none"/>
              </w:rPr>
              <w:t>1</w:t>
            </w:r>
          </w:p>
        </w:tc>
        <w:tc>
          <w:tcPr>
            <w:tcW w:w="1395" w:type="pct"/>
            <w:vAlign w:val="center"/>
          </w:tcPr>
          <w:p w14:paraId="34566CA0">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1C6482B4">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1BBD0417">
            <w:pPr>
              <w:pStyle w:val="52"/>
              <w:jc w:val="center"/>
              <w:rPr>
                <w:i w:val="0"/>
                <w:iCs w:val="0"/>
                <w:color w:val="auto"/>
                <w:highlight w:val="none"/>
              </w:rPr>
            </w:pPr>
            <w:r>
              <w:rPr>
                <w:rFonts w:hint="eastAsia"/>
                <w:i w:val="0"/>
                <w:iCs w:val="0"/>
                <w:color w:val="auto"/>
                <w:highlight w:val="none"/>
              </w:rPr>
              <w:t>响应</w:t>
            </w:r>
            <w:r>
              <w:rPr>
                <w:i w:val="0"/>
                <w:iCs w:val="0"/>
                <w:color w:val="auto"/>
                <w:highlight w:val="none"/>
              </w:rPr>
              <w:t>/偏离</w:t>
            </w:r>
          </w:p>
        </w:tc>
        <w:tc>
          <w:tcPr>
            <w:tcW w:w="1090" w:type="pct"/>
            <w:vAlign w:val="center"/>
          </w:tcPr>
          <w:p w14:paraId="1A90E39C">
            <w:pPr>
              <w:pStyle w:val="52"/>
              <w:jc w:val="center"/>
              <w:rPr>
                <w:i w:val="0"/>
                <w:iCs w:val="0"/>
                <w:color w:val="auto"/>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52"/>
              <w:jc w:val="center"/>
              <w:rPr>
                <w:i w:val="0"/>
                <w:iCs w:val="0"/>
                <w:color w:val="auto"/>
                <w:highlight w:val="none"/>
              </w:rPr>
            </w:pPr>
            <w:r>
              <w:rPr>
                <w:rFonts w:hint="eastAsia"/>
                <w:i w:val="0"/>
                <w:iCs w:val="0"/>
                <w:color w:val="auto"/>
                <w:highlight w:val="none"/>
              </w:rPr>
              <w:t>2</w:t>
            </w:r>
          </w:p>
        </w:tc>
        <w:tc>
          <w:tcPr>
            <w:tcW w:w="1395" w:type="pct"/>
            <w:vAlign w:val="center"/>
          </w:tcPr>
          <w:p w14:paraId="2A717A55">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20EC7575">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5923E58D">
            <w:pPr>
              <w:pStyle w:val="52"/>
              <w:jc w:val="center"/>
              <w:rPr>
                <w:i w:val="0"/>
                <w:iCs w:val="0"/>
                <w:color w:val="auto"/>
                <w:highlight w:val="none"/>
              </w:rPr>
            </w:pPr>
          </w:p>
        </w:tc>
        <w:tc>
          <w:tcPr>
            <w:tcW w:w="1090" w:type="pct"/>
            <w:vAlign w:val="center"/>
          </w:tcPr>
          <w:p w14:paraId="59C2C317">
            <w:pPr>
              <w:pStyle w:val="52"/>
              <w:jc w:val="center"/>
              <w:rPr>
                <w:i w:val="0"/>
                <w:iCs w:val="0"/>
                <w:color w:val="auto"/>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52"/>
              <w:jc w:val="center"/>
              <w:rPr>
                <w:i w:val="0"/>
                <w:iCs w:val="0"/>
                <w:color w:val="auto"/>
                <w:highlight w:val="none"/>
              </w:rPr>
            </w:pPr>
            <w:r>
              <w:rPr>
                <w:rFonts w:hint="eastAsia"/>
                <w:i w:val="0"/>
                <w:iCs w:val="0"/>
                <w:color w:val="auto"/>
                <w:highlight w:val="none"/>
              </w:rPr>
              <w:t>3</w:t>
            </w:r>
          </w:p>
        </w:tc>
        <w:tc>
          <w:tcPr>
            <w:tcW w:w="1395" w:type="pct"/>
            <w:vAlign w:val="center"/>
          </w:tcPr>
          <w:p w14:paraId="595245DB">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02" w:type="pct"/>
            <w:vAlign w:val="center"/>
          </w:tcPr>
          <w:p w14:paraId="0A16B4B6">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090" w:type="pct"/>
            <w:vAlign w:val="center"/>
          </w:tcPr>
          <w:p w14:paraId="58535F72">
            <w:pPr>
              <w:pStyle w:val="52"/>
              <w:jc w:val="center"/>
              <w:rPr>
                <w:i w:val="0"/>
                <w:iCs w:val="0"/>
                <w:color w:val="auto"/>
                <w:highlight w:val="none"/>
              </w:rPr>
            </w:pPr>
          </w:p>
        </w:tc>
        <w:tc>
          <w:tcPr>
            <w:tcW w:w="1090" w:type="pct"/>
            <w:vAlign w:val="center"/>
          </w:tcPr>
          <w:p w14:paraId="50AB520B">
            <w:pPr>
              <w:pStyle w:val="52"/>
              <w:jc w:val="center"/>
              <w:rPr>
                <w:i w:val="0"/>
                <w:iCs w:val="0"/>
                <w:color w:val="auto"/>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52"/>
              <w:jc w:val="center"/>
              <w:rPr>
                <w:i w:val="0"/>
                <w:iCs w:val="0"/>
                <w:color w:val="auto"/>
                <w:highlight w:val="none"/>
              </w:rPr>
            </w:pPr>
          </w:p>
        </w:tc>
        <w:tc>
          <w:tcPr>
            <w:tcW w:w="1395" w:type="pct"/>
            <w:vAlign w:val="center"/>
          </w:tcPr>
          <w:p w14:paraId="14968038">
            <w:pPr>
              <w:pStyle w:val="52"/>
              <w:jc w:val="center"/>
              <w:rPr>
                <w:i w:val="0"/>
                <w:iCs w:val="0"/>
                <w:color w:val="auto"/>
                <w:highlight w:val="none"/>
              </w:rPr>
            </w:pPr>
          </w:p>
        </w:tc>
        <w:tc>
          <w:tcPr>
            <w:tcW w:w="1002" w:type="pct"/>
            <w:vAlign w:val="center"/>
          </w:tcPr>
          <w:p w14:paraId="10A6B59E">
            <w:pPr>
              <w:pStyle w:val="52"/>
              <w:jc w:val="center"/>
              <w:rPr>
                <w:i w:val="0"/>
                <w:iCs w:val="0"/>
                <w:color w:val="auto"/>
                <w:highlight w:val="none"/>
              </w:rPr>
            </w:pPr>
          </w:p>
        </w:tc>
        <w:tc>
          <w:tcPr>
            <w:tcW w:w="1090" w:type="pct"/>
            <w:vAlign w:val="center"/>
          </w:tcPr>
          <w:p w14:paraId="61702DF6">
            <w:pPr>
              <w:pStyle w:val="52"/>
              <w:jc w:val="center"/>
              <w:rPr>
                <w:i w:val="0"/>
                <w:iCs w:val="0"/>
                <w:color w:val="auto"/>
                <w:highlight w:val="none"/>
              </w:rPr>
            </w:pPr>
          </w:p>
        </w:tc>
        <w:tc>
          <w:tcPr>
            <w:tcW w:w="1090" w:type="pct"/>
            <w:vAlign w:val="center"/>
          </w:tcPr>
          <w:p w14:paraId="0CC18FC2">
            <w:pPr>
              <w:pStyle w:val="52"/>
              <w:jc w:val="center"/>
              <w:rPr>
                <w:i w:val="0"/>
                <w:iCs w:val="0"/>
                <w:color w:val="auto"/>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52"/>
              <w:jc w:val="center"/>
              <w:rPr>
                <w:i w:val="0"/>
                <w:iCs w:val="0"/>
                <w:color w:val="auto"/>
                <w:highlight w:val="none"/>
              </w:rPr>
            </w:pPr>
          </w:p>
        </w:tc>
        <w:tc>
          <w:tcPr>
            <w:tcW w:w="1395" w:type="pct"/>
            <w:vAlign w:val="center"/>
          </w:tcPr>
          <w:p w14:paraId="5DDD9937">
            <w:pPr>
              <w:pStyle w:val="52"/>
              <w:jc w:val="center"/>
              <w:rPr>
                <w:i w:val="0"/>
                <w:iCs w:val="0"/>
                <w:color w:val="auto"/>
                <w:highlight w:val="none"/>
              </w:rPr>
            </w:pPr>
          </w:p>
        </w:tc>
        <w:tc>
          <w:tcPr>
            <w:tcW w:w="1002" w:type="pct"/>
            <w:vAlign w:val="center"/>
          </w:tcPr>
          <w:p w14:paraId="0B29A018">
            <w:pPr>
              <w:pStyle w:val="52"/>
              <w:jc w:val="center"/>
              <w:rPr>
                <w:i w:val="0"/>
                <w:iCs w:val="0"/>
                <w:color w:val="auto"/>
                <w:highlight w:val="none"/>
              </w:rPr>
            </w:pPr>
          </w:p>
        </w:tc>
        <w:tc>
          <w:tcPr>
            <w:tcW w:w="1090" w:type="pct"/>
            <w:vAlign w:val="center"/>
          </w:tcPr>
          <w:p w14:paraId="1FA693DE">
            <w:pPr>
              <w:pStyle w:val="52"/>
              <w:jc w:val="center"/>
              <w:rPr>
                <w:i w:val="0"/>
                <w:iCs w:val="0"/>
                <w:color w:val="auto"/>
                <w:highlight w:val="none"/>
              </w:rPr>
            </w:pPr>
          </w:p>
        </w:tc>
        <w:tc>
          <w:tcPr>
            <w:tcW w:w="1090" w:type="pct"/>
            <w:vAlign w:val="center"/>
          </w:tcPr>
          <w:p w14:paraId="3D633AB6">
            <w:pPr>
              <w:pStyle w:val="52"/>
              <w:jc w:val="center"/>
              <w:rPr>
                <w:i w:val="0"/>
                <w:iCs w:val="0"/>
                <w:color w:val="auto"/>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52"/>
              <w:jc w:val="center"/>
              <w:rPr>
                <w:i w:val="0"/>
                <w:iCs w:val="0"/>
                <w:color w:val="auto"/>
                <w:highlight w:val="none"/>
              </w:rPr>
            </w:pPr>
          </w:p>
        </w:tc>
        <w:tc>
          <w:tcPr>
            <w:tcW w:w="1395" w:type="pct"/>
            <w:vAlign w:val="center"/>
          </w:tcPr>
          <w:p w14:paraId="014A297F">
            <w:pPr>
              <w:pStyle w:val="52"/>
              <w:jc w:val="center"/>
              <w:rPr>
                <w:i w:val="0"/>
                <w:iCs w:val="0"/>
                <w:color w:val="auto"/>
                <w:highlight w:val="none"/>
              </w:rPr>
            </w:pPr>
          </w:p>
        </w:tc>
        <w:tc>
          <w:tcPr>
            <w:tcW w:w="1002" w:type="pct"/>
            <w:vAlign w:val="center"/>
          </w:tcPr>
          <w:p w14:paraId="51467013">
            <w:pPr>
              <w:pStyle w:val="52"/>
              <w:jc w:val="center"/>
              <w:rPr>
                <w:i w:val="0"/>
                <w:iCs w:val="0"/>
                <w:color w:val="auto"/>
                <w:highlight w:val="none"/>
              </w:rPr>
            </w:pPr>
          </w:p>
        </w:tc>
        <w:tc>
          <w:tcPr>
            <w:tcW w:w="1090" w:type="pct"/>
            <w:vAlign w:val="center"/>
          </w:tcPr>
          <w:p w14:paraId="011E40CA">
            <w:pPr>
              <w:pStyle w:val="52"/>
              <w:jc w:val="center"/>
              <w:rPr>
                <w:i w:val="0"/>
                <w:iCs w:val="0"/>
                <w:color w:val="auto"/>
                <w:highlight w:val="none"/>
              </w:rPr>
            </w:pPr>
          </w:p>
        </w:tc>
        <w:tc>
          <w:tcPr>
            <w:tcW w:w="1090" w:type="pct"/>
            <w:vAlign w:val="center"/>
          </w:tcPr>
          <w:p w14:paraId="7062C313">
            <w:pPr>
              <w:pStyle w:val="52"/>
              <w:jc w:val="center"/>
              <w:rPr>
                <w:i w:val="0"/>
                <w:iCs w:val="0"/>
                <w:color w:val="auto"/>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52"/>
              <w:jc w:val="center"/>
              <w:rPr>
                <w:i w:val="0"/>
                <w:iCs w:val="0"/>
                <w:color w:val="auto"/>
                <w:highlight w:val="none"/>
              </w:rPr>
            </w:pPr>
          </w:p>
        </w:tc>
        <w:tc>
          <w:tcPr>
            <w:tcW w:w="1395" w:type="pct"/>
            <w:vAlign w:val="center"/>
          </w:tcPr>
          <w:p w14:paraId="010A1BB0">
            <w:pPr>
              <w:pStyle w:val="52"/>
              <w:jc w:val="center"/>
              <w:rPr>
                <w:i w:val="0"/>
                <w:iCs w:val="0"/>
                <w:color w:val="auto"/>
                <w:highlight w:val="none"/>
              </w:rPr>
            </w:pPr>
          </w:p>
        </w:tc>
        <w:tc>
          <w:tcPr>
            <w:tcW w:w="1002" w:type="pct"/>
            <w:vAlign w:val="center"/>
          </w:tcPr>
          <w:p w14:paraId="1EE22C75">
            <w:pPr>
              <w:pStyle w:val="52"/>
              <w:jc w:val="center"/>
              <w:rPr>
                <w:i w:val="0"/>
                <w:iCs w:val="0"/>
                <w:color w:val="auto"/>
                <w:highlight w:val="none"/>
              </w:rPr>
            </w:pPr>
          </w:p>
        </w:tc>
        <w:tc>
          <w:tcPr>
            <w:tcW w:w="1090" w:type="pct"/>
            <w:vAlign w:val="center"/>
          </w:tcPr>
          <w:p w14:paraId="3C86F2CC">
            <w:pPr>
              <w:pStyle w:val="52"/>
              <w:jc w:val="center"/>
              <w:rPr>
                <w:i w:val="0"/>
                <w:iCs w:val="0"/>
                <w:color w:val="auto"/>
                <w:highlight w:val="none"/>
              </w:rPr>
            </w:pPr>
          </w:p>
        </w:tc>
        <w:tc>
          <w:tcPr>
            <w:tcW w:w="1090" w:type="pct"/>
            <w:vAlign w:val="center"/>
          </w:tcPr>
          <w:p w14:paraId="515EA04E">
            <w:pPr>
              <w:pStyle w:val="52"/>
              <w:jc w:val="center"/>
              <w:rPr>
                <w:i w:val="0"/>
                <w:iCs w:val="0"/>
                <w:color w:val="auto"/>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52"/>
              <w:jc w:val="center"/>
              <w:rPr>
                <w:i w:val="0"/>
                <w:iCs w:val="0"/>
                <w:color w:val="auto"/>
                <w:highlight w:val="none"/>
              </w:rPr>
            </w:pPr>
          </w:p>
        </w:tc>
        <w:tc>
          <w:tcPr>
            <w:tcW w:w="1395" w:type="pct"/>
            <w:vAlign w:val="center"/>
          </w:tcPr>
          <w:p w14:paraId="1C7A6406">
            <w:pPr>
              <w:pStyle w:val="52"/>
              <w:jc w:val="center"/>
              <w:rPr>
                <w:i w:val="0"/>
                <w:iCs w:val="0"/>
                <w:color w:val="auto"/>
                <w:highlight w:val="none"/>
              </w:rPr>
            </w:pPr>
          </w:p>
        </w:tc>
        <w:tc>
          <w:tcPr>
            <w:tcW w:w="1002" w:type="pct"/>
            <w:vAlign w:val="center"/>
          </w:tcPr>
          <w:p w14:paraId="7F774DAF">
            <w:pPr>
              <w:pStyle w:val="52"/>
              <w:jc w:val="center"/>
              <w:rPr>
                <w:i w:val="0"/>
                <w:iCs w:val="0"/>
                <w:color w:val="auto"/>
                <w:highlight w:val="none"/>
              </w:rPr>
            </w:pPr>
          </w:p>
        </w:tc>
        <w:tc>
          <w:tcPr>
            <w:tcW w:w="1090" w:type="pct"/>
            <w:vAlign w:val="center"/>
          </w:tcPr>
          <w:p w14:paraId="66A55C54">
            <w:pPr>
              <w:pStyle w:val="52"/>
              <w:jc w:val="center"/>
              <w:rPr>
                <w:i w:val="0"/>
                <w:iCs w:val="0"/>
                <w:color w:val="auto"/>
                <w:highlight w:val="none"/>
              </w:rPr>
            </w:pPr>
          </w:p>
        </w:tc>
        <w:tc>
          <w:tcPr>
            <w:tcW w:w="1090" w:type="pct"/>
            <w:vAlign w:val="center"/>
          </w:tcPr>
          <w:p w14:paraId="6FC3A7DB">
            <w:pPr>
              <w:pStyle w:val="52"/>
              <w:jc w:val="center"/>
              <w:rPr>
                <w:i w:val="0"/>
                <w:iCs w:val="0"/>
                <w:color w:val="auto"/>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52"/>
              <w:jc w:val="center"/>
              <w:rPr>
                <w:i w:val="0"/>
                <w:iCs w:val="0"/>
                <w:color w:val="auto"/>
                <w:highlight w:val="none"/>
              </w:rPr>
            </w:pPr>
          </w:p>
        </w:tc>
        <w:tc>
          <w:tcPr>
            <w:tcW w:w="1395" w:type="pct"/>
            <w:vAlign w:val="center"/>
          </w:tcPr>
          <w:p w14:paraId="5A1690B5">
            <w:pPr>
              <w:pStyle w:val="52"/>
              <w:jc w:val="center"/>
              <w:rPr>
                <w:i w:val="0"/>
                <w:iCs w:val="0"/>
                <w:color w:val="auto"/>
                <w:highlight w:val="none"/>
              </w:rPr>
            </w:pPr>
          </w:p>
        </w:tc>
        <w:tc>
          <w:tcPr>
            <w:tcW w:w="1002" w:type="pct"/>
            <w:vAlign w:val="center"/>
          </w:tcPr>
          <w:p w14:paraId="735418C2">
            <w:pPr>
              <w:pStyle w:val="52"/>
              <w:jc w:val="center"/>
              <w:rPr>
                <w:i w:val="0"/>
                <w:iCs w:val="0"/>
                <w:color w:val="auto"/>
                <w:highlight w:val="none"/>
              </w:rPr>
            </w:pPr>
          </w:p>
        </w:tc>
        <w:tc>
          <w:tcPr>
            <w:tcW w:w="1090" w:type="pct"/>
            <w:vAlign w:val="center"/>
          </w:tcPr>
          <w:p w14:paraId="13F6671D">
            <w:pPr>
              <w:pStyle w:val="52"/>
              <w:jc w:val="center"/>
              <w:rPr>
                <w:i w:val="0"/>
                <w:iCs w:val="0"/>
                <w:color w:val="auto"/>
                <w:highlight w:val="none"/>
              </w:rPr>
            </w:pPr>
          </w:p>
        </w:tc>
        <w:tc>
          <w:tcPr>
            <w:tcW w:w="1090" w:type="pct"/>
            <w:vAlign w:val="center"/>
          </w:tcPr>
          <w:p w14:paraId="3DC0B3BB">
            <w:pPr>
              <w:pStyle w:val="52"/>
              <w:jc w:val="center"/>
              <w:rPr>
                <w:i w:val="0"/>
                <w:iCs w:val="0"/>
                <w:color w:val="auto"/>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52"/>
              <w:jc w:val="center"/>
              <w:rPr>
                <w:i w:val="0"/>
                <w:iCs w:val="0"/>
                <w:color w:val="auto"/>
                <w:highlight w:val="none"/>
              </w:rPr>
            </w:pPr>
          </w:p>
        </w:tc>
        <w:tc>
          <w:tcPr>
            <w:tcW w:w="1395" w:type="pct"/>
            <w:vAlign w:val="center"/>
          </w:tcPr>
          <w:p w14:paraId="4E1F25E0">
            <w:pPr>
              <w:pStyle w:val="52"/>
              <w:jc w:val="center"/>
              <w:rPr>
                <w:i w:val="0"/>
                <w:iCs w:val="0"/>
                <w:color w:val="auto"/>
                <w:highlight w:val="none"/>
              </w:rPr>
            </w:pPr>
          </w:p>
        </w:tc>
        <w:tc>
          <w:tcPr>
            <w:tcW w:w="1002" w:type="pct"/>
            <w:vAlign w:val="center"/>
          </w:tcPr>
          <w:p w14:paraId="4F1707F4">
            <w:pPr>
              <w:pStyle w:val="52"/>
              <w:jc w:val="center"/>
              <w:rPr>
                <w:i w:val="0"/>
                <w:iCs w:val="0"/>
                <w:color w:val="auto"/>
                <w:highlight w:val="none"/>
              </w:rPr>
            </w:pPr>
          </w:p>
        </w:tc>
        <w:tc>
          <w:tcPr>
            <w:tcW w:w="1090" w:type="pct"/>
            <w:vAlign w:val="center"/>
          </w:tcPr>
          <w:p w14:paraId="59E61A3B">
            <w:pPr>
              <w:pStyle w:val="52"/>
              <w:jc w:val="center"/>
              <w:rPr>
                <w:i w:val="0"/>
                <w:iCs w:val="0"/>
                <w:color w:val="auto"/>
                <w:highlight w:val="none"/>
              </w:rPr>
            </w:pPr>
          </w:p>
        </w:tc>
        <w:tc>
          <w:tcPr>
            <w:tcW w:w="1090" w:type="pct"/>
            <w:vAlign w:val="center"/>
          </w:tcPr>
          <w:p w14:paraId="33E07ECA">
            <w:pPr>
              <w:pStyle w:val="52"/>
              <w:jc w:val="center"/>
              <w:rPr>
                <w:i w:val="0"/>
                <w:iCs w:val="0"/>
                <w:color w:val="auto"/>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52"/>
              <w:jc w:val="center"/>
              <w:rPr>
                <w:i w:val="0"/>
                <w:iCs w:val="0"/>
                <w:color w:val="auto"/>
                <w:highlight w:val="none"/>
              </w:rPr>
            </w:pPr>
          </w:p>
        </w:tc>
        <w:tc>
          <w:tcPr>
            <w:tcW w:w="1395" w:type="pct"/>
            <w:vAlign w:val="center"/>
          </w:tcPr>
          <w:p w14:paraId="494F1780">
            <w:pPr>
              <w:pStyle w:val="52"/>
              <w:jc w:val="center"/>
              <w:rPr>
                <w:i w:val="0"/>
                <w:iCs w:val="0"/>
                <w:color w:val="auto"/>
                <w:highlight w:val="none"/>
              </w:rPr>
            </w:pPr>
          </w:p>
        </w:tc>
        <w:tc>
          <w:tcPr>
            <w:tcW w:w="1002" w:type="pct"/>
            <w:vAlign w:val="center"/>
          </w:tcPr>
          <w:p w14:paraId="02E24AFD">
            <w:pPr>
              <w:pStyle w:val="52"/>
              <w:jc w:val="center"/>
              <w:rPr>
                <w:i w:val="0"/>
                <w:iCs w:val="0"/>
                <w:color w:val="auto"/>
                <w:highlight w:val="none"/>
              </w:rPr>
            </w:pPr>
          </w:p>
        </w:tc>
        <w:tc>
          <w:tcPr>
            <w:tcW w:w="1090" w:type="pct"/>
            <w:vAlign w:val="center"/>
          </w:tcPr>
          <w:p w14:paraId="15C952B3">
            <w:pPr>
              <w:pStyle w:val="52"/>
              <w:jc w:val="center"/>
              <w:rPr>
                <w:i w:val="0"/>
                <w:iCs w:val="0"/>
                <w:color w:val="auto"/>
                <w:highlight w:val="none"/>
              </w:rPr>
            </w:pPr>
          </w:p>
        </w:tc>
        <w:tc>
          <w:tcPr>
            <w:tcW w:w="1090" w:type="pct"/>
            <w:vAlign w:val="center"/>
          </w:tcPr>
          <w:p w14:paraId="042480C5">
            <w:pPr>
              <w:pStyle w:val="52"/>
              <w:jc w:val="center"/>
              <w:rPr>
                <w:i w:val="0"/>
                <w:iCs w:val="0"/>
                <w:color w:val="auto"/>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52"/>
              <w:jc w:val="center"/>
              <w:rPr>
                <w:i w:val="0"/>
                <w:iCs w:val="0"/>
                <w:color w:val="auto"/>
                <w:highlight w:val="none"/>
              </w:rPr>
            </w:pPr>
          </w:p>
        </w:tc>
        <w:tc>
          <w:tcPr>
            <w:tcW w:w="1395" w:type="pct"/>
            <w:vAlign w:val="center"/>
          </w:tcPr>
          <w:p w14:paraId="3FA50495">
            <w:pPr>
              <w:pStyle w:val="52"/>
              <w:jc w:val="center"/>
              <w:rPr>
                <w:i w:val="0"/>
                <w:iCs w:val="0"/>
                <w:color w:val="auto"/>
                <w:highlight w:val="none"/>
              </w:rPr>
            </w:pPr>
          </w:p>
        </w:tc>
        <w:tc>
          <w:tcPr>
            <w:tcW w:w="1002" w:type="pct"/>
            <w:vAlign w:val="center"/>
          </w:tcPr>
          <w:p w14:paraId="65521973">
            <w:pPr>
              <w:pStyle w:val="52"/>
              <w:jc w:val="center"/>
              <w:rPr>
                <w:i w:val="0"/>
                <w:iCs w:val="0"/>
                <w:color w:val="auto"/>
                <w:highlight w:val="none"/>
              </w:rPr>
            </w:pPr>
          </w:p>
        </w:tc>
        <w:tc>
          <w:tcPr>
            <w:tcW w:w="1090" w:type="pct"/>
            <w:vAlign w:val="center"/>
          </w:tcPr>
          <w:p w14:paraId="505486BC">
            <w:pPr>
              <w:pStyle w:val="52"/>
              <w:jc w:val="center"/>
              <w:rPr>
                <w:i w:val="0"/>
                <w:iCs w:val="0"/>
                <w:color w:val="auto"/>
                <w:highlight w:val="none"/>
              </w:rPr>
            </w:pPr>
          </w:p>
        </w:tc>
        <w:tc>
          <w:tcPr>
            <w:tcW w:w="1090" w:type="pct"/>
            <w:vAlign w:val="center"/>
          </w:tcPr>
          <w:p w14:paraId="40E41834">
            <w:pPr>
              <w:pStyle w:val="52"/>
              <w:jc w:val="center"/>
              <w:rPr>
                <w:i w:val="0"/>
                <w:iCs w:val="0"/>
                <w:color w:val="auto"/>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52"/>
              <w:jc w:val="center"/>
              <w:rPr>
                <w:i w:val="0"/>
                <w:iCs w:val="0"/>
                <w:color w:val="auto"/>
                <w:highlight w:val="none"/>
              </w:rPr>
            </w:pPr>
          </w:p>
        </w:tc>
        <w:tc>
          <w:tcPr>
            <w:tcW w:w="1395" w:type="pct"/>
            <w:vAlign w:val="center"/>
          </w:tcPr>
          <w:p w14:paraId="199507E1">
            <w:pPr>
              <w:pStyle w:val="52"/>
              <w:jc w:val="center"/>
              <w:rPr>
                <w:i w:val="0"/>
                <w:iCs w:val="0"/>
                <w:color w:val="auto"/>
                <w:highlight w:val="none"/>
              </w:rPr>
            </w:pPr>
          </w:p>
        </w:tc>
        <w:tc>
          <w:tcPr>
            <w:tcW w:w="1002" w:type="pct"/>
            <w:vAlign w:val="center"/>
          </w:tcPr>
          <w:p w14:paraId="6691FD82">
            <w:pPr>
              <w:pStyle w:val="52"/>
              <w:jc w:val="center"/>
              <w:rPr>
                <w:i w:val="0"/>
                <w:iCs w:val="0"/>
                <w:color w:val="auto"/>
                <w:highlight w:val="none"/>
              </w:rPr>
            </w:pPr>
          </w:p>
        </w:tc>
        <w:tc>
          <w:tcPr>
            <w:tcW w:w="1090" w:type="pct"/>
            <w:vAlign w:val="center"/>
          </w:tcPr>
          <w:p w14:paraId="6E35002B">
            <w:pPr>
              <w:pStyle w:val="52"/>
              <w:jc w:val="center"/>
              <w:rPr>
                <w:i w:val="0"/>
                <w:iCs w:val="0"/>
                <w:color w:val="auto"/>
                <w:highlight w:val="none"/>
              </w:rPr>
            </w:pPr>
          </w:p>
        </w:tc>
        <w:tc>
          <w:tcPr>
            <w:tcW w:w="1090" w:type="pct"/>
            <w:vAlign w:val="center"/>
          </w:tcPr>
          <w:p w14:paraId="69818ED1">
            <w:pPr>
              <w:pStyle w:val="52"/>
              <w:jc w:val="center"/>
              <w:rPr>
                <w:i w:val="0"/>
                <w:iCs w:val="0"/>
                <w:color w:val="auto"/>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52"/>
              <w:jc w:val="center"/>
              <w:rPr>
                <w:i w:val="0"/>
                <w:iCs w:val="0"/>
                <w:color w:val="auto"/>
                <w:highlight w:val="none"/>
              </w:rPr>
            </w:pPr>
            <w:r>
              <w:rPr>
                <w:rFonts w:hint="eastAsia"/>
                <w:i w:val="0"/>
                <w:iCs w:val="0"/>
                <w:color w:val="auto"/>
                <w:highlight w:val="none"/>
              </w:rPr>
              <w:t>……</w:t>
            </w:r>
          </w:p>
        </w:tc>
        <w:tc>
          <w:tcPr>
            <w:tcW w:w="1395" w:type="pct"/>
            <w:vAlign w:val="center"/>
          </w:tcPr>
          <w:p w14:paraId="6324A49D">
            <w:pPr>
              <w:pStyle w:val="52"/>
              <w:jc w:val="center"/>
              <w:rPr>
                <w:i w:val="0"/>
                <w:iCs w:val="0"/>
                <w:color w:val="auto"/>
                <w:highlight w:val="none"/>
              </w:rPr>
            </w:pPr>
            <w:r>
              <w:rPr>
                <w:rFonts w:hint="eastAsia"/>
                <w:i w:val="0"/>
                <w:iCs w:val="0"/>
                <w:color w:val="auto"/>
                <w:highlight w:val="none"/>
              </w:rPr>
              <w:t>…………</w:t>
            </w:r>
          </w:p>
        </w:tc>
        <w:tc>
          <w:tcPr>
            <w:tcW w:w="1002" w:type="pct"/>
            <w:vAlign w:val="center"/>
          </w:tcPr>
          <w:p w14:paraId="0EE83785">
            <w:pPr>
              <w:pStyle w:val="52"/>
              <w:jc w:val="center"/>
              <w:rPr>
                <w:i w:val="0"/>
                <w:iCs w:val="0"/>
                <w:color w:val="auto"/>
                <w:highlight w:val="none"/>
              </w:rPr>
            </w:pPr>
            <w:r>
              <w:rPr>
                <w:rFonts w:hint="eastAsia"/>
                <w:i w:val="0"/>
                <w:iCs w:val="0"/>
                <w:color w:val="auto"/>
                <w:highlight w:val="none"/>
              </w:rPr>
              <w:t>…………</w:t>
            </w:r>
          </w:p>
        </w:tc>
        <w:tc>
          <w:tcPr>
            <w:tcW w:w="1090" w:type="pct"/>
            <w:vAlign w:val="center"/>
          </w:tcPr>
          <w:p w14:paraId="7A24BB2D">
            <w:pPr>
              <w:pStyle w:val="52"/>
              <w:jc w:val="center"/>
              <w:rPr>
                <w:i w:val="0"/>
                <w:iCs w:val="0"/>
                <w:color w:val="auto"/>
                <w:highlight w:val="none"/>
              </w:rPr>
            </w:pPr>
            <w:r>
              <w:rPr>
                <w:rFonts w:hint="eastAsia"/>
                <w:i w:val="0"/>
                <w:iCs w:val="0"/>
                <w:color w:val="auto"/>
                <w:highlight w:val="none"/>
              </w:rPr>
              <w:t>……</w:t>
            </w:r>
          </w:p>
        </w:tc>
        <w:tc>
          <w:tcPr>
            <w:tcW w:w="1090" w:type="pct"/>
            <w:vAlign w:val="center"/>
          </w:tcPr>
          <w:p w14:paraId="7CC08218">
            <w:pPr>
              <w:pStyle w:val="52"/>
              <w:jc w:val="center"/>
              <w:rPr>
                <w:i w:val="0"/>
                <w:iCs w:val="0"/>
                <w:color w:val="auto"/>
                <w:highlight w:val="none"/>
              </w:rPr>
            </w:pPr>
          </w:p>
        </w:tc>
      </w:tr>
    </w:tbl>
    <w:p w14:paraId="18714C0C">
      <w:pPr>
        <w:ind w:firstLine="480" w:firstLineChars="200"/>
        <w:rPr>
          <w:rFonts w:hint="eastAsia" w:cs="仿宋_GB2312"/>
          <w:i w:val="0"/>
          <w:iCs w:val="0"/>
          <w:color w:val="auto"/>
          <w:szCs w:val="24"/>
          <w:highlight w:val="none"/>
        </w:rPr>
      </w:pPr>
    </w:p>
    <w:p w14:paraId="79243E57">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注：</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cs="仿宋_GB2312"/>
          <w:i w:val="0"/>
          <w:iCs w:val="0"/>
          <w:color w:val="auto"/>
          <w:sz w:val="21"/>
          <w:szCs w:val="21"/>
          <w:highlight w:val="none"/>
          <w:lang w:val="en-US" w:eastAsia="zh-CN"/>
        </w:rPr>
        <w:t>竞争性磋商</w:t>
      </w:r>
      <w:r>
        <w:rPr>
          <w:rFonts w:hint="eastAsia" w:cs="仿宋_GB2312"/>
          <w:i w:val="0"/>
          <w:iCs w:val="0"/>
          <w:color w:val="auto"/>
          <w:sz w:val="21"/>
          <w:szCs w:val="21"/>
          <w:highlight w:val="none"/>
        </w:rPr>
        <w:t>文件</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rPr>
        <w:t xml:space="preserve">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中的商务要求</w:t>
      </w:r>
      <w:r>
        <w:rPr>
          <w:rFonts w:hint="eastAsia" w:cs="仿宋_GB2312"/>
          <w:i w:val="0"/>
          <w:iCs w:val="0"/>
          <w:color w:val="auto"/>
          <w:sz w:val="21"/>
          <w:szCs w:val="21"/>
          <w:highlight w:val="none"/>
        </w:rPr>
        <w:t>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“响应/偏离”应据实填写“响应”、“正偏离”或“负偏离”</w:t>
      </w:r>
      <w:r>
        <w:rPr>
          <w:rFonts w:hint="eastAsia" w:cs="仿宋_GB2312"/>
          <w:i w:val="0"/>
          <w:iCs w:val="0"/>
          <w:color w:val="auto"/>
          <w:sz w:val="21"/>
          <w:szCs w:val="21"/>
          <w:highlight w:val="none"/>
        </w:rPr>
        <w:t>。</w:t>
      </w:r>
    </w:p>
    <w:p w14:paraId="1A3EAC71">
      <w:pPr>
        <w:rPr>
          <w:rFonts w:cs="仿宋_GB2312"/>
          <w:i w:val="0"/>
          <w:iCs w:val="0"/>
          <w:color w:val="auto"/>
          <w:szCs w:val="24"/>
          <w:highlight w:val="none"/>
        </w:rPr>
      </w:pPr>
    </w:p>
    <w:p w14:paraId="5CB06622">
      <w:pPr>
        <w:ind w:firstLine="480" w:firstLineChars="200"/>
        <w:rPr>
          <w:rFonts w:cs="仿宋_GB2312"/>
          <w:i w:val="0"/>
          <w:iCs w:val="0"/>
          <w:color w:val="auto"/>
          <w:szCs w:val="24"/>
          <w:highlight w:val="none"/>
        </w:rPr>
      </w:pPr>
    </w:p>
    <w:p w14:paraId="05D78CF2">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25E73299">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598C43A6">
      <w:pPr>
        <w:ind w:firstLine="420"/>
        <w:rPr>
          <w:rFonts w:cs="仿宋_GB2312"/>
          <w:i w:val="0"/>
          <w:iCs w:val="0"/>
          <w:color w:val="auto"/>
          <w:szCs w:val="24"/>
          <w:highlight w:val="none"/>
        </w:rPr>
      </w:pPr>
      <w:r>
        <w:rPr>
          <w:rFonts w:cs="仿宋_GB2312"/>
          <w:i w:val="0"/>
          <w:iCs w:val="0"/>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i w:val="0"/>
          <w:iCs w:val="0"/>
          <w:color w:val="auto"/>
          <w:kern w:val="2"/>
          <w:sz w:val="28"/>
          <w:szCs w:val="28"/>
          <w:highlight w:val="none"/>
          <w:lang w:val="en-US" w:eastAsia="zh-CN" w:bidi="ar-SA"/>
        </w:rPr>
      </w:pPr>
    </w:p>
    <w:p w14:paraId="287724F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3" w:name="_Toc14814"/>
      <w:r>
        <w:rPr>
          <w:rFonts w:hint="eastAsia" w:cstheme="majorBidi"/>
          <w:b/>
          <w:bCs/>
          <w:i w:val="0"/>
          <w:iCs w:val="0"/>
          <w:color w:val="auto"/>
          <w:kern w:val="2"/>
          <w:sz w:val="32"/>
          <w:szCs w:val="32"/>
          <w:highlight w:val="none"/>
          <w:lang w:val="en-US" w:eastAsia="zh-CN" w:bidi="ar-SA"/>
        </w:rPr>
        <w:t>七</w:t>
      </w:r>
      <w:r>
        <w:rPr>
          <w:rFonts w:hint="eastAsia" w:eastAsia="宋体" w:asciiTheme="majorHAnsi" w:hAnsiTheme="majorHAnsi" w:cstheme="majorBidi"/>
          <w:b/>
          <w:bCs/>
          <w:i w:val="0"/>
          <w:iCs w:val="0"/>
          <w:color w:val="auto"/>
          <w:kern w:val="2"/>
          <w:sz w:val="32"/>
          <w:szCs w:val="32"/>
          <w:highlight w:val="none"/>
          <w:lang w:val="en-US" w:eastAsia="zh-CN" w:bidi="ar-SA"/>
        </w:rPr>
        <w:t>、业绩证明文件</w:t>
      </w:r>
      <w:bookmarkEnd w:id="723"/>
    </w:p>
    <w:p w14:paraId="4541380C">
      <w:pPr>
        <w:rPr>
          <w:rFonts w:cs="仿宋_GB2312"/>
          <w:i w:val="0"/>
          <w:iCs w:val="0"/>
          <w:color w:val="auto"/>
          <w:szCs w:val="24"/>
          <w:highlight w:val="none"/>
        </w:rPr>
      </w:pPr>
      <w:r>
        <w:rPr>
          <w:rFonts w:cs="Arial"/>
          <w:bCs/>
          <w:i w:val="0"/>
          <w:iCs w:val="0"/>
          <w:color w:val="auto"/>
          <w:szCs w:val="21"/>
          <w:highlight w:val="none"/>
        </w:rPr>
        <w:fldChar w:fldCharType="begin"/>
      </w:r>
      <w:r>
        <w:rPr>
          <w:rFonts w:cs="Arial"/>
          <w:bCs/>
          <w:i w:val="0"/>
          <w:iCs w:val="0"/>
          <w:color w:val="auto"/>
          <w:szCs w:val="21"/>
          <w:highlight w:val="none"/>
        </w:rPr>
        <w:instrText xml:space="preserve"> LINK Word.Document.8 "D:\\音乐厅\\4通用设备\\招标文件\\音乐厅空调设备招标文件v1.0.doc" "OLE_LINK8" \r  \* MERGEFORMAT </w:instrText>
      </w:r>
      <w:r>
        <w:rPr>
          <w:rFonts w:cs="Arial"/>
          <w:bCs/>
          <w:i w:val="0"/>
          <w:iCs w:val="0"/>
          <w:color w:val="auto"/>
          <w:szCs w:val="21"/>
          <w:highlight w:val="none"/>
        </w:rPr>
        <w:fldChar w:fldCharType="separate"/>
      </w:r>
      <w:r>
        <w:rPr>
          <w:rFonts w:hint="eastAsia" w:cs="仿宋_GB2312"/>
          <w:i w:val="0"/>
          <w:iCs w:val="0"/>
          <w:color w:val="auto"/>
          <w:szCs w:val="24"/>
          <w:highlight w:val="none"/>
        </w:rPr>
        <w:t xml:space="preserve">项目名称：                                         </w:t>
      </w:r>
    </w:p>
    <w:p w14:paraId="159B24BA">
      <w:pPr>
        <w:rPr>
          <w:rFonts w:cs="Arial"/>
          <w:bCs/>
          <w:i w:val="0"/>
          <w:iCs w:val="0"/>
          <w:color w:val="auto"/>
          <w:szCs w:val="21"/>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/包号</w:t>
      </w:r>
      <w:r>
        <w:rPr>
          <w:rFonts w:hint="eastAsia" w:cs="仿宋_GB2312"/>
          <w:i w:val="0"/>
          <w:iCs w:val="0"/>
          <w:color w:val="auto"/>
          <w:szCs w:val="24"/>
          <w:highlight w:val="none"/>
        </w:rPr>
        <w:t xml:space="preserve">：      </w:t>
      </w:r>
      <w:r>
        <w:rPr>
          <w:rFonts w:cs="Arial"/>
          <w:bCs/>
          <w:i w:val="0"/>
          <w:iCs w:val="0"/>
          <w:color w:val="auto"/>
          <w:szCs w:val="21"/>
          <w:highlight w:val="none"/>
        </w:rPr>
        <w:fldChar w:fldCharType="end"/>
      </w:r>
    </w:p>
    <w:tbl>
      <w:tblPr>
        <w:tblStyle w:val="35"/>
        <w:tblW w:w="961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3"/>
        <w:gridCol w:w="1272"/>
        <w:gridCol w:w="1188"/>
        <w:gridCol w:w="1487"/>
        <w:gridCol w:w="1477"/>
        <w:gridCol w:w="984"/>
        <w:gridCol w:w="1191"/>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E9572F9">
            <w:pPr>
              <w:jc w:val="center"/>
              <w:rPr>
                <w:rFonts w:cs="仿宋_GB2312"/>
                <w:i w:val="0"/>
                <w:iCs w:val="0"/>
                <w:color w:val="auto"/>
                <w:sz w:val="24"/>
                <w:szCs w:val="24"/>
                <w:highlight w:val="none"/>
              </w:rPr>
            </w:pPr>
            <w:bookmarkStart w:id="724" w:name="_Hlk46779239"/>
            <w:r>
              <w:rPr>
                <w:rFonts w:hint="eastAsia" w:cs="仿宋_GB2312"/>
                <w:i w:val="0"/>
                <w:iCs w:val="0"/>
                <w:color w:val="auto"/>
                <w:sz w:val="24"/>
                <w:szCs w:val="24"/>
                <w:highlight w:val="none"/>
              </w:rPr>
              <w:t>序号</w:t>
            </w:r>
          </w:p>
        </w:tc>
        <w:tc>
          <w:tcPr>
            <w:tcW w:w="1233" w:type="dxa"/>
            <w:vAlign w:val="center"/>
          </w:tcPr>
          <w:p w14:paraId="51F55A40">
            <w:pPr>
              <w:rPr>
                <w:rFonts w:cs="仿宋_GB2312"/>
                <w:i w:val="0"/>
                <w:iCs w:val="0"/>
                <w:color w:val="auto"/>
                <w:sz w:val="24"/>
                <w:szCs w:val="24"/>
                <w:highlight w:val="none"/>
              </w:rPr>
            </w:pPr>
            <w:r>
              <w:rPr>
                <w:rFonts w:hint="eastAsia" w:cs="仿宋_GB2312"/>
                <w:i w:val="0"/>
                <w:iCs w:val="0"/>
                <w:color w:val="auto"/>
                <w:sz w:val="24"/>
                <w:szCs w:val="24"/>
                <w:highlight w:val="none"/>
              </w:rPr>
              <w:t>完成时间</w:t>
            </w:r>
          </w:p>
        </w:tc>
        <w:tc>
          <w:tcPr>
            <w:tcW w:w="1272" w:type="dxa"/>
            <w:vAlign w:val="center"/>
          </w:tcPr>
          <w:p w14:paraId="4D5C38D5">
            <w:pPr>
              <w:jc w:val="center"/>
              <w:rPr>
                <w:rFonts w:cs="仿宋_GB2312"/>
                <w:i w:val="0"/>
                <w:iCs w:val="0"/>
                <w:color w:val="auto"/>
                <w:sz w:val="24"/>
                <w:szCs w:val="24"/>
                <w:highlight w:val="none"/>
              </w:rPr>
            </w:pPr>
            <w:r>
              <w:rPr>
                <w:rFonts w:hint="eastAsia" w:cs="仿宋_GB2312"/>
                <w:i w:val="0"/>
                <w:iCs w:val="0"/>
                <w:color w:val="auto"/>
                <w:sz w:val="24"/>
                <w:szCs w:val="24"/>
                <w:highlight w:val="none"/>
              </w:rPr>
              <w:t>项目名称</w:t>
            </w:r>
          </w:p>
        </w:tc>
        <w:tc>
          <w:tcPr>
            <w:tcW w:w="1188" w:type="dxa"/>
            <w:vAlign w:val="center"/>
          </w:tcPr>
          <w:p w14:paraId="69717F2A">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标的</w:t>
            </w:r>
            <w:r>
              <w:rPr>
                <w:rFonts w:hint="eastAsia" w:cs="仿宋_GB2312"/>
                <w:i w:val="0"/>
                <w:iCs w:val="0"/>
                <w:color w:val="auto"/>
                <w:sz w:val="24"/>
                <w:szCs w:val="24"/>
                <w:highlight w:val="none"/>
              </w:rPr>
              <w:t>内容</w:t>
            </w:r>
          </w:p>
        </w:tc>
        <w:tc>
          <w:tcPr>
            <w:tcW w:w="1487" w:type="dxa"/>
            <w:vAlign w:val="center"/>
          </w:tcPr>
          <w:p w14:paraId="57C35070">
            <w:pPr>
              <w:jc w:val="center"/>
              <w:rPr>
                <w:rFonts w:cs="仿宋_GB2312"/>
                <w:i w:val="0"/>
                <w:iCs w:val="0"/>
                <w:color w:val="auto"/>
                <w:sz w:val="24"/>
                <w:szCs w:val="24"/>
                <w:highlight w:val="none"/>
              </w:rPr>
            </w:pPr>
            <w:r>
              <w:rPr>
                <w:rFonts w:hint="eastAsia" w:cs="仿宋_GB2312"/>
                <w:i w:val="0"/>
                <w:iCs w:val="0"/>
                <w:color w:val="auto"/>
                <w:sz w:val="24"/>
                <w:szCs w:val="24"/>
                <w:highlight w:val="none"/>
                <w:lang w:val="en-US" w:eastAsia="zh-CN"/>
              </w:rPr>
              <w:t>采购人</w:t>
            </w:r>
            <w:r>
              <w:rPr>
                <w:rFonts w:hint="eastAsia" w:cs="仿宋_GB2312"/>
                <w:i w:val="0"/>
                <w:iCs w:val="0"/>
                <w:color w:val="auto"/>
                <w:sz w:val="24"/>
                <w:szCs w:val="24"/>
                <w:highlight w:val="none"/>
              </w:rPr>
              <w:t>名称</w:t>
            </w:r>
          </w:p>
        </w:tc>
        <w:tc>
          <w:tcPr>
            <w:tcW w:w="1477" w:type="dxa"/>
            <w:vAlign w:val="center"/>
          </w:tcPr>
          <w:p w14:paraId="61EB4103">
            <w:pPr>
              <w:jc w:val="center"/>
              <w:rPr>
                <w:rFonts w:hint="eastAsia" w:cs="仿宋_GB2312"/>
                <w:i w:val="0"/>
                <w:iCs w:val="0"/>
                <w:color w:val="auto"/>
                <w:sz w:val="24"/>
                <w:szCs w:val="24"/>
                <w:highlight w:val="none"/>
              </w:rPr>
            </w:pPr>
            <w:r>
              <w:rPr>
                <w:rFonts w:hint="eastAsia" w:cs="仿宋_GB2312"/>
                <w:i w:val="0"/>
                <w:iCs w:val="0"/>
                <w:color w:val="auto"/>
                <w:sz w:val="24"/>
                <w:szCs w:val="24"/>
                <w:highlight w:val="none"/>
                <w:lang w:val="en-US" w:eastAsia="zh-CN"/>
              </w:rPr>
              <w:t>中标（成交）金额</w:t>
            </w:r>
          </w:p>
        </w:tc>
        <w:tc>
          <w:tcPr>
            <w:tcW w:w="984" w:type="dxa"/>
            <w:vAlign w:val="center"/>
          </w:tcPr>
          <w:p w14:paraId="01352CB9">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联系人</w:t>
            </w:r>
          </w:p>
        </w:tc>
        <w:tc>
          <w:tcPr>
            <w:tcW w:w="1191" w:type="dxa"/>
            <w:vAlign w:val="center"/>
          </w:tcPr>
          <w:p w14:paraId="2DA424BF">
            <w:pPr>
              <w:jc w:val="center"/>
              <w:rPr>
                <w:rFonts w:cs="仿宋_GB2312"/>
                <w:i w:val="0"/>
                <w:iCs w:val="0"/>
                <w:color w:val="auto"/>
                <w:sz w:val="24"/>
                <w:szCs w:val="24"/>
                <w:highlight w:val="none"/>
              </w:rPr>
            </w:pPr>
            <w:r>
              <w:rPr>
                <w:rFonts w:hint="eastAsia" w:cs="仿宋_GB2312"/>
                <w:i w:val="0"/>
                <w:iCs w:val="0"/>
                <w:color w:val="auto"/>
                <w:sz w:val="24"/>
                <w:szCs w:val="24"/>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27508E81">
            <w:pPr>
              <w:jc w:val="center"/>
              <w:rPr>
                <w:rFonts w:cs="仿宋_GB2312"/>
                <w:i w:val="0"/>
                <w:iCs w:val="0"/>
                <w:color w:val="auto"/>
                <w:sz w:val="24"/>
                <w:szCs w:val="24"/>
                <w:highlight w:val="none"/>
              </w:rPr>
            </w:pPr>
            <w:r>
              <w:rPr>
                <w:rFonts w:hint="eastAsia" w:cs="仿宋_GB2312"/>
                <w:i w:val="0"/>
                <w:iCs w:val="0"/>
                <w:color w:val="auto"/>
                <w:sz w:val="24"/>
                <w:szCs w:val="24"/>
                <w:highlight w:val="none"/>
              </w:rPr>
              <w:t>1</w:t>
            </w:r>
          </w:p>
        </w:tc>
        <w:tc>
          <w:tcPr>
            <w:tcW w:w="1233" w:type="dxa"/>
            <w:vAlign w:val="center"/>
          </w:tcPr>
          <w:p w14:paraId="27562AF7">
            <w:pPr>
              <w:rPr>
                <w:rFonts w:cs="仿宋_GB2312"/>
                <w:i w:val="0"/>
                <w:iCs w:val="0"/>
                <w:color w:val="auto"/>
                <w:sz w:val="24"/>
                <w:szCs w:val="24"/>
                <w:highlight w:val="none"/>
              </w:rPr>
            </w:pPr>
          </w:p>
        </w:tc>
        <w:tc>
          <w:tcPr>
            <w:tcW w:w="1272" w:type="dxa"/>
            <w:vAlign w:val="center"/>
          </w:tcPr>
          <w:p w14:paraId="02799269">
            <w:pPr>
              <w:rPr>
                <w:rFonts w:cs="仿宋_GB2312"/>
                <w:i w:val="0"/>
                <w:iCs w:val="0"/>
                <w:color w:val="auto"/>
                <w:sz w:val="24"/>
                <w:szCs w:val="24"/>
                <w:highlight w:val="none"/>
              </w:rPr>
            </w:pPr>
          </w:p>
        </w:tc>
        <w:tc>
          <w:tcPr>
            <w:tcW w:w="1188" w:type="dxa"/>
            <w:vAlign w:val="center"/>
          </w:tcPr>
          <w:p w14:paraId="6449ADDF">
            <w:pPr>
              <w:rPr>
                <w:rFonts w:cs="仿宋_GB2312"/>
                <w:i w:val="0"/>
                <w:iCs w:val="0"/>
                <w:color w:val="auto"/>
                <w:sz w:val="24"/>
                <w:szCs w:val="24"/>
                <w:highlight w:val="none"/>
              </w:rPr>
            </w:pPr>
          </w:p>
        </w:tc>
        <w:tc>
          <w:tcPr>
            <w:tcW w:w="1487" w:type="dxa"/>
            <w:vAlign w:val="center"/>
          </w:tcPr>
          <w:p w14:paraId="183C0714">
            <w:pPr>
              <w:rPr>
                <w:rFonts w:cs="仿宋_GB2312"/>
                <w:i w:val="0"/>
                <w:iCs w:val="0"/>
                <w:color w:val="auto"/>
                <w:sz w:val="24"/>
                <w:szCs w:val="24"/>
                <w:highlight w:val="none"/>
              </w:rPr>
            </w:pPr>
          </w:p>
        </w:tc>
        <w:tc>
          <w:tcPr>
            <w:tcW w:w="1477" w:type="dxa"/>
            <w:vAlign w:val="center"/>
          </w:tcPr>
          <w:p w14:paraId="4F169081">
            <w:pPr>
              <w:rPr>
                <w:rFonts w:cs="仿宋_GB2312"/>
                <w:i w:val="0"/>
                <w:iCs w:val="0"/>
                <w:color w:val="auto"/>
                <w:sz w:val="24"/>
                <w:szCs w:val="24"/>
                <w:highlight w:val="none"/>
              </w:rPr>
            </w:pPr>
          </w:p>
        </w:tc>
        <w:tc>
          <w:tcPr>
            <w:tcW w:w="984" w:type="dxa"/>
            <w:vAlign w:val="center"/>
          </w:tcPr>
          <w:p w14:paraId="2A8AB713">
            <w:pPr>
              <w:rPr>
                <w:rFonts w:cs="仿宋_GB2312"/>
                <w:i w:val="0"/>
                <w:iCs w:val="0"/>
                <w:color w:val="auto"/>
                <w:sz w:val="24"/>
                <w:szCs w:val="24"/>
                <w:highlight w:val="none"/>
              </w:rPr>
            </w:pPr>
          </w:p>
        </w:tc>
        <w:tc>
          <w:tcPr>
            <w:tcW w:w="1191" w:type="dxa"/>
            <w:vAlign w:val="center"/>
          </w:tcPr>
          <w:p w14:paraId="09D0936A">
            <w:pPr>
              <w:rPr>
                <w:rFonts w:cs="仿宋_GB2312"/>
                <w:i w:val="0"/>
                <w:iCs w:val="0"/>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A21BB39">
            <w:pPr>
              <w:jc w:val="center"/>
              <w:rPr>
                <w:rFonts w:cs="仿宋_GB2312"/>
                <w:i w:val="0"/>
                <w:iCs w:val="0"/>
                <w:color w:val="auto"/>
                <w:sz w:val="24"/>
                <w:szCs w:val="24"/>
                <w:highlight w:val="none"/>
              </w:rPr>
            </w:pPr>
            <w:r>
              <w:rPr>
                <w:rFonts w:hint="eastAsia" w:cs="仿宋_GB2312"/>
                <w:i w:val="0"/>
                <w:iCs w:val="0"/>
                <w:color w:val="auto"/>
                <w:sz w:val="24"/>
                <w:szCs w:val="24"/>
                <w:highlight w:val="none"/>
              </w:rPr>
              <w:t>2</w:t>
            </w:r>
          </w:p>
        </w:tc>
        <w:tc>
          <w:tcPr>
            <w:tcW w:w="1233" w:type="dxa"/>
            <w:vAlign w:val="center"/>
          </w:tcPr>
          <w:p w14:paraId="7CA4B3F3">
            <w:pPr>
              <w:rPr>
                <w:rFonts w:cs="仿宋_GB2312"/>
                <w:i w:val="0"/>
                <w:iCs w:val="0"/>
                <w:color w:val="auto"/>
                <w:sz w:val="24"/>
                <w:szCs w:val="24"/>
                <w:highlight w:val="none"/>
              </w:rPr>
            </w:pPr>
          </w:p>
        </w:tc>
        <w:tc>
          <w:tcPr>
            <w:tcW w:w="1272" w:type="dxa"/>
            <w:vAlign w:val="center"/>
          </w:tcPr>
          <w:p w14:paraId="59CCECB1">
            <w:pPr>
              <w:rPr>
                <w:rFonts w:cs="仿宋_GB2312"/>
                <w:i w:val="0"/>
                <w:iCs w:val="0"/>
                <w:color w:val="auto"/>
                <w:sz w:val="24"/>
                <w:szCs w:val="24"/>
                <w:highlight w:val="none"/>
              </w:rPr>
            </w:pPr>
          </w:p>
        </w:tc>
        <w:tc>
          <w:tcPr>
            <w:tcW w:w="1188" w:type="dxa"/>
            <w:vAlign w:val="center"/>
          </w:tcPr>
          <w:p w14:paraId="4E8043C4">
            <w:pPr>
              <w:rPr>
                <w:rFonts w:cs="仿宋_GB2312"/>
                <w:i w:val="0"/>
                <w:iCs w:val="0"/>
                <w:color w:val="auto"/>
                <w:sz w:val="24"/>
                <w:szCs w:val="24"/>
                <w:highlight w:val="none"/>
              </w:rPr>
            </w:pPr>
          </w:p>
        </w:tc>
        <w:tc>
          <w:tcPr>
            <w:tcW w:w="1487" w:type="dxa"/>
            <w:vAlign w:val="center"/>
          </w:tcPr>
          <w:p w14:paraId="2E195778">
            <w:pPr>
              <w:rPr>
                <w:rFonts w:cs="仿宋_GB2312"/>
                <w:i w:val="0"/>
                <w:iCs w:val="0"/>
                <w:color w:val="auto"/>
                <w:sz w:val="24"/>
                <w:szCs w:val="24"/>
                <w:highlight w:val="none"/>
              </w:rPr>
            </w:pPr>
          </w:p>
        </w:tc>
        <w:tc>
          <w:tcPr>
            <w:tcW w:w="1477" w:type="dxa"/>
            <w:vAlign w:val="center"/>
          </w:tcPr>
          <w:p w14:paraId="49A8CC13">
            <w:pPr>
              <w:rPr>
                <w:rFonts w:cs="仿宋_GB2312"/>
                <w:i w:val="0"/>
                <w:iCs w:val="0"/>
                <w:color w:val="auto"/>
                <w:sz w:val="24"/>
                <w:szCs w:val="24"/>
                <w:highlight w:val="none"/>
              </w:rPr>
            </w:pPr>
          </w:p>
        </w:tc>
        <w:tc>
          <w:tcPr>
            <w:tcW w:w="984" w:type="dxa"/>
            <w:vAlign w:val="center"/>
          </w:tcPr>
          <w:p w14:paraId="53112435">
            <w:pPr>
              <w:rPr>
                <w:rFonts w:cs="仿宋_GB2312"/>
                <w:i w:val="0"/>
                <w:iCs w:val="0"/>
                <w:color w:val="auto"/>
                <w:sz w:val="24"/>
                <w:szCs w:val="24"/>
                <w:highlight w:val="none"/>
              </w:rPr>
            </w:pPr>
          </w:p>
        </w:tc>
        <w:tc>
          <w:tcPr>
            <w:tcW w:w="1191" w:type="dxa"/>
            <w:vAlign w:val="center"/>
          </w:tcPr>
          <w:p w14:paraId="185645D3">
            <w:pPr>
              <w:rPr>
                <w:rFonts w:cs="仿宋_GB2312"/>
                <w:i w:val="0"/>
                <w:iCs w:val="0"/>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vAlign w:val="center"/>
          </w:tcPr>
          <w:p w14:paraId="4428D324">
            <w:pPr>
              <w:jc w:val="center"/>
              <w:rPr>
                <w:rFonts w:cs="仿宋_GB2312"/>
                <w:i w:val="0"/>
                <w:iCs w:val="0"/>
                <w:color w:val="auto"/>
                <w:sz w:val="24"/>
                <w:szCs w:val="24"/>
                <w:highlight w:val="none"/>
              </w:rPr>
            </w:pPr>
            <w:r>
              <w:rPr>
                <w:rFonts w:hint="eastAsia" w:cs="仿宋_GB2312"/>
                <w:i w:val="0"/>
                <w:iCs w:val="0"/>
                <w:color w:val="auto"/>
                <w:sz w:val="24"/>
                <w:szCs w:val="24"/>
                <w:highlight w:val="none"/>
              </w:rPr>
              <w:t>3</w:t>
            </w:r>
          </w:p>
        </w:tc>
        <w:tc>
          <w:tcPr>
            <w:tcW w:w="1233" w:type="dxa"/>
            <w:vAlign w:val="center"/>
          </w:tcPr>
          <w:p w14:paraId="46AEF6AC">
            <w:pPr>
              <w:rPr>
                <w:rFonts w:cs="仿宋_GB2312"/>
                <w:i w:val="0"/>
                <w:iCs w:val="0"/>
                <w:color w:val="auto"/>
                <w:sz w:val="24"/>
                <w:szCs w:val="24"/>
                <w:highlight w:val="none"/>
              </w:rPr>
            </w:pPr>
          </w:p>
        </w:tc>
        <w:tc>
          <w:tcPr>
            <w:tcW w:w="1272" w:type="dxa"/>
            <w:vAlign w:val="center"/>
          </w:tcPr>
          <w:p w14:paraId="601B0208">
            <w:pPr>
              <w:rPr>
                <w:rFonts w:cs="仿宋_GB2312"/>
                <w:i w:val="0"/>
                <w:iCs w:val="0"/>
                <w:color w:val="auto"/>
                <w:sz w:val="24"/>
                <w:szCs w:val="24"/>
                <w:highlight w:val="none"/>
              </w:rPr>
            </w:pPr>
          </w:p>
        </w:tc>
        <w:tc>
          <w:tcPr>
            <w:tcW w:w="1188" w:type="dxa"/>
            <w:vAlign w:val="center"/>
          </w:tcPr>
          <w:p w14:paraId="56885EE6">
            <w:pPr>
              <w:rPr>
                <w:rFonts w:cs="仿宋_GB2312"/>
                <w:i w:val="0"/>
                <w:iCs w:val="0"/>
                <w:color w:val="auto"/>
                <w:sz w:val="24"/>
                <w:szCs w:val="24"/>
                <w:highlight w:val="none"/>
              </w:rPr>
            </w:pPr>
          </w:p>
        </w:tc>
        <w:tc>
          <w:tcPr>
            <w:tcW w:w="1487" w:type="dxa"/>
            <w:vAlign w:val="center"/>
          </w:tcPr>
          <w:p w14:paraId="00552B19">
            <w:pPr>
              <w:rPr>
                <w:rFonts w:cs="仿宋_GB2312"/>
                <w:i w:val="0"/>
                <w:iCs w:val="0"/>
                <w:color w:val="auto"/>
                <w:sz w:val="24"/>
                <w:szCs w:val="24"/>
                <w:highlight w:val="none"/>
              </w:rPr>
            </w:pPr>
          </w:p>
        </w:tc>
        <w:tc>
          <w:tcPr>
            <w:tcW w:w="1477" w:type="dxa"/>
            <w:vAlign w:val="center"/>
          </w:tcPr>
          <w:p w14:paraId="77BC6128">
            <w:pPr>
              <w:rPr>
                <w:rFonts w:cs="仿宋_GB2312"/>
                <w:i w:val="0"/>
                <w:iCs w:val="0"/>
                <w:color w:val="auto"/>
                <w:sz w:val="24"/>
                <w:szCs w:val="24"/>
                <w:highlight w:val="none"/>
              </w:rPr>
            </w:pPr>
          </w:p>
        </w:tc>
        <w:tc>
          <w:tcPr>
            <w:tcW w:w="984" w:type="dxa"/>
            <w:vAlign w:val="center"/>
          </w:tcPr>
          <w:p w14:paraId="67F6B017">
            <w:pPr>
              <w:rPr>
                <w:rFonts w:cs="仿宋_GB2312"/>
                <w:i w:val="0"/>
                <w:iCs w:val="0"/>
                <w:color w:val="auto"/>
                <w:sz w:val="24"/>
                <w:szCs w:val="24"/>
                <w:highlight w:val="none"/>
              </w:rPr>
            </w:pPr>
          </w:p>
        </w:tc>
        <w:tc>
          <w:tcPr>
            <w:tcW w:w="1191" w:type="dxa"/>
            <w:vAlign w:val="center"/>
          </w:tcPr>
          <w:p w14:paraId="20173386">
            <w:pPr>
              <w:rPr>
                <w:rFonts w:cs="仿宋_GB2312"/>
                <w:i w:val="0"/>
                <w:iCs w:val="0"/>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vAlign w:val="center"/>
          </w:tcPr>
          <w:p w14:paraId="433A34E7">
            <w:pPr>
              <w:jc w:val="center"/>
              <w:rPr>
                <w:rFonts w:cs="仿宋_GB2312"/>
                <w:i w:val="0"/>
                <w:iCs w:val="0"/>
                <w:color w:val="auto"/>
                <w:sz w:val="24"/>
                <w:szCs w:val="24"/>
                <w:highlight w:val="none"/>
              </w:rPr>
            </w:pPr>
            <w:r>
              <w:rPr>
                <w:rFonts w:hint="eastAsia" w:cs="仿宋_GB2312"/>
                <w:i w:val="0"/>
                <w:iCs w:val="0"/>
                <w:color w:val="auto"/>
                <w:sz w:val="24"/>
                <w:szCs w:val="24"/>
                <w:highlight w:val="none"/>
              </w:rPr>
              <w:t>…</w:t>
            </w:r>
          </w:p>
        </w:tc>
        <w:tc>
          <w:tcPr>
            <w:tcW w:w="1233" w:type="dxa"/>
            <w:vAlign w:val="center"/>
          </w:tcPr>
          <w:p w14:paraId="5D94CAA1">
            <w:pPr>
              <w:rPr>
                <w:rFonts w:cs="仿宋_GB2312"/>
                <w:i w:val="0"/>
                <w:iCs w:val="0"/>
                <w:color w:val="auto"/>
                <w:sz w:val="24"/>
                <w:szCs w:val="24"/>
                <w:highlight w:val="none"/>
              </w:rPr>
            </w:pPr>
          </w:p>
        </w:tc>
        <w:tc>
          <w:tcPr>
            <w:tcW w:w="1272" w:type="dxa"/>
            <w:vAlign w:val="center"/>
          </w:tcPr>
          <w:p w14:paraId="48AC7386">
            <w:pPr>
              <w:rPr>
                <w:rFonts w:cs="仿宋_GB2312"/>
                <w:i w:val="0"/>
                <w:iCs w:val="0"/>
                <w:color w:val="auto"/>
                <w:sz w:val="24"/>
                <w:szCs w:val="24"/>
                <w:highlight w:val="none"/>
              </w:rPr>
            </w:pPr>
          </w:p>
        </w:tc>
        <w:tc>
          <w:tcPr>
            <w:tcW w:w="1188" w:type="dxa"/>
            <w:vAlign w:val="center"/>
          </w:tcPr>
          <w:p w14:paraId="20172F35">
            <w:pPr>
              <w:rPr>
                <w:rFonts w:cs="仿宋_GB2312"/>
                <w:i w:val="0"/>
                <w:iCs w:val="0"/>
                <w:color w:val="auto"/>
                <w:sz w:val="24"/>
                <w:szCs w:val="24"/>
                <w:highlight w:val="none"/>
              </w:rPr>
            </w:pPr>
          </w:p>
        </w:tc>
        <w:tc>
          <w:tcPr>
            <w:tcW w:w="1487" w:type="dxa"/>
            <w:vAlign w:val="center"/>
          </w:tcPr>
          <w:p w14:paraId="75CF74D1">
            <w:pPr>
              <w:rPr>
                <w:rFonts w:cs="仿宋_GB2312"/>
                <w:i w:val="0"/>
                <w:iCs w:val="0"/>
                <w:color w:val="auto"/>
                <w:sz w:val="24"/>
                <w:szCs w:val="24"/>
                <w:highlight w:val="none"/>
              </w:rPr>
            </w:pPr>
          </w:p>
        </w:tc>
        <w:tc>
          <w:tcPr>
            <w:tcW w:w="1477" w:type="dxa"/>
            <w:vAlign w:val="center"/>
          </w:tcPr>
          <w:p w14:paraId="52CF4BF0">
            <w:pPr>
              <w:rPr>
                <w:rFonts w:cs="仿宋_GB2312"/>
                <w:i w:val="0"/>
                <w:iCs w:val="0"/>
                <w:color w:val="auto"/>
                <w:sz w:val="24"/>
                <w:szCs w:val="24"/>
                <w:highlight w:val="none"/>
              </w:rPr>
            </w:pPr>
          </w:p>
        </w:tc>
        <w:tc>
          <w:tcPr>
            <w:tcW w:w="984" w:type="dxa"/>
            <w:vAlign w:val="center"/>
          </w:tcPr>
          <w:p w14:paraId="32DE863A">
            <w:pPr>
              <w:rPr>
                <w:rFonts w:cs="仿宋_GB2312"/>
                <w:i w:val="0"/>
                <w:iCs w:val="0"/>
                <w:color w:val="auto"/>
                <w:sz w:val="24"/>
                <w:szCs w:val="24"/>
                <w:highlight w:val="none"/>
              </w:rPr>
            </w:pPr>
          </w:p>
        </w:tc>
        <w:tc>
          <w:tcPr>
            <w:tcW w:w="1191" w:type="dxa"/>
            <w:vAlign w:val="center"/>
          </w:tcPr>
          <w:p w14:paraId="52BCFD5F">
            <w:pPr>
              <w:rPr>
                <w:rFonts w:cs="仿宋_GB2312"/>
                <w:i w:val="0"/>
                <w:iCs w:val="0"/>
                <w:color w:val="auto"/>
                <w:sz w:val="24"/>
                <w:szCs w:val="24"/>
                <w:highlight w:val="none"/>
              </w:rPr>
            </w:pPr>
          </w:p>
        </w:tc>
      </w:tr>
      <w:bookmarkEnd w:id="724"/>
    </w:tbl>
    <w:p w14:paraId="37AD017A">
      <w:pPr>
        <w:rPr>
          <w:rFonts w:hint="eastAsia" w:cs="仿宋_GB2312"/>
          <w:i w:val="0"/>
          <w:iCs w:val="0"/>
          <w:color w:val="auto"/>
          <w:sz w:val="24"/>
          <w:szCs w:val="24"/>
          <w:highlight w:val="none"/>
        </w:rPr>
      </w:pPr>
    </w:p>
    <w:p w14:paraId="58FF379C">
      <w:pPr>
        <w:rPr>
          <w:rFonts w:cs="仿宋_GB2312"/>
          <w:i w:val="0"/>
          <w:iCs w:val="0"/>
          <w:color w:val="auto"/>
          <w:sz w:val="24"/>
          <w:szCs w:val="24"/>
          <w:highlight w:val="none"/>
        </w:rPr>
      </w:pPr>
      <w:r>
        <w:rPr>
          <w:rFonts w:hint="eastAsia" w:cs="仿宋_GB2312"/>
          <w:i w:val="0"/>
          <w:iCs w:val="0"/>
          <w:color w:val="auto"/>
          <w:sz w:val="24"/>
          <w:szCs w:val="24"/>
          <w:highlight w:val="none"/>
        </w:rPr>
        <w:t>注：</w:t>
      </w:r>
      <w:r>
        <w:rPr>
          <w:rFonts w:hint="eastAsia" w:cs="仿宋_GB2312"/>
          <w:i w:val="0"/>
          <w:iCs w:val="0"/>
          <w:color w:val="auto"/>
          <w:sz w:val="24"/>
          <w:szCs w:val="24"/>
          <w:highlight w:val="none"/>
          <w:lang w:val="en-US" w:eastAsia="zh-CN"/>
        </w:rPr>
        <w:t>供应商</w:t>
      </w:r>
      <w:r>
        <w:rPr>
          <w:rFonts w:hint="eastAsia" w:cs="仿宋_GB2312"/>
          <w:i w:val="0"/>
          <w:iCs w:val="0"/>
          <w:color w:val="auto"/>
          <w:sz w:val="24"/>
          <w:szCs w:val="24"/>
          <w:highlight w:val="none"/>
        </w:rPr>
        <w:t>须按上表提供相应的</w:t>
      </w:r>
      <w:r>
        <w:rPr>
          <w:rFonts w:hint="eastAsia" w:cs="仿宋_GB2312"/>
          <w:i w:val="0"/>
          <w:iCs w:val="0"/>
          <w:color w:val="auto"/>
          <w:sz w:val="24"/>
          <w:szCs w:val="24"/>
          <w:highlight w:val="none"/>
          <w:lang w:val="en-US" w:eastAsia="zh-CN"/>
        </w:rPr>
        <w:t>中标（成交）通知书、采购合同等</w:t>
      </w:r>
      <w:r>
        <w:rPr>
          <w:rFonts w:hint="eastAsia" w:cs="仿宋_GB2312"/>
          <w:i w:val="0"/>
          <w:iCs w:val="0"/>
          <w:color w:val="auto"/>
          <w:sz w:val="24"/>
          <w:szCs w:val="24"/>
          <w:highlight w:val="none"/>
        </w:rPr>
        <w:t>业绩证明资料。</w:t>
      </w:r>
    </w:p>
    <w:p w14:paraId="5DB99613">
      <w:pPr>
        <w:widowControl/>
        <w:spacing w:before="100" w:beforeAutospacing="1" w:after="100" w:afterAutospacing="1"/>
        <w:rPr>
          <w:rFonts w:cs="Arial"/>
          <w:i w:val="0"/>
          <w:iCs w:val="0"/>
          <w:color w:val="auto"/>
          <w:szCs w:val="21"/>
          <w:highlight w:val="none"/>
        </w:rPr>
      </w:pPr>
    </w:p>
    <w:p w14:paraId="15F467E4">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12381E01">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095105C8">
      <w:pPr>
        <w:ind w:firstLine="420"/>
        <w:rPr>
          <w:rFonts w:cs="仿宋_GB2312"/>
          <w:i w:val="0"/>
          <w:iCs w:val="0"/>
          <w:color w:val="auto"/>
          <w:szCs w:val="24"/>
          <w:highlight w:val="none"/>
        </w:rPr>
      </w:pPr>
      <w:r>
        <w:rPr>
          <w:rFonts w:cs="仿宋_GB2312"/>
          <w:i w:val="0"/>
          <w:iCs w:val="0"/>
          <w:color w:val="auto"/>
          <w:szCs w:val="24"/>
          <w:highlight w:val="none"/>
        </w:rPr>
        <w:br w:type="page"/>
      </w:r>
    </w:p>
    <w:p w14:paraId="4E924C8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25" w:name="_Toc7854"/>
      <w:r>
        <w:rPr>
          <w:rFonts w:hint="eastAsia" w:cstheme="majorBidi"/>
          <w:b/>
          <w:bCs/>
          <w:i w:val="0"/>
          <w:iCs w:val="0"/>
          <w:color w:val="auto"/>
          <w:kern w:val="2"/>
          <w:sz w:val="32"/>
          <w:szCs w:val="32"/>
          <w:highlight w:val="none"/>
          <w:lang w:val="en-US" w:eastAsia="zh-CN" w:bidi="ar-SA"/>
        </w:rPr>
        <w:t>八</w:t>
      </w:r>
      <w:r>
        <w:rPr>
          <w:rFonts w:hint="eastAsia" w:eastAsia="宋体" w:asciiTheme="majorHAnsi" w:hAnsiTheme="majorHAnsi" w:cstheme="majorBidi"/>
          <w:b/>
          <w:bCs/>
          <w:i w:val="0"/>
          <w:iCs w:val="0"/>
          <w:color w:val="auto"/>
          <w:kern w:val="2"/>
          <w:sz w:val="32"/>
          <w:szCs w:val="32"/>
          <w:highlight w:val="none"/>
          <w:lang w:val="en-US" w:eastAsia="zh-CN" w:bidi="ar-SA"/>
        </w:rPr>
        <w:t>、拟派项目团队</w:t>
      </w:r>
      <w:bookmarkEnd w:id="725"/>
    </w:p>
    <w:tbl>
      <w:tblPr>
        <w:tblStyle w:val="35"/>
        <w:tblW w:w="9162"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334"/>
        <w:gridCol w:w="1188"/>
        <w:gridCol w:w="816"/>
        <w:gridCol w:w="1815"/>
        <w:gridCol w:w="1277"/>
        <w:gridCol w:w="816"/>
      </w:tblGrid>
      <w:tr w14:paraId="22A3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41373525">
            <w:pPr>
              <w:pStyle w:val="52"/>
              <w:jc w:val="center"/>
              <w:rPr>
                <w:i w:val="0"/>
                <w:iCs w:val="0"/>
                <w:color w:val="auto"/>
                <w:highlight w:val="none"/>
              </w:rPr>
            </w:pPr>
            <w:r>
              <w:rPr>
                <w:rFonts w:hint="eastAsia"/>
                <w:i w:val="0"/>
                <w:iCs w:val="0"/>
                <w:color w:val="auto"/>
                <w:highlight w:val="none"/>
              </w:rPr>
              <w:t>序号</w:t>
            </w:r>
          </w:p>
        </w:tc>
        <w:tc>
          <w:tcPr>
            <w:tcW w:w="1143" w:type="dxa"/>
            <w:vAlign w:val="center"/>
          </w:tcPr>
          <w:p w14:paraId="67AE9C3E">
            <w:pPr>
              <w:pStyle w:val="52"/>
              <w:jc w:val="center"/>
              <w:rPr>
                <w:i w:val="0"/>
                <w:iCs w:val="0"/>
                <w:color w:val="auto"/>
                <w:highlight w:val="none"/>
              </w:rPr>
            </w:pPr>
            <w:r>
              <w:rPr>
                <w:rFonts w:hint="eastAsia"/>
                <w:i w:val="0"/>
                <w:iCs w:val="0"/>
                <w:color w:val="auto"/>
                <w:highlight w:val="none"/>
                <w:lang w:val="en-US" w:eastAsia="zh-CN"/>
              </w:rPr>
              <w:t>团队成员</w:t>
            </w:r>
          </w:p>
          <w:p w14:paraId="369C3C13">
            <w:pPr>
              <w:pStyle w:val="52"/>
              <w:jc w:val="center"/>
              <w:rPr>
                <w:i w:val="0"/>
                <w:iCs w:val="0"/>
                <w:color w:val="auto"/>
                <w:highlight w:val="none"/>
              </w:rPr>
            </w:pPr>
            <w:r>
              <w:rPr>
                <w:rFonts w:hint="eastAsia"/>
                <w:i w:val="0"/>
                <w:iCs w:val="0"/>
                <w:color w:val="auto"/>
                <w:highlight w:val="none"/>
              </w:rPr>
              <w:t>姓名</w:t>
            </w:r>
          </w:p>
        </w:tc>
        <w:tc>
          <w:tcPr>
            <w:tcW w:w="1334" w:type="dxa"/>
            <w:tcBorders>
              <w:right w:val="single" w:color="auto" w:sz="4" w:space="0"/>
            </w:tcBorders>
            <w:vAlign w:val="center"/>
          </w:tcPr>
          <w:p w14:paraId="4EDFEBEF">
            <w:pPr>
              <w:pStyle w:val="52"/>
              <w:jc w:val="center"/>
              <w:rPr>
                <w:i w:val="0"/>
                <w:iCs w:val="0"/>
                <w:color w:val="auto"/>
                <w:highlight w:val="none"/>
              </w:rPr>
            </w:pPr>
            <w:r>
              <w:rPr>
                <w:rFonts w:hint="eastAsia"/>
                <w:i w:val="0"/>
                <w:iCs w:val="0"/>
                <w:color w:val="auto"/>
                <w:highlight w:val="none"/>
              </w:rPr>
              <w:t>工作单位</w:t>
            </w:r>
          </w:p>
        </w:tc>
        <w:tc>
          <w:tcPr>
            <w:tcW w:w="1188" w:type="dxa"/>
            <w:tcBorders>
              <w:left w:val="single" w:color="auto" w:sz="4" w:space="0"/>
            </w:tcBorders>
            <w:vAlign w:val="center"/>
          </w:tcPr>
          <w:p w14:paraId="1B50026D">
            <w:pPr>
              <w:pStyle w:val="52"/>
              <w:jc w:val="center"/>
              <w:rPr>
                <w:i w:val="0"/>
                <w:iCs w:val="0"/>
                <w:color w:val="auto"/>
                <w:highlight w:val="none"/>
              </w:rPr>
            </w:pPr>
            <w:r>
              <w:rPr>
                <w:rFonts w:hint="eastAsia"/>
                <w:i w:val="0"/>
                <w:iCs w:val="0"/>
                <w:color w:val="auto"/>
                <w:highlight w:val="none"/>
              </w:rPr>
              <w:t>身份证号</w:t>
            </w:r>
          </w:p>
        </w:tc>
        <w:tc>
          <w:tcPr>
            <w:tcW w:w="816" w:type="dxa"/>
            <w:tcBorders>
              <w:left w:val="single" w:color="auto" w:sz="4" w:space="0"/>
            </w:tcBorders>
            <w:vAlign w:val="center"/>
          </w:tcPr>
          <w:p w14:paraId="3601BB70">
            <w:pPr>
              <w:pStyle w:val="52"/>
              <w:jc w:val="center"/>
              <w:rPr>
                <w:i w:val="0"/>
                <w:iCs w:val="0"/>
                <w:color w:val="auto"/>
                <w:highlight w:val="none"/>
              </w:rPr>
            </w:pPr>
            <w:r>
              <w:rPr>
                <w:rFonts w:hint="eastAsia"/>
                <w:i w:val="0"/>
                <w:iCs w:val="0"/>
                <w:color w:val="auto"/>
                <w:highlight w:val="none"/>
              </w:rPr>
              <w:t>职称</w:t>
            </w:r>
          </w:p>
        </w:tc>
        <w:tc>
          <w:tcPr>
            <w:tcW w:w="1815" w:type="dxa"/>
            <w:vAlign w:val="center"/>
          </w:tcPr>
          <w:p w14:paraId="78C6ADBE">
            <w:pPr>
              <w:pStyle w:val="52"/>
              <w:jc w:val="center"/>
              <w:rPr>
                <w:rFonts w:hint="default" w:eastAsia="宋体"/>
                <w:i w:val="0"/>
                <w:iCs w:val="0"/>
                <w:color w:val="auto"/>
                <w:highlight w:val="none"/>
                <w:lang w:val="en-US" w:eastAsia="zh-CN"/>
              </w:rPr>
            </w:pPr>
            <w:r>
              <w:rPr>
                <w:rFonts w:hint="eastAsia"/>
                <w:i w:val="0"/>
                <w:iCs w:val="0"/>
                <w:color w:val="auto"/>
                <w:highlight w:val="none"/>
                <w:lang w:val="en-US" w:eastAsia="zh-CN"/>
              </w:rPr>
              <w:t>注册证书（岗位证书）名称及编号</w:t>
            </w:r>
          </w:p>
        </w:tc>
        <w:tc>
          <w:tcPr>
            <w:tcW w:w="1277" w:type="dxa"/>
            <w:vAlign w:val="center"/>
          </w:tcPr>
          <w:p w14:paraId="1D4FFB7A">
            <w:pPr>
              <w:pStyle w:val="52"/>
              <w:jc w:val="center"/>
              <w:rPr>
                <w:i w:val="0"/>
                <w:iCs w:val="0"/>
                <w:color w:val="auto"/>
                <w:highlight w:val="none"/>
              </w:rPr>
            </w:pPr>
            <w:r>
              <w:rPr>
                <w:rFonts w:hint="eastAsia" w:eastAsia="宋体"/>
                <w:i w:val="0"/>
                <w:iCs w:val="0"/>
                <w:color w:val="auto"/>
                <w:highlight w:val="none"/>
                <w:lang w:val="en-US" w:eastAsia="zh-CN"/>
              </w:rPr>
              <w:t>在团队中职务（岗位）</w:t>
            </w:r>
          </w:p>
        </w:tc>
        <w:tc>
          <w:tcPr>
            <w:tcW w:w="816" w:type="dxa"/>
            <w:vAlign w:val="center"/>
          </w:tcPr>
          <w:p w14:paraId="569D136E">
            <w:pPr>
              <w:pStyle w:val="52"/>
              <w:jc w:val="center"/>
              <w:rPr>
                <w:i w:val="0"/>
                <w:iCs w:val="0"/>
                <w:color w:val="auto"/>
                <w:highlight w:val="none"/>
              </w:rPr>
            </w:pPr>
            <w:r>
              <w:rPr>
                <w:rFonts w:hint="eastAsia"/>
                <w:i w:val="0"/>
                <w:iCs w:val="0"/>
                <w:color w:val="auto"/>
                <w:highlight w:val="none"/>
              </w:rPr>
              <w:t>自有</w:t>
            </w:r>
            <w:r>
              <w:rPr>
                <w:i w:val="0"/>
                <w:iCs w:val="0"/>
                <w:color w:val="auto"/>
                <w:highlight w:val="none"/>
              </w:rPr>
              <w:t>/外聘</w:t>
            </w:r>
          </w:p>
        </w:tc>
      </w:tr>
      <w:tr w14:paraId="2C93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EE08FDE">
            <w:pPr>
              <w:pStyle w:val="52"/>
              <w:jc w:val="center"/>
              <w:rPr>
                <w:i w:val="0"/>
                <w:iCs w:val="0"/>
                <w:color w:val="auto"/>
                <w:highlight w:val="none"/>
              </w:rPr>
            </w:pPr>
            <w:bookmarkStart w:id="726" w:name="_Toc99533292"/>
            <w:bookmarkStart w:id="727" w:name="_Toc100090784"/>
            <w:r>
              <w:rPr>
                <w:rFonts w:hint="eastAsia"/>
                <w:i w:val="0"/>
                <w:iCs w:val="0"/>
                <w:color w:val="auto"/>
                <w:highlight w:val="none"/>
              </w:rPr>
              <w:t>1</w:t>
            </w:r>
            <w:bookmarkEnd w:id="726"/>
            <w:bookmarkEnd w:id="727"/>
          </w:p>
        </w:tc>
        <w:tc>
          <w:tcPr>
            <w:tcW w:w="1143" w:type="dxa"/>
            <w:vAlign w:val="center"/>
          </w:tcPr>
          <w:p w14:paraId="1297CF0F">
            <w:pPr>
              <w:pStyle w:val="52"/>
              <w:jc w:val="center"/>
              <w:rPr>
                <w:i w:val="0"/>
                <w:iCs w:val="0"/>
                <w:color w:val="auto"/>
                <w:highlight w:val="none"/>
              </w:rPr>
            </w:pPr>
          </w:p>
        </w:tc>
        <w:tc>
          <w:tcPr>
            <w:tcW w:w="1334" w:type="dxa"/>
            <w:tcBorders>
              <w:right w:val="single" w:color="auto" w:sz="4" w:space="0"/>
            </w:tcBorders>
            <w:vAlign w:val="center"/>
          </w:tcPr>
          <w:p w14:paraId="5504C4E8">
            <w:pPr>
              <w:pStyle w:val="52"/>
              <w:jc w:val="center"/>
              <w:rPr>
                <w:i w:val="0"/>
                <w:iCs w:val="0"/>
                <w:color w:val="auto"/>
                <w:highlight w:val="none"/>
              </w:rPr>
            </w:pPr>
          </w:p>
        </w:tc>
        <w:tc>
          <w:tcPr>
            <w:tcW w:w="1188" w:type="dxa"/>
            <w:tcBorders>
              <w:left w:val="single" w:color="auto" w:sz="4" w:space="0"/>
            </w:tcBorders>
            <w:vAlign w:val="center"/>
          </w:tcPr>
          <w:p w14:paraId="08D7DF2B">
            <w:pPr>
              <w:pStyle w:val="52"/>
              <w:jc w:val="center"/>
              <w:rPr>
                <w:i w:val="0"/>
                <w:iCs w:val="0"/>
                <w:color w:val="auto"/>
                <w:highlight w:val="none"/>
              </w:rPr>
            </w:pPr>
          </w:p>
        </w:tc>
        <w:tc>
          <w:tcPr>
            <w:tcW w:w="816" w:type="dxa"/>
            <w:tcBorders>
              <w:left w:val="single" w:color="auto" w:sz="4" w:space="0"/>
            </w:tcBorders>
            <w:vAlign w:val="center"/>
          </w:tcPr>
          <w:p w14:paraId="403C3C91">
            <w:pPr>
              <w:pStyle w:val="52"/>
              <w:jc w:val="center"/>
              <w:rPr>
                <w:i w:val="0"/>
                <w:iCs w:val="0"/>
                <w:color w:val="auto"/>
                <w:highlight w:val="none"/>
              </w:rPr>
            </w:pPr>
          </w:p>
        </w:tc>
        <w:tc>
          <w:tcPr>
            <w:tcW w:w="1815" w:type="dxa"/>
            <w:vAlign w:val="center"/>
          </w:tcPr>
          <w:p w14:paraId="3BDB609C">
            <w:pPr>
              <w:pStyle w:val="52"/>
              <w:jc w:val="center"/>
              <w:rPr>
                <w:i w:val="0"/>
                <w:iCs w:val="0"/>
                <w:color w:val="auto"/>
                <w:highlight w:val="none"/>
              </w:rPr>
            </w:pPr>
          </w:p>
        </w:tc>
        <w:tc>
          <w:tcPr>
            <w:tcW w:w="1277" w:type="dxa"/>
            <w:vAlign w:val="center"/>
          </w:tcPr>
          <w:p w14:paraId="09728172">
            <w:pPr>
              <w:pStyle w:val="52"/>
              <w:jc w:val="center"/>
              <w:rPr>
                <w:i w:val="0"/>
                <w:iCs w:val="0"/>
                <w:color w:val="auto"/>
                <w:highlight w:val="none"/>
              </w:rPr>
            </w:pPr>
          </w:p>
        </w:tc>
        <w:tc>
          <w:tcPr>
            <w:tcW w:w="816" w:type="dxa"/>
            <w:vAlign w:val="center"/>
          </w:tcPr>
          <w:p w14:paraId="76A768A0">
            <w:pPr>
              <w:pStyle w:val="52"/>
              <w:jc w:val="center"/>
              <w:rPr>
                <w:i w:val="0"/>
                <w:iCs w:val="0"/>
                <w:color w:val="auto"/>
                <w:highlight w:val="none"/>
              </w:rPr>
            </w:pPr>
          </w:p>
        </w:tc>
      </w:tr>
      <w:tr w14:paraId="1B745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9E1F0BD">
            <w:pPr>
              <w:pStyle w:val="52"/>
              <w:jc w:val="center"/>
              <w:rPr>
                <w:i w:val="0"/>
                <w:iCs w:val="0"/>
                <w:color w:val="auto"/>
                <w:highlight w:val="none"/>
              </w:rPr>
            </w:pPr>
            <w:bookmarkStart w:id="728" w:name="_Toc99533293"/>
            <w:bookmarkStart w:id="729" w:name="_Toc100090785"/>
            <w:r>
              <w:rPr>
                <w:rFonts w:hint="eastAsia"/>
                <w:i w:val="0"/>
                <w:iCs w:val="0"/>
                <w:color w:val="auto"/>
                <w:highlight w:val="none"/>
              </w:rPr>
              <w:t>2</w:t>
            </w:r>
            <w:bookmarkEnd w:id="728"/>
            <w:bookmarkEnd w:id="729"/>
          </w:p>
        </w:tc>
        <w:tc>
          <w:tcPr>
            <w:tcW w:w="1143" w:type="dxa"/>
            <w:vAlign w:val="center"/>
          </w:tcPr>
          <w:p w14:paraId="6EAD4E38">
            <w:pPr>
              <w:pStyle w:val="52"/>
              <w:jc w:val="center"/>
              <w:rPr>
                <w:i w:val="0"/>
                <w:iCs w:val="0"/>
                <w:color w:val="auto"/>
                <w:highlight w:val="none"/>
              </w:rPr>
            </w:pPr>
          </w:p>
        </w:tc>
        <w:tc>
          <w:tcPr>
            <w:tcW w:w="1334" w:type="dxa"/>
            <w:tcBorders>
              <w:right w:val="single" w:color="auto" w:sz="4" w:space="0"/>
            </w:tcBorders>
            <w:vAlign w:val="center"/>
          </w:tcPr>
          <w:p w14:paraId="3CF94FE4">
            <w:pPr>
              <w:pStyle w:val="52"/>
              <w:jc w:val="center"/>
              <w:rPr>
                <w:i w:val="0"/>
                <w:iCs w:val="0"/>
                <w:color w:val="auto"/>
                <w:highlight w:val="none"/>
              </w:rPr>
            </w:pPr>
          </w:p>
        </w:tc>
        <w:tc>
          <w:tcPr>
            <w:tcW w:w="1188" w:type="dxa"/>
            <w:tcBorders>
              <w:left w:val="single" w:color="auto" w:sz="4" w:space="0"/>
            </w:tcBorders>
            <w:vAlign w:val="center"/>
          </w:tcPr>
          <w:p w14:paraId="194E0865">
            <w:pPr>
              <w:pStyle w:val="52"/>
              <w:jc w:val="center"/>
              <w:rPr>
                <w:i w:val="0"/>
                <w:iCs w:val="0"/>
                <w:color w:val="auto"/>
                <w:highlight w:val="none"/>
              </w:rPr>
            </w:pPr>
          </w:p>
        </w:tc>
        <w:tc>
          <w:tcPr>
            <w:tcW w:w="816" w:type="dxa"/>
            <w:tcBorders>
              <w:left w:val="single" w:color="auto" w:sz="4" w:space="0"/>
            </w:tcBorders>
            <w:vAlign w:val="center"/>
          </w:tcPr>
          <w:p w14:paraId="76D19FEB">
            <w:pPr>
              <w:pStyle w:val="52"/>
              <w:jc w:val="center"/>
              <w:rPr>
                <w:i w:val="0"/>
                <w:iCs w:val="0"/>
                <w:color w:val="auto"/>
                <w:highlight w:val="none"/>
              </w:rPr>
            </w:pPr>
          </w:p>
        </w:tc>
        <w:tc>
          <w:tcPr>
            <w:tcW w:w="1815" w:type="dxa"/>
            <w:vAlign w:val="center"/>
          </w:tcPr>
          <w:p w14:paraId="42875AB6">
            <w:pPr>
              <w:pStyle w:val="52"/>
              <w:jc w:val="center"/>
              <w:rPr>
                <w:i w:val="0"/>
                <w:iCs w:val="0"/>
                <w:color w:val="auto"/>
                <w:highlight w:val="none"/>
              </w:rPr>
            </w:pPr>
          </w:p>
        </w:tc>
        <w:tc>
          <w:tcPr>
            <w:tcW w:w="1277" w:type="dxa"/>
            <w:vAlign w:val="center"/>
          </w:tcPr>
          <w:p w14:paraId="5CD968CA">
            <w:pPr>
              <w:pStyle w:val="52"/>
              <w:jc w:val="center"/>
              <w:rPr>
                <w:i w:val="0"/>
                <w:iCs w:val="0"/>
                <w:color w:val="auto"/>
                <w:highlight w:val="none"/>
              </w:rPr>
            </w:pPr>
          </w:p>
        </w:tc>
        <w:tc>
          <w:tcPr>
            <w:tcW w:w="816" w:type="dxa"/>
            <w:vAlign w:val="center"/>
          </w:tcPr>
          <w:p w14:paraId="1528AD30">
            <w:pPr>
              <w:pStyle w:val="52"/>
              <w:jc w:val="center"/>
              <w:rPr>
                <w:i w:val="0"/>
                <w:iCs w:val="0"/>
                <w:color w:val="auto"/>
                <w:highlight w:val="none"/>
              </w:rPr>
            </w:pPr>
          </w:p>
        </w:tc>
      </w:tr>
      <w:tr w14:paraId="6E22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9869B42">
            <w:pPr>
              <w:pStyle w:val="52"/>
              <w:jc w:val="center"/>
              <w:rPr>
                <w:i w:val="0"/>
                <w:iCs w:val="0"/>
                <w:color w:val="auto"/>
                <w:highlight w:val="none"/>
              </w:rPr>
            </w:pPr>
            <w:bookmarkStart w:id="730" w:name="_Toc99533294"/>
            <w:bookmarkStart w:id="731" w:name="_Toc100090786"/>
            <w:r>
              <w:rPr>
                <w:rFonts w:hint="eastAsia"/>
                <w:i w:val="0"/>
                <w:iCs w:val="0"/>
                <w:color w:val="auto"/>
                <w:highlight w:val="none"/>
              </w:rPr>
              <w:t>3</w:t>
            </w:r>
            <w:bookmarkEnd w:id="730"/>
            <w:bookmarkEnd w:id="731"/>
          </w:p>
        </w:tc>
        <w:tc>
          <w:tcPr>
            <w:tcW w:w="1143" w:type="dxa"/>
            <w:vAlign w:val="center"/>
          </w:tcPr>
          <w:p w14:paraId="4F647092">
            <w:pPr>
              <w:pStyle w:val="52"/>
              <w:jc w:val="center"/>
              <w:rPr>
                <w:i w:val="0"/>
                <w:iCs w:val="0"/>
                <w:color w:val="auto"/>
                <w:highlight w:val="none"/>
              </w:rPr>
            </w:pPr>
          </w:p>
        </w:tc>
        <w:tc>
          <w:tcPr>
            <w:tcW w:w="1334" w:type="dxa"/>
            <w:tcBorders>
              <w:right w:val="single" w:color="auto" w:sz="4" w:space="0"/>
            </w:tcBorders>
            <w:vAlign w:val="center"/>
          </w:tcPr>
          <w:p w14:paraId="721B9540">
            <w:pPr>
              <w:pStyle w:val="52"/>
              <w:jc w:val="center"/>
              <w:rPr>
                <w:i w:val="0"/>
                <w:iCs w:val="0"/>
                <w:color w:val="auto"/>
                <w:highlight w:val="none"/>
              </w:rPr>
            </w:pPr>
          </w:p>
        </w:tc>
        <w:tc>
          <w:tcPr>
            <w:tcW w:w="1188" w:type="dxa"/>
            <w:tcBorders>
              <w:left w:val="single" w:color="auto" w:sz="4" w:space="0"/>
            </w:tcBorders>
            <w:vAlign w:val="center"/>
          </w:tcPr>
          <w:p w14:paraId="070656BE">
            <w:pPr>
              <w:pStyle w:val="52"/>
              <w:jc w:val="center"/>
              <w:rPr>
                <w:i w:val="0"/>
                <w:iCs w:val="0"/>
                <w:color w:val="auto"/>
                <w:highlight w:val="none"/>
              </w:rPr>
            </w:pPr>
          </w:p>
        </w:tc>
        <w:tc>
          <w:tcPr>
            <w:tcW w:w="816" w:type="dxa"/>
            <w:tcBorders>
              <w:left w:val="single" w:color="auto" w:sz="4" w:space="0"/>
            </w:tcBorders>
            <w:vAlign w:val="center"/>
          </w:tcPr>
          <w:p w14:paraId="29C26F3A">
            <w:pPr>
              <w:pStyle w:val="52"/>
              <w:jc w:val="center"/>
              <w:rPr>
                <w:i w:val="0"/>
                <w:iCs w:val="0"/>
                <w:color w:val="auto"/>
                <w:highlight w:val="none"/>
              </w:rPr>
            </w:pPr>
          </w:p>
        </w:tc>
        <w:tc>
          <w:tcPr>
            <w:tcW w:w="1815" w:type="dxa"/>
            <w:vAlign w:val="center"/>
          </w:tcPr>
          <w:p w14:paraId="2A300911">
            <w:pPr>
              <w:pStyle w:val="52"/>
              <w:jc w:val="center"/>
              <w:rPr>
                <w:i w:val="0"/>
                <w:iCs w:val="0"/>
                <w:color w:val="auto"/>
                <w:highlight w:val="none"/>
              </w:rPr>
            </w:pPr>
          </w:p>
        </w:tc>
        <w:tc>
          <w:tcPr>
            <w:tcW w:w="1277" w:type="dxa"/>
            <w:vAlign w:val="center"/>
          </w:tcPr>
          <w:p w14:paraId="442A0B83">
            <w:pPr>
              <w:pStyle w:val="52"/>
              <w:jc w:val="center"/>
              <w:rPr>
                <w:i w:val="0"/>
                <w:iCs w:val="0"/>
                <w:color w:val="auto"/>
                <w:highlight w:val="none"/>
              </w:rPr>
            </w:pPr>
          </w:p>
        </w:tc>
        <w:tc>
          <w:tcPr>
            <w:tcW w:w="816" w:type="dxa"/>
            <w:vAlign w:val="center"/>
          </w:tcPr>
          <w:p w14:paraId="7425FCC3">
            <w:pPr>
              <w:pStyle w:val="52"/>
              <w:jc w:val="center"/>
              <w:rPr>
                <w:i w:val="0"/>
                <w:iCs w:val="0"/>
                <w:color w:val="auto"/>
                <w:highlight w:val="none"/>
              </w:rPr>
            </w:pPr>
          </w:p>
        </w:tc>
      </w:tr>
      <w:tr w14:paraId="6879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8722BAC">
            <w:pPr>
              <w:pStyle w:val="52"/>
              <w:jc w:val="center"/>
              <w:rPr>
                <w:i w:val="0"/>
                <w:iCs w:val="0"/>
                <w:color w:val="auto"/>
                <w:highlight w:val="none"/>
              </w:rPr>
            </w:pPr>
            <w:bookmarkStart w:id="732" w:name="_Toc99533295"/>
            <w:bookmarkStart w:id="733" w:name="_Toc100090787"/>
            <w:r>
              <w:rPr>
                <w:rFonts w:hint="eastAsia"/>
                <w:i w:val="0"/>
                <w:iCs w:val="0"/>
                <w:color w:val="auto"/>
                <w:highlight w:val="none"/>
              </w:rPr>
              <w:t>4</w:t>
            </w:r>
            <w:bookmarkEnd w:id="732"/>
            <w:bookmarkEnd w:id="733"/>
          </w:p>
        </w:tc>
        <w:tc>
          <w:tcPr>
            <w:tcW w:w="1143" w:type="dxa"/>
            <w:vAlign w:val="center"/>
          </w:tcPr>
          <w:p w14:paraId="1B812309">
            <w:pPr>
              <w:pStyle w:val="52"/>
              <w:jc w:val="center"/>
              <w:rPr>
                <w:i w:val="0"/>
                <w:iCs w:val="0"/>
                <w:color w:val="auto"/>
                <w:highlight w:val="none"/>
              </w:rPr>
            </w:pPr>
          </w:p>
        </w:tc>
        <w:tc>
          <w:tcPr>
            <w:tcW w:w="1334" w:type="dxa"/>
            <w:tcBorders>
              <w:right w:val="single" w:color="auto" w:sz="4" w:space="0"/>
            </w:tcBorders>
            <w:vAlign w:val="center"/>
          </w:tcPr>
          <w:p w14:paraId="6BDFC0EC">
            <w:pPr>
              <w:pStyle w:val="52"/>
              <w:jc w:val="center"/>
              <w:rPr>
                <w:i w:val="0"/>
                <w:iCs w:val="0"/>
                <w:color w:val="auto"/>
                <w:highlight w:val="none"/>
              </w:rPr>
            </w:pPr>
          </w:p>
        </w:tc>
        <w:tc>
          <w:tcPr>
            <w:tcW w:w="1188" w:type="dxa"/>
            <w:tcBorders>
              <w:left w:val="single" w:color="auto" w:sz="4" w:space="0"/>
            </w:tcBorders>
            <w:vAlign w:val="center"/>
          </w:tcPr>
          <w:p w14:paraId="22C9E970">
            <w:pPr>
              <w:pStyle w:val="52"/>
              <w:jc w:val="center"/>
              <w:rPr>
                <w:i w:val="0"/>
                <w:iCs w:val="0"/>
                <w:color w:val="auto"/>
                <w:highlight w:val="none"/>
              </w:rPr>
            </w:pPr>
          </w:p>
        </w:tc>
        <w:tc>
          <w:tcPr>
            <w:tcW w:w="816" w:type="dxa"/>
            <w:tcBorders>
              <w:left w:val="single" w:color="auto" w:sz="4" w:space="0"/>
            </w:tcBorders>
            <w:vAlign w:val="center"/>
          </w:tcPr>
          <w:p w14:paraId="4C5CDD3D">
            <w:pPr>
              <w:pStyle w:val="52"/>
              <w:jc w:val="center"/>
              <w:rPr>
                <w:i w:val="0"/>
                <w:iCs w:val="0"/>
                <w:color w:val="auto"/>
                <w:highlight w:val="none"/>
              </w:rPr>
            </w:pPr>
          </w:p>
        </w:tc>
        <w:tc>
          <w:tcPr>
            <w:tcW w:w="1815" w:type="dxa"/>
            <w:vAlign w:val="center"/>
          </w:tcPr>
          <w:p w14:paraId="612FD0B4">
            <w:pPr>
              <w:pStyle w:val="52"/>
              <w:jc w:val="center"/>
              <w:rPr>
                <w:i w:val="0"/>
                <w:iCs w:val="0"/>
                <w:color w:val="auto"/>
                <w:highlight w:val="none"/>
              </w:rPr>
            </w:pPr>
          </w:p>
        </w:tc>
        <w:tc>
          <w:tcPr>
            <w:tcW w:w="1277" w:type="dxa"/>
            <w:vAlign w:val="center"/>
          </w:tcPr>
          <w:p w14:paraId="3178D2DA">
            <w:pPr>
              <w:pStyle w:val="52"/>
              <w:jc w:val="center"/>
              <w:rPr>
                <w:i w:val="0"/>
                <w:iCs w:val="0"/>
                <w:color w:val="auto"/>
                <w:highlight w:val="none"/>
              </w:rPr>
            </w:pPr>
          </w:p>
        </w:tc>
        <w:tc>
          <w:tcPr>
            <w:tcW w:w="816" w:type="dxa"/>
            <w:vAlign w:val="center"/>
          </w:tcPr>
          <w:p w14:paraId="6E00B346">
            <w:pPr>
              <w:pStyle w:val="52"/>
              <w:jc w:val="center"/>
              <w:rPr>
                <w:i w:val="0"/>
                <w:iCs w:val="0"/>
                <w:color w:val="auto"/>
                <w:highlight w:val="none"/>
              </w:rPr>
            </w:pPr>
          </w:p>
        </w:tc>
      </w:tr>
      <w:tr w14:paraId="5048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9852D11">
            <w:pPr>
              <w:pStyle w:val="52"/>
              <w:jc w:val="center"/>
              <w:rPr>
                <w:i w:val="0"/>
                <w:iCs w:val="0"/>
                <w:color w:val="auto"/>
                <w:highlight w:val="none"/>
              </w:rPr>
            </w:pPr>
            <w:bookmarkStart w:id="734" w:name="_Toc100090788"/>
            <w:bookmarkStart w:id="735" w:name="_Toc99533296"/>
            <w:r>
              <w:rPr>
                <w:rFonts w:hint="eastAsia"/>
                <w:i w:val="0"/>
                <w:iCs w:val="0"/>
                <w:color w:val="auto"/>
                <w:highlight w:val="none"/>
              </w:rPr>
              <w:t>5</w:t>
            </w:r>
            <w:bookmarkEnd w:id="734"/>
            <w:bookmarkEnd w:id="735"/>
          </w:p>
        </w:tc>
        <w:tc>
          <w:tcPr>
            <w:tcW w:w="1143" w:type="dxa"/>
            <w:vAlign w:val="center"/>
          </w:tcPr>
          <w:p w14:paraId="5B7E7829">
            <w:pPr>
              <w:pStyle w:val="52"/>
              <w:jc w:val="center"/>
              <w:rPr>
                <w:i w:val="0"/>
                <w:iCs w:val="0"/>
                <w:color w:val="auto"/>
                <w:highlight w:val="none"/>
              </w:rPr>
            </w:pPr>
          </w:p>
        </w:tc>
        <w:tc>
          <w:tcPr>
            <w:tcW w:w="1334" w:type="dxa"/>
            <w:tcBorders>
              <w:right w:val="single" w:color="auto" w:sz="4" w:space="0"/>
            </w:tcBorders>
            <w:vAlign w:val="center"/>
          </w:tcPr>
          <w:p w14:paraId="64924D06">
            <w:pPr>
              <w:pStyle w:val="52"/>
              <w:jc w:val="center"/>
              <w:rPr>
                <w:i w:val="0"/>
                <w:iCs w:val="0"/>
                <w:color w:val="auto"/>
                <w:highlight w:val="none"/>
              </w:rPr>
            </w:pPr>
          </w:p>
        </w:tc>
        <w:tc>
          <w:tcPr>
            <w:tcW w:w="1188" w:type="dxa"/>
            <w:tcBorders>
              <w:left w:val="single" w:color="auto" w:sz="4" w:space="0"/>
            </w:tcBorders>
            <w:vAlign w:val="center"/>
          </w:tcPr>
          <w:p w14:paraId="732FB5A2">
            <w:pPr>
              <w:pStyle w:val="52"/>
              <w:jc w:val="center"/>
              <w:rPr>
                <w:i w:val="0"/>
                <w:iCs w:val="0"/>
                <w:color w:val="auto"/>
                <w:highlight w:val="none"/>
              </w:rPr>
            </w:pPr>
          </w:p>
        </w:tc>
        <w:tc>
          <w:tcPr>
            <w:tcW w:w="816" w:type="dxa"/>
            <w:tcBorders>
              <w:left w:val="single" w:color="auto" w:sz="4" w:space="0"/>
            </w:tcBorders>
            <w:vAlign w:val="center"/>
          </w:tcPr>
          <w:p w14:paraId="1836A496">
            <w:pPr>
              <w:pStyle w:val="52"/>
              <w:jc w:val="center"/>
              <w:rPr>
                <w:i w:val="0"/>
                <w:iCs w:val="0"/>
                <w:color w:val="auto"/>
                <w:highlight w:val="none"/>
              </w:rPr>
            </w:pPr>
          </w:p>
        </w:tc>
        <w:tc>
          <w:tcPr>
            <w:tcW w:w="1815" w:type="dxa"/>
            <w:vAlign w:val="center"/>
          </w:tcPr>
          <w:p w14:paraId="1CA75C62">
            <w:pPr>
              <w:pStyle w:val="52"/>
              <w:jc w:val="center"/>
              <w:rPr>
                <w:i w:val="0"/>
                <w:iCs w:val="0"/>
                <w:color w:val="auto"/>
                <w:highlight w:val="none"/>
              </w:rPr>
            </w:pPr>
          </w:p>
        </w:tc>
        <w:tc>
          <w:tcPr>
            <w:tcW w:w="1277" w:type="dxa"/>
            <w:vAlign w:val="center"/>
          </w:tcPr>
          <w:p w14:paraId="1E804439">
            <w:pPr>
              <w:pStyle w:val="52"/>
              <w:jc w:val="center"/>
              <w:rPr>
                <w:i w:val="0"/>
                <w:iCs w:val="0"/>
                <w:color w:val="auto"/>
                <w:highlight w:val="none"/>
              </w:rPr>
            </w:pPr>
          </w:p>
        </w:tc>
        <w:tc>
          <w:tcPr>
            <w:tcW w:w="816" w:type="dxa"/>
            <w:vAlign w:val="center"/>
          </w:tcPr>
          <w:p w14:paraId="4C68F796">
            <w:pPr>
              <w:pStyle w:val="52"/>
              <w:jc w:val="center"/>
              <w:rPr>
                <w:i w:val="0"/>
                <w:iCs w:val="0"/>
                <w:color w:val="auto"/>
                <w:highlight w:val="none"/>
              </w:rPr>
            </w:pPr>
          </w:p>
        </w:tc>
      </w:tr>
      <w:tr w14:paraId="042AB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51F692E2">
            <w:pPr>
              <w:pStyle w:val="52"/>
              <w:jc w:val="center"/>
              <w:rPr>
                <w:i w:val="0"/>
                <w:iCs w:val="0"/>
                <w:color w:val="auto"/>
                <w:highlight w:val="none"/>
              </w:rPr>
            </w:pPr>
            <w:bookmarkStart w:id="736" w:name="_Toc100090789"/>
            <w:bookmarkStart w:id="737" w:name="_Toc99533297"/>
            <w:r>
              <w:rPr>
                <w:rFonts w:hint="eastAsia"/>
                <w:i w:val="0"/>
                <w:iCs w:val="0"/>
                <w:color w:val="auto"/>
                <w:highlight w:val="none"/>
              </w:rPr>
              <w:t>6</w:t>
            </w:r>
            <w:bookmarkEnd w:id="736"/>
            <w:bookmarkEnd w:id="737"/>
          </w:p>
        </w:tc>
        <w:tc>
          <w:tcPr>
            <w:tcW w:w="1143" w:type="dxa"/>
            <w:vAlign w:val="center"/>
          </w:tcPr>
          <w:p w14:paraId="1DC128CC">
            <w:pPr>
              <w:pStyle w:val="52"/>
              <w:jc w:val="center"/>
              <w:rPr>
                <w:i w:val="0"/>
                <w:iCs w:val="0"/>
                <w:color w:val="auto"/>
                <w:highlight w:val="none"/>
              </w:rPr>
            </w:pPr>
          </w:p>
        </w:tc>
        <w:tc>
          <w:tcPr>
            <w:tcW w:w="1334" w:type="dxa"/>
            <w:tcBorders>
              <w:right w:val="single" w:color="auto" w:sz="4" w:space="0"/>
            </w:tcBorders>
            <w:vAlign w:val="center"/>
          </w:tcPr>
          <w:p w14:paraId="27634594">
            <w:pPr>
              <w:pStyle w:val="52"/>
              <w:jc w:val="center"/>
              <w:rPr>
                <w:i w:val="0"/>
                <w:iCs w:val="0"/>
                <w:color w:val="auto"/>
                <w:highlight w:val="none"/>
              </w:rPr>
            </w:pPr>
          </w:p>
        </w:tc>
        <w:tc>
          <w:tcPr>
            <w:tcW w:w="1188" w:type="dxa"/>
            <w:tcBorders>
              <w:left w:val="single" w:color="auto" w:sz="4" w:space="0"/>
            </w:tcBorders>
            <w:vAlign w:val="center"/>
          </w:tcPr>
          <w:p w14:paraId="3F600965">
            <w:pPr>
              <w:pStyle w:val="52"/>
              <w:jc w:val="center"/>
              <w:rPr>
                <w:i w:val="0"/>
                <w:iCs w:val="0"/>
                <w:color w:val="auto"/>
                <w:highlight w:val="none"/>
              </w:rPr>
            </w:pPr>
          </w:p>
        </w:tc>
        <w:tc>
          <w:tcPr>
            <w:tcW w:w="816" w:type="dxa"/>
            <w:tcBorders>
              <w:left w:val="single" w:color="auto" w:sz="4" w:space="0"/>
            </w:tcBorders>
            <w:vAlign w:val="center"/>
          </w:tcPr>
          <w:p w14:paraId="73FF140B">
            <w:pPr>
              <w:pStyle w:val="52"/>
              <w:jc w:val="center"/>
              <w:rPr>
                <w:i w:val="0"/>
                <w:iCs w:val="0"/>
                <w:color w:val="auto"/>
                <w:highlight w:val="none"/>
              </w:rPr>
            </w:pPr>
          </w:p>
        </w:tc>
        <w:tc>
          <w:tcPr>
            <w:tcW w:w="1815" w:type="dxa"/>
            <w:vAlign w:val="center"/>
          </w:tcPr>
          <w:p w14:paraId="302B578C">
            <w:pPr>
              <w:pStyle w:val="52"/>
              <w:jc w:val="center"/>
              <w:rPr>
                <w:i w:val="0"/>
                <w:iCs w:val="0"/>
                <w:color w:val="auto"/>
                <w:highlight w:val="none"/>
              </w:rPr>
            </w:pPr>
          </w:p>
        </w:tc>
        <w:tc>
          <w:tcPr>
            <w:tcW w:w="1277" w:type="dxa"/>
            <w:vAlign w:val="center"/>
          </w:tcPr>
          <w:p w14:paraId="7E2F7D57">
            <w:pPr>
              <w:pStyle w:val="52"/>
              <w:jc w:val="center"/>
              <w:rPr>
                <w:i w:val="0"/>
                <w:iCs w:val="0"/>
                <w:color w:val="auto"/>
                <w:highlight w:val="none"/>
              </w:rPr>
            </w:pPr>
          </w:p>
        </w:tc>
        <w:tc>
          <w:tcPr>
            <w:tcW w:w="816" w:type="dxa"/>
            <w:vAlign w:val="center"/>
          </w:tcPr>
          <w:p w14:paraId="5B9CE425">
            <w:pPr>
              <w:pStyle w:val="52"/>
              <w:jc w:val="center"/>
              <w:rPr>
                <w:i w:val="0"/>
                <w:iCs w:val="0"/>
                <w:color w:val="auto"/>
                <w:highlight w:val="none"/>
              </w:rPr>
            </w:pPr>
          </w:p>
        </w:tc>
      </w:tr>
      <w:tr w14:paraId="4356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9AB3A64">
            <w:pPr>
              <w:pStyle w:val="52"/>
              <w:jc w:val="center"/>
              <w:rPr>
                <w:i w:val="0"/>
                <w:iCs w:val="0"/>
                <w:color w:val="auto"/>
                <w:highlight w:val="none"/>
              </w:rPr>
            </w:pPr>
            <w:bookmarkStart w:id="738" w:name="_Toc99533298"/>
            <w:bookmarkStart w:id="739" w:name="_Toc100090790"/>
            <w:r>
              <w:rPr>
                <w:rFonts w:hint="eastAsia"/>
                <w:i w:val="0"/>
                <w:iCs w:val="0"/>
                <w:color w:val="auto"/>
                <w:highlight w:val="none"/>
              </w:rPr>
              <w:t>7</w:t>
            </w:r>
            <w:bookmarkEnd w:id="738"/>
            <w:bookmarkEnd w:id="739"/>
          </w:p>
        </w:tc>
        <w:tc>
          <w:tcPr>
            <w:tcW w:w="1143" w:type="dxa"/>
            <w:vAlign w:val="center"/>
          </w:tcPr>
          <w:p w14:paraId="2E2305CD">
            <w:pPr>
              <w:pStyle w:val="52"/>
              <w:jc w:val="center"/>
              <w:rPr>
                <w:i w:val="0"/>
                <w:iCs w:val="0"/>
                <w:color w:val="auto"/>
                <w:highlight w:val="none"/>
              </w:rPr>
            </w:pPr>
          </w:p>
        </w:tc>
        <w:tc>
          <w:tcPr>
            <w:tcW w:w="1334" w:type="dxa"/>
            <w:tcBorders>
              <w:right w:val="single" w:color="auto" w:sz="4" w:space="0"/>
            </w:tcBorders>
            <w:vAlign w:val="center"/>
          </w:tcPr>
          <w:p w14:paraId="12C4C629">
            <w:pPr>
              <w:pStyle w:val="52"/>
              <w:jc w:val="center"/>
              <w:rPr>
                <w:i w:val="0"/>
                <w:iCs w:val="0"/>
                <w:color w:val="auto"/>
                <w:highlight w:val="none"/>
              </w:rPr>
            </w:pPr>
          </w:p>
        </w:tc>
        <w:tc>
          <w:tcPr>
            <w:tcW w:w="1188" w:type="dxa"/>
            <w:tcBorders>
              <w:left w:val="single" w:color="auto" w:sz="4" w:space="0"/>
            </w:tcBorders>
            <w:vAlign w:val="center"/>
          </w:tcPr>
          <w:p w14:paraId="12836729">
            <w:pPr>
              <w:pStyle w:val="52"/>
              <w:jc w:val="center"/>
              <w:rPr>
                <w:i w:val="0"/>
                <w:iCs w:val="0"/>
                <w:color w:val="auto"/>
                <w:highlight w:val="none"/>
              </w:rPr>
            </w:pPr>
          </w:p>
        </w:tc>
        <w:tc>
          <w:tcPr>
            <w:tcW w:w="816" w:type="dxa"/>
            <w:tcBorders>
              <w:left w:val="single" w:color="auto" w:sz="4" w:space="0"/>
            </w:tcBorders>
            <w:vAlign w:val="center"/>
          </w:tcPr>
          <w:p w14:paraId="3A761A55">
            <w:pPr>
              <w:pStyle w:val="52"/>
              <w:jc w:val="center"/>
              <w:rPr>
                <w:i w:val="0"/>
                <w:iCs w:val="0"/>
                <w:color w:val="auto"/>
                <w:highlight w:val="none"/>
              </w:rPr>
            </w:pPr>
          </w:p>
        </w:tc>
        <w:tc>
          <w:tcPr>
            <w:tcW w:w="1815" w:type="dxa"/>
            <w:vAlign w:val="center"/>
          </w:tcPr>
          <w:p w14:paraId="05A8DC40">
            <w:pPr>
              <w:pStyle w:val="52"/>
              <w:jc w:val="center"/>
              <w:rPr>
                <w:i w:val="0"/>
                <w:iCs w:val="0"/>
                <w:color w:val="auto"/>
                <w:highlight w:val="none"/>
              </w:rPr>
            </w:pPr>
          </w:p>
        </w:tc>
        <w:tc>
          <w:tcPr>
            <w:tcW w:w="1277" w:type="dxa"/>
            <w:vAlign w:val="center"/>
          </w:tcPr>
          <w:p w14:paraId="3829CE10">
            <w:pPr>
              <w:pStyle w:val="52"/>
              <w:jc w:val="center"/>
              <w:rPr>
                <w:i w:val="0"/>
                <w:iCs w:val="0"/>
                <w:color w:val="auto"/>
                <w:highlight w:val="none"/>
              </w:rPr>
            </w:pPr>
          </w:p>
        </w:tc>
        <w:tc>
          <w:tcPr>
            <w:tcW w:w="816" w:type="dxa"/>
            <w:vAlign w:val="center"/>
          </w:tcPr>
          <w:p w14:paraId="1DC19827">
            <w:pPr>
              <w:pStyle w:val="52"/>
              <w:jc w:val="center"/>
              <w:rPr>
                <w:i w:val="0"/>
                <w:iCs w:val="0"/>
                <w:color w:val="auto"/>
                <w:highlight w:val="none"/>
              </w:rPr>
            </w:pPr>
          </w:p>
        </w:tc>
      </w:tr>
      <w:tr w14:paraId="750A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D81535E">
            <w:pPr>
              <w:pStyle w:val="52"/>
              <w:jc w:val="center"/>
              <w:rPr>
                <w:i w:val="0"/>
                <w:iCs w:val="0"/>
                <w:color w:val="auto"/>
                <w:highlight w:val="none"/>
              </w:rPr>
            </w:pPr>
            <w:bookmarkStart w:id="740" w:name="_Toc99533299"/>
            <w:bookmarkStart w:id="741" w:name="_Toc100090791"/>
            <w:r>
              <w:rPr>
                <w:rFonts w:hint="eastAsia"/>
                <w:i w:val="0"/>
                <w:iCs w:val="0"/>
                <w:color w:val="auto"/>
                <w:highlight w:val="none"/>
              </w:rPr>
              <w:t>8</w:t>
            </w:r>
            <w:bookmarkEnd w:id="740"/>
            <w:bookmarkEnd w:id="741"/>
          </w:p>
        </w:tc>
        <w:tc>
          <w:tcPr>
            <w:tcW w:w="1143" w:type="dxa"/>
            <w:vAlign w:val="center"/>
          </w:tcPr>
          <w:p w14:paraId="1DDFABCF">
            <w:pPr>
              <w:pStyle w:val="52"/>
              <w:jc w:val="center"/>
              <w:rPr>
                <w:i w:val="0"/>
                <w:iCs w:val="0"/>
                <w:color w:val="auto"/>
                <w:highlight w:val="none"/>
              </w:rPr>
            </w:pPr>
          </w:p>
        </w:tc>
        <w:tc>
          <w:tcPr>
            <w:tcW w:w="1334" w:type="dxa"/>
            <w:tcBorders>
              <w:right w:val="single" w:color="auto" w:sz="4" w:space="0"/>
            </w:tcBorders>
            <w:vAlign w:val="center"/>
          </w:tcPr>
          <w:p w14:paraId="5E162308">
            <w:pPr>
              <w:pStyle w:val="52"/>
              <w:jc w:val="center"/>
              <w:rPr>
                <w:i w:val="0"/>
                <w:iCs w:val="0"/>
                <w:color w:val="auto"/>
                <w:highlight w:val="none"/>
              </w:rPr>
            </w:pPr>
          </w:p>
        </w:tc>
        <w:tc>
          <w:tcPr>
            <w:tcW w:w="1188" w:type="dxa"/>
            <w:tcBorders>
              <w:left w:val="single" w:color="auto" w:sz="4" w:space="0"/>
            </w:tcBorders>
            <w:vAlign w:val="center"/>
          </w:tcPr>
          <w:p w14:paraId="20322021">
            <w:pPr>
              <w:pStyle w:val="52"/>
              <w:jc w:val="center"/>
              <w:rPr>
                <w:i w:val="0"/>
                <w:iCs w:val="0"/>
                <w:color w:val="auto"/>
                <w:highlight w:val="none"/>
              </w:rPr>
            </w:pPr>
          </w:p>
        </w:tc>
        <w:tc>
          <w:tcPr>
            <w:tcW w:w="816" w:type="dxa"/>
            <w:tcBorders>
              <w:left w:val="single" w:color="auto" w:sz="4" w:space="0"/>
            </w:tcBorders>
            <w:vAlign w:val="center"/>
          </w:tcPr>
          <w:p w14:paraId="72151533">
            <w:pPr>
              <w:pStyle w:val="52"/>
              <w:jc w:val="center"/>
              <w:rPr>
                <w:i w:val="0"/>
                <w:iCs w:val="0"/>
                <w:color w:val="auto"/>
                <w:highlight w:val="none"/>
              </w:rPr>
            </w:pPr>
          </w:p>
        </w:tc>
        <w:tc>
          <w:tcPr>
            <w:tcW w:w="1815" w:type="dxa"/>
            <w:vAlign w:val="center"/>
          </w:tcPr>
          <w:p w14:paraId="600DF6C8">
            <w:pPr>
              <w:pStyle w:val="52"/>
              <w:jc w:val="center"/>
              <w:rPr>
                <w:i w:val="0"/>
                <w:iCs w:val="0"/>
                <w:color w:val="auto"/>
                <w:highlight w:val="none"/>
              </w:rPr>
            </w:pPr>
          </w:p>
        </w:tc>
        <w:tc>
          <w:tcPr>
            <w:tcW w:w="1277" w:type="dxa"/>
            <w:vAlign w:val="center"/>
          </w:tcPr>
          <w:p w14:paraId="7A7B9A82">
            <w:pPr>
              <w:pStyle w:val="52"/>
              <w:jc w:val="center"/>
              <w:rPr>
                <w:i w:val="0"/>
                <w:iCs w:val="0"/>
                <w:color w:val="auto"/>
                <w:highlight w:val="none"/>
              </w:rPr>
            </w:pPr>
          </w:p>
        </w:tc>
        <w:tc>
          <w:tcPr>
            <w:tcW w:w="816" w:type="dxa"/>
            <w:vAlign w:val="center"/>
          </w:tcPr>
          <w:p w14:paraId="6C2614C0">
            <w:pPr>
              <w:pStyle w:val="52"/>
              <w:jc w:val="center"/>
              <w:rPr>
                <w:i w:val="0"/>
                <w:iCs w:val="0"/>
                <w:color w:val="auto"/>
                <w:highlight w:val="none"/>
              </w:rPr>
            </w:pPr>
          </w:p>
        </w:tc>
      </w:tr>
      <w:tr w14:paraId="1015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F71A2D9">
            <w:pPr>
              <w:pStyle w:val="52"/>
              <w:jc w:val="center"/>
              <w:rPr>
                <w:i w:val="0"/>
                <w:iCs w:val="0"/>
                <w:color w:val="auto"/>
                <w:highlight w:val="none"/>
              </w:rPr>
            </w:pPr>
            <w:bookmarkStart w:id="742" w:name="_Toc99533300"/>
            <w:bookmarkStart w:id="743" w:name="_Toc100090792"/>
            <w:r>
              <w:rPr>
                <w:rFonts w:hint="eastAsia"/>
                <w:i w:val="0"/>
                <w:iCs w:val="0"/>
                <w:color w:val="auto"/>
                <w:highlight w:val="none"/>
              </w:rPr>
              <w:t>9</w:t>
            </w:r>
            <w:bookmarkEnd w:id="742"/>
            <w:bookmarkEnd w:id="743"/>
          </w:p>
        </w:tc>
        <w:tc>
          <w:tcPr>
            <w:tcW w:w="1143" w:type="dxa"/>
            <w:vAlign w:val="center"/>
          </w:tcPr>
          <w:p w14:paraId="337DC3D2">
            <w:pPr>
              <w:pStyle w:val="52"/>
              <w:jc w:val="center"/>
              <w:rPr>
                <w:i w:val="0"/>
                <w:iCs w:val="0"/>
                <w:color w:val="auto"/>
                <w:highlight w:val="none"/>
              </w:rPr>
            </w:pPr>
          </w:p>
        </w:tc>
        <w:tc>
          <w:tcPr>
            <w:tcW w:w="1334" w:type="dxa"/>
            <w:tcBorders>
              <w:right w:val="single" w:color="auto" w:sz="4" w:space="0"/>
            </w:tcBorders>
            <w:vAlign w:val="center"/>
          </w:tcPr>
          <w:p w14:paraId="7D52DCED">
            <w:pPr>
              <w:pStyle w:val="52"/>
              <w:jc w:val="center"/>
              <w:rPr>
                <w:i w:val="0"/>
                <w:iCs w:val="0"/>
                <w:color w:val="auto"/>
                <w:highlight w:val="none"/>
              </w:rPr>
            </w:pPr>
          </w:p>
        </w:tc>
        <w:tc>
          <w:tcPr>
            <w:tcW w:w="1188" w:type="dxa"/>
            <w:tcBorders>
              <w:left w:val="single" w:color="auto" w:sz="4" w:space="0"/>
            </w:tcBorders>
            <w:vAlign w:val="center"/>
          </w:tcPr>
          <w:p w14:paraId="51CA2603">
            <w:pPr>
              <w:pStyle w:val="52"/>
              <w:jc w:val="center"/>
              <w:rPr>
                <w:i w:val="0"/>
                <w:iCs w:val="0"/>
                <w:color w:val="auto"/>
                <w:highlight w:val="none"/>
              </w:rPr>
            </w:pPr>
          </w:p>
        </w:tc>
        <w:tc>
          <w:tcPr>
            <w:tcW w:w="816" w:type="dxa"/>
            <w:tcBorders>
              <w:left w:val="single" w:color="auto" w:sz="4" w:space="0"/>
            </w:tcBorders>
            <w:vAlign w:val="center"/>
          </w:tcPr>
          <w:p w14:paraId="7F7E67FB">
            <w:pPr>
              <w:pStyle w:val="52"/>
              <w:jc w:val="center"/>
              <w:rPr>
                <w:i w:val="0"/>
                <w:iCs w:val="0"/>
                <w:color w:val="auto"/>
                <w:highlight w:val="none"/>
              </w:rPr>
            </w:pPr>
          </w:p>
        </w:tc>
        <w:tc>
          <w:tcPr>
            <w:tcW w:w="1815" w:type="dxa"/>
            <w:vAlign w:val="center"/>
          </w:tcPr>
          <w:p w14:paraId="2B805583">
            <w:pPr>
              <w:pStyle w:val="52"/>
              <w:jc w:val="center"/>
              <w:rPr>
                <w:i w:val="0"/>
                <w:iCs w:val="0"/>
                <w:color w:val="auto"/>
                <w:highlight w:val="none"/>
              </w:rPr>
            </w:pPr>
          </w:p>
        </w:tc>
        <w:tc>
          <w:tcPr>
            <w:tcW w:w="1277" w:type="dxa"/>
            <w:vAlign w:val="center"/>
          </w:tcPr>
          <w:p w14:paraId="18D19DE8">
            <w:pPr>
              <w:pStyle w:val="52"/>
              <w:jc w:val="center"/>
              <w:rPr>
                <w:i w:val="0"/>
                <w:iCs w:val="0"/>
                <w:color w:val="auto"/>
                <w:highlight w:val="none"/>
              </w:rPr>
            </w:pPr>
          </w:p>
        </w:tc>
        <w:tc>
          <w:tcPr>
            <w:tcW w:w="816" w:type="dxa"/>
            <w:vAlign w:val="center"/>
          </w:tcPr>
          <w:p w14:paraId="225125A1">
            <w:pPr>
              <w:pStyle w:val="52"/>
              <w:jc w:val="center"/>
              <w:rPr>
                <w:i w:val="0"/>
                <w:iCs w:val="0"/>
                <w:color w:val="auto"/>
                <w:highlight w:val="none"/>
              </w:rPr>
            </w:pPr>
          </w:p>
        </w:tc>
      </w:tr>
      <w:tr w14:paraId="36F9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13DAAD3B">
            <w:pPr>
              <w:pStyle w:val="52"/>
              <w:jc w:val="center"/>
              <w:rPr>
                <w:i w:val="0"/>
                <w:iCs w:val="0"/>
                <w:color w:val="auto"/>
                <w:highlight w:val="none"/>
              </w:rPr>
            </w:pPr>
            <w:bookmarkStart w:id="744" w:name="_Toc99533301"/>
            <w:bookmarkStart w:id="745" w:name="_Toc100090793"/>
            <w:r>
              <w:rPr>
                <w:rFonts w:hint="eastAsia"/>
                <w:i w:val="0"/>
                <w:iCs w:val="0"/>
                <w:color w:val="auto"/>
                <w:highlight w:val="none"/>
              </w:rPr>
              <w:t>10</w:t>
            </w:r>
            <w:bookmarkEnd w:id="744"/>
            <w:bookmarkEnd w:id="745"/>
          </w:p>
        </w:tc>
        <w:tc>
          <w:tcPr>
            <w:tcW w:w="1143" w:type="dxa"/>
            <w:vAlign w:val="center"/>
          </w:tcPr>
          <w:p w14:paraId="55B22C5B">
            <w:pPr>
              <w:pStyle w:val="52"/>
              <w:jc w:val="center"/>
              <w:rPr>
                <w:i w:val="0"/>
                <w:iCs w:val="0"/>
                <w:color w:val="auto"/>
                <w:highlight w:val="none"/>
              </w:rPr>
            </w:pPr>
          </w:p>
        </w:tc>
        <w:tc>
          <w:tcPr>
            <w:tcW w:w="1334" w:type="dxa"/>
            <w:tcBorders>
              <w:right w:val="single" w:color="auto" w:sz="4" w:space="0"/>
            </w:tcBorders>
            <w:vAlign w:val="center"/>
          </w:tcPr>
          <w:p w14:paraId="0735224E">
            <w:pPr>
              <w:pStyle w:val="52"/>
              <w:jc w:val="center"/>
              <w:rPr>
                <w:i w:val="0"/>
                <w:iCs w:val="0"/>
                <w:color w:val="auto"/>
                <w:highlight w:val="none"/>
              </w:rPr>
            </w:pPr>
          </w:p>
        </w:tc>
        <w:tc>
          <w:tcPr>
            <w:tcW w:w="1188" w:type="dxa"/>
            <w:tcBorders>
              <w:left w:val="single" w:color="auto" w:sz="4" w:space="0"/>
            </w:tcBorders>
            <w:vAlign w:val="center"/>
          </w:tcPr>
          <w:p w14:paraId="4FBEB9BB">
            <w:pPr>
              <w:pStyle w:val="52"/>
              <w:jc w:val="center"/>
              <w:rPr>
                <w:i w:val="0"/>
                <w:iCs w:val="0"/>
                <w:color w:val="auto"/>
                <w:highlight w:val="none"/>
              </w:rPr>
            </w:pPr>
          </w:p>
        </w:tc>
        <w:tc>
          <w:tcPr>
            <w:tcW w:w="816" w:type="dxa"/>
            <w:tcBorders>
              <w:left w:val="single" w:color="auto" w:sz="4" w:space="0"/>
            </w:tcBorders>
            <w:vAlign w:val="center"/>
          </w:tcPr>
          <w:p w14:paraId="6718986B">
            <w:pPr>
              <w:pStyle w:val="52"/>
              <w:jc w:val="center"/>
              <w:rPr>
                <w:i w:val="0"/>
                <w:iCs w:val="0"/>
                <w:color w:val="auto"/>
                <w:highlight w:val="none"/>
              </w:rPr>
            </w:pPr>
          </w:p>
        </w:tc>
        <w:tc>
          <w:tcPr>
            <w:tcW w:w="1815" w:type="dxa"/>
            <w:vAlign w:val="center"/>
          </w:tcPr>
          <w:p w14:paraId="0C780C4A">
            <w:pPr>
              <w:pStyle w:val="52"/>
              <w:jc w:val="center"/>
              <w:rPr>
                <w:i w:val="0"/>
                <w:iCs w:val="0"/>
                <w:color w:val="auto"/>
                <w:highlight w:val="none"/>
              </w:rPr>
            </w:pPr>
          </w:p>
        </w:tc>
        <w:tc>
          <w:tcPr>
            <w:tcW w:w="1277" w:type="dxa"/>
            <w:vAlign w:val="center"/>
          </w:tcPr>
          <w:p w14:paraId="4C8B6CD0">
            <w:pPr>
              <w:pStyle w:val="52"/>
              <w:jc w:val="center"/>
              <w:rPr>
                <w:i w:val="0"/>
                <w:iCs w:val="0"/>
                <w:color w:val="auto"/>
                <w:highlight w:val="none"/>
              </w:rPr>
            </w:pPr>
          </w:p>
        </w:tc>
        <w:tc>
          <w:tcPr>
            <w:tcW w:w="816" w:type="dxa"/>
            <w:vAlign w:val="center"/>
          </w:tcPr>
          <w:p w14:paraId="212F0480">
            <w:pPr>
              <w:pStyle w:val="52"/>
              <w:jc w:val="center"/>
              <w:rPr>
                <w:i w:val="0"/>
                <w:iCs w:val="0"/>
                <w:color w:val="auto"/>
                <w:highlight w:val="none"/>
              </w:rPr>
            </w:pPr>
          </w:p>
        </w:tc>
      </w:tr>
    </w:tbl>
    <w:p w14:paraId="51ED7B0D">
      <w:pPr>
        <w:rPr>
          <w:i w:val="0"/>
          <w:iCs w:val="0"/>
          <w:color w:val="auto"/>
          <w:highlight w:val="none"/>
        </w:rPr>
      </w:pPr>
      <w:r>
        <w:rPr>
          <w:i w:val="0"/>
          <w:iCs w:val="0"/>
          <w:color w:val="auto"/>
          <w:highlight w:val="none"/>
        </w:rPr>
        <w:br w:type="page"/>
      </w:r>
    </w:p>
    <w:p w14:paraId="1358285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46" w:name="_Toc28841"/>
      <w:r>
        <w:rPr>
          <w:rFonts w:hint="eastAsia" w:cstheme="majorBidi"/>
          <w:b/>
          <w:bCs/>
          <w:i w:val="0"/>
          <w:iCs w:val="0"/>
          <w:color w:val="auto"/>
          <w:kern w:val="2"/>
          <w:sz w:val="32"/>
          <w:szCs w:val="32"/>
          <w:highlight w:val="none"/>
          <w:lang w:val="en-US" w:eastAsia="zh-CN" w:bidi="ar-SA"/>
        </w:rPr>
        <w:t>九</w:t>
      </w:r>
      <w:r>
        <w:rPr>
          <w:rFonts w:hint="eastAsia" w:eastAsia="宋体" w:asciiTheme="majorHAnsi" w:hAnsiTheme="majorHAnsi" w:cstheme="majorBidi"/>
          <w:b/>
          <w:bCs/>
          <w:i w:val="0"/>
          <w:iCs w:val="0"/>
          <w:color w:val="auto"/>
          <w:kern w:val="2"/>
          <w:sz w:val="32"/>
          <w:szCs w:val="32"/>
          <w:highlight w:val="none"/>
          <w:lang w:val="en-US" w:eastAsia="zh-CN" w:bidi="ar-SA"/>
        </w:rPr>
        <w:t>、技术响应偏离表</w:t>
      </w:r>
      <w:bookmarkEnd w:id="746"/>
    </w:p>
    <w:p w14:paraId="28A8231E">
      <w:pPr>
        <w:rPr>
          <w:rFonts w:cs="仿宋_GB2312"/>
          <w:i w:val="0"/>
          <w:iCs w:val="0"/>
          <w:color w:val="auto"/>
          <w:szCs w:val="24"/>
          <w:highlight w:val="none"/>
        </w:rPr>
      </w:pPr>
      <w:r>
        <w:rPr>
          <w:rFonts w:hint="eastAsia" w:cs="仿宋_GB2312"/>
          <w:i w:val="0"/>
          <w:iCs w:val="0"/>
          <w:color w:val="auto"/>
          <w:szCs w:val="24"/>
          <w:highlight w:val="none"/>
        </w:rPr>
        <w:t xml:space="preserve">项目名称：                                         </w:t>
      </w:r>
    </w:p>
    <w:p w14:paraId="10CF1BE4">
      <w:pPr>
        <w:rPr>
          <w:rFonts w:cs="仿宋_GB2312"/>
          <w:i w:val="0"/>
          <w:iCs w:val="0"/>
          <w:color w:val="auto"/>
          <w:szCs w:val="24"/>
          <w:highlight w:val="none"/>
        </w:rPr>
      </w:pPr>
      <w:r>
        <w:rPr>
          <w:rFonts w:hint="eastAsia" w:cs="仿宋_GB2312"/>
          <w:i w:val="0"/>
          <w:iCs w:val="0"/>
          <w:color w:val="auto"/>
          <w:szCs w:val="24"/>
          <w:highlight w:val="none"/>
        </w:rPr>
        <w:t>项目编号</w:t>
      </w:r>
      <w:r>
        <w:rPr>
          <w:rFonts w:hint="eastAsia" w:cs="仿宋_GB2312"/>
          <w:i w:val="0"/>
          <w:iCs w:val="0"/>
          <w:color w:val="auto"/>
          <w:szCs w:val="24"/>
          <w:highlight w:val="none"/>
          <w:lang w:val="en-US" w:eastAsia="zh-CN"/>
        </w:rPr>
        <w:t>/</w:t>
      </w:r>
      <w:r>
        <w:rPr>
          <w:rFonts w:hint="eastAsia" w:cs="仿宋_GB2312"/>
          <w:i w:val="0"/>
          <w:iCs w:val="0"/>
          <w:color w:val="auto"/>
          <w:szCs w:val="24"/>
          <w:highlight w:val="none"/>
          <w:lang w:val="zh-CN"/>
        </w:rPr>
        <w:t>包号</w:t>
      </w:r>
      <w:r>
        <w:rPr>
          <w:rFonts w:hint="eastAsia" w:cs="仿宋_GB2312"/>
          <w:i w:val="0"/>
          <w:iCs w:val="0"/>
          <w:color w:val="auto"/>
          <w:szCs w:val="24"/>
          <w:highlight w:val="none"/>
        </w:rPr>
        <w:t xml:space="preserve">：         </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52"/>
              <w:jc w:val="center"/>
              <w:rPr>
                <w:i w:val="0"/>
                <w:iCs w:val="0"/>
                <w:color w:val="auto"/>
                <w:highlight w:val="none"/>
              </w:rPr>
            </w:pPr>
            <w:r>
              <w:rPr>
                <w:rFonts w:hint="eastAsia"/>
                <w:i w:val="0"/>
                <w:iCs w:val="0"/>
                <w:color w:val="auto"/>
                <w:highlight w:val="none"/>
              </w:rPr>
              <w:t>序号</w:t>
            </w:r>
          </w:p>
        </w:tc>
        <w:tc>
          <w:tcPr>
            <w:tcW w:w="1277" w:type="pct"/>
            <w:vAlign w:val="center"/>
          </w:tcPr>
          <w:p w14:paraId="0C5608DB">
            <w:pPr>
              <w:pStyle w:val="52"/>
              <w:jc w:val="center"/>
              <w:rPr>
                <w:i w:val="0"/>
                <w:iCs w:val="0"/>
                <w:color w:val="auto"/>
                <w:highlight w:val="none"/>
              </w:rPr>
            </w:pPr>
            <w:r>
              <w:rPr>
                <w:rFonts w:hint="eastAsia"/>
                <w:i w:val="0"/>
                <w:iCs w:val="0"/>
                <w:color w:val="auto"/>
                <w:highlight w:val="none"/>
                <w:lang w:val="en-US" w:eastAsia="zh-CN"/>
              </w:rPr>
              <w:t>竞争性磋商</w:t>
            </w:r>
            <w:r>
              <w:rPr>
                <w:rFonts w:hint="eastAsia"/>
                <w:i w:val="0"/>
                <w:iCs w:val="0"/>
                <w:color w:val="auto"/>
                <w:highlight w:val="none"/>
              </w:rPr>
              <w:t>文件技术要求条款</w:t>
            </w:r>
          </w:p>
        </w:tc>
        <w:tc>
          <w:tcPr>
            <w:tcW w:w="913" w:type="pct"/>
            <w:vAlign w:val="center"/>
          </w:tcPr>
          <w:p w14:paraId="0B845CF1">
            <w:pPr>
              <w:pStyle w:val="52"/>
              <w:jc w:val="center"/>
              <w:rPr>
                <w:i w:val="0"/>
                <w:iCs w:val="0"/>
                <w:color w:val="auto"/>
                <w:highlight w:val="none"/>
              </w:rPr>
            </w:pPr>
            <w:r>
              <w:rPr>
                <w:rFonts w:hint="eastAsia"/>
                <w:i w:val="0"/>
                <w:iCs w:val="0"/>
                <w:color w:val="auto"/>
                <w:highlight w:val="none"/>
                <w:lang w:val="en-US" w:eastAsia="zh-CN"/>
              </w:rPr>
              <w:t>响应</w:t>
            </w:r>
            <w:r>
              <w:rPr>
                <w:rFonts w:hint="eastAsia"/>
                <w:i w:val="0"/>
                <w:iCs w:val="0"/>
                <w:color w:val="auto"/>
                <w:highlight w:val="none"/>
              </w:rPr>
              <w:t>文件内容</w:t>
            </w:r>
          </w:p>
          <w:p w14:paraId="4F79E073">
            <w:pPr>
              <w:pStyle w:val="52"/>
              <w:jc w:val="center"/>
              <w:rPr>
                <w:i w:val="0"/>
                <w:iCs w:val="0"/>
                <w:color w:val="auto"/>
                <w:highlight w:val="none"/>
              </w:rPr>
            </w:pPr>
            <w:r>
              <w:rPr>
                <w:rFonts w:hint="eastAsia"/>
                <w:i w:val="0"/>
                <w:iCs w:val="0"/>
                <w:color w:val="auto"/>
                <w:highlight w:val="none"/>
              </w:rPr>
              <w:t>对应简述</w:t>
            </w:r>
          </w:p>
        </w:tc>
        <w:tc>
          <w:tcPr>
            <w:tcW w:w="1200" w:type="pct"/>
            <w:vAlign w:val="center"/>
          </w:tcPr>
          <w:p w14:paraId="4AB4E9C3">
            <w:pPr>
              <w:pStyle w:val="52"/>
              <w:jc w:val="center"/>
              <w:rPr>
                <w:i w:val="0"/>
                <w:iCs w:val="0"/>
                <w:color w:val="auto"/>
                <w:highlight w:val="none"/>
              </w:rPr>
            </w:pPr>
            <w:r>
              <w:rPr>
                <w:rFonts w:hint="eastAsia"/>
                <w:i w:val="0"/>
                <w:iCs w:val="0"/>
                <w:color w:val="auto"/>
                <w:highlight w:val="none"/>
              </w:rPr>
              <w:t>响应情况</w:t>
            </w:r>
          </w:p>
        </w:tc>
        <w:tc>
          <w:tcPr>
            <w:tcW w:w="1200" w:type="pct"/>
            <w:vAlign w:val="center"/>
          </w:tcPr>
          <w:p w14:paraId="09D725B9">
            <w:pPr>
              <w:pStyle w:val="52"/>
              <w:jc w:val="center"/>
              <w:rPr>
                <w:i w:val="0"/>
                <w:iCs w:val="0"/>
                <w:color w:val="auto"/>
                <w:highlight w:val="none"/>
              </w:rPr>
            </w:pPr>
            <w:r>
              <w:rPr>
                <w:rFonts w:hint="eastAsia"/>
                <w:i w:val="0"/>
                <w:iCs w:val="0"/>
                <w:color w:val="auto"/>
                <w:highlight w:val="none"/>
              </w:rPr>
              <w:t>说明及索引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52"/>
              <w:jc w:val="center"/>
              <w:rPr>
                <w:i w:val="0"/>
                <w:iCs w:val="0"/>
                <w:color w:val="auto"/>
                <w:highlight w:val="none"/>
              </w:rPr>
            </w:pPr>
            <w:r>
              <w:rPr>
                <w:rFonts w:hint="eastAsia"/>
                <w:i w:val="0"/>
                <w:iCs w:val="0"/>
                <w:color w:val="auto"/>
                <w:highlight w:val="none"/>
              </w:rPr>
              <w:t>1</w:t>
            </w:r>
          </w:p>
        </w:tc>
        <w:tc>
          <w:tcPr>
            <w:tcW w:w="1277" w:type="pct"/>
            <w:vAlign w:val="center"/>
          </w:tcPr>
          <w:p w14:paraId="69B288A0">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0E04AD72">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85AEA1C">
            <w:pPr>
              <w:pStyle w:val="52"/>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02D97874">
            <w:pPr>
              <w:pStyle w:val="52"/>
              <w:jc w:val="center"/>
              <w:rPr>
                <w:i w:val="0"/>
                <w:iCs w:val="0"/>
                <w:color w:val="auto"/>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52"/>
              <w:jc w:val="center"/>
              <w:rPr>
                <w:i w:val="0"/>
                <w:iCs w:val="0"/>
                <w:color w:val="auto"/>
                <w:highlight w:val="none"/>
              </w:rPr>
            </w:pPr>
            <w:r>
              <w:rPr>
                <w:rFonts w:hint="eastAsia"/>
                <w:i w:val="0"/>
                <w:iCs w:val="0"/>
                <w:color w:val="auto"/>
                <w:highlight w:val="none"/>
              </w:rPr>
              <w:t>2</w:t>
            </w:r>
          </w:p>
        </w:tc>
        <w:tc>
          <w:tcPr>
            <w:tcW w:w="1277" w:type="pct"/>
            <w:vAlign w:val="center"/>
          </w:tcPr>
          <w:p w14:paraId="30E52A7F">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913" w:type="pct"/>
            <w:vAlign w:val="center"/>
          </w:tcPr>
          <w:p w14:paraId="29A6C1E1">
            <w:pPr>
              <w:pStyle w:val="52"/>
              <w:jc w:val="center"/>
              <w:rPr>
                <w:i w:val="0"/>
                <w:iCs w:val="0"/>
                <w:color w:val="auto"/>
                <w:highlight w:val="none"/>
              </w:rPr>
            </w:pPr>
            <w:r>
              <w:rPr>
                <w:rFonts w:hint="eastAsia"/>
                <w:i w:val="0"/>
                <w:iCs w:val="0"/>
                <w:color w:val="auto"/>
                <w:highlight w:val="none"/>
              </w:rPr>
              <w:t>*</w:t>
            </w:r>
            <w:r>
              <w:rPr>
                <w:i w:val="0"/>
                <w:iCs w:val="0"/>
                <w:color w:val="auto"/>
                <w:highlight w:val="none"/>
              </w:rPr>
              <w:t>*****</w:t>
            </w:r>
          </w:p>
        </w:tc>
        <w:tc>
          <w:tcPr>
            <w:tcW w:w="1200" w:type="pct"/>
            <w:vAlign w:val="center"/>
          </w:tcPr>
          <w:p w14:paraId="5D92E460">
            <w:pPr>
              <w:pStyle w:val="52"/>
              <w:jc w:val="center"/>
              <w:rPr>
                <w:i w:val="0"/>
                <w:iCs w:val="0"/>
                <w:color w:val="auto"/>
                <w:highlight w:val="none"/>
              </w:rPr>
            </w:pPr>
            <w:r>
              <w:rPr>
                <w:rFonts w:hint="eastAsia"/>
                <w:i w:val="0"/>
                <w:iCs w:val="0"/>
                <w:color w:val="auto"/>
                <w:highlight w:val="none"/>
              </w:rPr>
              <w:t>响应/正偏离/负偏离</w:t>
            </w:r>
          </w:p>
        </w:tc>
        <w:tc>
          <w:tcPr>
            <w:tcW w:w="1200" w:type="pct"/>
            <w:vAlign w:val="center"/>
          </w:tcPr>
          <w:p w14:paraId="63E16449">
            <w:pPr>
              <w:pStyle w:val="52"/>
              <w:jc w:val="center"/>
              <w:rPr>
                <w:i w:val="0"/>
                <w:iCs w:val="0"/>
                <w:color w:val="auto"/>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52"/>
              <w:jc w:val="center"/>
              <w:rPr>
                <w:i w:val="0"/>
                <w:iCs w:val="0"/>
                <w:color w:val="auto"/>
                <w:highlight w:val="none"/>
              </w:rPr>
            </w:pPr>
          </w:p>
        </w:tc>
        <w:tc>
          <w:tcPr>
            <w:tcW w:w="1277" w:type="pct"/>
            <w:vAlign w:val="center"/>
          </w:tcPr>
          <w:p w14:paraId="6D1DD644">
            <w:pPr>
              <w:pStyle w:val="52"/>
              <w:jc w:val="center"/>
              <w:rPr>
                <w:i w:val="0"/>
                <w:iCs w:val="0"/>
                <w:color w:val="auto"/>
                <w:highlight w:val="none"/>
              </w:rPr>
            </w:pPr>
          </w:p>
        </w:tc>
        <w:tc>
          <w:tcPr>
            <w:tcW w:w="913" w:type="pct"/>
            <w:vAlign w:val="center"/>
          </w:tcPr>
          <w:p w14:paraId="2982168B">
            <w:pPr>
              <w:pStyle w:val="52"/>
              <w:jc w:val="center"/>
              <w:rPr>
                <w:i w:val="0"/>
                <w:iCs w:val="0"/>
                <w:color w:val="auto"/>
                <w:highlight w:val="none"/>
              </w:rPr>
            </w:pPr>
          </w:p>
        </w:tc>
        <w:tc>
          <w:tcPr>
            <w:tcW w:w="1200" w:type="pct"/>
            <w:vAlign w:val="center"/>
          </w:tcPr>
          <w:p w14:paraId="78EC7D09">
            <w:pPr>
              <w:pStyle w:val="52"/>
              <w:jc w:val="center"/>
              <w:rPr>
                <w:i w:val="0"/>
                <w:iCs w:val="0"/>
                <w:color w:val="auto"/>
                <w:highlight w:val="none"/>
              </w:rPr>
            </w:pPr>
          </w:p>
        </w:tc>
        <w:tc>
          <w:tcPr>
            <w:tcW w:w="1200" w:type="pct"/>
            <w:vAlign w:val="center"/>
          </w:tcPr>
          <w:p w14:paraId="46369488">
            <w:pPr>
              <w:pStyle w:val="52"/>
              <w:jc w:val="center"/>
              <w:rPr>
                <w:i w:val="0"/>
                <w:iCs w:val="0"/>
                <w:color w:val="auto"/>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52"/>
              <w:jc w:val="center"/>
              <w:rPr>
                <w:i w:val="0"/>
                <w:iCs w:val="0"/>
                <w:color w:val="auto"/>
                <w:highlight w:val="none"/>
              </w:rPr>
            </w:pPr>
          </w:p>
        </w:tc>
        <w:tc>
          <w:tcPr>
            <w:tcW w:w="1277" w:type="pct"/>
            <w:vAlign w:val="center"/>
          </w:tcPr>
          <w:p w14:paraId="529041E2">
            <w:pPr>
              <w:pStyle w:val="52"/>
              <w:jc w:val="center"/>
              <w:rPr>
                <w:i w:val="0"/>
                <w:iCs w:val="0"/>
                <w:color w:val="auto"/>
                <w:highlight w:val="none"/>
              </w:rPr>
            </w:pPr>
          </w:p>
        </w:tc>
        <w:tc>
          <w:tcPr>
            <w:tcW w:w="913" w:type="pct"/>
            <w:vAlign w:val="center"/>
          </w:tcPr>
          <w:p w14:paraId="301E476D">
            <w:pPr>
              <w:pStyle w:val="52"/>
              <w:jc w:val="center"/>
              <w:rPr>
                <w:i w:val="0"/>
                <w:iCs w:val="0"/>
                <w:color w:val="auto"/>
                <w:highlight w:val="none"/>
              </w:rPr>
            </w:pPr>
          </w:p>
        </w:tc>
        <w:tc>
          <w:tcPr>
            <w:tcW w:w="1200" w:type="pct"/>
            <w:vAlign w:val="center"/>
          </w:tcPr>
          <w:p w14:paraId="06F8AED7">
            <w:pPr>
              <w:pStyle w:val="52"/>
              <w:jc w:val="center"/>
              <w:rPr>
                <w:i w:val="0"/>
                <w:iCs w:val="0"/>
                <w:color w:val="auto"/>
                <w:highlight w:val="none"/>
              </w:rPr>
            </w:pPr>
          </w:p>
        </w:tc>
        <w:tc>
          <w:tcPr>
            <w:tcW w:w="1200" w:type="pct"/>
            <w:vAlign w:val="center"/>
          </w:tcPr>
          <w:p w14:paraId="0CE9DF45">
            <w:pPr>
              <w:pStyle w:val="52"/>
              <w:jc w:val="center"/>
              <w:rPr>
                <w:i w:val="0"/>
                <w:iCs w:val="0"/>
                <w:color w:val="auto"/>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52"/>
              <w:jc w:val="center"/>
              <w:rPr>
                <w:i w:val="0"/>
                <w:iCs w:val="0"/>
                <w:color w:val="auto"/>
                <w:highlight w:val="none"/>
              </w:rPr>
            </w:pPr>
          </w:p>
        </w:tc>
        <w:tc>
          <w:tcPr>
            <w:tcW w:w="1277" w:type="pct"/>
            <w:vAlign w:val="center"/>
          </w:tcPr>
          <w:p w14:paraId="77107295">
            <w:pPr>
              <w:pStyle w:val="52"/>
              <w:jc w:val="center"/>
              <w:rPr>
                <w:i w:val="0"/>
                <w:iCs w:val="0"/>
                <w:color w:val="auto"/>
                <w:highlight w:val="none"/>
              </w:rPr>
            </w:pPr>
          </w:p>
        </w:tc>
        <w:tc>
          <w:tcPr>
            <w:tcW w:w="913" w:type="pct"/>
            <w:vAlign w:val="center"/>
          </w:tcPr>
          <w:p w14:paraId="4D01D78E">
            <w:pPr>
              <w:pStyle w:val="52"/>
              <w:jc w:val="center"/>
              <w:rPr>
                <w:i w:val="0"/>
                <w:iCs w:val="0"/>
                <w:color w:val="auto"/>
                <w:highlight w:val="none"/>
              </w:rPr>
            </w:pPr>
          </w:p>
        </w:tc>
        <w:tc>
          <w:tcPr>
            <w:tcW w:w="1200" w:type="pct"/>
            <w:vAlign w:val="center"/>
          </w:tcPr>
          <w:p w14:paraId="6D546857">
            <w:pPr>
              <w:pStyle w:val="52"/>
              <w:jc w:val="center"/>
              <w:rPr>
                <w:i w:val="0"/>
                <w:iCs w:val="0"/>
                <w:color w:val="auto"/>
                <w:highlight w:val="none"/>
              </w:rPr>
            </w:pPr>
          </w:p>
        </w:tc>
        <w:tc>
          <w:tcPr>
            <w:tcW w:w="1200" w:type="pct"/>
            <w:vAlign w:val="center"/>
          </w:tcPr>
          <w:p w14:paraId="2E1B7D0B">
            <w:pPr>
              <w:pStyle w:val="52"/>
              <w:jc w:val="center"/>
              <w:rPr>
                <w:i w:val="0"/>
                <w:iCs w:val="0"/>
                <w:color w:val="auto"/>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52"/>
              <w:jc w:val="center"/>
              <w:rPr>
                <w:i w:val="0"/>
                <w:iCs w:val="0"/>
                <w:color w:val="auto"/>
                <w:highlight w:val="none"/>
              </w:rPr>
            </w:pPr>
          </w:p>
        </w:tc>
        <w:tc>
          <w:tcPr>
            <w:tcW w:w="1277" w:type="pct"/>
            <w:vAlign w:val="center"/>
          </w:tcPr>
          <w:p w14:paraId="5C7E043B">
            <w:pPr>
              <w:pStyle w:val="52"/>
              <w:jc w:val="center"/>
              <w:rPr>
                <w:i w:val="0"/>
                <w:iCs w:val="0"/>
                <w:color w:val="auto"/>
                <w:highlight w:val="none"/>
              </w:rPr>
            </w:pPr>
          </w:p>
        </w:tc>
        <w:tc>
          <w:tcPr>
            <w:tcW w:w="913" w:type="pct"/>
            <w:vAlign w:val="center"/>
          </w:tcPr>
          <w:p w14:paraId="64166C7A">
            <w:pPr>
              <w:pStyle w:val="52"/>
              <w:jc w:val="center"/>
              <w:rPr>
                <w:i w:val="0"/>
                <w:iCs w:val="0"/>
                <w:color w:val="auto"/>
                <w:highlight w:val="none"/>
              </w:rPr>
            </w:pPr>
          </w:p>
        </w:tc>
        <w:tc>
          <w:tcPr>
            <w:tcW w:w="1200" w:type="pct"/>
            <w:vAlign w:val="center"/>
          </w:tcPr>
          <w:p w14:paraId="2817CCE5">
            <w:pPr>
              <w:pStyle w:val="52"/>
              <w:jc w:val="center"/>
              <w:rPr>
                <w:i w:val="0"/>
                <w:iCs w:val="0"/>
                <w:color w:val="auto"/>
                <w:highlight w:val="none"/>
              </w:rPr>
            </w:pPr>
          </w:p>
        </w:tc>
        <w:tc>
          <w:tcPr>
            <w:tcW w:w="1200" w:type="pct"/>
            <w:vAlign w:val="center"/>
          </w:tcPr>
          <w:p w14:paraId="184E3F96">
            <w:pPr>
              <w:pStyle w:val="52"/>
              <w:jc w:val="center"/>
              <w:rPr>
                <w:i w:val="0"/>
                <w:iCs w:val="0"/>
                <w:color w:val="auto"/>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52"/>
              <w:jc w:val="center"/>
              <w:rPr>
                <w:i w:val="0"/>
                <w:iCs w:val="0"/>
                <w:color w:val="auto"/>
                <w:highlight w:val="none"/>
              </w:rPr>
            </w:pPr>
          </w:p>
        </w:tc>
        <w:tc>
          <w:tcPr>
            <w:tcW w:w="1277" w:type="pct"/>
            <w:vAlign w:val="center"/>
          </w:tcPr>
          <w:p w14:paraId="565EC642">
            <w:pPr>
              <w:pStyle w:val="52"/>
              <w:jc w:val="center"/>
              <w:rPr>
                <w:i w:val="0"/>
                <w:iCs w:val="0"/>
                <w:color w:val="auto"/>
                <w:highlight w:val="none"/>
              </w:rPr>
            </w:pPr>
          </w:p>
        </w:tc>
        <w:tc>
          <w:tcPr>
            <w:tcW w:w="913" w:type="pct"/>
            <w:vAlign w:val="center"/>
          </w:tcPr>
          <w:p w14:paraId="4813DEC4">
            <w:pPr>
              <w:pStyle w:val="52"/>
              <w:jc w:val="center"/>
              <w:rPr>
                <w:i w:val="0"/>
                <w:iCs w:val="0"/>
                <w:color w:val="auto"/>
                <w:highlight w:val="none"/>
              </w:rPr>
            </w:pPr>
          </w:p>
        </w:tc>
        <w:tc>
          <w:tcPr>
            <w:tcW w:w="1200" w:type="pct"/>
            <w:vAlign w:val="center"/>
          </w:tcPr>
          <w:p w14:paraId="6FC99520">
            <w:pPr>
              <w:pStyle w:val="52"/>
              <w:jc w:val="center"/>
              <w:rPr>
                <w:i w:val="0"/>
                <w:iCs w:val="0"/>
                <w:color w:val="auto"/>
                <w:highlight w:val="none"/>
              </w:rPr>
            </w:pPr>
          </w:p>
        </w:tc>
        <w:tc>
          <w:tcPr>
            <w:tcW w:w="1200" w:type="pct"/>
            <w:vAlign w:val="center"/>
          </w:tcPr>
          <w:p w14:paraId="6C388A43">
            <w:pPr>
              <w:pStyle w:val="52"/>
              <w:jc w:val="center"/>
              <w:rPr>
                <w:i w:val="0"/>
                <w:iCs w:val="0"/>
                <w:color w:val="auto"/>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52"/>
              <w:jc w:val="center"/>
              <w:rPr>
                <w:i w:val="0"/>
                <w:iCs w:val="0"/>
                <w:color w:val="auto"/>
                <w:highlight w:val="none"/>
              </w:rPr>
            </w:pPr>
          </w:p>
        </w:tc>
        <w:tc>
          <w:tcPr>
            <w:tcW w:w="1277" w:type="pct"/>
            <w:vAlign w:val="center"/>
          </w:tcPr>
          <w:p w14:paraId="7E5C6D21">
            <w:pPr>
              <w:pStyle w:val="52"/>
              <w:jc w:val="center"/>
              <w:rPr>
                <w:i w:val="0"/>
                <w:iCs w:val="0"/>
                <w:color w:val="auto"/>
                <w:highlight w:val="none"/>
              </w:rPr>
            </w:pPr>
          </w:p>
        </w:tc>
        <w:tc>
          <w:tcPr>
            <w:tcW w:w="913" w:type="pct"/>
            <w:vAlign w:val="center"/>
          </w:tcPr>
          <w:p w14:paraId="449C5534">
            <w:pPr>
              <w:pStyle w:val="52"/>
              <w:jc w:val="center"/>
              <w:rPr>
                <w:i w:val="0"/>
                <w:iCs w:val="0"/>
                <w:color w:val="auto"/>
                <w:highlight w:val="none"/>
              </w:rPr>
            </w:pPr>
          </w:p>
        </w:tc>
        <w:tc>
          <w:tcPr>
            <w:tcW w:w="1200" w:type="pct"/>
            <w:vAlign w:val="center"/>
          </w:tcPr>
          <w:p w14:paraId="43936EF1">
            <w:pPr>
              <w:pStyle w:val="52"/>
              <w:jc w:val="center"/>
              <w:rPr>
                <w:i w:val="0"/>
                <w:iCs w:val="0"/>
                <w:color w:val="auto"/>
                <w:highlight w:val="none"/>
              </w:rPr>
            </w:pPr>
          </w:p>
        </w:tc>
        <w:tc>
          <w:tcPr>
            <w:tcW w:w="1200" w:type="pct"/>
            <w:vAlign w:val="center"/>
          </w:tcPr>
          <w:p w14:paraId="015081ED">
            <w:pPr>
              <w:pStyle w:val="52"/>
              <w:jc w:val="center"/>
              <w:rPr>
                <w:i w:val="0"/>
                <w:iCs w:val="0"/>
                <w:color w:val="auto"/>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52"/>
              <w:jc w:val="center"/>
              <w:rPr>
                <w:i w:val="0"/>
                <w:iCs w:val="0"/>
                <w:color w:val="auto"/>
                <w:highlight w:val="none"/>
              </w:rPr>
            </w:pPr>
          </w:p>
        </w:tc>
        <w:tc>
          <w:tcPr>
            <w:tcW w:w="1277" w:type="pct"/>
            <w:vAlign w:val="center"/>
          </w:tcPr>
          <w:p w14:paraId="4E7FED0B">
            <w:pPr>
              <w:pStyle w:val="52"/>
              <w:jc w:val="center"/>
              <w:rPr>
                <w:i w:val="0"/>
                <w:iCs w:val="0"/>
                <w:color w:val="auto"/>
                <w:highlight w:val="none"/>
              </w:rPr>
            </w:pPr>
          </w:p>
        </w:tc>
        <w:tc>
          <w:tcPr>
            <w:tcW w:w="913" w:type="pct"/>
            <w:vAlign w:val="center"/>
          </w:tcPr>
          <w:p w14:paraId="07398BD3">
            <w:pPr>
              <w:pStyle w:val="52"/>
              <w:jc w:val="center"/>
              <w:rPr>
                <w:i w:val="0"/>
                <w:iCs w:val="0"/>
                <w:color w:val="auto"/>
                <w:highlight w:val="none"/>
              </w:rPr>
            </w:pPr>
          </w:p>
        </w:tc>
        <w:tc>
          <w:tcPr>
            <w:tcW w:w="1200" w:type="pct"/>
            <w:vAlign w:val="center"/>
          </w:tcPr>
          <w:p w14:paraId="085E5102">
            <w:pPr>
              <w:pStyle w:val="52"/>
              <w:jc w:val="center"/>
              <w:rPr>
                <w:i w:val="0"/>
                <w:iCs w:val="0"/>
                <w:color w:val="auto"/>
                <w:highlight w:val="none"/>
              </w:rPr>
            </w:pPr>
          </w:p>
        </w:tc>
        <w:tc>
          <w:tcPr>
            <w:tcW w:w="1200" w:type="pct"/>
            <w:vAlign w:val="center"/>
          </w:tcPr>
          <w:p w14:paraId="74B87043">
            <w:pPr>
              <w:pStyle w:val="52"/>
              <w:jc w:val="center"/>
              <w:rPr>
                <w:i w:val="0"/>
                <w:iCs w:val="0"/>
                <w:color w:val="auto"/>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5DBDBE11">
            <w:pPr>
              <w:pStyle w:val="52"/>
              <w:jc w:val="center"/>
              <w:rPr>
                <w:i w:val="0"/>
                <w:iCs w:val="0"/>
                <w:color w:val="auto"/>
                <w:highlight w:val="none"/>
              </w:rPr>
            </w:pPr>
          </w:p>
        </w:tc>
        <w:tc>
          <w:tcPr>
            <w:tcW w:w="1277" w:type="pct"/>
            <w:vAlign w:val="center"/>
          </w:tcPr>
          <w:p w14:paraId="1F11A7BE">
            <w:pPr>
              <w:pStyle w:val="52"/>
              <w:jc w:val="center"/>
              <w:rPr>
                <w:i w:val="0"/>
                <w:iCs w:val="0"/>
                <w:color w:val="auto"/>
                <w:highlight w:val="none"/>
              </w:rPr>
            </w:pPr>
          </w:p>
        </w:tc>
        <w:tc>
          <w:tcPr>
            <w:tcW w:w="913" w:type="pct"/>
            <w:vAlign w:val="center"/>
          </w:tcPr>
          <w:p w14:paraId="09342B6E">
            <w:pPr>
              <w:pStyle w:val="52"/>
              <w:jc w:val="center"/>
              <w:rPr>
                <w:i w:val="0"/>
                <w:iCs w:val="0"/>
                <w:color w:val="auto"/>
                <w:highlight w:val="none"/>
              </w:rPr>
            </w:pPr>
          </w:p>
        </w:tc>
        <w:tc>
          <w:tcPr>
            <w:tcW w:w="1200" w:type="pct"/>
            <w:vAlign w:val="center"/>
          </w:tcPr>
          <w:p w14:paraId="6742B646">
            <w:pPr>
              <w:pStyle w:val="52"/>
              <w:jc w:val="center"/>
              <w:rPr>
                <w:i w:val="0"/>
                <w:iCs w:val="0"/>
                <w:color w:val="auto"/>
                <w:highlight w:val="none"/>
              </w:rPr>
            </w:pPr>
          </w:p>
        </w:tc>
        <w:tc>
          <w:tcPr>
            <w:tcW w:w="1200" w:type="pct"/>
            <w:vAlign w:val="center"/>
          </w:tcPr>
          <w:p w14:paraId="4C72FCC2">
            <w:pPr>
              <w:pStyle w:val="52"/>
              <w:jc w:val="center"/>
              <w:rPr>
                <w:i w:val="0"/>
                <w:iCs w:val="0"/>
                <w:color w:val="auto"/>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407" w:type="pct"/>
            <w:vAlign w:val="center"/>
          </w:tcPr>
          <w:p w14:paraId="0D811F11">
            <w:pPr>
              <w:pStyle w:val="52"/>
              <w:jc w:val="center"/>
              <w:rPr>
                <w:i w:val="0"/>
                <w:iCs w:val="0"/>
                <w:color w:val="auto"/>
                <w:highlight w:val="none"/>
              </w:rPr>
            </w:pPr>
            <w:r>
              <w:rPr>
                <w:rFonts w:hint="eastAsia"/>
                <w:i w:val="0"/>
                <w:iCs w:val="0"/>
                <w:color w:val="auto"/>
                <w:highlight w:val="none"/>
              </w:rPr>
              <w:t>……</w:t>
            </w:r>
          </w:p>
        </w:tc>
        <w:tc>
          <w:tcPr>
            <w:tcW w:w="1277" w:type="pct"/>
            <w:vAlign w:val="center"/>
          </w:tcPr>
          <w:p w14:paraId="7D0AF02A">
            <w:pPr>
              <w:pStyle w:val="52"/>
              <w:jc w:val="center"/>
              <w:rPr>
                <w:i w:val="0"/>
                <w:iCs w:val="0"/>
                <w:color w:val="auto"/>
                <w:highlight w:val="none"/>
              </w:rPr>
            </w:pPr>
            <w:r>
              <w:rPr>
                <w:rFonts w:hint="eastAsia"/>
                <w:i w:val="0"/>
                <w:iCs w:val="0"/>
                <w:color w:val="auto"/>
                <w:highlight w:val="none"/>
              </w:rPr>
              <w:t>…………</w:t>
            </w:r>
          </w:p>
        </w:tc>
        <w:tc>
          <w:tcPr>
            <w:tcW w:w="913" w:type="pct"/>
            <w:vAlign w:val="center"/>
          </w:tcPr>
          <w:p w14:paraId="6EC8C4F3">
            <w:pPr>
              <w:pStyle w:val="52"/>
              <w:jc w:val="center"/>
              <w:rPr>
                <w:i w:val="0"/>
                <w:iCs w:val="0"/>
                <w:color w:val="auto"/>
                <w:highlight w:val="none"/>
              </w:rPr>
            </w:pPr>
            <w:r>
              <w:rPr>
                <w:rFonts w:hint="eastAsia"/>
                <w:i w:val="0"/>
                <w:iCs w:val="0"/>
                <w:color w:val="auto"/>
                <w:highlight w:val="none"/>
              </w:rPr>
              <w:t>………………</w:t>
            </w:r>
          </w:p>
        </w:tc>
        <w:tc>
          <w:tcPr>
            <w:tcW w:w="1200" w:type="pct"/>
            <w:vAlign w:val="center"/>
          </w:tcPr>
          <w:p w14:paraId="59EB3DF9">
            <w:pPr>
              <w:pStyle w:val="52"/>
              <w:jc w:val="center"/>
              <w:rPr>
                <w:i w:val="0"/>
                <w:iCs w:val="0"/>
                <w:color w:val="auto"/>
                <w:highlight w:val="none"/>
              </w:rPr>
            </w:pPr>
            <w:r>
              <w:rPr>
                <w:rFonts w:hint="eastAsia"/>
                <w:i w:val="0"/>
                <w:iCs w:val="0"/>
                <w:color w:val="auto"/>
                <w:highlight w:val="none"/>
              </w:rPr>
              <w:t>…………</w:t>
            </w:r>
          </w:p>
        </w:tc>
        <w:tc>
          <w:tcPr>
            <w:tcW w:w="1200" w:type="pct"/>
            <w:vAlign w:val="center"/>
          </w:tcPr>
          <w:p w14:paraId="1BF96619">
            <w:pPr>
              <w:pStyle w:val="52"/>
              <w:jc w:val="center"/>
              <w:rPr>
                <w:i w:val="0"/>
                <w:iCs w:val="0"/>
                <w:color w:val="auto"/>
                <w:highlight w:val="none"/>
              </w:rPr>
            </w:pPr>
          </w:p>
        </w:tc>
      </w:tr>
    </w:tbl>
    <w:p w14:paraId="2D6CE221">
      <w:pPr>
        <w:ind w:firstLine="420" w:firstLineChars="200"/>
        <w:rPr>
          <w:rFonts w:hint="eastAsia" w:cs="仿宋_GB2312"/>
          <w:i w:val="0"/>
          <w:iCs w:val="0"/>
          <w:color w:val="auto"/>
          <w:sz w:val="21"/>
          <w:szCs w:val="21"/>
          <w:highlight w:val="none"/>
        </w:rPr>
      </w:pPr>
    </w:p>
    <w:p w14:paraId="2B5EBACC">
      <w:pPr>
        <w:ind w:firstLine="420" w:firstLineChars="200"/>
        <w:rPr>
          <w:rFonts w:cs="仿宋_GB2312"/>
          <w:i w:val="0"/>
          <w:iCs w:val="0"/>
          <w:color w:val="auto"/>
          <w:sz w:val="21"/>
          <w:szCs w:val="21"/>
          <w:highlight w:val="none"/>
        </w:rPr>
      </w:pPr>
      <w:r>
        <w:rPr>
          <w:rFonts w:hint="eastAsia" w:cs="仿宋_GB2312"/>
          <w:i w:val="0"/>
          <w:iCs w:val="0"/>
          <w:color w:val="auto"/>
          <w:sz w:val="21"/>
          <w:szCs w:val="21"/>
          <w:highlight w:val="none"/>
        </w:rPr>
        <w:t>说明：</w:t>
      </w:r>
      <w:r>
        <w:rPr>
          <w:rFonts w:hint="eastAsia" w:cs="仿宋_GB2312"/>
          <w:i w:val="0"/>
          <w:iCs w:val="0"/>
          <w:color w:val="auto"/>
          <w:sz w:val="21"/>
          <w:szCs w:val="21"/>
          <w:highlight w:val="none"/>
          <w:lang w:val="en-US" w:eastAsia="zh-CN"/>
        </w:rPr>
        <w:t>供应商</w:t>
      </w:r>
      <w:r>
        <w:rPr>
          <w:rFonts w:hint="eastAsia" w:cs="仿宋_GB2312"/>
          <w:i w:val="0"/>
          <w:iCs w:val="0"/>
          <w:color w:val="auto"/>
          <w:sz w:val="21"/>
          <w:szCs w:val="21"/>
          <w:highlight w:val="none"/>
        </w:rPr>
        <w:t>应按照</w:t>
      </w:r>
      <w:r>
        <w:rPr>
          <w:rFonts w:hint="eastAsia"/>
          <w:i w:val="0"/>
          <w:iCs w:val="0"/>
          <w:color w:val="auto"/>
          <w:sz w:val="21"/>
          <w:szCs w:val="21"/>
          <w:highlight w:val="none"/>
          <w:lang w:val="en-US" w:eastAsia="zh-CN"/>
        </w:rPr>
        <w:t>竞争性磋商</w:t>
      </w:r>
      <w:r>
        <w:rPr>
          <w:rFonts w:hint="eastAsia" w:cs="仿宋_GB2312"/>
          <w:i w:val="0"/>
          <w:iCs w:val="0"/>
          <w:color w:val="auto"/>
          <w:sz w:val="21"/>
          <w:szCs w:val="21"/>
          <w:highlight w:val="none"/>
        </w:rPr>
        <w:t xml:space="preserve">文件“第三章 </w:t>
      </w:r>
      <w:r>
        <w:rPr>
          <w:rFonts w:hint="eastAsia" w:cs="仿宋_GB2312"/>
          <w:i w:val="0"/>
          <w:iCs w:val="0"/>
          <w:color w:val="auto"/>
          <w:sz w:val="21"/>
          <w:szCs w:val="21"/>
          <w:highlight w:val="none"/>
          <w:lang w:val="en-US" w:eastAsia="zh-CN"/>
        </w:rPr>
        <w:t>项目</w:t>
      </w:r>
      <w:r>
        <w:rPr>
          <w:rFonts w:hint="eastAsia" w:cs="仿宋_GB2312"/>
          <w:i w:val="0"/>
          <w:iCs w:val="0"/>
          <w:color w:val="auto"/>
          <w:sz w:val="21"/>
          <w:szCs w:val="21"/>
          <w:highlight w:val="none"/>
        </w:rPr>
        <w:t>采购需求</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中的</w:t>
      </w:r>
      <w:r>
        <w:rPr>
          <w:rFonts w:hint="eastAsia" w:cs="仿宋_GB2312"/>
          <w:i w:val="0"/>
          <w:iCs w:val="0"/>
          <w:color w:val="auto"/>
          <w:sz w:val="21"/>
          <w:szCs w:val="21"/>
          <w:highlight w:val="none"/>
        </w:rPr>
        <w:t>技术要求填写</w:t>
      </w:r>
      <w:r>
        <w:rPr>
          <w:rFonts w:hint="eastAsia" w:cs="仿宋_GB2312"/>
          <w:i w:val="0"/>
          <w:iCs w:val="0"/>
          <w:color w:val="auto"/>
          <w:sz w:val="21"/>
          <w:szCs w:val="21"/>
          <w:highlight w:val="none"/>
          <w:lang w:eastAsia="zh-CN"/>
        </w:rPr>
        <w:t>，</w:t>
      </w:r>
      <w:r>
        <w:rPr>
          <w:rFonts w:hint="eastAsia" w:cs="仿宋_GB2312"/>
          <w:i w:val="0"/>
          <w:iCs w:val="0"/>
          <w:color w:val="auto"/>
          <w:sz w:val="21"/>
          <w:szCs w:val="21"/>
          <w:highlight w:val="none"/>
          <w:lang w:val="en-US" w:eastAsia="zh-CN"/>
        </w:rPr>
        <w:t>“响应/正偏离/负偏离”应据实填写“响应”、“正偏离”或“负偏离”</w:t>
      </w:r>
      <w:r>
        <w:rPr>
          <w:rFonts w:hint="eastAsia" w:cs="仿宋_GB2312"/>
          <w:i w:val="0"/>
          <w:iCs w:val="0"/>
          <w:color w:val="auto"/>
          <w:sz w:val="21"/>
          <w:szCs w:val="21"/>
          <w:highlight w:val="none"/>
        </w:rPr>
        <w:t>。</w:t>
      </w:r>
    </w:p>
    <w:p w14:paraId="12AEBD40">
      <w:pPr>
        <w:ind w:firstLine="480" w:firstLineChars="200"/>
        <w:rPr>
          <w:rFonts w:cs="仿宋_GB2312"/>
          <w:i w:val="0"/>
          <w:iCs w:val="0"/>
          <w:color w:val="auto"/>
          <w:szCs w:val="24"/>
          <w:highlight w:val="none"/>
        </w:rPr>
      </w:pPr>
    </w:p>
    <w:p w14:paraId="21BED63F">
      <w:pPr>
        <w:ind w:right="1008" w:firstLine="4284" w:firstLineChars="1700"/>
        <w:rPr>
          <w:rFonts w:cs="宋体"/>
          <w:i w:val="0"/>
          <w:iCs w:val="0"/>
          <w:color w:val="auto"/>
          <w:spacing w:val="6"/>
          <w:szCs w:val="24"/>
          <w:highlight w:val="none"/>
        </w:rPr>
      </w:pPr>
      <w:r>
        <w:rPr>
          <w:rFonts w:hint="eastAsia" w:cs="宋体"/>
          <w:i w:val="0"/>
          <w:iCs w:val="0"/>
          <w:color w:val="auto"/>
          <w:spacing w:val="6"/>
          <w:szCs w:val="24"/>
          <w:highlight w:val="none"/>
          <w:lang w:val="en-US" w:eastAsia="zh-CN"/>
        </w:rPr>
        <w:t>供应商</w:t>
      </w:r>
      <w:r>
        <w:rPr>
          <w:rFonts w:hint="eastAsia" w:cs="宋体"/>
          <w:i w:val="0"/>
          <w:iCs w:val="0"/>
          <w:color w:val="auto"/>
          <w:spacing w:val="6"/>
          <w:szCs w:val="24"/>
          <w:highlight w:val="none"/>
        </w:rPr>
        <w:t>名称</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lang w:val="en-US" w:eastAsia="zh-CN"/>
        </w:rPr>
        <w:t>公章</w:t>
      </w:r>
      <w:r>
        <w:rPr>
          <w:rFonts w:hint="eastAsia" w:cs="宋体"/>
          <w:i w:val="0"/>
          <w:iCs w:val="0"/>
          <w:color w:val="auto"/>
          <w:spacing w:val="6"/>
          <w:szCs w:val="24"/>
          <w:highlight w:val="none"/>
          <w:lang w:eastAsia="zh-CN"/>
        </w:rPr>
        <w:t>）</w:t>
      </w:r>
      <w:r>
        <w:rPr>
          <w:rFonts w:hint="eastAsia" w:cs="宋体"/>
          <w:i w:val="0"/>
          <w:iCs w:val="0"/>
          <w:color w:val="auto"/>
          <w:spacing w:val="6"/>
          <w:szCs w:val="24"/>
          <w:highlight w:val="none"/>
        </w:rPr>
        <w:t>：</w:t>
      </w:r>
    </w:p>
    <w:p w14:paraId="74B913A4">
      <w:pPr>
        <w:ind w:right="1008" w:firstLine="4284" w:firstLineChars="1700"/>
        <w:rPr>
          <w:rFonts w:hint="default" w:eastAsia="宋体" w:cs="宋体"/>
          <w:i w:val="0"/>
          <w:iCs w:val="0"/>
          <w:color w:val="auto"/>
          <w:spacing w:val="6"/>
          <w:szCs w:val="24"/>
          <w:highlight w:val="none"/>
          <w:lang w:val="en-US" w:eastAsia="zh-CN"/>
        </w:rPr>
      </w:pPr>
      <w:r>
        <w:rPr>
          <w:rFonts w:hint="eastAsia" w:cs="宋体"/>
          <w:i w:val="0"/>
          <w:iCs w:val="0"/>
          <w:color w:val="auto"/>
          <w:spacing w:val="6"/>
          <w:szCs w:val="24"/>
          <w:highlight w:val="none"/>
        </w:rPr>
        <w:t>日期：</w:t>
      </w:r>
      <w:r>
        <w:rPr>
          <w:rFonts w:hint="eastAsia" w:cs="宋体"/>
          <w:i w:val="0"/>
          <w:iCs w:val="0"/>
          <w:color w:val="auto"/>
          <w:spacing w:val="6"/>
          <w:szCs w:val="24"/>
          <w:highlight w:val="none"/>
          <w:lang w:val="en-US" w:eastAsia="zh-CN"/>
        </w:rPr>
        <w:t xml:space="preserve">   年  月  日</w:t>
      </w:r>
    </w:p>
    <w:p w14:paraId="20290568">
      <w:pPr>
        <w:ind w:firstLine="420"/>
        <w:rPr>
          <w:rFonts w:hint="eastAsia" w:cs="仿宋_GB2312"/>
          <w:i w:val="0"/>
          <w:iCs w:val="0"/>
          <w:color w:val="auto"/>
          <w:szCs w:val="24"/>
          <w:highlight w:val="none"/>
          <w:lang w:val="en-US" w:eastAsia="zh-CN"/>
        </w:rPr>
      </w:pPr>
    </w:p>
    <w:p w14:paraId="1B34CEFE">
      <w:pPr>
        <w:ind w:firstLine="420"/>
        <w:rPr>
          <w:rFonts w:cs="仿宋_GB2312"/>
          <w:i w:val="0"/>
          <w:iCs w:val="0"/>
          <w:color w:val="auto"/>
          <w:sz w:val="21"/>
          <w:szCs w:val="21"/>
          <w:highlight w:val="none"/>
        </w:rPr>
      </w:pPr>
      <w:r>
        <w:rPr>
          <w:rFonts w:hint="eastAsia" w:cs="仿宋_GB2312"/>
          <w:i w:val="0"/>
          <w:iCs w:val="0"/>
          <w:color w:val="auto"/>
          <w:sz w:val="21"/>
          <w:szCs w:val="21"/>
          <w:highlight w:val="none"/>
          <w:lang w:val="en-US" w:eastAsia="zh-CN"/>
        </w:rPr>
        <w:t>备注：供应商在本表中须标注产品实际参数数值，照搬照抄采购文件参数、不注明实际数值者</w:t>
      </w:r>
      <w:r>
        <w:rPr>
          <w:rFonts w:hint="eastAsia" w:cs="仿宋_GB2312"/>
          <w:b/>
          <w:bCs/>
          <w:i w:val="0"/>
          <w:iCs w:val="0"/>
          <w:color w:val="auto"/>
          <w:sz w:val="21"/>
          <w:szCs w:val="21"/>
          <w:highlight w:val="none"/>
          <w:lang w:val="en-US" w:eastAsia="zh-CN"/>
        </w:rPr>
        <w:t>视为未响应</w:t>
      </w:r>
      <w:r>
        <w:rPr>
          <w:rFonts w:hint="eastAsia" w:cs="仿宋_GB2312"/>
          <w:i w:val="0"/>
          <w:iCs w:val="0"/>
          <w:color w:val="auto"/>
          <w:sz w:val="21"/>
          <w:szCs w:val="21"/>
          <w:highlight w:val="none"/>
          <w:lang w:val="en-US" w:eastAsia="zh-CN"/>
        </w:rPr>
        <w:t>。</w:t>
      </w:r>
      <w:r>
        <w:rPr>
          <w:rFonts w:cs="仿宋_GB2312"/>
          <w:i w:val="0"/>
          <w:iCs w:val="0"/>
          <w:color w:val="auto"/>
          <w:sz w:val="21"/>
          <w:szCs w:val="21"/>
          <w:highlight w:val="none"/>
        </w:rPr>
        <w:br w:type="page"/>
      </w:r>
    </w:p>
    <w:p w14:paraId="0063359F">
      <w:pPr>
        <w:pStyle w:val="21"/>
        <w:spacing w:line="360" w:lineRule="auto"/>
        <w:jc w:val="center"/>
        <w:rPr>
          <w:rFonts w:hint="eastAsia" w:ascii="方正小标宋_GBK" w:hAnsi="方正小标宋_GBK" w:eastAsia="方正小标宋_GBK" w:cs="方正小标宋_GBK"/>
          <w:bCs/>
          <w:i w:val="0"/>
          <w:iCs w:val="0"/>
          <w:color w:val="auto"/>
          <w:sz w:val="36"/>
          <w:szCs w:val="36"/>
          <w:highlight w:val="none"/>
          <w:lang w:val="en-US" w:eastAsia="zh-CN"/>
        </w:rPr>
      </w:pPr>
    </w:p>
    <w:p w14:paraId="06C98EB9">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47" w:name="_Toc6568"/>
      <w:r>
        <w:rPr>
          <w:rFonts w:hint="eastAsia" w:cstheme="majorBidi"/>
          <w:b/>
          <w:bCs/>
          <w:i w:val="0"/>
          <w:iCs w:val="0"/>
          <w:color w:val="auto"/>
          <w:kern w:val="2"/>
          <w:sz w:val="32"/>
          <w:szCs w:val="32"/>
          <w:highlight w:val="none"/>
          <w:lang w:val="en-US" w:eastAsia="zh-CN" w:bidi="ar-SA"/>
        </w:rPr>
        <w:t>十</w:t>
      </w:r>
      <w:r>
        <w:rPr>
          <w:rFonts w:hint="eastAsia" w:eastAsia="宋体" w:asciiTheme="majorHAnsi" w:hAnsiTheme="majorHAnsi" w:cstheme="majorBidi"/>
          <w:b/>
          <w:bCs/>
          <w:i w:val="0"/>
          <w:iCs w:val="0"/>
          <w:color w:val="auto"/>
          <w:kern w:val="2"/>
          <w:sz w:val="32"/>
          <w:szCs w:val="32"/>
          <w:highlight w:val="none"/>
          <w:lang w:val="en-US" w:eastAsia="zh-CN" w:bidi="ar-SA"/>
        </w:rPr>
        <w:t>、技术方案</w:t>
      </w:r>
      <w:bookmarkEnd w:id="747"/>
    </w:p>
    <w:p w14:paraId="3878D3F5">
      <w:pPr>
        <w:pStyle w:val="41"/>
        <w:rPr>
          <w:i w:val="0"/>
          <w:iCs w:val="0"/>
          <w:color w:val="auto"/>
          <w:highlight w:val="none"/>
        </w:rPr>
      </w:pPr>
      <w:r>
        <w:rPr>
          <w:rFonts w:hint="eastAsia"/>
          <w:i w:val="0"/>
          <w:iCs w:val="0"/>
          <w:color w:val="auto"/>
          <w:highlight w:val="none"/>
          <w:lang w:val="en-US" w:eastAsia="zh-CN"/>
        </w:rPr>
        <w:t>供应商</w:t>
      </w:r>
      <w:r>
        <w:rPr>
          <w:rFonts w:hint="eastAsia"/>
          <w:i w:val="0"/>
          <w:iCs w:val="0"/>
          <w:color w:val="auto"/>
          <w:highlight w:val="none"/>
        </w:rPr>
        <w:t>应按照</w:t>
      </w:r>
      <w:r>
        <w:rPr>
          <w:rFonts w:hint="eastAsia"/>
          <w:i w:val="0"/>
          <w:iCs w:val="0"/>
          <w:color w:val="auto"/>
          <w:highlight w:val="none"/>
          <w:lang w:val="en-US" w:eastAsia="zh-CN"/>
        </w:rPr>
        <w:t>竞争性磋商</w:t>
      </w:r>
      <w:r>
        <w:rPr>
          <w:rFonts w:hint="eastAsia"/>
          <w:i w:val="0"/>
          <w:iCs w:val="0"/>
          <w:color w:val="auto"/>
          <w:highlight w:val="none"/>
        </w:rPr>
        <w:t>文件的要求，提供详细的服务方案，包括文字描述或图表显示。格式自拟。</w:t>
      </w:r>
    </w:p>
    <w:p w14:paraId="7EE77353">
      <w:pPr>
        <w:pStyle w:val="41"/>
        <w:rPr>
          <w:i w:val="0"/>
          <w:iCs w:val="0"/>
          <w:color w:val="auto"/>
          <w:highlight w:val="none"/>
        </w:rPr>
      </w:pPr>
      <w:r>
        <w:rPr>
          <w:i w:val="0"/>
          <w:iCs w:val="0"/>
          <w:color w:val="auto"/>
          <w:highlight w:val="none"/>
        </w:rPr>
        <w:br w:type="page"/>
      </w:r>
    </w:p>
    <w:p w14:paraId="7AD86D6F">
      <w:pPr>
        <w:pStyle w:val="21"/>
        <w:spacing w:line="360" w:lineRule="auto"/>
        <w:jc w:val="center"/>
        <w:rPr>
          <w:rFonts w:hint="eastAsia" w:cstheme="minorBidi"/>
          <w:b/>
          <w:bCs/>
          <w:i w:val="0"/>
          <w:iCs w:val="0"/>
          <w:color w:val="auto"/>
          <w:kern w:val="2"/>
          <w:sz w:val="44"/>
          <w:szCs w:val="44"/>
          <w:highlight w:val="none"/>
          <w:lang w:val="en-US" w:eastAsia="zh-CN" w:bidi="ar-SA"/>
        </w:rPr>
      </w:pPr>
    </w:p>
    <w:p w14:paraId="68D392B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748" w:name="_Toc8520"/>
      <w:r>
        <w:rPr>
          <w:rFonts w:hint="eastAsia" w:eastAsia="宋体" w:asciiTheme="majorHAnsi" w:hAnsiTheme="majorHAnsi" w:cstheme="majorBidi"/>
          <w:b/>
          <w:bCs/>
          <w:i w:val="0"/>
          <w:iCs w:val="0"/>
          <w:color w:val="auto"/>
          <w:kern w:val="2"/>
          <w:sz w:val="32"/>
          <w:szCs w:val="32"/>
          <w:highlight w:val="none"/>
          <w:lang w:val="en-US" w:eastAsia="zh-CN" w:bidi="ar-SA"/>
        </w:rPr>
        <w:t>十</w:t>
      </w:r>
      <w:r>
        <w:rPr>
          <w:rFonts w:hint="eastAsia" w:cstheme="majorBidi"/>
          <w:b/>
          <w:bCs/>
          <w:i w:val="0"/>
          <w:iCs w:val="0"/>
          <w:color w:val="auto"/>
          <w:kern w:val="2"/>
          <w:sz w:val="32"/>
          <w:szCs w:val="32"/>
          <w:highlight w:val="none"/>
          <w:lang w:val="en-US" w:eastAsia="zh-CN" w:bidi="ar-SA"/>
        </w:rPr>
        <w:t>一</w:t>
      </w:r>
      <w:r>
        <w:rPr>
          <w:rFonts w:hint="eastAsia" w:eastAsia="宋体" w:asciiTheme="majorHAnsi" w:hAnsiTheme="majorHAnsi" w:cstheme="majorBidi"/>
          <w:b/>
          <w:bCs/>
          <w:i w:val="0"/>
          <w:iCs w:val="0"/>
          <w:color w:val="auto"/>
          <w:kern w:val="2"/>
          <w:sz w:val="32"/>
          <w:szCs w:val="32"/>
          <w:highlight w:val="none"/>
          <w:lang w:val="en-US" w:eastAsia="zh-CN" w:bidi="ar-SA"/>
        </w:rPr>
        <w:t>、其他文件</w:t>
      </w:r>
      <w:bookmarkEnd w:id="748"/>
    </w:p>
    <w:p w14:paraId="6EF40482">
      <w:pPr>
        <w:pStyle w:val="41"/>
        <w:ind w:left="0" w:leftChars="0" w:firstLine="0" w:firstLineChars="0"/>
        <w:rPr>
          <w:rFonts w:hint="eastAsia"/>
          <w:b/>
          <w:bCs/>
          <w:i w:val="0"/>
          <w:iCs w:val="0"/>
          <w:color w:val="auto"/>
          <w:sz w:val="24"/>
          <w:szCs w:val="24"/>
          <w:highlight w:val="none"/>
          <w:shd w:val="clear" w:color="auto" w:fill="FFFFFF" w:themeFill="background1"/>
          <w:lang w:val="zh-CN" w:eastAsia="zh-CN"/>
        </w:rPr>
      </w:pPr>
      <w:r>
        <w:rPr>
          <w:rFonts w:hint="eastAsia"/>
          <w:b/>
          <w:bCs/>
          <w:i w:val="0"/>
          <w:iCs w:val="0"/>
          <w:color w:val="auto"/>
          <w:sz w:val="24"/>
          <w:szCs w:val="24"/>
          <w:highlight w:val="none"/>
          <w:shd w:val="clear" w:color="auto" w:fill="FFFFFF" w:themeFill="background1"/>
          <w:lang w:val="en-US" w:eastAsia="zh-CN"/>
        </w:rPr>
        <w:t>（一）竞争性磋商</w:t>
      </w:r>
      <w:r>
        <w:rPr>
          <w:rFonts w:hint="eastAsia"/>
          <w:b/>
          <w:bCs/>
          <w:i w:val="0"/>
          <w:iCs w:val="0"/>
          <w:color w:val="auto"/>
          <w:sz w:val="24"/>
          <w:szCs w:val="24"/>
          <w:highlight w:val="none"/>
          <w:shd w:val="clear" w:color="auto" w:fill="FFFFFF" w:themeFill="background1"/>
          <w:lang w:val="zh-CN" w:eastAsia="zh-CN"/>
        </w:rPr>
        <w:t>文件要求提供的其它商务、技术资料和证明材料；</w:t>
      </w:r>
    </w:p>
    <w:p w14:paraId="5BCBA614">
      <w:pPr>
        <w:pStyle w:val="41"/>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1.1供应商信息采集表</w:t>
      </w:r>
    </w:p>
    <w:tbl>
      <w:tblPr>
        <w:tblStyle w:val="36"/>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137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3196CBA4">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供应商名称</w:t>
            </w:r>
          </w:p>
        </w:tc>
        <w:tc>
          <w:tcPr>
            <w:tcW w:w="2841" w:type="dxa"/>
            <w:vAlign w:val="center"/>
          </w:tcPr>
          <w:p w14:paraId="0A245F67">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供应商实际控制人性别</w:t>
            </w:r>
          </w:p>
        </w:tc>
        <w:tc>
          <w:tcPr>
            <w:tcW w:w="2743" w:type="dxa"/>
            <w:vAlign w:val="center"/>
          </w:tcPr>
          <w:p w14:paraId="2F9738CA">
            <w:pPr>
              <w:keepNext w:val="0"/>
              <w:keepLines w:val="0"/>
              <w:widowControl/>
              <w:suppressLineNumbers w:val="0"/>
              <w:jc w:val="center"/>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lang w:val="en-US" w:eastAsia="zh-CN" w:bidi="ar"/>
              </w:rPr>
              <w:t>外商投资类型</w:t>
            </w:r>
          </w:p>
        </w:tc>
      </w:tr>
      <w:tr w14:paraId="5856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27D4B37">
            <w:pPr>
              <w:pStyle w:val="41"/>
              <w:rPr>
                <w:rFonts w:hint="eastAsia" w:ascii="宋体" w:hAnsi="宋体" w:eastAsia="宋体" w:cs="宋体"/>
                <w:i w:val="0"/>
                <w:iCs w:val="0"/>
                <w:color w:val="auto"/>
                <w:sz w:val="24"/>
                <w:szCs w:val="24"/>
                <w:highlight w:val="none"/>
                <w:vertAlign w:val="baseline"/>
                <w:lang w:val="en-US" w:eastAsia="zh-CN"/>
              </w:rPr>
            </w:pPr>
          </w:p>
        </w:tc>
        <w:tc>
          <w:tcPr>
            <w:tcW w:w="2841" w:type="dxa"/>
          </w:tcPr>
          <w:p w14:paraId="77A19329">
            <w:pPr>
              <w:pStyle w:val="41"/>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22EC6E5">
            <w:pPr>
              <w:pStyle w:val="41"/>
              <w:rPr>
                <w:rFonts w:hint="eastAsia" w:ascii="宋体" w:hAnsi="宋体" w:eastAsia="宋体" w:cs="宋体"/>
                <w:i w:val="0"/>
                <w:iCs w:val="0"/>
                <w:color w:val="auto"/>
                <w:sz w:val="24"/>
                <w:szCs w:val="24"/>
                <w:highlight w:val="none"/>
                <w:vertAlign w:val="baseline"/>
                <w:lang w:val="en-US" w:eastAsia="zh-CN"/>
              </w:rPr>
            </w:pPr>
          </w:p>
        </w:tc>
      </w:tr>
      <w:tr w14:paraId="68AB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4F23B295">
            <w:pPr>
              <w:pStyle w:val="41"/>
              <w:rPr>
                <w:rFonts w:hint="eastAsia" w:ascii="宋体" w:hAnsi="宋体" w:eastAsia="宋体" w:cs="宋体"/>
                <w:i w:val="0"/>
                <w:iCs w:val="0"/>
                <w:color w:val="auto"/>
                <w:sz w:val="24"/>
                <w:szCs w:val="24"/>
                <w:highlight w:val="none"/>
                <w:vertAlign w:val="baseline"/>
                <w:lang w:val="en-US" w:eastAsia="zh-CN"/>
              </w:rPr>
            </w:pPr>
          </w:p>
        </w:tc>
        <w:tc>
          <w:tcPr>
            <w:tcW w:w="2841" w:type="dxa"/>
          </w:tcPr>
          <w:p w14:paraId="111EECCF">
            <w:pPr>
              <w:pStyle w:val="41"/>
              <w:rPr>
                <w:rFonts w:hint="eastAsia" w:ascii="宋体" w:hAnsi="宋体" w:eastAsia="宋体" w:cs="宋体"/>
                <w:i w:val="0"/>
                <w:iCs w:val="0"/>
                <w:color w:val="auto"/>
                <w:sz w:val="24"/>
                <w:szCs w:val="24"/>
                <w:highlight w:val="none"/>
                <w:vertAlign w:val="baseline"/>
                <w:lang w:val="en-US" w:eastAsia="zh-CN"/>
              </w:rPr>
            </w:pPr>
          </w:p>
        </w:tc>
        <w:tc>
          <w:tcPr>
            <w:tcW w:w="2743" w:type="dxa"/>
          </w:tcPr>
          <w:p w14:paraId="4D2F0C95">
            <w:pPr>
              <w:pStyle w:val="41"/>
              <w:rPr>
                <w:rFonts w:hint="eastAsia" w:ascii="宋体" w:hAnsi="宋体" w:eastAsia="宋体" w:cs="宋体"/>
                <w:i w:val="0"/>
                <w:iCs w:val="0"/>
                <w:color w:val="auto"/>
                <w:sz w:val="24"/>
                <w:szCs w:val="24"/>
                <w:highlight w:val="none"/>
                <w:vertAlign w:val="baseline"/>
                <w:lang w:val="en-US" w:eastAsia="zh-CN"/>
              </w:rPr>
            </w:pPr>
          </w:p>
        </w:tc>
      </w:tr>
      <w:tr w14:paraId="475F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1F6D1198">
            <w:pPr>
              <w:pStyle w:val="41"/>
              <w:rPr>
                <w:rFonts w:hint="eastAsia" w:ascii="宋体" w:hAnsi="宋体" w:eastAsia="宋体" w:cs="宋体"/>
                <w:i w:val="0"/>
                <w:iCs w:val="0"/>
                <w:color w:val="auto"/>
                <w:sz w:val="24"/>
                <w:szCs w:val="24"/>
                <w:highlight w:val="none"/>
                <w:vertAlign w:val="baseline"/>
                <w:lang w:val="en-US" w:eastAsia="zh-CN"/>
              </w:rPr>
            </w:pPr>
          </w:p>
        </w:tc>
        <w:tc>
          <w:tcPr>
            <w:tcW w:w="2841" w:type="dxa"/>
          </w:tcPr>
          <w:p w14:paraId="55034FDC">
            <w:pPr>
              <w:pStyle w:val="41"/>
              <w:rPr>
                <w:rFonts w:hint="eastAsia" w:ascii="宋体" w:hAnsi="宋体" w:eastAsia="宋体" w:cs="宋体"/>
                <w:i w:val="0"/>
                <w:iCs w:val="0"/>
                <w:color w:val="auto"/>
                <w:sz w:val="24"/>
                <w:szCs w:val="24"/>
                <w:highlight w:val="none"/>
                <w:vertAlign w:val="baseline"/>
                <w:lang w:val="en-US" w:eastAsia="zh-CN"/>
              </w:rPr>
            </w:pPr>
          </w:p>
        </w:tc>
        <w:tc>
          <w:tcPr>
            <w:tcW w:w="2743" w:type="dxa"/>
          </w:tcPr>
          <w:p w14:paraId="68A92D99">
            <w:pPr>
              <w:pStyle w:val="41"/>
              <w:rPr>
                <w:rFonts w:hint="eastAsia" w:ascii="宋体" w:hAnsi="宋体" w:eastAsia="宋体" w:cs="宋体"/>
                <w:i w:val="0"/>
                <w:iCs w:val="0"/>
                <w:color w:val="auto"/>
                <w:sz w:val="24"/>
                <w:szCs w:val="24"/>
                <w:highlight w:val="none"/>
                <w:vertAlign w:val="baseline"/>
                <w:lang w:val="en-US" w:eastAsia="zh-CN"/>
              </w:rPr>
            </w:pPr>
          </w:p>
        </w:tc>
      </w:tr>
      <w:tr w14:paraId="0F1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509FCDF">
            <w:pPr>
              <w:pStyle w:val="41"/>
              <w:rPr>
                <w:rFonts w:hint="eastAsia" w:ascii="宋体" w:hAnsi="宋体" w:eastAsia="宋体" w:cs="宋体"/>
                <w:i w:val="0"/>
                <w:iCs w:val="0"/>
                <w:color w:val="auto"/>
                <w:sz w:val="24"/>
                <w:szCs w:val="24"/>
                <w:highlight w:val="none"/>
                <w:vertAlign w:val="baseline"/>
                <w:lang w:val="en-US" w:eastAsia="zh-CN"/>
              </w:rPr>
            </w:pPr>
          </w:p>
        </w:tc>
        <w:tc>
          <w:tcPr>
            <w:tcW w:w="2841" w:type="dxa"/>
          </w:tcPr>
          <w:p w14:paraId="07B43AD5">
            <w:pPr>
              <w:pStyle w:val="41"/>
              <w:rPr>
                <w:rFonts w:hint="eastAsia" w:ascii="宋体" w:hAnsi="宋体" w:eastAsia="宋体" w:cs="宋体"/>
                <w:i w:val="0"/>
                <w:iCs w:val="0"/>
                <w:color w:val="auto"/>
                <w:sz w:val="24"/>
                <w:szCs w:val="24"/>
                <w:highlight w:val="none"/>
                <w:vertAlign w:val="baseline"/>
                <w:lang w:val="en-US" w:eastAsia="zh-CN"/>
              </w:rPr>
            </w:pPr>
          </w:p>
        </w:tc>
        <w:tc>
          <w:tcPr>
            <w:tcW w:w="2743" w:type="dxa"/>
          </w:tcPr>
          <w:p w14:paraId="24661AD7">
            <w:pPr>
              <w:pStyle w:val="41"/>
              <w:rPr>
                <w:rFonts w:hint="eastAsia" w:ascii="宋体" w:hAnsi="宋体" w:eastAsia="宋体" w:cs="宋体"/>
                <w:i w:val="0"/>
                <w:iCs w:val="0"/>
                <w:color w:val="auto"/>
                <w:sz w:val="24"/>
                <w:szCs w:val="24"/>
                <w:highlight w:val="none"/>
                <w:vertAlign w:val="baseline"/>
                <w:lang w:val="en-US" w:eastAsia="zh-CN"/>
              </w:rPr>
            </w:pPr>
          </w:p>
        </w:tc>
      </w:tr>
    </w:tbl>
    <w:p w14:paraId="2D083952">
      <w:pPr>
        <w:keepNext w:val="0"/>
        <w:keepLines w:val="0"/>
        <w:widowControl/>
        <w:suppressLineNumbers w:val="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2.“供应商实际控制人性别”按供应商实际控制人性别划分请填写“男”或“女”，指拥有供应商 51%以上绝对所有权的性；绝对所有权拥有者可以是一个人，也可以是多人合计计算。</w:t>
      </w:r>
    </w:p>
    <w:p w14:paraId="6C85D95C">
      <w:pPr>
        <w:pStyle w:val="41"/>
        <w:ind w:left="0" w:leftChars="0"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bidi="ar"/>
        </w:rPr>
        <w:t>3.“外商投资类型”请填写“外商单独投资”、“外商部分投资”或“内资”。</w:t>
      </w:r>
    </w:p>
    <w:p w14:paraId="55FB009A">
      <w:pPr>
        <w:pStyle w:val="41"/>
        <w:rPr>
          <w:rFonts w:hint="eastAsia" w:ascii="宋体" w:hAnsi="宋体" w:eastAsia="宋体" w:cs="宋体"/>
          <w:i w:val="0"/>
          <w:iCs w:val="0"/>
          <w:color w:val="auto"/>
          <w:sz w:val="24"/>
          <w:szCs w:val="24"/>
          <w:highlight w:val="none"/>
          <w:lang w:val="en-US" w:eastAsia="zh-CN"/>
        </w:rPr>
      </w:pPr>
    </w:p>
    <w:p w14:paraId="2D6AF8D7">
      <w:pPr>
        <w:pStyle w:val="41"/>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1.2其它商务、技术资料和证明材料</w:t>
      </w:r>
    </w:p>
    <w:p w14:paraId="3A8E8E10">
      <w:pPr>
        <w:pStyle w:val="41"/>
        <w:rPr>
          <w:rFonts w:hint="default"/>
          <w:i w:val="0"/>
          <w:iCs w:val="0"/>
          <w:color w:val="auto"/>
          <w:sz w:val="28"/>
          <w:szCs w:val="28"/>
          <w:highlight w:val="none"/>
          <w:lang w:val="en-US" w:eastAsia="zh-CN"/>
        </w:rPr>
      </w:pPr>
    </w:p>
    <w:p w14:paraId="07564543">
      <w:pPr>
        <w:pStyle w:val="41"/>
        <w:ind w:left="0" w:leftChars="0" w:firstLine="0" w:firstLineChars="0"/>
        <w:rPr>
          <w:rFonts w:hint="eastAsia"/>
          <w:i w:val="0"/>
          <w:iCs w:val="0"/>
          <w:color w:val="auto"/>
          <w:highlight w:val="none"/>
        </w:rPr>
      </w:pPr>
      <w:r>
        <w:rPr>
          <w:rFonts w:hint="eastAsia"/>
          <w:b/>
          <w:bCs/>
          <w:i w:val="0"/>
          <w:iCs w:val="0"/>
          <w:color w:val="auto"/>
          <w:sz w:val="24"/>
          <w:szCs w:val="24"/>
          <w:highlight w:val="none"/>
          <w:shd w:val="clear" w:color="auto" w:fill="FFFFFF" w:themeFill="background1"/>
          <w:lang w:val="en-US" w:eastAsia="zh-CN"/>
        </w:rPr>
        <w:t>（二）供应商认为需要提供的其它商务、技术资料和说明。</w:t>
      </w:r>
    </w:p>
    <w:p w14:paraId="3352B805">
      <w:pPr>
        <w:pStyle w:val="41"/>
        <w:rPr>
          <w:rFonts w:hint="eastAsia"/>
          <w:i w:val="0"/>
          <w:iCs w:val="0"/>
          <w:color w:val="auto"/>
          <w:highlight w:val="none"/>
        </w:rPr>
      </w:pPr>
    </w:p>
    <w:p w14:paraId="19B7C1E0">
      <w:pPr>
        <w:pStyle w:val="41"/>
        <w:rPr>
          <w:rFonts w:hint="eastAsia"/>
          <w:i w:val="0"/>
          <w:iCs w:val="0"/>
          <w:color w:val="auto"/>
          <w:highlight w:val="none"/>
        </w:rPr>
      </w:pPr>
    </w:p>
    <w:bookmarkEnd w:id="666"/>
    <w:p w14:paraId="7CB0AFFA">
      <w:pPr>
        <w:rPr>
          <w:i w:val="0"/>
          <w:iCs w:val="0"/>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437"/>
                          </w:sdtPr>
                          <w:sdtContent>
                            <w:p w14:paraId="41EAE223">
                              <w:pPr>
                                <w:pStyle w:val="23"/>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54545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1437"/>
                    </w:sdtPr>
                    <w:sdtContent>
                      <w:p w14:paraId="41EAE223">
                        <w:pPr>
                          <w:pStyle w:val="23"/>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545459A"/>
                </w:txbxContent>
              </v:textbox>
            </v:shape>
          </w:pict>
        </mc:Fallback>
      </mc:AlternateContent>
    </w:r>
  </w:p>
  <w:p w14:paraId="23975237">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6791">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75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75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609"/>
                            <w:docPartObj>
                              <w:docPartGallery w:val="autotext"/>
                            </w:docPartObj>
                          </w:sdtPr>
                          <w:sdtContent>
                            <w:p w14:paraId="266F66E9">
                              <w:pPr>
                                <w:pStyle w:val="23"/>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EB12EA5"/>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3.9pt;mso-position-horizontal:center;mso-position-horizontal-relative:margin;z-index:251661312;mso-width-relative:page;mso-height-relative:page;" filled="f" stroked="f" coordsize="21600,21600" o:gfxdata="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Soy0wAAAAQBAAAPAAAAAAAAAAEAIAAAACIAAABkcnMvZG93bnJldi54&#10;bWxQSwECFAAUAAAACACHTuJASWkpcjgCAABiBAAADgAAAAAAAAABACAAAAAiAQAAZHJzL2Uyb0Rv&#10;Yy54bWxQSwUGAAAAAAYABgBZAQAAzAUAAAAA&#10;">
              <v:fill on="f" focussize="0,0"/>
              <v:stroke on="f" weight="0.5pt"/>
              <v:imagedata o:title=""/>
              <o:lock v:ext="edit" aspectratio="f"/>
              <v:textbox inset="0mm,0mm,0mm,0mm" style="mso-fit-shape-to-text:t;">
                <w:txbxContent>
                  <w:sdt>
                    <w:sdtPr>
                      <w:id w:val="147468609"/>
                      <w:docPartObj>
                        <w:docPartGallery w:val="autotext"/>
                      </w:docPartObj>
                    </w:sdtPr>
                    <w:sdtContent>
                      <w:p w14:paraId="266F66E9">
                        <w:pPr>
                          <w:pStyle w:val="23"/>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EB12EA5"/>
                </w:txbxContent>
              </v:textbox>
            </v:shape>
          </w:pict>
        </mc:Fallback>
      </mc:AlternateContent>
    </w:r>
  </w:p>
  <w:p w14:paraId="1D038EF8">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9182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18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23"/>
                            <w:keepNext w:val="0"/>
                            <w:keepLines w:val="0"/>
                            <w:pageBreakBefore w:val="0"/>
                            <w:widowControl w:val="0"/>
                            <w:kinsoku/>
                            <w:wordWrap/>
                            <w:overflowPunct/>
                            <w:topLinePunct w:val="0"/>
                            <w:bidi w:val="0"/>
                            <w:adjustRightInd/>
                            <w:snapToGrid w:val="0"/>
                            <w:spacing w:line="240" w:lineRule="auto"/>
                            <w:jc w:val="center"/>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6.6pt;mso-position-horizontal:center;mso-position-horizontal-relative:margin;z-index:251659264;mso-width-relative:page;mso-height-relative:page;" filled="f" stroked="f" coordsize="21600,21600" o:gfxdata="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buBX1AAAAAQBAAAPAAAAAAAAAAEAIAAAACIAAABkcnMvZG93bnJldi54&#10;bWxQSwECFAAUAAAACACHTuJAfXmvVzcCAABiBAAADgAAAAAAAAABACAAAAAjAQAAZHJzL2Uyb0Rv&#10;Yy54bWxQSwUGAAAAAAYABgBZAQAAzAUAAAAA&#10;">
              <v:fill on="f" focussize="0,0"/>
              <v:stroke on="f" weight="0.5pt"/>
              <v:imagedata o:title=""/>
              <o:lock v:ext="edit" aspectratio="f"/>
              <v:textbox inset="0mm,0mm,0mm,0mm" style="mso-fit-shape-to-text:t;">
                <w:txbxContent>
                  <w:p w14:paraId="313757FD">
                    <w:pPr>
                      <w:pStyle w:val="23"/>
                      <w:keepNext w:val="0"/>
                      <w:keepLines w:val="0"/>
                      <w:pageBreakBefore w:val="0"/>
                      <w:widowControl w:val="0"/>
                      <w:kinsoku/>
                      <w:wordWrap/>
                      <w:overflowPunct/>
                      <w:topLinePunct w:val="0"/>
                      <w:bidi w:val="0"/>
                      <w:adjustRightInd/>
                      <w:snapToGrid w:val="0"/>
                      <w:spacing w:line="240" w:lineRule="auto"/>
                      <w:jc w:val="center"/>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C037">
    <w:pPr>
      <w:pStyle w:val="24"/>
      <w:tabs>
        <w:tab w:val="left" w:pos="3120"/>
      </w:tabs>
      <w:spacing w:line="240" w:lineRule="auto"/>
      <w:jc w:val="right"/>
      <w:rPr>
        <w:sz w:val="18"/>
        <w:szCs w:val="18"/>
      </w:rPr>
    </w:pPr>
    <w:r>
      <w:rPr>
        <w:rFonts w:hint="eastAsia"/>
        <w:sz w:val="18"/>
        <w:szCs w:val="18"/>
        <w:lang w:val="en-US" w:eastAsia="zh-CN"/>
      </w:rPr>
      <w:t>兵团政府采购项目</w:t>
    </w:r>
    <w:r>
      <w:rPr>
        <w:rFonts w:hint="eastAsia"/>
        <w:sz w:val="18"/>
        <w:szCs w:val="18"/>
      </w:rPr>
      <w:t>竞争性磋商文件</w:t>
    </w:r>
    <w:r>
      <w:rPr>
        <w:rFonts w:hint="eastAsia"/>
        <w:sz w:val="18"/>
        <w:szCs w:val="18"/>
        <w:lang w:val="en-US" w:eastAsia="zh-CN"/>
      </w:rPr>
      <w:t>（服务）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4"/>
      <w:spacing w:line="240" w:lineRule="auto"/>
    </w:pPr>
    <w:r>
      <w:rPr>
        <w:rFonts w:hint="eastAsia"/>
        <w:sz w:val="24"/>
        <w:szCs w:val="24"/>
        <w:lang w:val="en-US" w:eastAsia="zh-CN"/>
      </w:rPr>
      <w:t xml:space="preserve">                                  </w:t>
    </w:r>
    <w:r>
      <w:rPr>
        <w:rFonts w:hint="eastAsia"/>
        <w:sz w:val="18"/>
        <w:szCs w:val="18"/>
        <w:lang w:val="en-US" w:eastAsia="zh-CN"/>
      </w:rPr>
      <w:t>兵团政府采购项目竞争性磋商</w:t>
    </w:r>
    <w:r>
      <w:rPr>
        <w:rFonts w:hint="eastAsia"/>
        <w:sz w:val="18"/>
        <w:szCs w:val="18"/>
      </w:rPr>
      <w:t>文件</w:t>
    </w:r>
    <w:r>
      <w:rPr>
        <w:rFonts w:hint="eastAsia"/>
        <w:sz w:val="18"/>
        <w:szCs w:val="18"/>
        <w:lang w:val="en-US" w:eastAsia="zh-CN"/>
      </w:rPr>
      <w:t>（服务）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6791"/>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6033"/>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566D5"/>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113D6B"/>
    <w:rsid w:val="011A5E25"/>
    <w:rsid w:val="01207B0A"/>
    <w:rsid w:val="012A118F"/>
    <w:rsid w:val="014F6641"/>
    <w:rsid w:val="01521C8D"/>
    <w:rsid w:val="01633E9B"/>
    <w:rsid w:val="0168325F"/>
    <w:rsid w:val="01A544B3"/>
    <w:rsid w:val="01AE3368"/>
    <w:rsid w:val="01D17056"/>
    <w:rsid w:val="021D673F"/>
    <w:rsid w:val="02557C87"/>
    <w:rsid w:val="02690376"/>
    <w:rsid w:val="02783976"/>
    <w:rsid w:val="028642E4"/>
    <w:rsid w:val="02B01361"/>
    <w:rsid w:val="02C72207"/>
    <w:rsid w:val="03096D43"/>
    <w:rsid w:val="0317318F"/>
    <w:rsid w:val="03305FFE"/>
    <w:rsid w:val="033923C2"/>
    <w:rsid w:val="033C49A3"/>
    <w:rsid w:val="035937A7"/>
    <w:rsid w:val="03693FA8"/>
    <w:rsid w:val="0387014A"/>
    <w:rsid w:val="03C54999"/>
    <w:rsid w:val="041B0A5C"/>
    <w:rsid w:val="04243DB5"/>
    <w:rsid w:val="047C774D"/>
    <w:rsid w:val="04842AA6"/>
    <w:rsid w:val="049802FF"/>
    <w:rsid w:val="04B0389B"/>
    <w:rsid w:val="04D56E5D"/>
    <w:rsid w:val="04DA4474"/>
    <w:rsid w:val="05191440"/>
    <w:rsid w:val="05214D81"/>
    <w:rsid w:val="053022E6"/>
    <w:rsid w:val="053B7608"/>
    <w:rsid w:val="056F2E0E"/>
    <w:rsid w:val="05816FE5"/>
    <w:rsid w:val="05834B0B"/>
    <w:rsid w:val="05A056BD"/>
    <w:rsid w:val="05AD3936"/>
    <w:rsid w:val="05B44CC5"/>
    <w:rsid w:val="05C07B0D"/>
    <w:rsid w:val="05C80770"/>
    <w:rsid w:val="05DB04A3"/>
    <w:rsid w:val="05E530D0"/>
    <w:rsid w:val="064C13A1"/>
    <w:rsid w:val="065B3392"/>
    <w:rsid w:val="06874187"/>
    <w:rsid w:val="069C40D7"/>
    <w:rsid w:val="06A20FC1"/>
    <w:rsid w:val="06A411DD"/>
    <w:rsid w:val="06C07699"/>
    <w:rsid w:val="070E75E1"/>
    <w:rsid w:val="07577FFE"/>
    <w:rsid w:val="076B1CFB"/>
    <w:rsid w:val="07B0770E"/>
    <w:rsid w:val="07B436A2"/>
    <w:rsid w:val="07C47C51"/>
    <w:rsid w:val="07C531B9"/>
    <w:rsid w:val="07CA07CF"/>
    <w:rsid w:val="07CB4548"/>
    <w:rsid w:val="08027530"/>
    <w:rsid w:val="080D4B60"/>
    <w:rsid w:val="081952B3"/>
    <w:rsid w:val="082425D6"/>
    <w:rsid w:val="083C3D2C"/>
    <w:rsid w:val="08510EF1"/>
    <w:rsid w:val="086230FE"/>
    <w:rsid w:val="0865499C"/>
    <w:rsid w:val="08716E9D"/>
    <w:rsid w:val="08766BA9"/>
    <w:rsid w:val="088272FC"/>
    <w:rsid w:val="088C3CD7"/>
    <w:rsid w:val="08AA23AF"/>
    <w:rsid w:val="08BA08C0"/>
    <w:rsid w:val="08BA0C01"/>
    <w:rsid w:val="08BB45BC"/>
    <w:rsid w:val="08D51B22"/>
    <w:rsid w:val="08E81CF0"/>
    <w:rsid w:val="08FA6E92"/>
    <w:rsid w:val="092403B3"/>
    <w:rsid w:val="092C1016"/>
    <w:rsid w:val="094C3466"/>
    <w:rsid w:val="095567BF"/>
    <w:rsid w:val="09A82D92"/>
    <w:rsid w:val="09B07E99"/>
    <w:rsid w:val="09CD45A7"/>
    <w:rsid w:val="09D122E9"/>
    <w:rsid w:val="09FC4E8C"/>
    <w:rsid w:val="0A73514E"/>
    <w:rsid w:val="0A7F7F97"/>
    <w:rsid w:val="0A912C71"/>
    <w:rsid w:val="0A9E7CF1"/>
    <w:rsid w:val="0AA479FE"/>
    <w:rsid w:val="0AC0235E"/>
    <w:rsid w:val="0ACC485F"/>
    <w:rsid w:val="0ADA3F4C"/>
    <w:rsid w:val="0ADF27E4"/>
    <w:rsid w:val="0AF82734"/>
    <w:rsid w:val="0B0E131B"/>
    <w:rsid w:val="0B116715"/>
    <w:rsid w:val="0B2B5A29"/>
    <w:rsid w:val="0B48482D"/>
    <w:rsid w:val="0B5A00BC"/>
    <w:rsid w:val="0B5C3E34"/>
    <w:rsid w:val="0B9C6927"/>
    <w:rsid w:val="0BBF61BC"/>
    <w:rsid w:val="0BCB5C52"/>
    <w:rsid w:val="0BD460C1"/>
    <w:rsid w:val="0BE300B2"/>
    <w:rsid w:val="0BE856C8"/>
    <w:rsid w:val="0C01370B"/>
    <w:rsid w:val="0C01678A"/>
    <w:rsid w:val="0C085D6A"/>
    <w:rsid w:val="0C193AD3"/>
    <w:rsid w:val="0C483CD8"/>
    <w:rsid w:val="0C7B29E0"/>
    <w:rsid w:val="0C7D22B4"/>
    <w:rsid w:val="0C807FF6"/>
    <w:rsid w:val="0C9D4705"/>
    <w:rsid w:val="0CA912FB"/>
    <w:rsid w:val="0CD45BD6"/>
    <w:rsid w:val="0D166CFD"/>
    <w:rsid w:val="0D2C7836"/>
    <w:rsid w:val="0D896A37"/>
    <w:rsid w:val="0D8C18C1"/>
    <w:rsid w:val="0DA85BF2"/>
    <w:rsid w:val="0DB00467"/>
    <w:rsid w:val="0DDA3736"/>
    <w:rsid w:val="0DF42353"/>
    <w:rsid w:val="0E0013EF"/>
    <w:rsid w:val="0E012A71"/>
    <w:rsid w:val="0E1C3D4F"/>
    <w:rsid w:val="0E2B3F92"/>
    <w:rsid w:val="0E4532A6"/>
    <w:rsid w:val="0E8B67DF"/>
    <w:rsid w:val="0EC37B54"/>
    <w:rsid w:val="0EDB32C2"/>
    <w:rsid w:val="0EDB7766"/>
    <w:rsid w:val="0EE773CD"/>
    <w:rsid w:val="0EEF3211"/>
    <w:rsid w:val="0EF3685E"/>
    <w:rsid w:val="0EFB1BB6"/>
    <w:rsid w:val="0F1C6324"/>
    <w:rsid w:val="0F29227F"/>
    <w:rsid w:val="0F4F5A5E"/>
    <w:rsid w:val="0F6634D4"/>
    <w:rsid w:val="0F7200CA"/>
    <w:rsid w:val="0F7F4595"/>
    <w:rsid w:val="0FB35FED"/>
    <w:rsid w:val="0FC401FA"/>
    <w:rsid w:val="0FE12B5A"/>
    <w:rsid w:val="102869DB"/>
    <w:rsid w:val="10520096"/>
    <w:rsid w:val="10637A13"/>
    <w:rsid w:val="10861954"/>
    <w:rsid w:val="10A36062"/>
    <w:rsid w:val="10A5627E"/>
    <w:rsid w:val="10BD35C7"/>
    <w:rsid w:val="115D26B4"/>
    <w:rsid w:val="11691059"/>
    <w:rsid w:val="117B0D8C"/>
    <w:rsid w:val="11A6405B"/>
    <w:rsid w:val="11D5049D"/>
    <w:rsid w:val="11E626AA"/>
    <w:rsid w:val="1218364A"/>
    <w:rsid w:val="12241424"/>
    <w:rsid w:val="122F22A3"/>
    <w:rsid w:val="124A70DD"/>
    <w:rsid w:val="12505D75"/>
    <w:rsid w:val="12AA36D7"/>
    <w:rsid w:val="12BB58E4"/>
    <w:rsid w:val="12C0739F"/>
    <w:rsid w:val="12F9465F"/>
    <w:rsid w:val="12FC7CAB"/>
    <w:rsid w:val="13623FB2"/>
    <w:rsid w:val="13931986"/>
    <w:rsid w:val="139A7BF0"/>
    <w:rsid w:val="13A73607"/>
    <w:rsid w:val="13F54E26"/>
    <w:rsid w:val="13FB7F63"/>
    <w:rsid w:val="14045069"/>
    <w:rsid w:val="14264FE0"/>
    <w:rsid w:val="14506500"/>
    <w:rsid w:val="14520465"/>
    <w:rsid w:val="1457163D"/>
    <w:rsid w:val="14733F9D"/>
    <w:rsid w:val="147C10A3"/>
    <w:rsid w:val="14B940A6"/>
    <w:rsid w:val="14C447F8"/>
    <w:rsid w:val="15115C90"/>
    <w:rsid w:val="151B4D60"/>
    <w:rsid w:val="153B2982"/>
    <w:rsid w:val="153E1881"/>
    <w:rsid w:val="155F2CB0"/>
    <w:rsid w:val="15604521"/>
    <w:rsid w:val="15932B49"/>
    <w:rsid w:val="15A52A02"/>
    <w:rsid w:val="15A9411A"/>
    <w:rsid w:val="15AF7257"/>
    <w:rsid w:val="15E52C78"/>
    <w:rsid w:val="1606331B"/>
    <w:rsid w:val="163D4862"/>
    <w:rsid w:val="164E4CC1"/>
    <w:rsid w:val="165247B2"/>
    <w:rsid w:val="16556050"/>
    <w:rsid w:val="168164BC"/>
    <w:rsid w:val="169923E1"/>
    <w:rsid w:val="16994D22"/>
    <w:rsid w:val="169B3FD3"/>
    <w:rsid w:val="169D3553"/>
    <w:rsid w:val="16A843D2"/>
    <w:rsid w:val="16AC04CA"/>
    <w:rsid w:val="16B56AEF"/>
    <w:rsid w:val="16B84207"/>
    <w:rsid w:val="16BC7E7D"/>
    <w:rsid w:val="16EB2510"/>
    <w:rsid w:val="17081314"/>
    <w:rsid w:val="17163A31"/>
    <w:rsid w:val="17326391"/>
    <w:rsid w:val="1736143B"/>
    <w:rsid w:val="174165D4"/>
    <w:rsid w:val="17453EC5"/>
    <w:rsid w:val="175956CC"/>
    <w:rsid w:val="175C6F6A"/>
    <w:rsid w:val="17800EAB"/>
    <w:rsid w:val="17A54DB5"/>
    <w:rsid w:val="17AF1790"/>
    <w:rsid w:val="17D02CF0"/>
    <w:rsid w:val="17F83137"/>
    <w:rsid w:val="181810E3"/>
    <w:rsid w:val="183F0D66"/>
    <w:rsid w:val="186407CC"/>
    <w:rsid w:val="18934C0E"/>
    <w:rsid w:val="189B3AC2"/>
    <w:rsid w:val="18AE7C99"/>
    <w:rsid w:val="18D70F9E"/>
    <w:rsid w:val="18E831AB"/>
    <w:rsid w:val="19151AC7"/>
    <w:rsid w:val="191775ED"/>
    <w:rsid w:val="193459AD"/>
    <w:rsid w:val="19406B43"/>
    <w:rsid w:val="194523AC"/>
    <w:rsid w:val="194F4FBD"/>
    <w:rsid w:val="196934AD"/>
    <w:rsid w:val="196C5B8A"/>
    <w:rsid w:val="197E58BE"/>
    <w:rsid w:val="199D21E8"/>
    <w:rsid w:val="19A277FE"/>
    <w:rsid w:val="19B80DD0"/>
    <w:rsid w:val="19DE635C"/>
    <w:rsid w:val="19E45129"/>
    <w:rsid w:val="1A240213"/>
    <w:rsid w:val="1A2E5016"/>
    <w:rsid w:val="1A2F0966"/>
    <w:rsid w:val="1A5B175B"/>
    <w:rsid w:val="1A5F124B"/>
    <w:rsid w:val="1A6920CA"/>
    <w:rsid w:val="1A705206"/>
    <w:rsid w:val="1A8D2B13"/>
    <w:rsid w:val="1AC92B69"/>
    <w:rsid w:val="1ACA63E0"/>
    <w:rsid w:val="1ADF238C"/>
    <w:rsid w:val="1AE71241"/>
    <w:rsid w:val="1AF92BB3"/>
    <w:rsid w:val="1B3A3A66"/>
    <w:rsid w:val="1B3C158C"/>
    <w:rsid w:val="1B4548E5"/>
    <w:rsid w:val="1B684130"/>
    <w:rsid w:val="1B950C9D"/>
    <w:rsid w:val="1BAE1B3B"/>
    <w:rsid w:val="1BC7354C"/>
    <w:rsid w:val="1BCA303C"/>
    <w:rsid w:val="1BFB6D69"/>
    <w:rsid w:val="1C033E58"/>
    <w:rsid w:val="1C071B9A"/>
    <w:rsid w:val="1C0C0F5F"/>
    <w:rsid w:val="1C0F6CA1"/>
    <w:rsid w:val="1C4C3A51"/>
    <w:rsid w:val="1C766D20"/>
    <w:rsid w:val="1C80194D"/>
    <w:rsid w:val="1CA76EDA"/>
    <w:rsid w:val="1CB33AD0"/>
    <w:rsid w:val="1CEE68B6"/>
    <w:rsid w:val="1D320E99"/>
    <w:rsid w:val="1D3A7D4E"/>
    <w:rsid w:val="1D491D3F"/>
    <w:rsid w:val="1DA578BD"/>
    <w:rsid w:val="1DAB47A7"/>
    <w:rsid w:val="1DB96EC4"/>
    <w:rsid w:val="1DBE44DB"/>
    <w:rsid w:val="1DD67A76"/>
    <w:rsid w:val="1DDC5D1E"/>
    <w:rsid w:val="1DE869C3"/>
    <w:rsid w:val="1E0C793C"/>
    <w:rsid w:val="1E252D30"/>
    <w:rsid w:val="1E293FBC"/>
    <w:rsid w:val="1E2A6014"/>
    <w:rsid w:val="1E3D3153"/>
    <w:rsid w:val="1E5E7A6C"/>
    <w:rsid w:val="1E5F5CBE"/>
    <w:rsid w:val="1E6E4153"/>
    <w:rsid w:val="1EE77A61"/>
    <w:rsid w:val="1EEE7042"/>
    <w:rsid w:val="1EFC175F"/>
    <w:rsid w:val="1F413615"/>
    <w:rsid w:val="1F4C5B16"/>
    <w:rsid w:val="1F904DBF"/>
    <w:rsid w:val="1FA63478"/>
    <w:rsid w:val="1FBF278C"/>
    <w:rsid w:val="1FD04999"/>
    <w:rsid w:val="1FD71884"/>
    <w:rsid w:val="1FEA5A5B"/>
    <w:rsid w:val="200563F1"/>
    <w:rsid w:val="20126D60"/>
    <w:rsid w:val="201422ED"/>
    <w:rsid w:val="20362A4E"/>
    <w:rsid w:val="205E01F7"/>
    <w:rsid w:val="20657A7F"/>
    <w:rsid w:val="209B0B03"/>
    <w:rsid w:val="20A200E4"/>
    <w:rsid w:val="20A35C0A"/>
    <w:rsid w:val="20D02EA3"/>
    <w:rsid w:val="211014F1"/>
    <w:rsid w:val="21254871"/>
    <w:rsid w:val="212C5BFF"/>
    <w:rsid w:val="214C2544"/>
    <w:rsid w:val="215A09BE"/>
    <w:rsid w:val="215A276C"/>
    <w:rsid w:val="215D400B"/>
    <w:rsid w:val="216B497A"/>
    <w:rsid w:val="21937A2C"/>
    <w:rsid w:val="21A8155E"/>
    <w:rsid w:val="21C85928"/>
    <w:rsid w:val="21E604A4"/>
    <w:rsid w:val="21F93CE9"/>
    <w:rsid w:val="220426D8"/>
    <w:rsid w:val="22124DF5"/>
    <w:rsid w:val="224F1BA5"/>
    <w:rsid w:val="22623FCE"/>
    <w:rsid w:val="22631AF5"/>
    <w:rsid w:val="228A7081"/>
    <w:rsid w:val="228D6B72"/>
    <w:rsid w:val="22BD2FB3"/>
    <w:rsid w:val="22C00CF5"/>
    <w:rsid w:val="22C04851"/>
    <w:rsid w:val="22CE1AC1"/>
    <w:rsid w:val="230E1A60"/>
    <w:rsid w:val="232474D6"/>
    <w:rsid w:val="23377209"/>
    <w:rsid w:val="23775858"/>
    <w:rsid w:val="239F090A"/>
    <w:rsid w:val="23B56380"/>
    <w:rsid w:val="23C72304"/>
    <w:rsid w:val="23F21382"/>
    <w:rsid w:val="23F46EA8"/>
    <w:rsid w:val="241F37F9"/>
    <w:rsid w:val="243279D1"/>
    <w:rsid w:val="24653902"/>
    <w:rsid w:val="24AA3A0B"/>
    <w:rsid w:val="24AF254A"/>
    <w:rsid w:val="24AF7273"/>
    <w:rsid w:val="24BA420C"/>
    <w:rsid w:val="24C525F3"/>
    <w:rsid w:val="24CA19B7"/>
    <w:rsid w:val="24FA6740"/>
    <w:rsid w:val="25096983"/>
    <w:rsid w:val="25270BB7"/>
    <w:rsid w:val="2564005E"/>
    <w:rsid w:val="257858B7"/>
    <w:rsid w:val="25853B30"/>
    <w:rsid w:val="25950217"/>
    <w:rsid w:val="25A20B86"/>
    <w:rsid w:val="25A71CF8"/>
    <w:rsid w:val="25BD32CA"/>
    <w:rsid w:val="25C40AFC"/>
    <w:rsid w:val="25CE197B"/>
    <w:rsid w:val="25EE7927"/>
    <w:rsid w:val="2628108B"/>
    <w:rsid w:val="26490DAB"/>
    <w:rsid w:val="265C0D35"/>
    <w:rsid w:val="26667E05"/>
    <w:rsid w:val="26771661"/>
    <w:rsid w:val="26865A28"/>
    <w:rsid w:val="26881050"/>
    <w:rsid w:val="26976211"/>
    <w:rsid w:val="26A30712"/>
    <w:rsid w:val="26F64CE5"/>
    <w:rsid w:val="271B0BF0"/>
    <w:rsid w:val="271C2272"/>
    <w:rsid w:val="272F1FA5"/>
    <w:rsid w:val="2767173F"/>
    <w:rsid w:val="276E2ACE"/>
    <w:rsid w:val="27AE55C0"/>
    <w:rsid w:val="27B54BA0"/>
    <w:rsid w:val="27B801ED"/>
    <w:rsid w:val="27C13D12"/>
    <w:rsid w:val="27EB6814"/>
    <w:rsid w:val="28177609"/>
    <w:rsid w:val="281A4A03"/>
    <w:rsid w:val="281C2BC6"/>
    <w:rsid w:val="281C4C20"/>
    <w:rsid w:val="28235FAE"/>
    <w:rsid w:val="28327F9F"/>
    <w:rsid w:val="285F4B0C"/>
    <w:rsid w:val="28757E8C"/>
    <w:rsid w:val="289F315B"/>
    <w:rsid w:val="28AD1D1C"/>
    <w:rsid w:val="28B22E8E"/>
    <w:rsid w:val="28D41056"/>
    <w:rsid w:val="28D9666D"/>
    <w:rsid w:val="28DC7F0B"/>
    <w:rsid w:val="28E91021"/>
    <w:rsid w:val="28F416F8"/>
    <w:rsid w:val="28F811E9"/>
    <w:rsid w:val="28F9286B"/>
    <w:rsid w:val="29001E4B"/>
    <w:rsid w:val="2920429C"/>
    <w:rsid w:val="29332221"/>
    <w:rsid w:val="293D63C7"/>
    <w:rsid w:val="294F692F"/>
    <w:rsid w:val="298F1421"/>
    <w:rsid w:val="299B1B74"/>
    <w:rsid w:val="29BA46F0"/>
    <w:rsid w:val="29C91AA7"/>
    <w:rsid w:val="29D62BAC"/>
    <w:rsid w:val="2A133E00"/>
    <w:rsid w:val="2A32072A"/>
    <w:rsid w:val="2A391AB9"/>
    <w:rsid w:val="2A4B359A"/>
    <w:rsid w:val="2A53244F"/>
    <w:rsid w:val="2AB729DE"/>
    <w:rsid w:val="2AC60E73"/>
    <w:rsid w:val="2AD71AB6"/>
    <w:rsid w:val="2ADE440E"/>
    <w:rsid w:val="2AE51113"/>
    <w:rsid w:val="2AE5579D"/>
    <w:rsid w:val="2AEB08D9"/>
    <w:rsid w:val="2B147E30"/>
    <w:rsid w:val="2B397C23"/>
    <w:rsid w:val="2B3B360F"/>
    <w:rsid w:val="2B591CE7"/>
    <w:rsid w:val="2B684AE1"/>
    <w:rsid w:val="2B786611"/>
    <w:rsid w:val="2BA016C4"/>
    <w:rsid w:val="2BCC24B9"/>
    <w:rsid w:val="2BD25682"/>
    <w:rsid w:val="2BE27F2E"/>
    <w:rsid w:val="2BFF463C"/>
    <w:rsid w:val="2C043A01"/>
    <w:rsid w:val="2C0E487F"/>
    <w:rsid w:val="2C414C55"/>
    <w:rsid w:val="2C475FE3"/>
    <w:rsid w:val="2C646B95"/>
    <w:rsid w:val="2CC633AC"/>
    <w:rsid w:val="2CDD374A"/>
    <w:rsid w:val="2CDE6947"/>
    <w:rsid w:val="2CEF7A50"/>
    <w:rsid w:val="2D3227EF"/>
    <w:rsid w:val="2D340315"/>
    <w:rsid w:val="2D3E2F42"/>
    <w:rsid w:val="2D6D3F12"/>
    <w:rsid w:val="2DB7418D"/>
    <w:rsid w:val="2DC773DC"/>
    <w:rsid w:val="2DD03D81"/>
    <w:rsid w:val="2E27216B"/>
    <w:rsid w:val="2E310CF9"/>
    <w:rsid w:val="2E3F6F72"/>
    <w:rsid w:val="2E497DF1"/>
    <w:rsid w:val="2EB536D8"/>
    <w:rsid w:val="2ECD316E"/>
    <w:rsid w:val="2EDA313F"/>
    <w:rsid w:val="2EEE0998"/>
    <w:rsid w:val="2F0F7C3C"/>
    <w:rsid w:val="2F1C6FCF"/>
    <w:rsid w:val="2F5C7FF7"/>
    <w:rsid w:val="2F5E167A"/>
    <w:rsid w:val="2F880DEC"/>
    <w:rsid w:val="3034062C"/>
    <w:rsid w:val="3040584C"/>
    <w:rsid w:val="30536D05"/>
    <w:rsid w:val="305F1B4D"/>
    <w:rsid w:val="305F7D9F"/>
    <w:rsid w:val="30705B08"/>
    <w:rsid w:val="30766E97"/>
    <w:rsid w:val="307A6987"/>
    <w:rsid w:val="30C220DC"/>
    <w:rsid w:val="30C82535"/>
    <w:rsid w:val="30E56588"/>
    <w:rsid w:val="30E91417"/>
    <w:rsid w:val="31293F09"/>
    <w:rsid w:val="314F3970"/>
    <w:rsid w:val="3159659D"/>
    <w:rsid w:val="31B41A25"/>
    <w:rsid w:val="31CD0D39"/>
    <w:rsid w:val="31D2634F"/>
    <w:rsid w:val="320504D2"/>
    <w:rsid w:val="320944A7"/>
    <w:rsid w:val="32513718"/>
    <w:rsid w:val="32690A61"/>
    <w:rsid w:val="326A47D9"/>
    <w:rsid w:val="32B1065A"/>
    <w:rsid w:val="32D54B9D"/>
    <w:rsid w:val="32E4458C"/>
    <w:rsid w:val="32E77BD8"/>
    <w:rsid w:val="332D26D2"/>
    <w:rsid w:val="33443C83"/>
    <w:rsid w:val="3378107E"/>
    <w:rsid w:val="337F6063"/>
    <w:rsid w:val="338F44F8"/>
    <w:rsid w:val="33997124"/>
    <w:rsid w:val="339C2C4F"/>
    <w:rsid w:val="33BC1065"/>
    <w:rsid w:val="33D95773"/>
    <w:rsid w:val="34256C0A"/>
    <w:rsid w:val="344D7F0F"/>
    <w:rsid w:val="345474EF"/>
    <w:rsid w:val="34621C0C"/>
    <w:rsid w:val="34BF2BBB"/>
    <w:rsid w:val="34FA3BF3"/>
    <w:rsid w:val="35213875"/>
    <w:rsid w:val="353B5F42"/>
    <w:rsid w:val="3566572C"/>
    <w:rsid w:val="356E1305"/>
    <w:rsid w:val="3571636E"/>
    <w:rsid w:val="358362DE"/>
    <w:rsid w:val="358F4AB7"/>
    <w:rsid w:val="35990AF0"/>
    <w:rsid w:val="35A63D7A"/>
    <w:rsid w:val="35C506A4"/>
    <w:rsid w:val="35C8047F"/>
    <w:rsid w:val="35FB2318"/>
    <w:rsid w:val="36021D61"/>
    <w:rsid w:val="360F7B72"/>
    <w:rsid w:val="36213401"/>
    <w:rsid w:val="36237179"/>
    <w:rsid w:val="36392E40"/>
    <w:rsid w:val="36794FEB"/>
    <w:rsid w:val="3687595A"/>
    <w:rsid w:val="368816D2"/>
    <w:rsid w:val="36AC716F"/>
    <w:rsid w:val="36D87F64"/>
    <w:rsid w:val="36F32FEF"/>
    <w:rsid w:val="371A057C"/>
    <w:rsid w:val="373A720A"/>
    <w:rsid w:val="373B6744"/>
    <w:rsid w:val="37490E61"/>
    <w:rsid w:val="3767086F"/>
    <w:rsid w:val="37695060"/>
    <w:rsid w:val="376D0FF4"/>
    <w:rsid w:val="377D0B0B"/>
    <w:rsid w:val="37A662B4"/>
    <w:rsid w:val="37A97B52"/>
    <w:rsid w:val="37B207B5"/>
    <w:rsid w:val="37BE35FD"/>
    <w:rsid w:val="37D72911"/>
    <w:rsid w:val="37DF17C6"/>
    <w:rsid w:val="37EE25DC"/>
    <w:rsid w:val="3801173C"/>
    <w:rsid w:val="381E22EE"/>
    <w:rsid w:val="387A06FC"/>
    <w:rsid w:val="387E0FDF"/>
    <w:rsid w:val="388760E5"/>
    <w:rsid w:val="38C5276A"/>
    <w:rsid w:val="38DE382B"/>
    <w:rsid w:val="392C27E9"/>
    <w:rsid w:val="393B79AD"/>
    <w:rsid w:val="393D2C48"/>
    <w:rsid w:val="39D37108"/>
    <w:rsid w:val="3A15327D"/>
    <w:rsid w:val="3A1C0AAF"/>
    <w:rsid w:val="3A1D02E4"/>
    <w:rsid w:val="3A35391F"/>
    <w:rsid w:val="3A64183E"/>
    <w:rsid w:val="3A661D2A"/>
    <w:rsid w:val="3A7D004A"/>
    <w:rsid w:val="3AA36ADA"/>
    <w:rsid w:val="3AAC0EF8"/>
    <w:rsid w:val="3AAE3D38"/>
    <w:rsid w:val="3AB17449"/>
    <w:rsid w:val="3AC64CBD"/>
    <w:rsid w:val="3AD76784"/>
    <w:rsid w:val="3B08242C"/>
    <w:rsid w:val="3B0F23C2"/>
    <w:rsid w:val="3B246A26"/>
    <w:rsid w:val="3B60677A"/>
    <w:rsid w:val="3B732951"/>
    <w:rsid w:val="3B862684"/>
    <w:rsid w:val="3B8A37F6"/>
    <w:rsid w:val="3B9A1C8B"/>
    <w:rsid w:val="3BD11425"/>
    <w:rsid w:val="3BDD7DCA"/>
    <w:rsid w:val="3BE92C13"/>
    <w:rsid w:val="3BEB698B"/>
    <w:rsid w:val="3BFF33E6"/>
    <w:rsid w:val="3C033CD5"/>
    <w:rsid w:val="3C17152E"/>
    <w:rsid w:val="3C5A58BF"/>
    <w:rsid w:val="3C5E715D"/>
    <w:rsid w:val="3C763002"/>
    <w:rsid w:val="3CA8662A"/>
    <w:rsid w:val="3CAA23A2"/>
    <w:rsid w:val="3CB72D11"/>
    <w:rsid w:val="3CBA010B"/>
    <w:rsid w:val="3CEF6007"/>
    <w:rsid w:val="3D0870C9"/>
    <w:rsid w:val="3D1141CF"/>
    <w:rsid w:val="3D2959BD"/>
    <w:rsid w:val="3D4A5E08"/>
    <w:rsid w:val="3D5B019B"/>
    <w:rsid w:val="3D69400B"/>
    <w:rsid w:val="3D6C7658"/>
    <w:rsid w:val="3D7724B9"/>
    <w:rsid w:val="3D8C7CFA"/>
    <w:rsid w:val="3DAA0180"/>
    <w:rsid w:val="3DC56D68"/>
    <w:rsid w:val="3E10092B"/>
    <w:rsid w:val="3E18333B"/>
    <w:rsid w:val="3E3E7246"/>
    <w:rsid w:val="3E4B1963"/>
    <w:rsid w:val="3E75253C"/>
    <w:rsid w:val="3E774506"/>
    <w:rsid w:val="3E7C7D6E"/>
    <w:rsid w:val="3E8135D7"/>
    <w:rsid w:val="3E8978EB"/>
    <w:rsid w:val="3EB94B1E"/>
    <w:rsid w:val="3EC84D62"/>
    <w:rsid w:val="3EED2A1A"/>
    <w:rsid w:val="3F9133A5"/>
    <w:rsid w:val="3F9D61EE"/>
    <w:rsid w:val="3FA806EF"/>
    <w:rsid w:val="3FB11C9A"/>
    <w:rsid w:val="3FCE0156"/>
    <w:rsid w:val="401B1A9A"/>
    <w:rsid w:val="40580367"/>
    <w:rsid w:val="406B009A"/>
    <w:rsid w:val="406E1939"/>
    <w:rsid w:val="40833636"/>
    <w:rsid w:val="408D0011"/>
    <w:rsid w:val="40D43E92"/>
    <w:rsid w:val="412820C7"/>
    <w:rsid w:val="412A5860"/>
    <w:rsid w:val="41456B3D"/>
    <w:rsid w:val="41766CF7"/>
    <w:rsid w:val="417B6906"/>
    <w:rsid w:val="41886A2A"/>
    <w:rsid w:val="418F600A"/>
    <w:rsid w:val="41911D83"/>
    <w:rsid w:val="41AA4BF2"/>
    <w:rsid w:val="41C21F3C"/>
    <w:rsid w:val="41CA2B9F"/>
    <w:rsid w:val="41D60B78"/>
    <w:rsid w:val="41E00614"/>
    <w:rsid w:val="41EA1493"/>
    <w:rsid w:val="41FF6CEC"/>
    <w:rsid w:val="421018B7"/>
    <w:rsid w:val="421D7172"/>
    <w:rsid w:val="422B7AE1"/>
    <w:rsid w:val="42786A9F"/>
    <w:rsid w:val="427C033D"/>
    <w:rsid w:val="4286740D"/>
    <w:rsid w:val="428B4A24"/>
    <w:rsid w:val="42A87384"/>
    <w:rsid w:val="42C121F4"/>
    <w:rsid w:val="42CF2B62"/>
    <w:rsid w:val="42E06BC9"/>
    <w:rsid w:val="42E63A08"/>
    <w:rsid w:val="431762B8"/>
    <w:rsid w:val="431C38CE"/>
    <w:rsid w:val="432A5FEB"/>
    <w:rsid w:val="43340C18"/>
    <w:rsid w:val="43544E16"/>
    <w:rsid w:val="43654948"/>
    <w:rsid w:val="43866F99"/>
    <w:rsid w:val="43B27D8E"/>
    <w:rsid w:val="43DD4E0B"/>
    <w:rsid w:val="43EA577A"/>
    <w:rsid w:val="43EC32A0"/>
    <w:rsid w:val="43FF1225"/>
    <w:rsid w:val="443133A9"/>
    <w:rsid w:val="44427364"/>
    <w:rsid w:val="444C01E3"/>
    <w:rsid w:val="447137A5"/>
    <w:rsid w:val="449000D0"/>
    <w:rsid w:val="449D27EC"/>
    <w:rsid w:val="44C24001"/>
    <w:rsid w:val="44CC6C2E"/>
    <w:rsid w:val="44CD26BA"/>
    <w:rsid w:val="44DA57EF"/>
    <w:rsid w:val="44DC50C3"/>
    <w:rsid w:val="4508235C"/>
    <w:rsid w:val="450D7972"/>
    <w:rsid w:val="45126D36"/>
    <w:rsid w:val="45140D01"/>
    <w:rsid w:val="452623BD"/>
    <w:rsid w:val="452B4BB5"/>
    <w:rsid w:val="452B604A"/>
    <w:rsid w:val="456926CF"/>
    <w:rsid w:val="457B0D80"/>
    <w:rsid w:val="45C2075D"/>
    <w:rsid w:val="45C5024D"/>
    <w:rsid w:val="46144D30"/>
    <w:rsid w:val="463B2CFE"/>
    <w:rsid w:val="46477F15"/>
    <w:rsid w:val="464A2BEB"/>
    <w:rsid w:val="46511AE0"/>
    <w:rsid w:val="46752AE1"/>
    <w:rsid w:val="47280A93"/>
    <w:rsid w:val="47460F19"/>
    <w:rsid w:val="47632D59"/>
    <w:rsid w:val="47637D1D"/>
    <w:rsid w:val="47854AC2"/>
    <w:rsid w:val="47857C94"/>
    <w:rsid w:val="478B4B7E"/>
    <w:rsid w:val="47B73BC5"/>
    <w:rsid w:val="47B752C9"/>
    <w:rsid w:val="47FE35A2"/>
    <w:rsid w:val="480C5CBF"/>
    <w:rsid w:val="48396CD0"/>
    <w:rsid w:val="483E7E42"/>
    <w:rsid w:val="4840005F"/>
    <w:rsid w:val="48537D92"/>
    <w:rsid w:val="48660E58"/>
    <w:rsid w:val="488241D3"/>
    <w:rsid w:val="48961A2D"/>
    <w:rsid w:val="489839F7"/>
    <w:rsid w:val="48AE321A"/>
    <w:rsid w:val="48B85E47"/>
    <w:rsid w:val="48C540C0"/>
    <w:rsid w:val="48CC18F2"/>
    <w:rsid w:val="48D6451F"/>
    <w:rsid w:val="48EE2BC9"/>
    <w:rsid w:val="49115557"/>
    <w:rsid w:val="49325BF9"/>
    <w:rsid w:val="4933371F"/>
    <w:rsid w:val="49B06B1E"/>
    <w:rsid w:val="49B72A97"/>
    <w:rsid w:val="49C1138B"/>
    <w:rsid w:val="49C16F7D"/>
    <w:rsid w:val="49E54A1A"/>
    <w:rsid w:val="49E8275C"/>
    <w:rsid w:val="4A001853"/>
    <w:rsid w:val="4A05330E"/>
    <w:rsid w:val="4A0B36CD"/>
    <w:rsid w:val="4A1E1CDA"/>
    <w:rsid w:val="4A2A68D0"/>
    <w:rsid w:val="4A331C29"/>
    <w:rsid w:val="4A45195C"/>
    <w:rsid w:val="4A510301"/>
    <w:rsid w:val="4A630034"/>
    <w:rsid w:val="4A69564B"/>
    <w:rsid w:val="4A7638C4"/>
    <w:rsid w:val="4A897A9B"/>
    <w:rsid w:val="4A902707"/>
    <w:rsid w:val="4AA05F21"/>
    <w:rsid w:val="4AA30431"/>
    <w:rsid w:val="4ABB39CC"/>
    <w:rsid w:val="4ADD7DE7"/>
    <w:rsid w:val="4B3A7B4E"/>
    <w:rsid w:val="4B4614E8"/>
    <w:rsid w:val="4B490FD8"/>
    <w:rsid w:val="4B555BCF"/>
    <w:rsid w:val="4B614574"/>
    <w:rsid w:val="4B62129D"/>
    <w:rsid w:val="4B771FE9"/>
    <w:rsid w:val="4B840262"/>
    <w:rsid w:val="4BCE772F"/>
    <w:rsid w:val="4C2832E3"/>
    <w:rsid w:val="4C8A5D4C"/>
    <w:rsid w:val="4C8F3363"/>
    <w:rsid w:val="4C9170DB"/>
    <w:rsid w:val="4C9A3AC9"/>
    <w:rsid w:val="4CA54934"/>
    <w:rsid w:val="4CB44B77"/>
    <w:rsid w:val="4CD6689C"/>
    <w:rsid w:val="4CFB4554"/>
    <w:rsid w:val="4D343C52"/>
    <w:rsid w:val="4D3A5B11"/>
    <w:rsid w:val="4D3C7046"/>
    <w:rsid w:val="4D3D691B"/>
    <w:rsid w:val="4D5C1497"/>
    <w:rsid w:val="4D6D5452"/>
    <w:rsid w:val="4DB56DF9"/>
    <w:rsid w:val="4DB90697"/>
    <w:rsid w:val="4DD74FC1"/>
    <w:rsid w:val="4DDA685F"/>
    <w:rsid w:val="4DF72F08"/>
    <w:rsid w:val="4DFC0584"/>
    <w:rsid w:val="4E0631B0"/>
    <w:rsid w:val="4E0B07C7"/>
    <w:rsid w:val="4E2A50F1"/>
    <w:rsid w:val="4E342F84"/>
    <w:rsid w:val="4E4461D7"/>
    <w:rsid w:val="4E451263"/>
    <w:rsid w:val="4E4F7A0A"/>
    <w:rsid w:val="4E5B1854"/>
    <w:rsid w:val="4E656129"/>
    <w:rsid w:val="4E8A5B90"/>
    <w:rsid w:val="4EA76741"/>
    <w:rsid w:val="4ECB3430"/>
    <w:rsid w:val="4ED92673"/>
    <w:rsid w:val="4F133DD7"/>
    <w:rsid w:val="4F391364"/>
    <w:rsid w:val="4F7F321A"/>
    <w:rsid w:val="4F895E47"/>
    <w:rsid w:val="4F90367A"/>
    <w:rsid w:val="4F9D5D96"/>
    <w:rsid w:val="4FC24FED"/>
    <w:rsid w:val="4FF9121F"/>
    <w:rsid w:val="50033E4B"/>
    <w:rsid w:val="50062B38"/>
    <w:rsid w:val="501222E0"/>
    <w:rsid w:val="502913D8"/>
    <w:rsid w:val="502F2E92"/>
    <w:rsid w:val="503415A0"/>
    <w:rsid w:val="5060304C"/>
    <w:rsid w:val="50621774"/>
    <w:rsid w:val="506568B4"/>
    <w:rsid w:val="507C775A"/>
    <w:rsid w:val="50842203"/>
    <w:rsid w:val="50B52C6C"/>
    <w:rsid w:val="50BB64D4"/>
    <w:rsid w:val="50BD049E"/>
    <w:rsid w:val="50DE6667"/>
    <w:rsid w:val="50EE68AA"/>
    <w:rsid w:val="511C43E3"/>
    <w:rsid w:val="512322CB"/>
    <w:rsid w:val="5139564B"/>
    <w:rsid w:val="515F1555"/>
    <w:rsid w:val="51894824"/>
    <w:rsid w:val="51E657D3"/>
    <w:rsid w:val="51EB4B97"/>
    <w:rsid w:val="5248023B"/>
    <w:rsid w:val="52775DEE"/>
    <w:rsid w:val="5290573F"/>
    <w:rsid w:val="52D65847"/>
    <w:rsid w:val="52D95337"/>
    <w:rsid w:val="52DD4E28"/>
    <w:rsid w:val="52E166C3"/>
    <w:rsid w:val="531620E8"/>
    <w:rsid w:val="53226CDE"/>
    <w:rsid w:val="53285977"/>
    <w:rsid w:val="532E5683"/>
    <w:rsid w:val="538C23AA"/>
    <w:rsid w:val="53A304DF"/>
    <w:rsid w:val="53AB6CD4"/>
    <w:rsid w:val="53B17155"/>
    <w:rsid w:val="53B61F77"/>
    <w:rsid w:val="53E46B80"/>
    <w:rsid w:val="53E775E0"/>
    <w:rsid w:val="53EE2FD4"/>
    <w:rsid w:val="54422A68"/>
    <w:rsid w:val="544D38E7"/>
    <w:rsid w:val="544E11C2"/>
    <w:rsid w:val="5463310B"/>
    <w:rsid w:val="547C241E"/>
    <w:rsid w:val="54977CE1"/>
    <w:rsid w:val="54A51975"/>
    <w:rsid w:val="54B75204"/>
    <w:rsid w:val="54F71AA5"/>
    <w:rsid w:val="55051A8B"/>
    <w:rsid w:val="55091EC3"/>
    <w:rsid w:val="551E7032"/>
    <w:rsid w:val="552C5BF2"/>
    <w:rsid w:val="555E38D2"/>
    <w:rsid w:val="55603AEE"/>
    <w:rsid w:val="55613AAD"/>
    <w:rsid w:val="55AE2AAB"/>
    <w:rsid w:val="55C53951"/>
    <w:rsid w:val="55CA0F67"/>
    <w:rsid w:val="55EB160A"/>
    <w:rsid w:val="55F935FB"/>
    <w:rsid w:val="563805C7"/>
    <w:rsid w:val="56717635"/>
    <w:rsid w:val="569357FD"/>
    <w:rsid w:val="56BD287A"/>
    <w:rsid w:val="56D57BC4"/>
    <w:rsid w:val="56DB78D0"/>
    <w:rsid w:val="56E47D90"/>
    <w:rsid w:val="56ED7603"/>
    <w:rsid w:val="56EF512A"/>
    <w:rsid w:val="56F3629C"/>
    <w:rsid w:val="56F72230"/>
    <w:rsid w:val="56FC7846"/>
    <w:rsid w:val="572172AD"/>
    <w:rsid w:val="575E6AC3"/>
    <w:rsid w:val="57776ECD"/>
    <w:rsid w:val="57790E97"/>
    <w:rsid w:val="577C2024"/>
    <w:rsid w:val="5794182D"/>
    <w:rsid w:val="57B343A9"/>
    <w:rsid w:val="57C57C38"/>
    <w:rsid w:val="57CC7219"/>
    <w:rsid w:val="57D1482F"/>
    <w:rsid w:val="57D53A6E"/>
    <w:rsid w:val="57D63BF4"/>
    <w:rsid w:val="582B2191"/>
    <w:rsid w:val="583C7C96"/>
    <w:rsid w:val="585A65D3"/>
    <w:rsid w:val="5875340D"/>
    <w:rsid w:val="587A0A23"/>
    <w:rsid w:val="58845D45"/>
    <w:rsid w:val="588C69A8"/>
    <w:rsid w:val="58A27B6E"/>
    <w:rsid w:val="58A77FDA"/>
    <w:rsid w:val="58B57CAD"/>
    <w:rsid w:val="58BA19B2"/>
    <w:rsid w:val="58CD149A"/>
    <w:rsid w:val="58CD4FF7"/>
    <w:rsid w:val="58F00CE5"/>
    <w:rsid w:val="58F307D5"/>
    <w:rsid w:val="58F72073"/>
    <w:rsid w:val="58FC3B2E"/>
    <w:rsid w:val="590D1897"/>
    <w:rsid w:val="593432C8"/>
    <w:rsid w:val="593B28A8"/>
    <w:rsid w:val="593E7CA2"/>
    <w:rsid w:val="5943175D"/>
    <w:rsid w:val="594D25DB"/>
    <w:rsid w:val="594E4DC3"/>
    <w:rsid w:val="59561490"/>
    <w:rsid w:val="59705BA9"/>
    <w:rsid w:val="598B6C60"/>
    <w:rsid w:val="598F04FE"/>
    <w:rsid w:val="59D16D68"/>
    <w:rsid w:val="5A105AE3"/>
    <w:rsid w:val="5A2A0227"/>
    <w:rsid w:val="5A382944"/>
    <w:rsid w:val="5A3B4BCC"/>
    <w:rsid w:val="5A53777D"/>
    <w:rsid w:val="5A584D94"/>
    <w:rsid w:val="5A7659B1"/>
    <w:rsid w:val="5A985916"/>
    <w:rsid w:val="5AA24261"/>
    <w:rsid w:val="5AB3021C"/>
    <w:rsid w:val="5AB9459A"/>
    <w:rsid w:val="5ABA3CA0"/>
    <w:rsid w:val="5ABC17C7"/>
    <w:rsid w:val="5AC16DDD"/>
    <w:rsid w:val="5AD36B10"/>
    <w:rsid w:val="5AEB20AC"/>
    <w:rsid w:val="5B2353A2"/>
    <w:rsid w:val="5B263672"/>
    <w:rsid w:val="5B266C40"/>
    <w:rsid w:val="5B2829B8"/>
    <w:rsid w:val="5B500161"/>
    <w:rsid w:val="5B9242D5"/>
    <w:rsid w:val="5B9938B6"/>
    <w:rsid w:val="5B9B5880"/>
    <w:rsid w:val="5BA67D81"/>
    <w:rsid w:val="5BC32A68"/>
    <w:rsid w:val="5BED775E"/>
    <w:rsid w:val="5BF907F8"/>
    <w:rsid w:val="5BFE4D83"/>
    <w:rsid w:val="5C3F26AF"/>
    <w:rsid w:val="5C464A56"/>
    <w:rsid w:val="5C563555"/>
    <w:rsid w:val="5C6A7000"/>
    <w:rsid w:val="5C920267"/>
    <w:rsid w:val="5C9E7928"/>
    <w:rsid w:val="5CAE513F"/>
    <w:rsid w:val="5CB85FBE"/>
    <w:rsid w:val="5CBA3AE4"/>
    <w:rsid w:val="5CCC1A69"/>
    <w:rsid w:val="5D5201C0"/>
    <w:rsid w:val="5DD10903"/>
    <w:rsid w:val="5DF254FF"/>
    <w:rsid w:val="5E0E058B"/>
    <w:rsid w:val="5E135D11"/>
    <w:rsid w:val="5E4C2B6B"/>
    <w:rsid w:val="5E8A398A"/>
    <w:rsid w:val="5E954808"/>
    <w:rsid w:val="5E9B59CB"/>
    <w:rsid w:val="5EB10F16"/>
    <w:rsid w:val="5EEE3F19"/>
    <w:rsid w:val="5F0279C4"/>
    <w:rsid w:val="5F0C439F"/>
    <w:rsid w:val="5F313E05"/>
    <w:rsid w:val="5F645F89"/>
    <w:rsid w:val="5F8D1984"/>
    <w:rsid w:val="5F961333"/>
    <w:rsid w:val="5FC058B5"/>
    <w:rsid w:val="5FC30F01"/>
    <w:rsid w:val="602B6AA7"/>
    <w:rsid w:val="60433DF0"/>
    <w:rsid w:val="604C539B"/>
    <w:rsid w:val="6065645C"/>
    <w:rsid w:val="60681AA9"/>
    <w:rsid w:val="609F196E"/>
    <w:rsid w:val="60A26D69"/>
    <w:rsid w:val="60AA3E6F"/>
    <w:rsid w:val="60B62814"/>
    <w:rsid w:val="60DD4245"/>
    <w:rsid w:val="610C4B2A"/>
    <w:rsid w:val="616E30EF"/>
    <w:rsid w:val="6171498D"/>
    <w:rsid w:val="61736957"/>
    <w:rsid w:val="61811074"/>
    <w:rsid w:val="619012B7"/>
    <w:rsid w:val="619A2136"/>
    <w:rsid w:val="61A75566"/>
    <w:rsid w:val="61B64F19"/>
    <w:rsid w:val="61CD7F83"/>
    <w:rsid w:val="61D7354F"/>
    <w:rsid w:val="61ED495B"/>
    <w:rsid w:val="61EE5FDE"/>
    <w:rsid w:val="61FA0313"/>
    <w:rsid w:val="62516C98"/>
    <w:rsid w:val="626F5370"/>
    <w:rsid w:val="627B5AC3"/>
    <w:rsid w:val="62A74B0A"/>
    <w:rsid w:val="62B249B4"/>
    <w:rsid w:val="62E53885"/>
    <w:rsid w:val="630A6E47"/>
    <w:rsid w:val="632A1297"/>
    <w:rsid w:val="633F11E7"/>
    <w:rsid w:val="6356208C"/>
    <w:rsid w:val="635F7193"/>
    <w:rsid w:val="63732C3E"/>
    <w:rsid w:val="63C11BFC"/>
    <w:rsid w:val="63C17E4E"/>
    <w:rsid w:val="63C94F54"/>
    <w:rsid w:val="63DE27AE"/>
    <w:rsid w:val="63F41FD1"/>
    <w:rsid w:val="640D6BEF"/>
    <w:rsid w:val="640F3F59"/>
    <w:rsid w:val="64170648"/>
    <w:rsid w:val="64356146"/>
    <w:rsid w:val="646D1D84"/>
    <w:rsid w:val="647A41FA"/>
    <w:rsid w:val="64A62BA0"/>
    <w:rsid w:val="64B41760"/>
    <w:rsid w:val="652341F0"/>
    <w:rsid w:val="654E5711"/>
    <w:rsid w:val="6554084E"/>
    <w:rsid w:val="65554CF2"/>
    <w:rsid w:val="657333CA"/>
    <w:rsid w:val="65907AD8"/>
    <w:rsid w:val="65984BDE"/>
    <w:rsid w:val="65B23EF2"/>
    <w:rsid w:val="65B35574"/>
    <w:rsid w:val="65B676EF"/>
    <w:rsid w:val="65C77271"/>
    <w:rsid w:val="65C854C3"/>
    <w:rsid w:val="65F91B21"/>
    <w:rsid w:val="660E3AE9"/>
    <w:rsid w:val="6618187B"/>
    <w:rsid w:val="662A7F2C"/>
    <w:rsid w:val="662D17CA"/>
    <w:rsid w:val="664B39FF"/>
    <w:rsid w:val="6659611C"/>
    <w:rsid w:val="667E2026"/>
    <w:rsid w:val="66C37A39"/>
    <w:rsid w:val="66CF2882"/>
    <w:rsid w:val="671958AB"/>
    <w:rsid w:val="67332E10"/>
    <w:rsid w:val="67515045"/>
    <w:rsid w:val="6759039D"/>
    <w:rsid w:val="67742766"/>
    <w:rsid w:val="67BF46A4"/>
    <w:rsid w:val="67C56744"/>
    <w:rsid w:val="6804655B"/>
    <w:rsid w:val="683E2528"/>
    <w:rsid w:val="68525518"/>
    <w:rsid w:val="686D2352"/>
    <w:rsid w:val="688A2F04"/>
    <w:rsid w:val="68907DEF"/>
    <w:rsid w:val="69004F74"/>
    <w:rsid w:val="69005532"/>
    <w:rsid w:val="69112CDD"/>
    <w:rsid w:val="69194288"/>
    <w:rsid w:val="691F185D"/>
    <w:rsid w:val="69354EFB"/>
    <w:rsid w:val="6937396B"/>
    <w:rsid w:val="697119CE"/>
    <w:rsid w:val="699A7177"/>
    <w:rsid w:val="69BD0841"/>
    <w:rsid w:val="69C75B99"/>
    <w:rsid w:val="69D16911"/>
    <w:rsid w:val="69F30635"/>
    <w:rsid w:val="6A211646"/>
    <w:rsid w:val="6A3550F2"/>
    <w:rsid w:val="6A570BC4"/>
    <w:rsid w:val="6A61050B"/>
    <w:rsid w:val="6A627569"/>
    <w:rsid w:val="6A841BD5"/>
    <w:rsid w:val="6A9516EC"/>
    <w:rsid w:val="6AB53B3C"/>
    <w:rsid w:val="6AD466B8"/>
    <w:rsid w:val="6AD548E7"/>
    <w:rsid w:val="6ADB7A47"/>
    <w:rsid w:val="6AEB3A02"/>
    <w:rsid w:val="6AF24D91"/>
    <w:rsid w:val="6B036F9E"/>
    <w:rsid w:val="6B1B6095"/>
    <w:rsid w:val="6B321631"/>
    <w:rsid w:val="6B562347"/>
    <w:rsid w:val="6B824366"/>
    <w:rsid w:val="6B882FFF"/>
    <w:rsid w:val="6BA5135B"/>
    <w:rsid w:val="6BCA3618"/>
    <w:rsid w:val="6BD526E8"/>
    <w:rsid w:val="6BD6020E"/>
    <w:rsid w:val="6BD66460"/>
    <w:rsid w:val="6BEF307E"/>
    <w:rsid w:val="6BF15048"/>
    <w:rsid w:val="6C3F4006"/>
    <w:rsid w:val="6C4E4249"/>
    <w:rsid w:val="6C5E0930"/>
    <w:rsid w:val="6C756915"/>
    <w:rsid w:val="6C841DBF"/>
    <w:rsid w:val="6C8C6B1F"/>
    <w:rsid w:val="6CA83959"/>
    <w:rsid w:val="6CB00A5F"/>
    <w:rsid w:val="6D0668D1"/>
    <w:rsid w:val="6D1C52DE"/>
    <w:rsid w:val="6D21195D"/>
    <w:rsid w:val="6D2C27DC"/>
    <w:rsid w:val="6D2F7BD6"/>
    <w:rsid w:val="6D501E74"/>
    <w:rsid w:val="6D527D69"/>
    <w:rsid w:val="6D785A21"/>
    <w:rsid w:val="6D8C327A"/>
    <w:rsid w:val="6DA93E2C"/>
    <w:rsid w:val="6DAF51BB"/>
    <w:rsid w:val="6DB85E1E"/>
    <w:rsid w:val="6DCC7B1B"/>
    <w:rsid w:val="6DD8026E"/>
    <w:rsid w:val="6DDB7D5E"/>
    <w:rsid w:val="6DDD7632"/>
    <w:rsid w:val="6DFC6CEF"/>
    <w:rsid w:val="6E1F649C"/>
    <w:rsid w:val="6E245261"/>
    <w:rsid w:val="6E313E22"/>
    <w:rsid w:val="6E4C47B8"/>
    <w:rsid w:val="6E71421E"/>
    <w:rsid w:val="6E9668CB"/>
    <w:rsid w:val="6EA6036C"/>
    <w:rsid w:val="6EA939B8"/>
    <w:rsid w:val="6EAC12BE"/>
    <w:rsid w:val="6EBF2F12"/>
    <w:rsid w:val="6EC30F1E"/>
    <w:rsid w:val="6EF015E7"/>
    <w:rsid w:val="6F0F4163"/>
    <w:rsid w:val="6F2A4AF9"/>
    <w:rsid w:val="6F4162E7"/>
    <w:rsid w:val="6F58426D"/>
    <w:rsid w:val="6F795A80"/>
    <w:rsid w:val="6F863CF9"/>
    <w:rsid w:val="6F9208F0"/>
    <w:rsid w:val="6F944668"/>
    <w:rsid w:val="6FB940CF"/>
    <w:rsid w:val="6FC52A74"/>
    <w:rsid w:val="6FE54EC4"/>
    <w:rsid w:val="6FE70FA6"/>
    <w:rsid w:val="6FE729EA"/>
    <w:rsid w:val="700A349F"/>
    <w:rsid w:val="7012394F"/>
    <w:rsid w:val="7020414E"/>
    <w:rsid w:val="70457711"/>
    <w:rsid w:val="70785D38"/>
    <w:rsid w:val="70A73F27"/>
    <w:rsid w:val="70BB28C7"/>
    <w:rsid w:val="70BD374B"/>
    <w:rsid w:val="70CB230C"/>
    <w:rsid w:val="71306613"/>
    <w:rsid w:val="713559D7"/>
    <w:rsid w:val="714F4CEB"/>
    <w:rsid w:val="71526589"/>
    <w:rsid w:val="715E4F2E"/>
    <w:rsid w:val="71630796"/>
    <w:rsid w:val="716D6F1F"/>
    <w:rsid w:val="71B44B4E"/>
    <w:rsid w:val="71B763EC"/>
    <w:rsid w:val="71C254BD"/>
    <w:rsid w:val="71C50B09"/>
    <w:rsid w:val="71D13952"/>
    <w:rsid w:val="71D90A58"/>
    <w:rsid w:val="72087019"/>
    <w:rsid w:val="72113D4E"/>
    <w:rsid w:val="723E2669"/>
    <w:rsid w:val="72404633"/>
    <w:rsid w:val="727367B7"/>
    <w:rsid w:val="727918F3"/>
    <w:rsid w:val="72C11AE7"/>
    <w:rsid w:val="72C9533D"/>
    <w:rsid w:val="72D54D7C"/>
    <w:rsid w:val="72D57472"/>
    <w:rsid w:val="72FD42D3"/>
    <w:rsid w:val="72FF629D"/>
    <w:rsid w:val="73104006"/>
    <w:rsid w:val="73261A7B"/>
    <w:rsid w:val="733107D8"/>
    <w:rsid w:val="73586098"/>
    <w:rsid w:val="735C724B"/>
    <w:rsid w:val="737C169B"/>
    <w:rsid w:val="739F7299"/>
    <w:rsid w:val="73FE47A6"/>
    <w:rsid w:val="740F4638"/>
    <w:rsid w:val="74367A9C"/>
    <w:rsid w:val="745C084D"/>
    <w:rsid w:val="745D6531"/>
    <w:rsid w:val="74600FBD"/>
    <w:rsid w:val="74744A68"/>
    <w:rsid w:val="749426E4"/>
    <w:rsid w:val="749A44CF"/>
    <w:rsid w:val="74AE3AD6"/>
    <w:rsid w:val="74DA2B1D"/>
    <w:rsid w:val="74DD362F"/>
    <w:rsid w:val="750E6C6B"/>
    <w:rsid w:val="7516167C"/>
    <w:rsid w:val="75287D2D"/>
    <w:rsid w:val="757A4300"/>
    <w:rsid w:val="75A77847"/>
    <w:rsid w:val="75C30533"/>
    <w:rsid w:val="75D91027"/>
    <w:rsid w:val="75F71409"/>
    <w:rsid w:val="760342F6"/>
    <w:rsid w:val="760D2A7F"/>
    <w:rsid w:val="761E2EDE"/>
    <w:rsid w:val="762A7AD4"/>
    <w:rsid w:val="76437692"/>
    <w:rsid w:val="76CC0B8C"/>
    <w:rsid w:val="76FA1255"/>
    <w:rsid w:val="76FB321F"/>
    <w:rsid w:val="772067E2"/>
    <w:rsid w:val="77342D4E"/>
    <w:rsid w:val="775A6197"/>
    <w:rsid w:val="776112D4"/>
    <w:rsid w:val="77664B3C"/>
    <w:rsid w:val="77764653"/>
    <w:rsid w:val="777C4360"/>
    <w:rsid w:val="77882D05"/>
    <w:rsid w:val="77D45F4A"/>
    <w:rsid w:val="77D8642D"/>
    <w:rsid w:val="77E37F3B"/>
    <w:rsid w:val="77EF4B32"/>
    <w:rsid w:val="77FA7033"/>
    <w:rsid w:val="77FC06C8"/>
    <w:rsid w:val="7819395D"/>
    <w:rsid w:val="78250553"/>
    <w:rsid w:val="785C1A9B"/>
    <w:rsid w:val="78746DE5"/>
    <w:rsid w:val="787853A5"/>
    <w:rsid w:val="78A21BA4"/>
    <w:rsid w:val="78A376CA"/>
    <w:rsid w:val="78C556E9"/>
    <w:rsid w:val="78C7160B"/>
    <w:rsid w:val="78D930EC"/>
    <w:rsid w:val="78EA5EF2"/>
    <w:rsid w:val="791A5BDE"/>
    <w:rsid w:val="791B3704"/>
    <w:rsid w:val="7924080B"/>
    <w:rsid w:val="792F71B0"/>
    <w:rsid w:val="795A422D"/>
    <w:rsid w:val="795F5CE7"/>
    <w:rsid w:val="79823784"/>
    <w:rsid w:val="799314ED"/>
    <w:rsid w:val="79BA191D"/>
    <w:rsid w:val="79C1605A"/>
    <w:rsid w:val="79C77685"/>
    <w:rsid w:val="79D12015"/>
    <w:rsid w:val="79E306C6"/>
    <w:rsid w:val="79F3642F"/>
    <w:rsid w:val="79F857F4"/>
    <w:rsid w:val="7A1C14E2"/>
    <w:rsid w:val="7A270B71"/>
    <w:rsid w:val="7A275176"/>
    <w:rsid w:val="7A320D06"/>
    <w:rsid w:val="7A61783D"/>
    <w:rsid w:val="7A6548DF"/>
    <w:rsid w:val="7A772BBC"/>
    <w:rsid w:val="7A805F15"/>
    <w:rsid w:val="7AAA4D40"/>
    <w:rsid w:val="7AAF7244"/>
    <w:rsid w:val="7ACF29F8"/>
    <w:rsid w:val="7AD149C3"/>
    <w:rsid w:val="7B0459CB"/>
    <w:rsid w:val="7B0A68E9"/>
    <w:rsid w:val="7B227779"/>
    <w:rsid w:val="7B3B1E3C"/>
    <w:rsid w:val="7B5771E6"/>
    <w:rsid w:val="7B632DBE"/>
    <w:rsid w:val="7B727E9F"/>
    <w:rsid w:val="7C0C5586"/>
    <w:rsid w:val="7C240B22"/>
    <w:rsid w:val="7C286864"/>
    <w:rsid w:val="7C4E50B3"/>
    <w:rsid w:val="7C605FFE"/>
    <w:rsid w:val="7C694787"/>
    <w:rsid w:val="7CAB4D9F"/>
    <w:rsid w:val="7CBE4AD3"/>
    <w:rsid w:val="7CC55E61"/>
    <w:rsid w:val="7CD460A4"/>
    <w:rsid w:val="7CDC3615"/>
    <w:rsid w:val="7D0E5A5A"/>
    <w:rsid w:val="7D2B02D8"/>
    <w:rsid w:val="7D366D5F"/>
    <w:rsid w:val="7D397EFB"/>
    <w:rsid w:val="7D586CD5"/>
    <w:rsid w:val="7D6722A4"/>
    <w:rsid w:val="7D8555F0"/>
    <w:rsid w:val="7D8C697F"/>
    <w:rsid w:val="7DA4016C"/>
    <w:rsid w:val="7DB61C4E"/>
    <w:rsid w:val="7DB879A9"/>
    <w:rsid w:val="7DE40569"/>
    <w:rsid w:val="7E114D79"/>
    <w:rsid w:val="7E1F3C97"/>
    <w:rsid w:val="7E2B6198"/>
    <w:rsid w:val="7E350DC4"/>
    <w:rsid w:val="7E590F57"/>
    <w:rsid w:val="7E65740D"/>
    <w:rsid w:val="7E7A2C7B"/>
    <w:rsid w:val="7E90249F"/>
    <w:rsid w:val="7E92445B"/>
    <w:rsid w:val="7EBC14E6"/>
    <w:rsid w:val="7EED306E"/>
    <w:rsid w:val="7F032C71"/>
    <w:rsid w:val="7F0D7F93"/>
    <w:rsid w:val="7F1B445E"/>
    <w:rsid w:val="7F21759B"/>
    <w:rsid w:val="7F2B657D"/>
    <w:rsid w:val="7F511C2E"/>
    <w:rsid w:val="7F8567C3"/>
    <w:rsid w:val="7F86582B"/>
    <w:rsid w:val="7F8D4BB9"/>
    <w:rsid w:val="7F9B559F"/>
    <w:rsid w:val="7FA77AA0"/>
    <w:rsid w:val="7FE7259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4">
    <w:name w:val="heading 1"/>
    <w:basedOn w:val="2"/>
    <w:next w:val="1"/>
    <w:link w:val="44"/>
    <w:qFormat/>
    <w:uiPriority w:val="9"/>
    <w:pPr>
      <w:keepNext/>
      <w:keepLines/>
      <w:spacing w:before="340" w:after="330" w:line="578" w:lineRule="auto"/>
      <w:jc w:val="center"/>
      <w:outlineLvl w:val="0"/>
    </w:pPr>
    <w:rPr>
      <w:rFonts w:eastAsia="黑体"/>
      <w:kern w:val="44"/>
      <w:sz w:val="44"/>
      <w:szCs w:val="44"/>
    </w:rPr>
  </w:style>
  <w:style w:type="paragraph" w:styleId="2">
    <w:name w:val="heading 2"/>
    <w:basedOn w:val="1"/>
    <w:next w:val="3"/>
    <w:link w:val="46"/>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szCs w:val="22"/>
    </w:rPr>
  </w:style>
  <w:style w:type="paragraph" w:styleId="7">
    <w:name w:val="toc 7"/>
    <w:basedOn w:val="1"/>
    <w:next w:val="1"/>
    <w:autoRedefine/>
    <w:unhideWhenUsed/>
    <w:qFormat/>
    <w:uiPriority w:val="39"/>
    <w:pPr>
      <w:ind w:left="1440"/>
    </w:pPr>
    <w:rPr>
      <w:rFonts w:asciiTheme="minorHAnsi" w:eastAsiaTheme="minorHAnsi"/>
      <w:sz w:val="18"/>
      <w:szCs w:val="18"/>
    </w:rPr>
  </w:style>
  <w:style w:type="paragraph" w:styleId="8">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toa heading"/>
    <w:basedOn w:val="10"/>
    <w:next w:val="1"/>
    <w:qFormat/>
    <w:uiPriority w:val="0"/>
    <w:pPr>
      <w:spacing w:before="120"/>
    </w:pPr>
    <w:rPr>
      <w:rFonts w:ascii="Arial" w:hAnsi="Arial"/>
    </w:rPr>
  </w:style>
  <w:style w:type="paragraph" w:customStyle="1" w:styleId="10">
    <w:name w:val="正文_1_1"/>
    <w:basedOn w:val="1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
    <w:name w:val="正文_5"/>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引文目录标题_0"/>
    <w:basedOn w:val="13"/>
    <w:next w:val="11"/>
    <w:qFormat/>
    <w:uiPriority w:val="0"/>
    <w:pPr>
      <w:spacing w:before="120"/>
    </w:pPr>
    <w:rPr>
      <w:rFonts w:ascii="Arial" w:hAnsi="Arial"/>
      <w:sz w:val="24"/>
    </w:rPr>
  </w:style>
  <w:style w:type="paragraph" w:customStyle="1" w:styleId="13">
    <w:name w:val="正文_2_0"/>
    <w:basedOn w:val="10"/>
    <w:next w:val="12"/>
    <w:qFormat/>
    <w:uiPriority w:val="0"/>
    <w:rPr>
      <w:rFonts w:ascii="Calibri" w:hAnsi="Calibri"/>
      <w:szCs w:val="21"/>
      <w:lang w:bidi="ug-CN"/>
    </w:rPr>
  </w:style>
  <w:style w:type="paragraph" w:styleId="14">
    <w:name w:val="annotation text"/>
    <w:basedOn w:val="1"/>
    <w:link w:val="53"/>
    <w:qFormat/>
    <w:uiPriority w:val="0"/>
    <w:pPr>
      <w:spacing w:line="240" w:lineRule="auto"/>
    </w:pPr>
    <w:rPr>
      <w:rFonts w:asciiTheme="minorHAnsi" w:hAnsiTheme="minorHAnsi" w:eastAsiaTheme="minorEastAsia"/>
      <w:sz w:val="21"/>
      <w:szCs w:val="24"/>
    </w:rPr>
  </w:style>
  <w:style w:type="paragraph" w:styleId="15">
    <w:name w:val="Body Text 3"/>
    <w:basedOn w:val="1"/>
    <w:link w:val="49"/>
    <w:semiHidden/>
    <w:unhideWhenUsed/>
    <w:qFormat/>
    <w:uiPriority w:val="99"/>
    <w:pPr>
      <w:spacing w:after="120"/>
    </w:pPr>
    <w:rPr>
      <w:sz w:val="16"/>
      <w:szCs w:val="16"/>
    </w:rPr>
  </w:style>
  <w:style w:type="paragraph" w:styleId="16">
    <w:name w:val="Body Text"/>
    <w:basedOn w:val="1"/>
    <w:next w:val="1"/>
    <w:link w:val="48"/>
    <w:unhideWhenUsed/>
    <w:qFormat/>
    <w:uiPriority w:val="99"/>
    <w:pPr>
      <w:spacing w:after="120" w:line="240" w:lineRule="auto"/>
      <w:jc w:val="both"/>
    </w:pPr>
    <w:rPr>
      <w:rFonts w:ascii="Times New Roman" w:hAnsi="Times New Roman" w:cs="Times New Roman"/>
      <w:kern w:val="0"/>
      <w:sz w:val="20"/>
      <w:szCs w:val="20"/>
    </w:rPr>
  </w:style>
  <w:style w:type="paragraph" w:styleId="17">
    <w:name w:val="Body Text Indent"/>
    <w:basedOn w:val="1"/>
    <w:next w:val="18"/>
    <w:unhideWhenUsed/>
    <w:qFormat/>
    <w:uiPriority w:val="0"/>
    <w:pPr>
      <w:ind w:firstLine="630"/>
    </w:pPr>
    <w:rPr>
      <w:rFonts w:eastAsia="仿宋_GB2312"/>
      <w:kern w:val="0"/>
      <w:sz w:val="32"/>
      <w:szCs w:val="20"/>
    </w:rPr>
  </w:style>
  <w:style w:type="paragraph" w:styleId="18">
    <w:name w:val="envelope return"/>
    <w:basedOn w:val="1"/>
    <w:qFormat/>
    <w:uiPriority w:val="0"/>
    <w:rPr>
      <w:rFonts w:ascii="Arial" w:hAnsi="Arial"/>
    </w:rPr>
  </w:style>
  <w:style w:type="paragraph" w:styleId="19">
    <w:name w:val="toc 5"/>
    <w:basedOn w:val="1"/>
    <w:next w:val="1"/>
    <w:autoRedefine/>
    <w:unhideWhenUsed/>
    <w:qFormat/>
    <w:uiPriority w:val="39"/>
    <w:pPr>
      <w:ind w:left="960"/>
    </w:pPr>
    <w:rPr>
      <w:rFonts w:asciiTheme="minorHAnsi" w:eastAsiaTheme="minorHAnsi"/>
      <w:sz w:val="18"/>
      <w:szCs w:val="18"/>
    </w:rPr>
  </w:style>
  <w:style w:type="paragraph" w:styleId="20">
    <w:name w:val="toc 3"/>
    <w:basedOn w:val="1"/>
    <w:next w:val="1"/>
    <w:autoRedefine/>
    <w:unhideWhenUsed/>
    <w:qFormat/>
    <w:uiPriority w:val="39"/>
    <w:pPr>
      <w:ind w:left="480"/>
    </w:pPr>
    <w:rPr>
      <w:rFonts w:asciiTheme="minorHAnsi" w:eastAsiaTheme="minorHAnsi"/>
      <w:i/>
      <w:iCs/>
      <w:sz w:val="20"/>
      <w:szCs w:val="20"/>
    </w:rPr>
  </w:style>
  <w:style w:type="paragraph" w:styleId="21">
    <w:name w:val="Plain Text"/>
    <w:basedOn w:val="1"/>
    <w:unhideWhenUsed/>
    <w:qFormat/>
    <w:uiPriority w:val="0"/>
    <w:rPr>
      <w:rFonts w:ascii="宋体" w:hAnsi="Courier New"/>
      <w:kern w:val="0"/>
      <w:sz w:val="20"/>
      <w:szCs w:val="20"/>
    </w:rPr>
  </w:style>
  <w:style w:type="paragraph" w:styleId="22">
    <w:name w:val="toc 8"/>
    <w:basedOn w:val="1"/>
    <w:next w:val="1"/>
    <w:autoRedefine/>
    <w:unhideWhenUsed/>
    <w:qFormat/>
    <w:uiPriority w:val="39"/>
    <w:pPr>
      <w:ind w:left="1680"/>
    </w:pPr>
    <w:rPr>
      <w:rFonts w:asciiTheme="minorHAnsi" w:eastAsiaTheme="minorHAnsi"/>
      <w:sz w:val="18"/>
      <w:szCs w:val="18"/>
    </w:rPr>
  </w:style>
  <w:style w:type="paragraph" w:styleId="23">
    <w:name w:val="footer"/>
    <w:basedOn w:val="1"/>
    <w:link w:val="43"/>
    <w:unhideWhenUsed/>
    <w:qFormat/>
    <w:uiPriority w:val="99"/>
    <w:pPr>
      <w:tabs>
        <w:tab w:val="center" w:pos="4153"/>
        <w:tab w:val="right" w:pos="8306"/>
      </w:tabs>
      <w:snapToGrid w:val="0"/>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6">
    <w:name w:val="toc 4"/>
    <w:basedOn w:val="1"/>
    <w:next w:val="1"/>
    <w:autoRedefine/>
    <w:unhideWhenUsed/>
    <w:qFormat/>
    <w:uiPriority w:val="39"/>
    <w:pPr>
      <w:ind w:left="720"/>
    </w:pPr>
    <w:rPr>
      <w:rFonts w:asciiTheme="minorHAnsi" w:eastAsiaTheme="minorHAnsi"/>
      <w:sz w:val="18"/>
      <w:szCs w:val="18"/>
    </w:rPr>
  </w:style>
  <w:style w:type="paragraph" w:styleId="27">
    <w:name w:val="footnote text"/>
    <w:basedOn w:val="1"/>
    <w:qFormat/>
    <w:uiPriority w:val="0"/>
    <w:pPr>
      <w:widowControl/>
      <w:jc w:val="left"/>
    </w:pPr>
    <w:rPr>
      <w:kern w:val="0"/>
      <w:sz w:val="20"/>
      <w:szCs w:val="20"/>
      <w:lang w:val="de-DE"/>
    </w:rPr>
  </w:style>
  <w:style w:type="paragraph" w:styleId="28">
    <w:name w:val="toc 6"/>
    <w:basedOn w:val="1"/>
    <w:next w:val="1"/>
    <w:autoRedefine/>
    <w:unhideWhenUsed/>
    <w:qFormat/>
    <w:uiPriority w:val="39"/>
    <w:pPr>
      <w:ind w:left="1200"/>
    </w:pPr>
    <w:rPr>
      <w:rFonts w:asciiTheme="minorHAnsi" w:eastAsiaTheme="minorHAnsi"/>
      <w:sz w:val="18"/>
      <w:szCs w:val="18"/>
    </w:rPr>
  </w:style>
  <w:style w:type="paragraph" w:styleId="29">
    <w:name w:val="toc 2"/>
    <w:basedOn w:val="1"/>
    <w:next w:val="1"/>
    <w:autoRedefine/>
    <w:unhideWhenUsed/>
    <w:qFormat/>
    <w:uiPriority w:val="39"/>
    <w:pPr>
      <w:ind w:left="240"/>
    </w:pPr>
    <w:rPr>
      <w:rFonts w:asciiTheme="minorHAnsi" w:eastAsiaTheme="minorHAnsi"/>
      <w:smallCaps/>
      <w:sz w:val="20"/>
      <w:szCs w:val="20"/>
    </w:rPr>
  </w:style>
  <w:style w:type="paragraph" w:styleId="30">
    <w:name w:val="toc 9"/>
    <w:basedOn w:val="1"/>
    <w:next w:val="1"/>
    <w:autoRedefine/>
    <w:unhideWhenUsed/>
    <w:qFormat/>
    <w:uiPriority w:val="39"/>
    <w:pPr>
      <w:ind w:left="1920"/>
    </w:pPr>
    <w:rPr>
      <w:rFonts w:asciiTheme="minorHAnsi" w:eastAsiaTheme="minorHAnsi"/>
      <w:sz w:val="18"/>
      <w:szCs w:val="18"/>
    </w:rPr>
  </w:style>
  <w:style w:type="paragraph" w:styleId="31">
    <w:name w:val="Normal (Web)"/>
    <w:basedOn w:val="1"/>
    <w:qFormat/>
    <w:uiPriority w:val="0"/>
    <w:pPr>
      <w:widowControl/>
      <w:spacing w:before="100" w:beforeAutospacing="1" w:after="100" w:afterAutospacing="1" w:line="240" w:lineRule="auto"/>
    </w:pPr>
    <w:rPr>
      <w:rFonts w:cs="宋体"/>
      <w:kern w:val="0"/>
      <w:szCs w:val="20"/>
    </w:rPr>
  </w:style>
  <w:style w:type="paragraph" w:styleId="32">
    <w:name w:val="annotation subject"/>
    <w:basedOn w:val="14"/>
    <w:next w:val="14"/>
    <w:link w:val="58"/>
    <w:semiHidden/>
    <w:unhideWhenUsed/>
    <w:qFormat/>
    <w:uiPriority w:val="99"/>
    <w:pPr>
      <w:spacing w:line="360" w:lineRule="auto"/>
    </w:pPr>
    <w:rPr>
      <w:rFonts w:ascii="宋体" w:hAnsi="宋体" w:eastAsia="宋体"/>
      <w:b/>
      <w:bCs/>
      <w:sz w:val="24"/>
      <w:szCs w:val="22"/>
    </w:rPr>
  </w:style>
  <w:style w:type="paragraph" w:styleId="33">
    <w:name w:val="Body Text First Indent"/>
    <w:basedOn w:val="16"/>
    <w:next w:val="1"/>
    <w:qFormat/>
    <w:uiPriority w:val="0"/>
    <w:pPr>
      <w:ind w:firstLine="100" w:firstLineChars="100"/>
    </w:pPr>
  </w:style>
  <w:style w:type="paragraph" w:styleId="34">
    <w:name w:val="Body Text First Indent 2"/>
    <w:basedOn w:val="17"/>
    <w:next w:val="33"/>
    <w:qFormat/>
    <w:uiPriority w:val="0"/>
    <w:pPr>
      <w:ind w:firstLine="420" w:firstLineChars="200"/>
    </w:p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Hyperlink"/>
    <w:basedOn w:val="37"/>
    <w:unhideWhenUsed/>
    <w:qFormat/>
    <w:uiPriority w:val="99"/>
    <w:rPr>
      <w:color w:val="0563C1" w:themeColor="hyperlink"/>
      <w:u w:val="single"/>
      <w14:textFill>
        <w14:solidFill>
          <w14:schemeClr w14:val="hlink"/>
        </w14:solidFill>
      </w14:textFill>
    </w:rPr>
  </w:style>
  <w:style w:type="character" w:styleId="40">
    <w:name w:val="annotation reference"/>
    <w:basedOn w:val="37"/>
    <w:semiHidden/>
    <w:unhideWhenUsed/>
    <w:qFormat/>
    <w:uiPriority w:val="99"/>
    <w:rPr>
      <w:sz w:val="21"/>
      <w:szCs w:val="21"/>
    </w:rPr>
  </w:style>
  <w:style w:type="paragraph" w:customStyle="1" w:styleId="41">
    <w:name w:val="正文缩进2"/>
    <w:basedOn w:val="1"/>
    <w:qFormat/>
    <w:uiPriority w:val="0"/>
    <w:pPr>
      <w:wordWrap w:val="0"/>
      <w:ind w:firstLine="200" w:firstLineChars="200"/>
    </w:pPr>
  </w:style>
  <w:style w:type="character" w:customStyle="1" w:styleId="42">
    <w:name w:val="页眉 字符"/>
    <w:basedOn w:val="37"/>
    <w:link w:val="24"/>
    <w:qFormat/>
    <w:uiPriority w:val="99"/>
    <w:rPr>
      <w:rFonts w:eastAsia="宋体"/>
      <w:sz w:val="18"/>
      <w:szCs w:val="18"/>
    </w:rPr>
  </w:style>
  <w:style w:type="character" w:customStyle="1" w:styleId="43">
    <w:name w:val="页脚 字符"/>
    <w:basedOn w:val="37"/>
    <w:link w:val="23"/>
    <w:qFormat/>
    <w:uiPriority w:val="99"/>
    <w:rPr>
      <w:rFonts w:eastAsia="宋体"/>
      <w:sz w:val="18"/>
      <w:szCs w:val="18"/>
    </w:rPr>
  </w:style>
  <w:style w:type="character" w:customStyle="1" w:styleId="44">
    <w:name w:val="标题 1 字符"/>
    <w:basedOn w:val="37"/>
    <w:link w:val="4"/>
    <w:qFormat/>
    <w:uiPriority w:val="9"/>
    <w:rPr>
      <w:rFonts w:ascii="宋体" w:hAnsi="宋体" w:eastAsia="黑体"/>
      <w:b/>
      <w:bCs/>
      <w:kern w:val="44"/>
      <w:sz w:val="44"/>
      <w:szCs w:val="44"/>
    </w:rPr>
  </w:style>
  <w:style w:type="paragraph" w:styleId="45">
    <w:name w:val="List Paragraph"/>
    <w:basedOn w:val="1"/>
    <w:link w:val="54"/>
    <w:qFormat/>
    <w:uiPriority w:val="34"/>
    <w:pPr>
      <w:ind w:firstLine="420" w:firstLineChars="200"/>
    </w:pPr>
  </w:style>
  <w:style w:type="character" w:customStyle="1" w:styleId="46">
    <w:name w:val="标题 2 字符"/>
    <w:basedOn w:val="37"/>
    <w:link w:val="2"/>
    <w:qFormat/>
    <w:uiPriority w:val="9"/>
    <w:rPr>
      <w:rFonts w:eastAsia="宋体" w:asciiTheme="majorHAnsi" w:hAnsiTheme="majorHAnsi" w:cstheme="majorBidi"/>
      <w:b/>
      <w:bCs/>
      <w:sz w:val="32"/>
      <w:szCs w:val="32"/>
    </w:rPr>
  </w:style>
  <w:style w:type="character" w:customStyle="1" w:styleId="47">
    <w:name w:val="未处理的提及1"/>
    <w:basedOn w:val="37"/>
    <w:semiHidden/>
    <w:unhideWhenUsed/>
    <w:qFormat/>
    <w:uiPriority w:val="99"/>
    <w:rPr>
      <w:color w:val="605E5C"/>
      <w:shd w:val="clear" w:color="auto" w:fill="E1DFDD"/>
    </w:rPr>
  </w:style>
  <w:style w:type="character" w:customStyle="1" w:styleId="48">
    <w:name w:val="正文文本 字符"/>
    <w:basedOn w:val="37"/>
    <w:link w:val="16"/>
    <w:qFormat/>
    <w:uiPriority w:val="99"/>
    <w:rPr>
      <w:rFonts w:ascii="Times New Roman" w:hAnsi="Times New Roman" w:eastAsia="宋体" w:cs="Times New Roman"/>
      <w:kern w:val="0"/>
      <w:sz w:val="20"/>
      <w:szCs w:val="20"/>
    </w:rPr>
  </w:style>
  <w:style w:type="character" w:customStyle="1" w:styleId="49">
    <w:name w:val="正文文本 3 字符"/>
    <w:basedOn w:val="37"/>
    <w:link w:val="15"/>
    <w:semiHidden/>
    <w:qFormat/>
    <w:uiPriority w:val="99"/>
    <w:rPr>
      <w:rFonts w:ascii="宋体" w:hAnsi="宋体" w:eastAsia="宋体"/>
      <w:sz w:val="16"/>
      <w:szCs w:val="16"/>
    </w:rPr>
  </w:style>
  <w:style w:type="paragraph" w:customStyle="1" w:styleId="50">
    <w:name w:val="Default"/>
    <w:link w:val="51"/>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51">
    <w:name w:val="Default Char Char"/>
    <w:link w:val="50"/>
    <w:qFormat/>
    <w:uiPriority w:val="0"/>
    <w:rPr>
      <w:rFonts w:ascii=".." w:hAnsi="Times New Roman" w:eastAsia=".." w:cs="Times New Roman"/>
      <w:color w:val="000000"/>
      <w:kern w:val="0"/>
      <w:sz w:val="24"/>
      <w:szCs w:val="24"/>
    </w:rPr>
  </w:style>
  <w:style w:type="paragraph" w:styleId="52">
    <w:name w:val="No Spacing"/>
    <w:link w:val="57"/>
    <w:qFormat/>
    <w:uiPriority w:val="1"/>
    <w:pPr>
      <w:widowControl w:val="0"/>
    </w:pPr>
    <w:rPr>
      <w:rFonts w:ascii="宋体" w:hAnsi="宋体" w:eastAsia="宋体" w:cstheme="minorBidi"/>
      <w:kern w:val="2"/>
      <w:sz w:val="21"/>
      <w:szCs w:val="22"/>
      <w:lang w:val="en-US" w:eastAsia="zh-CN" w:bidi="ar-SA"/>
    </w:rPr>
  </w:style>
  <w:style w:type="character" w:customStyle="1" w:styleId="53">
    <w:name w:val="批注文字 字符"/>
    <w:basedOn w:val="37"/>
    <w:link w:val="14"/>
    <w:qFormat/>
    <w:uiPriority w:val="0"/>
    <w:rPr>
      <w:szCs w:val="24"/>
    </w:rPr>
  </w:style>
  <w:style w:type="character" w:customStyle="1" w:styleId="54">
    <w:name w:val="列表段落 字符"/>
    <w:link w:val="45"/>
    <w:qFormat/>
    <w:uiPriority w:val="34"/>
    <w:rPr>
      <w:rFonts w:ascii="宋体" w:hAnsi="宋体" w:eastAsia="宋体"/>
      <w:sz w:val="24"/>
    </w:rPr>
  </w:style>
  <w:style w:type="character" w:customStyle="1" w:styleId="55">
    <w:name w:val="标题 3 字符"/>
    <w:basedOn w:val="37"/>
    <w:link w:val="5"/>
    <w:autoRedefine/>
    <w:qFormat/>
    <w:uiPriority w:val="9"/>
    <w:rPr>
      <w:rFonts w:ascii="宋体" w:hAnsi="宋体" w:eastAsia="宋体"/>
      <w:b/>
      <w:bCs/>
      <w:sz w:val="32"/>
      <w:szCs w:val="32"/>
    </w:rPr>
  </w:style>
  <w:style w:type="character" w:customStyle="1" w:styleId="56">
    <w:name w:val="标题 4 字符"/>
    <w:basedOn w:val="37"/>
    <w:link w:val="6"/>
    <w:autoRedefine/>
    <w:qFormat/>
    <w:uiPriority w:val="9"/>
    <w:rPr>
      <w:rFonts w:eastAsia="宋体" w:asciiTheme="majorHAnsi" w:hAnsiTheme="majorHAnsi" w:cstheme="majorBidi"/>
      <w:b/>
      <w:bCs/>
      <w:sz w:val="28"/>
      <w:szCs w:val="28"/>
    </w:rPr>
  </w:style>
  <w:style w:type="character" w:customStyle="1" w:styleId="57">
    <w:name w:val="无间隔 字符"/>
    <w:link w:val="52"/>
    <w:qFormat/>
    <w:uiPriority w:val="1"/>
    <w:rPr>
      <w:rFonts w:ascii="宋体" w:hAnsi="宋体" w:eastAsia="宋体"/>
    </w:rPr>
  </w:style>
  <w:style w:type="character" w:customStyle="1" w:styleId="58">
    <w:name w:val="批注主题 字符"/>
    <w:basedOn w:val="53"/>
    <w:link w:val="32"/>
    <w:semiHidden/>
    <w:qFormat/>
    <w:uiPriority w:val="99"/>
    <w:rPr>
      <w:rFonts w:ascii="宋体" w:hAnsi="宋体" w:eastAsia="宋体"/>
      <w:b/>
      <w:bCs/>
      <w:kern w:val="2"/>
      <w:sz w:val="24"/>
      <w:szCs w:val="22"/>
    </w:rPr>
  </w:style>
  <w:style w:type="paragraph" w:customStyle="1" w:styleId="5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正文1"/>
    <w:autoRedefine/>
    <w:qFormat/>
    <w:uiPriority w:val="0"/>
    <w:pPr>
      <w:widowControl w:val="0"/>
      <w:jc w:val="both"/>
    </w:pPr>
    <w:rPr>
      <w:rFonts w:ascii="Calibri" w:hAnsi="Calibri" w:eastAsia="宋体" w:cs="Times New Roman"/>
      <w:lang w:val="en-US" w:eastAsia="zh-CN" w:bidi="ar-SA"/>
    </w:rPr>
  </w:style>
  <w:style w:type="paragraph" w:customStyle="1" w:styleId="61">
    <w:name w:val="正文_2"/>
    <w:basedOn w:val="62"/>
    <w:next w:val="63"/>
    <w:autoRedefine/>
    <w:qFormat/>
    <w:uiPriority w:val="0"/>
    <w:pPr>
      <w:widowControl w:val="0"/>
      <w:jc w:val="both"/>
    </w:pPr>
    <w:rPr>
      <w:rFonts w:ascii="Calibri" w:hAnsi="Calibri" w:eastAsia="宋体" w:cs="Times New Roman"/>
      <w:lang w:val="en-US" w:eastAsia="zh-CN" w:bidi="ar-SA"/>
    </w:rPr>
  </w:style>
  <w:style w:type="paragraph" w:customStyle="1" w:styleId="62">
    <w:name w:val="正文_1_0"/>
    <w:basedOn w:val="10"/>
    <w:next w:val="9"/>
    <w:qFormat/>
    <w:uiPriority w:val="0"/>
    <w:rPr>
      <w:rFonts w:ascii="Calibri" w:hAnsi="Calibri" w:cs="Calibri"/>
      <w:szCs w:val="21"/>
      <w:lang w:bidi="ug-CN"/>
    </w:rPr>
  </w:style>
  <w:style w:type="paragraph" w:customStyle="1" w:styleId="63">
    <w:name w:val="正文文本_1"/>
    <w:basedOn w:val="64"/>
    <w:qFormat/>
    <w:uiPriority w:val="0"/>
    <w:pPr>
      <w:spacing w:after="120"/>
    </w:pPr>
    <w:rPr>
      <w:rFonts w:ascii="Calibri" w:hAnsi="Calibri" w:eastAsia="宋体"/>
    </w:rPr>
  </w:style>
  <w:style w:type="paragraph" w:customStyle="1" w:styleId="6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
    <w:next w:val="66"/>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66">
    <w:name w:val="Footnote Text"/>
    <w:basedOn w:val="65"/>
    <w:qFormat/>
    <w:uiPriority w:val="0"/>
    <w:pPr>
      <w:snapToGrid w:val="0"/>
      <w:jc w:val="left"/>
    </w:pPr>
    <w:rPr>
      <w:sz w:val="18"/>
      <w:szCs w:val="18"/>
    </w:rPr>
  </w:style>
  <w:style w:type="paragraph" w:customStyle="1" w:styleId="67">
    <w:name w:val="正文_1"/>
    <w:basedOn w:val="6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69">
    <w:name w:val="列出段落1"/>
    <w:basedOn w:val="1"/>
    <w:autoRedefine/>
    <w:qFormat/>
    <w:uiPriority w:val="0"/>
    <w:pPr>
      <w:ind w:firstLine="420" w:firstLineChars="200"/>
    </w:pPr>
    <w:rPr>
      <w:szCs w:val="21"/>
    </w:rPr>
  </w:style>
  <w:style w:type="paragraph" w:customStyle="1" w:styleId="70">
    <w:name w:val="Normal_22"/>
    <w:autoRedefine/>
    <w:qFormat/>
    <w:uiPriority w:val="0"/>
    <w:rPr>
      <w:rFonts w:ascii="Times New Roman" w:hAnsi="Times New Roman" w:eastAsia="Times New Roman" w:cs="Times New Roman"/>
      <w:sz w:val="24"/>
      <w:szCs w:val="24"/>
      <w:lang w:bidi="ar-SA"/>
    </w:rPr>
  </w:style>
  <w:style w:type="paragraph" w:customStyle="1" w:styleId="71">
    <w:name w:val="Char Char Char Char Char Char Char1 Char"/>
    <w:basedOn w:val="1"/>
    <w:autoRedefine/>
    <w:qFormat/>
    <w:uiPriority w:val="0"/>
    <w:rPr>
      <w:rFonts w:ascii="Arial" w:hAnsi="Arial" w:eastAsia="宋体" w:cs="Arial"/>
      <w:sz w:val="24"/>
    </w:rPr>
  </w:style>
  <w:style w:type="paragraph" w:customStyle="1" w:styleId="72">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3">
    <w:name w:val="正文_0"/>
    <w:basedOn w:val="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首行缩进1"/>
    <w:basedOn w:val="75"/>
    <w:unhideWhenUsed/>
    <w:qFormat/>
    <w:uiPriority w:val="99"/>
    <w:pPr>
      <w:ind w:firstLine="420" w:firstLineChars="100"/>
    </w:pPr>
    <w:rPr>
      <w:szCs w:val="22"/>
    </w:rPr>
  </w:style>
  <w:style w:type="paragraph" w:customStyle="1" w:styleId="75">
    <w:name w:val="正文文本_0_0"/>
    <w:basedOn w:val="76"/>
    <w:qFormat/>
    <w:uiPriority w:val="0"/>
    <w:pPr>
      <w:spacing w:after="120"/>
    </w:pPr>
    <w:rPr>
      <w:rFonts w:ascii="Calibri" w:hAnsi="Calibri"/>
      <w:kern w:val="0"/>
      <w:sz w:val="20"/>
    </w:rPr>
  </w:style>
  <w:style w:type="paragraph" w:customStyle="1" w:styleId="7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0_1_0"/>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78">
    <w:name w:val="正文_1_0_0_0_0"/>
    <w:autoRedefine/>
    <w:qFormat/>
    <w:uiPriority w:val="99"/>
    <w:pPr>
      <w:widowControl w:val="0"/>
      <w:jc w:val="both"/>
    </w:pPr>
    <w:rPr>
      <w:rFonts w:ascii="Calibri" w:hAnsi="Calibri" w:eastAsia="微软雅黑" w:cs="Times New Roman"/>
      <w:kern w:val="2"/>
      <w:sz w:val="21"/>
      <w:szCs w:val="24"/>
      <w:lang w:val="en-US" w:eastAsia="zh-CN" w:bidi="ar-SA"/>
    </w:rPr>
  </w:style>
  <w:style w:type="paragraph" w:customStyle="1" w:styleId="79">
    <w:name w:val="Table Paragraph"/>
    <w:basedOn w:val="62"/>
    <w:autoRedefine/>
    <w:qFormat/>
    <w:uiPriority w:val="1"/>
    <w:pPr>
      <w:autoSpaceDE w:val="0"/>
      <w:autoSpaceDN w:val="0"/>
      <w:jc w:val="left"/>
    </w:pPr>
    <w:rPr>
      <w:rFonts w:ascii="宋体" w:hAnsi="宋体" w:eastAsia="宋体" w:cs="宋体"/>
      <w:kern w:val="0"/>
      <w:sz w:val="22"/>
      <w:lang w:val="zh-CN" w:bidi="zh-CN"/>
    </w:rPr>
  </w:style>
  <w:style w:type="paragraph" w:customStyle="1" w:styleId="80">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_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正文_2_0_0"/>
    <w:autoRedefine/>
    <w:qFormat/>
    <w:uiPriority w:val="99"/>
    <w:pPr>
      <w:widowControl w:val="0"/>
      <w:jc w:val="both"/>
    </w:pPr>
    <w:rPr>
      <w:rFonts w:ascii="Calibri" w:hAnsi="Calibri" w:eastAsia="宋体" w:cs="宋体"/>
      <w:kern w:val="2"/>
      <w:sz w:val="21"/>
      <w:szCs w:val="22"/>
      <w:lang w:val="en-US" w:eastAsia="zh-CN" w:bidi="ar-SA"/>
    </w:rPr>
  </w:style>
  <w:style w:type="paragraph" w:customStyle="1" w:styleId="83">
    <w:name w:val="正文文本缩进_1"/>
    <w:basedOn w:val="84"/>
    <w:qFormat/>
    <w:uiPriority w:val="0"/>
    <w:pPr>
      <w:spacing w:line="500" w:lineRule="exact"/>
      <w:ind w:left="1588" w:leftChars="832" w:firstLine="433" w:firstLineChars="196"/>
    </w:pPr>
    <w:rPr>
      <w:rFonts w:ascii="Calibri" w:hAnsi="Calibri"/>
      <w:sz w:val="24"/>
    </w:rPr>
  </w:style>
  <w:style w:type="paragraph" w:customStyle="1" w:styleId="84">
    <w:name w:val="正文_5_0"/>
    <w:next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Normal_0"/>
    <w:autoRedefine/>
    <w:qFormat/>
    <w:uiPriority w:val="0"/>
    <w:rPr>
      <w:rFonts w:ascii="Times New Roman" w:hAnsi="Times New Roman" w:eastAsia="Times New Roman" w:cs="Times New Roman"/>
      <w:sz w:val="24"/>
      <w:szCs w:val="24"/>
      <w:lang w:bidi="ar-SA"/>
    </w:rPr>
  </w:style>
  <w:style w:type="paragraph" w:customStyle="1" w:styleId="86">
    <w:name w:val="正文_3_0_0"/>
    <w:next w:val="8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font71"/>
    <w:basedOn w:val="37"/>
    <w:qFormat/>
    <w:uiPriority w:val="0"/>
    <w:rPr>
      <w:rFonts w:hint="eastAsia" w:ascii="仿宋" w:hAnsi="仿宋" w:eastAsia="仿宋" w:cs="仿宋"/>
      <w:b/>
      <w:bCs/>
      <w:color w:val="000000"/>
      <w:sz w:val="24"/>
      <w:szCs w:val="24"/>
      <w:u w:val="none"/>
    </w:rPr>
  </w:style>
  <w:style w:type="character" w:customStyle="1" w:styleId="88">
    <w:name w:val="font81"/>
    <w:basedOn w:val="37"/>
    <w:qFormat/>
    <w:uiPriority w:val="0"/>
    <w:rPr>
      <w:rFonts w:hint="default" w:ascii="Calibri" w:hAnsi="Calibri" w:cs="Calibri"/>
      <w:b/>
      <w:bCs/>
      <w:color w:val="000000"/>
      <w:sz w:val="24"/>
      <w:szCs w:val="24"/>
      <w:u w:val="none"/>
    </w:rPr>
  </w:style>
  <w:style w:type="paragraph" w:customStyle="1" w:styleId="89">
    <w:name w:val="Normal_1"/>
    <w:autoRedefine/>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36644</Words>
  <Characters>38830</Characters>
  <Lines>294</Lines>
  <Paragraphs>82</Paragraphs>
  <TotalTime>2</TotalTime>
  <ScaleCrop>false</ScaleCrop>
  <LinksUpToDate>false</LinksUpToDate>
  <CharactersWithSpaces>39712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Administrator</cp:lastModifiedBy>
  <cp:lastPrinted>2024-12-28T09:35:00Z</cp:lastPrinted>
  <dcterms:modified xsi:type="dcterms:W3CDTF">2025-03-10T11:58:53Z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A93B68F45D3640FCAF4BB38A6ADC58C0_13</vt:lpwstr>
  </property>
  <property fmtid="{D5CDD505-2E9C-101B-9397-08002B2CF9AE}" pid="4" name="KSOTemplateDocerSaveRecord">
    <vt:lpwstr>eyJoZGlkIjoiMGJlMTI2MzczNDY2ZjQ1ODJlYzBlM2ZlZTg4N2U1ZDYiLCJ1c2VySWQiOiI0MTU1ODUyNjEifQ==</vt:lpwstr>
  </property>
</Properties>
</file>