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0F5D7D">
      <w:pPr>
        <w:pStyle w:val="34"/>
        <w:rPr>
          <w:rFonts w:hint="eastAsia"/>
          <w:color w:val="auto"/>
          <w:highlight w:val="none"/>
        </w:rPr>
      </w:pPr>
      <w:bookmarkStart w:id="262" w:name="_GoBack"/>
      <w:bookmarkEnd w:id="262"/>
      <w:bookmarkStart w:id="0" w:name="_Toc183682338"/>
      <w:bookmarkStart w:id="1" w:name="_Toc217446030"/>
    </w:p>
    <w:p w14:paraId="0B095C47">
      <w:pPr>
        <w:pStyle w:val="34"/>
        <w:rPr>
          <w:rFonts w:hint="eastAsia"/>
          <w:color w:val="auto"/>
          <w:highlight w:val="none"/>
        </w:rPr>
      </w:pPr>
    </w:p>
    <w:p w14:paraId="4A7BA539">
      <w:pPr>
        <w:snapToGrid w:val="0"/>
        <w:spacing w:before="666" w:beforeLines="200" w:line="360" w:lineRule="auto"/>
        <w:jc w:val="center"/>
        <w:outlineLvl w:val="0"/>
        <w:rPr>
          <w:rFonts w:hint="eastAsia" w:ascii="宋体" w:hAnsi="宋体" w:eastAsia="宋体" w:cs="宋体"/>
          <w:color w:val="auto"/>
          <w:sz w:val="200"/>
          <w:szCs w:val="200"/>
          <w:highlight w:val="none"/>
          <w:lang w:eastAsia="zh-CN"/>
        </w:rPr>
      </w:pPr>
      <w:r>
        <w:rPr>
          <w:rFonts w:hint="eastAsia" w:ascii="宋体" w:hAnsi="宋体" w:cs="宋体"/>
          <w:b/>
          <w:bCs w:val="0"/>
          <w:color w:val="auto"/>
          <w:sz w:val="52"/>
          <w:szCs w:val="52"/>
          <w:highlight w:val="none"/>
          <w:lang w:val="en-US" w:eastAsia="zh-CN"/>
        </w:rPr>
        <w:t>伊宁县第六中学教学仪器设备采购项目（六标段）</w:t>
      </w:r>
    </w:p>
    <w:p w14:paraId="0DC50D7E">
      <w:pPr>
        <w:pStyle w:val="12"/>
        <w:adjustRightInd w:val="0"/>
        <w:snapToGrid w:val="0"/>
        <w:spacing w:line="360" w:lineRule="auto"/>
        <w:jc w:val="center"/>
        <w:rPr>
          <w:rFonts w:hint="eastAsia" w:hAnsi="宋体"/>
          <w:b/>
          <w:color w:val="auto"/>
          <w:sz w:val="28"/>
          <w:szCs w:val="28"/>
          <w:highlight w:val="none"/>
        </w:rPr>
      </w:pPr>
    </w:p>
    <w:p w14:paraId="52A6390C">
      <w:pPr>
        <w:pStyle w:val="12"/>
        <w:adjustRightInd w:val="0"/>
        <w:snapToGrid w:val="0"/>
        <w:spacing w:line="360" w:lineRule="auto"/>
        <w:jc w:val="center"/>
        <w:rPr>
          <w:rFonts w:hint="eastAsia" w:hAnsi="宋体"/>
          <w:b/>
          <w:color w:val="auto"/>
          <w:sz w:val="28"/>
          <w:szCs w:val="28"/>
          <w:highlight w:val="none"/>
        </w:rPr>
      </w:pPr>
    </w:p>
    <w:p w14:paraId="45AFC1D3">
      <w:pPr>
        <w:pStyle w:val="12"/>
        <w:adjustRightInd w:val="0"/>
        <w:snapToGrid w:val="0"/>
        <w:spacing w:line="360" w:lineRule="auto"/>
        <w:jc w:val="center"/>
        <w:rPr>
          <w:rFonts w:hint="eastAsia" w:hAnsi="宋体"/>
          <w:b/>
          <w:color w:val="auto"/>
          <w:sz w:val="28"/>
          <w:szCs w:val="28"/>
          <w:highlight w:val="none"/>
        </w:rPr>
      </w:pPr>
    </w:p>
    <w:p w14:paraId="26770DB9">
      <w:pPr>
        <w:pStyle w:val="12"/>
        <w:adjustRightInd w:val="0"/>
        <w:snapToGrid w:val="0"/>
        <w:spacing w:line="360" w:lineRule="auto"/>
        <w:rPr>
          <w:rFonts w:hint="eastAsia" w:hAnsi="宋体"/>
          <w:b/>
          <w:color w:val="auto"/>
          <w:sz w:val="28"/>
          <w:szCs w:val="28"/>
          <w:highlight w:val="none"/>
        </w:rPr>
      </w:pPr>
    </w:p>
    <w:p w14:paraId="41A205D2">
      <w:pPr>
        <w:pStyle w:val="12"/>
        <w:adjustRightInd w:val="0"/>
        <w:snapToGrid w:val="0"/>
        <w:spacing w:line="360" w:lineRule="auto"/>
        <w:jc w:val="center"/>
        <w:outlineLvl w:val="0"/>
        <w:rPr>
          <w:rFonts w:hint="eastAsia" w:ascii="微软雅黑" w:hAnsi="华文中宋" w:eastAsia="宋体"/>
          <w:color w:val="auto"/>
          <w:sz w:val="84"/>
          <w:szCs w:val="84"/>
          <w:highlight w:val="none"/>
          <w:lang w:val="en-US" w:eastAsia="zh-CN"/>
        </w:rPr>
      </w:pPr>
      <w:bookmarkStart w:id="2" w:name="_Toc28773"/>
      <w:r>
        <w:rPr>
          <w:rFonts w:hint="eastAsia" w:hAnsi="宋体"/>
          <w:b/>
          <w:color w:val="auto"/>
          <w:sz w:val="28"/>
          <w:szCs w:val="28"/>
          <w:highlight w:val="none"/>
        </w:rPr>
        <w:t>采购项目编号：</w:t>
      </w:r>
      <w:bookmarkEnd w:id="2"/>
      <w:r>
        <w:rPr>
          <w:rFonts w:hint="eastAsia" w:hAnsi="宋体"/>
          <w:b/>
          <w:color w:val="auto"/>
          <w:sz w:val="28"/>
          <w:szCs w:val="28"/>
          <w:highlight w:val="none"/>
          <w:lang w:eastAsia="zh-CN"/>
        </w:rPr>
        <w:t>YNXCG-GK2024003号</w:t>
      </w:r>
    </w:p>
    <w:p w14:paraId="29D86490">
      <w:pPr>
        <w:pStyle w:val="12"/>
        <w:adjustRightInd w:val="0"/>
        <w:snapToGrid w:val="0"/>
        <w:spacing w:line="360" w:lineRule="auto"/>
        <w:jc w:val="center"/>
        <w:rPr>
          <w:rFonts w:hint="eastAsia"/>
          <w:b/>
          <w:color w:val="auto"/>
          <w:sz w:val="32"/>
          <w:szCs w:val="32"/>
          <w:highlight w:val="none"/>
        </w:rPr>
      </w:pPr>
      <w:r>
        <w:rPr>
          <w:rFonts w:hint="eastAsia" w:ascii="微软雅黑" w:hAnsi="华文中宋" w:eastAsia="微软雅黑"/>
          <w:color w:val="auto"/>
          <w:sz w:val="84"/>
          <w:szCs w:val="84"/>
          <w:highlight w:val="none"/>
        </w:rPr>
        <w:t>招标文件</w:t>
      </w:r>
    </w:p>
    <w:p w14:paraId="29B08B95">
      <w:pPr>
        <w:pStyle w:val="12"/>
        <w:adjustRightInd w:val="0"/>
        <w:snapToGrid w:val="0"/>
        <w:spacing w:before="166" w:beforeLines="50" w:line="360" w:lineRule="auto"/>
        <w:rPr>
          <w:rFonts w:hint="eastAsia"/>
          <w:b/>
          <w:color w:val="auto"/>
          <w:sz w:val="32"/>
          <w:szCs w:val="32"/>
          <w:highlight w:val="none"/>
        </w:rPr>
      </w:pPr>
    </w:p>
    <w:p w14:paraId="03124D1C">
      <w:pPr>
        <w:pStyle w:val="12"/>
        <w:adjustRightInd w:val="0"/>
        <w:snapToGrid w:val="0"/>
        <w:spacing w:before="166" w:beforeLines="50" w:line="360" w:lineRule="auto"/>
        <w:rPr>
          <w:rFonts w:hint="eastAsia"/>
          <w:b/>
          <w:color w:val="auto"/>
          <w:sz w:val="32"/>
          <w:szCs w:val="32"/>
          <w:highlight w:val="none"/>
        </w:rPr>
      </w:pPr>
    </w:p>
    <w:p w14:paraId="540CD93B">
      <w:pPr>
        <w:pStyle w:val="12"/>
        <w:adjustRightInd w:val="0"/>
        <w:snapToGrid w:val="0"/>
        <w:spacing w:before="166" w:beforeLines="50" w:line="360" w:lineRule="auto"/>
        <w:rPr>
          <w:rFonts w:hint="eastAsia"/>
          <w:b/>
          <w:color w:val="auto"/>
          <w:sz w:val="32"/>
          <w:szCs w:val="32"/>
          <w:highlight w:val="none"/>
        </w:rPr>
      </w:pPr>
    </w:p>
    <w:p w14:paraId="14D30E54">
      <w:pPr>
        <w:autoSpaceDE w:val="0"/>
        <w:autoSpaceDN w:val="0"/>
        <w:spacing w:line="480" w:lineRule="auto"/>
        <w:ind w:firstLine="1181" w:firstLineChars="400"/>
        <w:jc w:val="both"/>
        <w:outlineLvl w:val="0"/>
        <w:rPr>
          <w:rFonts w:hint="eastAsia" w:asciiTheme="majorEastAsia" w:hAnsiTheme="majorEastAsia" w:eastAsiaTheme="majorEastAsia" w:cstheme="majorEastAsia"/>
          <w:b/>
          <w:bCs/>
          <w:color w:val="auto"/>
          <w:spacing w:val="-8"/>
          <w:sz w:val="31"/>
          <w:szCs w:val="31"/>
          <w:highlight w:val="none"/>
          <w:lang w:val="zh-CN"/>
        </w:rPr>
      </w:pPr>
      <w:bookmarkStart w:id="3" w:name="_Toc9021"/>
      <w:r>
        <w:rPr>
          <w:rFonts w:hint="eastAsia" w:asciiTheme="majorEastAsia" w:hAnsiTheme="majorEastAsia" w:eastAsiaTheme="majorEastAsia" w:cstheme="majorEastAsia"/>
          <w:b/>
          <w:bCs/>
          <w:color w:val="auto"/>
          <w:spacing w:val="-8"/>
          <w:sz w:val="31"/>
          <w:szCs w:val="31"/>
          <w:highlight w:val="none"/>
        </w:rPr>
        <w:t>采   购   人</w:t>
      </w:r>
      <w:r>
        <w:rPr>
          <w:rFonts w:hint="eastAsia" w:asciiTheme="majorEastAsia" w:hAnsiTheme="majorEastAsia" w:eastAsiaTheme="majorEastAsia" w:cstheme="majorEastAsia"/>
          <w:b/>
          <w:bCs/>
          <w:color w:val="auto"/>
          <w:spacing w:val="-8"/>
          <w:sz w:val="31"/>
          <w:szCs w:val="31"/>
          <w:highlight w:val="none"/>
          <w:lang w:val="zh-CN"/>
        </w:rPr>
        <w:t>：</w:t>
      </w:r>
      <w:bookmarkEnd w:id="3"/>
      <w:r>
        <w:rPr>
          <w:rFonts w:hint="eastAsia" w:asciiTheme="majorEastAsia" w:hAnsiTheme="majorEastAsia" w:eastAsiaTheme="majorEastAsia" w:cstheme="majorEastAsia"/>
          <w:b/>
          <w:bCs/>
          <w:color w:val="auto"/>
          <w:spacing w:val="-8"/>
          <w:sz w:val="31"/>
          <w:szCs w:val="31"/>
          <w:highlight w:val="none"/>
          <w:lang w:val="zh-CN"/>
        </w:rPr>
        <w:t>伊宁县教育局</w:t>
      </w:r>
    </w:p>
    <w:p w14:paraId="64C733AF">
      <w:pPr>
        <w:autoSpaceDE w:val="0"/>
        <w:autoSpaceDN w:val="0"/>
        <w:spacing w:line="480" w:lineRule="auto"/>
        <w:ind w:firstLine="1181" w:firstLineChars="400"/>
        <w:jc w:val="both"/>
        <w:outlineLvl w:val="0"/>
        <w:rPr>
          <w:rFonts w:hint="eastAsia" w:asciiTheme="majorEastAsia" w:hAnsiTheme="majorEastAsia" w:eastAsiaTheme="majorEastAsia" w:cstheme="majorEastAsia"/>
          <w:color w:val="auto"/>
          <w:sz w:val="28"/>
          <w:szCs w:val="28"/>
          <w:highlight w:val="none"/>
        </w:rPr>
      </w:pPr>
      <w:bookmarkStart w:id="4" w:name="_Toc10654"/>
      <w:r>
        <w:rPr>
          <w:rFonts w:hint="eastAsia" w:asciiTheme="majorEastAsia" w:hAnsiTheme="majorEastAsia" w:eastAsiaTheme="majorEastAsia" w:cstheme="majorEastAsia"/>
          <w:b/>
          <w:bCs/>
          <w:color w:val="auto"/>
          <w:spacing w:val="-8"/>
          <w:sz w:val="31"/>
          <w:szCs w:val="31"/>
          <w:highlight w:val="none"/>
          <w:lang w:val="zh-CN"/>
        </w:rPr>
        <w:t>代理机构：</w:t>
      </w:r>
      <w:bookmarkEnd w:id="4"/>
      <w:r>
        <w:rPr>
          <w:rFonts w:hint="eastAsia" w:asciiTheme="majorEastAsia" w:hAnsiTheme="majorEastAsia" w:eastAsiaTheme="majorEastAsia" w:cstheme="majorEastAsia"/>
          <w:b/>
          <w:bCs/>
          <w:color w:val="auto"/>
          <w:spacing w:val="-8"/>
          <w:sz w:val="31"/>
          <w:szCs w:val="31"/>
          <w:highlight w:val="none"/>
          <w:lang w:val="zh-CN"/>
        </w:rPr>
        <w:t>伊宁县政府采购中心</w:t>
      </w:r>
    </w:p>
    <w:p w14:paraId="1E7B1A52">
      <w:pPr>
        <w:autoSpaceDE w:val="0"/>
        <w:autoSpaceDN w:val="0"/>
        <w:spacing w:line="480" w:lineRule="auto"/>
        <w:ind w:firstLine="1181" w:firstLineChars="400"/>
        <w:jc w:val="both"/>
        <w:rPr>
          <w:rFonts w:hint="default" w:asciiTheme="majorEastAsia" w:hAnsiTheme="majorEastAsia" w:eastAsiaTheme="majorEastAsia" w:cstheme="majorEastAsia"/>
          <w:b/>
          <w:bCs/>
          <w:color w:val="auto"/>
          <w:spacing w:val="-8"/>
          <w:sz w:val="31"/>
          <w:szCs w:val="31"/>
          <w:highlight w:val="none"/>
          <w:lang w:val="en-US" w:eastAsia="zh-CN"/>
        </w:rPr>
      </w:pPr>
      <w:r>
        <w:rPr>
          <w:rFonts w:hint="eastAsia" w:asciiTheme="majorEastAsia" w:hAnsiTheme="majorEastAsia" w:eastAsiaTheme="majorEastAsia" w:cstheme="majorEastAsia"/>
          <w:b/>
          <w:bCs/>
          <w:color w:val="auto"/>
          <w:spacing w:val="-8"/>
          <w:sz w:val="31"/>
          <w:szCs w:val="31"/>
          <w:highlight w:val="none"/>
          <w:lang w:val="en-US" w:eastAsia="zh-CN"/>
        </w:rPr>
        <w:t>日期：</w:t>
      </w:r>
      <w:r>
        <w:rPr>
          <w:rFonts w:hint="eastAsia" w:asciiTheme="majorEastAsia" w:hAnsiTheme="majorEastAsia" w:eastAsiaTheme="majorEastAsia" w:cstheme="majorEastAsia"/>
          <w:b/>
          <w:bCs/>
          <w:color w:val="auto"/>
          <w:spacing w:val="-8"/>
          <w:sz w:val="31"/>
          <w:szCs w:val="31"/>
          <w:highlight w:val="none"/>
          <w:lang w:val="zh-CN"/>
        </w:rPr>
        <w:t>20</w:t>
      </w:r>
      <w:r>
        <w:rPr>
          <w:rFonts w:hint="eastAsia" w:asciiTheme="majorEastAsia" w:hAnsiTheme="majorEastAsia" w:eastAsiaTheme="majorEastAsia" w:cstheme="majorEastAsia"/>
          <w:b/>
          <w:bCs/>
          <w:color w:val="auto"/>
          <w:spacing w:val="-8"/>
          <w:sz w:val="31"/>
          <w:szCs w:val="31"/>
          <w:highlight w:val="none"/>
          <w:lang w:val="en-US" w:eastAsia="zh-CN"/>
        </w:rPr>
        <w:t>24</w:t>
      </w:r>
      <w:r>
        <w:rPr>
          <w:rFonts w:hint="eastAsia" w:asciiTheme="majorEastAsia" w:hAnsiTheme="majorEastAsia" w:eastAsiaTheme="majorEastAsia" w:cstheme="majorEastAsia"/>
          <w:b/>
          <w:bCs/>
          <w:color w:val="auto"/>
          <w:spacing w:val="-8"/>
          <w:sz w:val="31"/>
          <w:szCs w:val="31"/>
          <w:highlight w:val="none"/>
          <w:lang w:val="zh-CN"/>
        </w:rPr>
        <w:t>年</w:t>
      </w:r>
      <w:r>
        <w:rPr>
          <w:rFonts w:hint="eastAsia" w:asciiTheme="majorEastAsia" w:hAnsiTheme="majorEastAsia" w:eastAsiaTheme="majorEastAsia" w:cstheme="majorEastAsia"/>
          <w:b/>
          <w:bCs/>
          <w:color w:val="auto"/>
          <w:spacing w:val="-8"/>
          <w:sz w:val="31"/>
          <w:szCs w:val="31"/>
          <w:highlight w:val="none"/>
          <w:lang w:val="en-US" w:eastAsia="zh-CN"/>
        </w:rPr>
        <w:t>10</w:t>
      </w:r>
      <w:r>
        <w:rPr>
          <w:rFonts w:hint="eastAsia" w:asciiTheme="majorEastAsia" w:hAnsiTheme="majorEastAsia" w:eastAsiaTheme="majorEastAsia" w:cstheme="majorEastAsia"/>
          <w:b/>
          <w:bCs/>
          <w:color w:val="auto"/>
          <w:spacing w:val="-8"/>
          <w:sz w:val="31"/>
          <w:szCs w:val="31"/>
          <w:highlight w:val="none"/>
          <w:lang w:val="zh-CN"/>
        </w:rPr>
        <w:t>月</w:t>
      </w:r>
      <w:r>
        <w:rPr>
          <w:rFonts w:hint="eastAsia" w:asciiTheme="majorEastAsia" w:hAnsiTheme="majorEastAsia" w:eastAsiaTheme="majorEastAsia" w:cstheme="majorEastAsia"/>
          <w:b/>
          <w:bCs/>
          <w:color w:val="auto"/>
          <w:spacing w:val="-8"/>
          <w:sz w:val="31"/>
          <w:szCs w:val="31"/>
          <w:highlight w:val="none"/>
          <w:lang w:val="en-US" w:eastAsia="zh-CN"/>
        </w:rPr>
        <w:t>30日</w:t>
      </w:r>
    </w:p>
    <w:p w14:paraId="4275E5A9">
      <w:pPr>
        <w:autoSpaceDE w:val="0"/>
        <w:autoSpaceDN w:val="0"/>
        <w:spacing w:line="480" w:lineRule="auto"/>
        <w:ind w:firstLine="590" w:firstLineChars="200"/>
        <w:jc w:val="center"/>
        <w:rPr>
          <w:rFonts w:hint="eastAsia"/>
          <w:b/>
          <w:bCs/>
          <w:color w:val="auto"/>
          <w:spacing w:val="-8"/>
          <w:sz w:val="31"/>
          <w:szCs w:val="31"/>
          <w:highlight w:val="none"/>
          <w:lang w:val="zh-CN"/>
        </w:rPr>
        <w:sectPr>
          <w:headerReference r:id="rId5" w:type="first"/>
          <w:headerReference r:id="rId3" w:type="default"/>
          <w:footerReference r:id="rId6" w:type="default"/>
          <w:headerReference r:id="rId4" w:type="even"/>
          <w:footerReference r:id="rId7" w:type="even"/>
          <w:pgSz w:w="11906" w:h="16838"/>
          <w:pgMar w:top="1440" w:right="1800" w:bottom="1440" w:left="1800" w:header="851" w:footer="992" w:gutter="0"/>
          <w:pgBorders>
            <w:top w:val="none" w:sz="0" w:space="0"/>
            <w:left w:val="none" w:sz="0" w:space="0"/>
            <w:bottom w:val="none" w:sz="0" w:space="0"/>
            <w:right w:val="none" w:sz="0" w:space="0"/>
          </w:pgBorders>
          <w:pgNumType w:fmt="decimal" w:start="1"/>
          <w:cols w:space="720" w:num="1"/>
          <w:docGrid w:type="lines" w:linePitch="333" w:charSpace="0"/>
        </w:sectPr>
      </w:pPr>
    </w:p>
    <w:p w14:paraId="2CD42490">
      <w:pPr>
        <w:pStyle w:val="3"/>
        <w:spacing w:line="480" w:lineRule="exact"/>
        <w:jc w:val="center"/>
        <w:outlineLvl w:val="0"/>
        <w:rPr>
          <w:rFonts w:hint="eastAsia" w:asciiTheme="minorEastAsia" w:hAnsiTheme="minorEastAsia" w:eastAsiaTheme="minorEastAsia" w:cstheme="minorEastAsia"/>
          <w:bCs/>
          <w:color w:val="auto"/>
          <w:sz w:val="36"/>
          <w:highlight w:val="none"/>
        </w:rPr>
      </w:pPr>
      <w:bookmarkStart w:id="5" w:name="_Toc7602"/>
      <w:r>
        <w:rPr>
          <w:rFonts w:hint="eastAsia" w:asciiTheme="minorEastAsia" w:hAnsiTheme="minorEastAsia" w:eastAsiaTheme="minorEastAsia" w:cstheme="minorEastAsia"/>
          <w:bCs/>
          <w:color w:val="auto"/>
          <w:sz w:val="36"/>
          <w:highlight w:val="none"/>
        </w:rPr>
        <w:t>目    录</w:t>
      </w:r>
      <w:bookmarkEnd w:id="5"/>
    </w:p>
    <w:sdt>
      <w:sdtPr>
        <w:rPr>
          <w:rFonts w:ascii="宋体" w:hAnsi="宋体" w:eastAsia="宋体" w:cs="Times New Roman"/>
          <w:color w:val="auto"/>
          <w:kern w:val="2"/>
          <w:sz w:val="21"/>
          <w:szCs w:val="24"/>
          <w:highlight w:val="none"/>
          <w:lang w:val="en-US" w:eastAsia="zh-CN" w:bidi="ar-SA"/>
        </w:rPr>
        <w:id w:val="147477137"/>
        <w15:color w:val="DBDBDB"/>
        <w:docPartObj>
          <w:docPartGallery w:val="Table of Contents"/>
          <w:docPartUnique/>
        </w:docPartObj>
      </w:sdtPr>
      <w:sdtEndPr>
        <w:rPr>
          <w:rFonts w:hint="eastAsia" w:ascii="宋体" w:hAnsi="宋体" w:eastAsia="宋体" w:cs="Times New Roman"/>
          <w:b/>
          <w:bCs/>
          <w:color w:val="auto"/>
          <w:kern w:val="2"/>
          <w:sz w:val="28"/>
          <w:szCs w:val="21"/>
          <w:highlight w:val="none"/>
          <w:lang w:val="en-US" w:eastAsia="zh-CN" w:bidi="ar-SA"/>
        </w:rPr>
      </w:sdtEndPr>
      <w:sdtContent>
        <w:p w14:paraId="77E37FC1">
          <w:pPr>
            <w:spacing w:before="0" w:beforeLines="0" w:after="0" w:afterLines="0" w:line="240" w:lineRule="auto"/>
            <w:ind w:left="0" w:leftChars="0" w:right="0" w:rightChars="0" w:firstLine="0" w:firstLineChars="0"/>
            <w:jc w:val="center"/>
            <w:rPr>
              <w:color w:val="auto"/>
              <w:highlight w:val="none"/>
            </w:rPr>
          </w:pPr>
        </w:p>
        <w:p w14:paraId="44E8BF9F">
          <w:pPr>
            <w:pStyle w:val="60"/>
            <w:tabs>
              <w:tab w:val="right" w:leader="dot" w:pos="9830"/>
            </w:tabs>
            <w:rPr>
              <w:b/>
              <w:color w:val="auto"/>
              <w:highlight w:val="none"/>
            </w:rPr>
          </w:pPr>
          <w:r>
            <w:rPr>
              <w:rFonts w:hint="eastAsia" w:ascii="宋体" w:hAnsi="宋体" w:eastAsia="宋体"/>
              <w:b w:val="0"/>
              <w:bCs/>
              <w:color w:val="auto"/>
              <w:sz w:val="21"/>
              <w:szCs w:val="21"/>
              <w:highlight w:val="none"/>
            </w:rPr>
            <w:fldChar w:fldCharType="begin"/>
          </w:r>
          <w:r>
            <w:rPr>
              <w:rFonts w:hint="eastAsia" w:ascii="宋体" w:hAnsi="宋体" w:eastAsia="宋体"/>
              <w:b w:val="0"/>
              <w:bCs/>
              <w:color w:val="auto"/>
              <w:sz w:val="21"/>
              <w:szCs w:val="21"/>
              <w:highlight w:val="none"/>
            </w:rPr>
            <w:instrText xml:space="preserve">TOC \o "1-2" \h \u </w:instrText>
          </w:r>
          <w:r>
            <w:rPr>
              <w:rFonts w:hint="eastAsia" w:ascii="宋体" w:hAnsi="宋体" w:eastAsia="宋体"/>
              <w:b w:val="0"/>
              <w:bCs/>
              <w:color w:val="auto"/>
              <w:sz w:val="21"/>
              <w:szCs w:val="21"/>
              <w:highlight w:val="none"/>
            </w:rPr>
            <w:fldChar w:fldCharType="separate"/>
          </w:r>
        </w:p>
        <w:p w14:paraId="63FEE3E0">
          <w:pPr>
            <w:pStyle w:val="60"/>
            <w:tabs>
              <w:tab w:val="right" w:leader="dot" w:pos="9830"/>
            </w:tabs>
            <w:rPr>
              <w:rFonts w:hint="eastAsia" w:asciiTheme="minorEastAsia" w:hAnsiTheme="minorEastAsia" w:eastAsiaTheme="minorEastAsia" w:cstheme="minorEastAsia"/>
              <w:b/>
              <w:color w:val="auto"/>
              <w:sz w:val="21"/>
              <w:szCs w:val="21"/>
              <w:highlight w:val="none"/>
            </w:rPr>
          </w:pPr>
          <w:r>
            <w:rPr>
              <w:rFonts w:hint="eastAsia" w:asciiTheme="minorEastAsia" w:hAnsiTheme="minorEastAsia" w:eastAsiaTheme="minorEastAsia" w:cstheme="minorEastAsia"/>
              <w:b/>
              <w:bCs/>
              <w:color w:val="auto"/>
              <w:sz w:val="21"/>
              <w:szCs w:val="21"/>
              <w:highlight w:val="none"/>
            </w:rPr>
            <w:fldChar w:fldCharType="begin"/>
          </w:r>
          <w:r>
            <w:rPr>
              <w:rFonts w:hint="eastAsia" w:asciiTheme="minorEastAsia" w:hAnsiTheme="minorEastAsia" w:eastAsiaTheme="minorEastAsia" w:cstheme="minorEastAsia"/>
              <w:b/>
              <w:bCs/>
              <w:color w:val="auto"/>
              <w:sz w:val="21"/>
              <w:szCs w:val="21"/>
              <w:highlight w:val="none"/>
            </w:rPr>
            <w:instrText xml:space="preserve"> HYPERLINK \l _Toc16383 </w:instrText>
          </w:r>
          <w:r>
            <w:rPr>
              <w:rFonts w:hint="eastAsia" w:asciiTheme="minorEastAsia" w:hAnsiTheme="minorEastAsia" w:eastAsiaTheme="minorEastAsia" w:cstheme="minorEastAsia"/>
              <w:b/>
              <w:bCs/>
              <w:color w:val="auto"/>
              <w:sz w:val="21"/>
              <w:szCs w:val="21"/>
              <w:highlight w:val="none"/>
            </w:rPr>
            <w:fldChar w:fldCharType="separate"/>
          </w:r>
          <w:r>
            <w:rPr>
              <w:rFonts w:hint="eastAsia" w:asciiTheme="minorEastAsia" w:hAnsiTheme="minorEastAsia" w:eastAsiaTheme="minorEastAsia" w:cstheme="minorEastAsia"/>
              <w:b/>
              <w:color w:val="auto"/>
              <w:kern w:val="44"/>
              <w:sz w:val="21"/>
              <w:szCs w:val="21"/>
              <w:highlight w:val="none"/>
            </w:rPr>
            <w:t>第一</w:t>
          </w:r>
          <w:r>
            <w:rPr>
              <w:rFonts w:hint="eastAsia" w:asciiTheme="minorEastAsia" w:hAnsiTheme="minorEastAsia" w:eastAsiaTheme="minorEastAsia" w:cstheme="minorEastAsia"/>
              <w:b/>
              <w:color w:val="auto"/>
              <w:sz w:val="21"/>
              <w:szCs w:val="21"/>
              <w:highlight w:val="none"/>
            </w:rPr>
            <w:t>章</w:t>
          </w:r>
          <w:r>
            <w:rPr>
              <w:rFonts w:hint="eastAsia" w:asciiTheme="minorEastAsia" w:hAnsiTheme="minorEastAsia" w:eastAsiaTheme="minorEastAsia" w:cstheme="minorEastAsia"/>
              <w:b/>
              <w:color w:val="auto"/>
              <w:sz w:val="21"/>
              <w:szCs w:val="21"/>
              <w:highlight w:val="none"/>
              <w:lang w:val="en-US" w:eastAsia="zh-CN"/>
            </w:rPr>
            <w:t xml:space="preserve"> </w:t>
          </w:r>
          <w:r>
            <w:rPr>
              <w:rFonts w:hint="eastAsia" w:asciiTheme="minorEastAsia" w:hAnsiTheme="minorEastAsia" w:eastAsiaTheme="minorEastAsia" w:cstheme="minorEastAsia"/>
              <w:b/>
              <w:color w:val="auto"/>
              <w:sz w:val="21"/>
              <w:szCs w:val="21"/>
              <w:highlight w:val="none"/>
            </w:rPr>
            <w:t>招标公告</w:t>
          </w:r>
          <w:r>
            <w:rPr>
              <w:rFonts w:hint="eastAsia" w:asciiTheme="minorEastAsia" w:hAnsiTheme="minorEastAsia" w:eastAsiaTheme="minorEastAsia" w:cstheme="minorEastAsia"/>
              <w:b/>
              <w:color w:val="auto"/>
              <w:sz w:val="21"/>
              <w:szCs w:val="21"/>
              <w:highlight w:val="none"/>
            </w:rPr>
            <w:tab/>
          </w:r>
          <w:r>
            <w:rPr>
              <w:rFonts w:hint="eastAsia" w:asciiTheme="minorEastAsia" w:hAnsiTheme="minorEastAsia" w:eastAsiaTheme="minorEastAsia" w:cstheme="minorEastAsia"/>
              <w:b/>
              <w:color w:val="auto"/>
              <w:sz w:val="21"/>
              <w:szCs w:val="21"/>
              <w:highlight w:val="none"/>
            </w:rPr>
            <w:fldChar w:fldCharType="begin"/>
          </w:r>
          <w:r>
            <w:rPr>
              <w:rFonts w:hint="eastAsia" w:asciiTheme="minorEastAsia" w:hAnsiTheme="minorEastAsia" w:eastAsiaTheme="minorEastAsia" w:cstheme="minorEastAsia"/>
              <w:b/>
              <w:color w:val="auto"/>
              <w:sz w:val="21"/>
              <w:szCs w:val="21"/>
              <w:highlight w:val="none"/>
            </w:rPr>
            <w:instrText xml:space="preserve"> PAGEREF _Toc16383 \h </w:instrText>
          </w:r>
          <w:r>
            <w:rPr>
              <w:rFonts w:hint="eastAsia" w:asciiTheme="minorEastAsia" w:hAnsiTheme="minorEastAsia" w:eastAsiaTheme="minorEastAsia" w:cstheme="minorEastAsia"/>
              <w:b/>
              <w:color w:val="auto"/>
              <w:sz w:val="21"/>
              <w:szCs w:val="21"/>
              <w:highlight w:val="none"/>
            </w:rPr>
            <w:fldChar w:fldCharType="separate"/>
          </w:r>
          <w:r>
            <w:rPr>
              <w:rFonts w:hint="eastAsia" w:asciiTheme="minorEastAsia" w:hAnsiTheme="minorEastAsia" w:eastAsiaTheme="minorEastAsia" w:cstheme="minorEastAsia"/>
              <w:b/>
              <w:color w:val="auto"/>
              <w:sz w:val="21"/>
              <w:szCs w:val="21"/>
              <w:highlight w:val="none"/>
            </w:rPr>
            <w:t>1</w:t>
          </w:r>
          <w:r>
            <w:rPr>
              <w:rFonts w:hint="eastAsia" w:asciiTheme="minorEastAsia" w:hAnsiTheme="minorEastAsia" w:eastAsiaTheme="minorEastAsia" w:cstheme="minorEastAsia"/>
              <w:b/>
              <w:color w:val="auto"/>
              <w:sz w:val="21"/>
              <w:szCs w:val="21"/>
              <w:highlight w:val="none"/>
            </w:rPr>
            <w:fldChar w:fldCharType="end"/>
          </w:r>
          <w:r>
            <w:rPr>
              <w:rFonts w:hint="eastAsia" w:asciiTheme="minorEastAsia" w:hAnsiTheme="minorEastAsia" w:eastAsiaTheme="minorEastAsia" w:cstheme="minorEastAsia"/>
              <w:b/>
              <w:bCs/>
              <w:color w:val="auto"/>
              <w:sz w:val="21"/>
              <w:szCs w:val="21"/>
              <w:highlight w:val="none"/>
            </w:rPr>
            <w:fldChar w:fldCharType="end"/>
          </w:r>
        </w:p>
        <w:p w14:paraId="109591A4">
          <w:pPr>
            <w:pStyle w:val="60"/>
            <w:tabs>
              <w:tab w:val="right" w:leader="dot" w:pos="9830"/>
            </w:tabs>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bCs/>
              <w:color w:val="auto"/>
              <w:sz w:val="21"/>
              <w:szCs w:val="21"/>
              <w:highlight w:val="none"/>
            </w:rPr>
            <w:fldChar w:fldCharType="begin"/>
          </w:r>
          <w:r>
            <w:rPr>
              <w:rFonts w:hint="eastAsia" w:asciiTheme="minorEastAsia" w:hAnsiTheme="minorEastAsia" w:eastAsiaTheme="minorEastAsia" w:cstheme="minorEastAsia"/>
              <w:b/>
              <w:bCs/>
              <w:color w:val="auto"/>
              <w:sz w:val="21"/>
              <w:szCs w:val="21"/>
              <w:highlight w:val="none"/>
            </w:rPr>
            <w:instrText xml:space="preserve"> HYPERLINK \l _Toc29688 </w:instrText>
          </w:r>
          <w:r>
            <w:rPr>
              <w:rFonts w:hint="eastAsia" w:asciiTheme="minorEastAsia" w:hAnsiTheme="minorEastAsia" w:eastAsiaTheme="minorEastAsia" w:cstheme="minorEastAsia"/>
              <w:b/>
              <w:bCs/>
              <w:color w:val="auto"/>
              <w:sz w:val="21"/>
              <w:szCs w:val="21"/>
              <w:highlight w:val="none"/>
            </w:rPr>
            <w:fldChar w:fldCharType="separate"/>
          </w:r>
          <w:r>
            <w:rPr>
              <w:rFonts w:hint="eastAsia" w:asciiTheme="minorEastAsia" w:hAnsiTheme="minorEastAsia" w:eastAsiaTheme="minorEastAsia" w:cstheme="minorEastAsia"/>
              <w:b/>
              <w:color w:val="auto"/>
              <w:kern w:val="44"/>
              <w:sz w:val="21"/>
              <w:szCs w:val="21"/>
              <w:highlight w:val="none"/>
            </w:rPr>
            <w:t>第二章</w:t>
          </w:r>
          <w:r>
            <w:rPr>
              <w:rFonts w:hint="eastAsia" w:asciiTheme="minorEastAsia" w:hAnsiTheme="minorEastAsia" w:eastAsiaTheme="minorEastAsia" w:cstheme="minorEastAsia"/>
              <w:b/>
              <w:color w:val="auto"/>
              <w:kern w:val="44"/>
              <w:sz w:val="21"/>
              <w:szCs w:val="21"/>
              <w:highlight w:val="none"/>
              <w:lang w:val="en-US" w:eastAsia="zh-CN"/>
            </w:rPr>
            <w:t xml:space="preserve"> </w:t>
          </w:r>
          <w:r>
            <w:rPr>
              <w:rFonts w:hint="eastAsia" w:asciiTheme="minorEastAsia" w:hAnsiTheme="minorEastAsia" w:eastAsiaTheme="minorEastAsia" w:cstheme="minorEastAsia"/>
              <w:b/>
              <w:color w:val="auto"/>
              <w:kern w:val="44"/>
              <w:sz w:val="21"/>
              <w:szCs w:val="21"/>
              <w:highlight w:val="none"/>
            </w:rPr>
            <w:t>投标人须知</w:t>
          </w:r>
          <w:r>
            <w:rPr>
              <w:rFonts w:hint="eastAsia" w:asciiTheme="minorEastAsia" w:hAnsiTheme="minorEastAsia" w:eastAsiaTheme="minorEastAsia" w:cstheme="minorEastAsia"/>
              <w:b/>
              <w:color w:val="auto"/>
              <w:sz w:val="21"/>
              <w:szCs w:val="21"/>
              <w:highlight w:val="none"/>
            </w:rPr>
            <w:tab/>
          </w:r>
          <w:r>
            <w:rPr>
              <w:rFonts w:hint="eastAsia" w:asciiTheme="minorEastAsia" w:hAnsiTheme="minorEastAsia" w:eastAsiaTheme="minorEastAsia" w:cstheme="minorEastAsia"/>
              <w:b/>
              <w:color w:val="auto"/>
              <w:sz w:val="21"/>
              <w:szCs w:val="21"/>
              <w:highlight w:val="none"/>
            </w:rPr>
            <w:fldChar w:fldCharType="begin"/>
          </w:r>
          <w:r>
            <w:rPr>
              <w:rFonts w:hint="eastAsia" w:asciiTheme="minorEastAsia" w:hAnsiTheme="minorEastAsia" w:eastAsiaTheme="minorEastAsia" w:cstheme="minorEastAsia"/>
              <w:b/>
              <w:color w:val="auto"/>
              <w:sz w:val="21"/>
              <w:szCs w:val="21"/>
              <w:highlight w:val="none"/>
            </w:rPr>
            <w:instrText xml:space="preserve"> PAGEREF _Toc29688 \h </w:instrText>
          </w:r>
          <w:r>
            <w:rPr>
              <w:rFonts w:hint="eastAsia" w:asciiTheme="minorEastAsia" w:hAnsiTheme="minorEastAsia" w:eastAsiaTheme="minorEastAsia" w:cstheme="minorEastAsia"/>
              <w:b/>
              <w:color w:val="auto"/>
              <w:sz w:val="21"/>
              <w:szCs w:val="21"/>
              <w:highlight w:val="none"/>
            </w:rPr>
            <w:fldChar w:fldCharType="separate"/>
          </w:r>
          <w:r>
            <w:rPr>
              <w:rFonts w:hint="eastAsia" w:asciiTheme="minorEastAsia" w:hAnsiTheme="minorEastAsia" w:eastAsiaTheme="minorEastAsia" w:cstheme="minorEastAsia"/>
              <w:b/>
              <w:color w:val="auto"/>
              <w:sz w:val="21"/>
              <w:szCs w:val="21"/>
              <w:highlight w:val="none"/>
            </w:rPr>
            <w:t>5</w:t>
          </w:r>
          <w:r>
            <w:rPr>
              <w:rFonts w:hint="eastAsia" w:asciiTheme="minorEastAsia" w:hAnsiTheme="minorEastAsia" w:eastAsiaTheme="minorEastAsia" w:cstheme="minorEastAsia"/>
              <w:b/>
              <w:color w:val="auto"/>
              <w:sz w:val="21"/>
              <w:szCs w:val="21"/>
              <w:highlight w:val="none"/>
            </w:rPr>
            <w:fldChar w:fldCharType="end"/>
          </w:r>
          <w:r>
            <w:rPr>
              <w:rFonts w:hint="eastAsia" w:asciiTheme="minorEastAsia" w:hAnsiTheme="minorEastAsia" w:eastAsiaTheme="minorEastAsia" w:cstheme="minorEastAsia"/>
              <w:b/>
              <w:bCs/>
              <w:color w:val="auto"/>
              <w:sz w:val="21"/>
              <w:szCs w:val="21"/>
              <w:highlight w:val="none"/>
            </w:rPr>
            <w:fldChar w:fldCharType="end"/>
          </w:r>
        </w:p>
        <w:p w14:paraId="25A6812F">
          <w:pPr>
            <w:pStyle w:val="60"/>
            <w:tabs>
              <w:tab w:val="right" w:leader="dot" w:pos="9830"/>
            </w:tabs>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bCs/>
              <w:color w:val="auto"/>
              <w:sz w:val="21"/>
              <w:szCs w:val="21"/>
              <w:highlight w:val="none"/>
            </w:rPr>
            <w:fldChar w:fldCharType="begin"/>
          </w:r>
          <w:r>
            <w:rPr>
              <w:rFonts w:hint="eastAsia" w:asciiTheme="minorEastAsia" w:hAnsiTheme="minorEastAsia" w:eastAsiaTheme="minorEastAsia" w:cstheme="minorEastAsia"/>
              <w:b/>
              <w:bCs/>
              <w:color w:val="auto"/>
              <w:sz w:val="21"/>
              <w:szCs w:val="21"/>
              <w:highlight w:val="none"/>
            </w:rPr>
            <w:instrText xml:space="preserve"> HYPERLINK \l _Toc5672 </w:instrText>
          </w:r>
          <w:r>
            <w:rPr>
              <w:rFonts w:hint="eastAsia" w:asciiTheme="minorEastAsia" w:hAnsiTheme="minorEastAsia" w:eastAsiaTheme="minorEastAsia" w:cstheme="minorEastAsia"/>
              <w:b/>
              <w:bCs/>
              <w:color w:val="auto"/>
              <w:sz w:val="21"/>
              <w:szCs w:val="21"/>
              <w:highlight w:val="none"/>
            </w:rPr>
            <w:fldChar w:fldCharType="separate"/>
          </w:r>
          <w:r>
            <w:rPr>
              <w:rFonts w:hint="eastAsia" w:asciiTheme="minorEastAsia" w:hAnsiTheme="minorEastAsia" w:eastAsiaTheme="minorEastAsia" w:cstheme="minorEastAsia"/>
              <w:b/>
              <w:color w:val="auto"/>
              <w:kern w:val="44"/>
              <w:sz w:val="21"/>
              <w:szCs w:val="21"/>
              <w:highlight w:val="none"/>
            </w:rPr>
            <w:t>第三章</w:t>
          </w:r>
          <w:r>
            <w:rPr>
              <w:rFonts w:hint="eastAsia" w:asciiTheme="minorEastAsia" w:hAnsiTheme="minorEastAsia" w:eastAsiaTheme="minorEastAsia" w:cstheme="minorEastAsia"/>
              <w:b/>
              <w:color w:val="auto"/>
              <w:kern w:val="44"/>
              <w:sz w:val="21"/>
              <w:szCs w:val="21"/>
              <w:highlight w:val="none"/>
              <w:lang w:val="en-US" w:eastAsia="zh-CN"/>
            </w:rPr>
            <w:t xml:space="preserve"> </w:t>
          </w:r>
          <w:r>
            <w:rPr>
              <w:rFonts w:hint="eastAsia" w:asciiTheme="minorEastAsia" w:hAnsiTheme="minorEastAsia" w:eastAsiaTheme="minorEastAsia" w:cstheme="minorEastAsia"/>
              <w:b/>
              <w:color w:val="auto"/>
              <w:kern w:val="44"/>
              <w:sz w:val="21"/>
              <w:szCs w:val="21"/>
              <w:highlight w:val="none"/>
            </w:rPr>
            <w:t>评标办法</w:t>
          </w:r>
          <w:r>
            <w:rPr>
              <w:rFonts w:hint="eastAsia" w:asciiTheme="minorEastAsia" w:hAnsiTheme="minorEastAsia" w:eastAsiaTheme="minorEastAsia" w:cstheme="minorEastAsia"/>
              <w:b/>
              <w:color w:val="auto"/>
              <w:sz w:val="21"/>
              <w:szCs w:val="21"/>
              <w:highlight w:val="none"/>
            </w:rPr>
            <w:tab/>
          </w:r>
          <w:r>
            <w:rPr>
              <w:rFonts w:hint="eastAsia" w:asciiTheme="minorEastAsia" w:hAnsiTheme="minorEastAsia" w:eastAsiaTheme="minorEastAsia" w:cstheme="minorEastAsia"/>
              <w:b/>
              <w:color w:val="auto"/>
              <w:sz w:val="21"/>
              <w:szCs w:val="21"/>
              <w:highlight w:val="none"/>
            </w:rPr>
            <w:fldChar w:fldCharType="begin"/>
          </w:r>
          <w:r>
            <w:rPr>
              <w:rFonts w:hint="eastAsia" w:asciiTheme="minorEastAsia" w:hAnsiTheme="minorEastAsia" w:eastAsiaTheme="minorEastAsia" w:cstheme="minorEastAsia"/>
              <w:b/>
              <w:color w:val="auto"/>
              <w:sz w:val="21"/>
              <w:szCs w:val="21"/>
              <w:highlight w:val="none"/>
            </w:rPr>
            <w:instrText xml:space="preserve"> PAGEREF _Toc5672 \h </w:instrText>
          </w:r>
          <w:r>
            <w:rPr>
              <w:rFonts w:hint="eastAsia" w:asciiTheme="minorEastAsia" w:hAnsiTheme="minorEastAsia" w:eastAsiaTheme="minorEastAsia" w:cstheme="minorEastAsia"/>
              <w:b/>
              <w:color w:val="auto"/>
              <w:sz w:val="21"/>
              <w:szCs w:val="21"/>
              <w:highlight w:val="none"/>
            </w:rPr>
            <w:fldChar w:fldCharType="separate"/>
          </w:r>
          <w:r>
            <w:rPr>
              <w:rFonts w:hint="eastAsia" w:asciiTheme="minorEastAsia" w:hAnsiTheme="minorEastAsia" w:eastAsiaTheme="minorEastAsia" w:cstheme="minorEastAsia"/>
              <w:b/>
              <w:color w:val="auto"/>
              <w:sz w:val="21"/>
              <w:szCs w:val="21"/>
              <w:highlight w:val="none"/>
            </w:rPr>
            <w:t>38</w:t>
          </w:r>
          <w:r>
            <w:rPr>
              <w:rFonts w:hint="eastAsia" w:asciiTheme="minorEastAsia" w:hAnsiTheme="minorEastAsia" w:eastAsiaTheme="minorEastAsia" w:cstheme="minorEastAsia"/>
              <w:b/>
              <w:color w:val="auto"/>
              <w:sz w:val="21"/>
              <w:szCs w:val="21"/>
              <w:highlight w:val="none"/>
            </w:rPr>
            <w:fldChar w:fldCharType="end"/>
          </w:r>
          <w:r>
            <w:rPr>
              <w:rFonts w:hint="eastAsia" w:asciiTheme="minorEastAsia" w:hAnsiTheme="minorEastAsia" w:eastAsiaTheme="minorEastAsia" w:cstheme="minorEastAsia"/>
              <w:b/>
              <w:bCs/>
              <w:color w:val="auto"/>
              <w:sz w:val="21"/>
              <w:szCs w:val="21"/>
              <w:highlight w:val="none"/>
            </w:rPr>
            <w:fldChar w:fldCharType="end"/>
          </w:r>
        </w:p>
        <w:p w14:paraId="0A3A2E00">
          <w:pPr>
            <w:pStyle w:val="60"/>
            <w:tabs>
              <w:tab w:val="right" w:leader="dot" w:pos="9830"/>
            </w:tabs>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bCs/>
              <w:color w:val="auto"/>
              <w:sz w:val="21"/>
              <w:szCs w:val="21"/>
              <w:highlight w:val="none"/>
            </w:rPr>
            <w:fldChar w:fldCharType="begin"/>
          </w:r>
          <w:r>
            <w:rPr>
              <w:rFonts w:hint="eastAsia" w:asciiTheme="minorEastAsia" w:hAnsiTheme="minorEastAsia" w:eastAsiaTheme="minorEastAsia" w:cstheme="minorEastAsia"/>
              <w:b/>
              <w:bCs/>
              <w:color w:val="auto"/>
              <w:sz w:val="21"/>
              <w:szCs w:val="21"/>
              <w:highlight w:val="none"/>
            </w:rPr>
            <w:instrText xml:space="preserve"> HYPERLINK \l _Toc24751 </w:instrText>
          </w:r>
          <w:r>
            <w:rPr>
              <w:rFonts w:hint="eastAsia" w:asciiTheme="minorEastAsia" w:hAnsiTheme="minorEastAsia" w:eastAsiaTheme="minorEastAsia" w:cstheme="minorEastAsia"/>
              <w:b/>
              <w:bCs/>
              <w:color w:val="auto"/>
              <w:sz w:val="21"/>
              <w:szCs w:val="21"/>
              <w:highlight w:val="none"/>
            </w:rPr>
            <w:fldChar w:fldCharType="separate"/>
          </w:r>
          <w:r>
            <w:rPr>
              <w:rFonts w:hint="eastAsia" w:asciiTheme="minorEastAsia" w:hAnsiTheme="minorEastAsia" w:eastAsiaTheme="minorEastAsia" w:cstheme="minorEastAsia"/>
              <w:b/>
              <w:color w:val="auto"/>
              <w:kern w:val="44"/>
              <w:sz w:val="21"/>
              <w:szCs w:val="21"/>
              <w:highlight w:val="none"/>
              <w:lang w:val="en-US" w:eastAsia="zh-CN"/>
            </w:rPr>
            <w:t>第四章</w:t>
          </w:r>
          <w:r>
            <w:rPr>
              <w:rFonts w:hint="eastAsia" w:asciiTheme="minorEastAsia" w:hAnsiTheme="minorEastAsia" w:eastAsiaTheme="minorEastAsia" w:cstheme="minorEastAsia"/>
              <w:b/>
              <w:color w:val="auto"/>
              <w:sz w:val="21"/>
              <w:szCs w:val="21"/>
              <w:highlight w:val="none"/>
              <w:lang w:val="en-US" w:eastAsia="zh-CN"/>
            </w:rPr>
            <w:t xml:space="preserve"> </w:t>
          </w:r>
          <w:r>
            <w:rPr>
              <w:rFonts w:hint="eastAsia" w:asciiTheme="minorEastAsia" w:hAnsiTheme="minorEastAsia" w:eastAsiaTheme="minorEastAsia" w:cstheme="minorEastAsia"/>
              <w:b/>
              <w:color w:val="auto"/>
              <w:kern w:val="44"/>
              <w:sz w:val="21"/>
              <w:szCs w:val="21"/>
              <w:highlight w:val="none"/>
              <w:lang w:val="en-US" w:eastAsia="zh-CN"/>
            </w:rPr>
            <w:t>采购内容及要求</w:t>
          </w:r>
          <w:r>
            <w:rPr>
              <w:rFonts w:hint="eastAsia" w:asciiTheme="minorEastAsia" w:hAnsiTheme="minorEastAsia" w:eastAsiaTheme="minorEastAsia" w:cstheme="minorEastAsia"/>
              <w:b/>
              <w:color w:val="auto"/>
              <w:sz w:val="21"/>
              <w:szCs w:val="21"/>
              <w:highlight w:val="none"/>
            </w:rPr>
            <w:tab/>
          </w:r>
          <w:r>
            <w:rPr>
              <w:rFonts w:hint="eastAsia" w:asciiTheme="minorEastAsia" w:hAnsiTheme="minorEastAsia" w:eastAsiaTheme="minorEastAsia" w:cstheme="minorEastAsia"/>
              <w:b/>
              <w:color w:val="auto"/>
              <w:sz w:val="21"/>
              <w:szCs w:val="21"/>
              <w:highlight w:val="none"/>
            </w:rPr>
            <w:fldChar w:fldCharType="begin"/>
          </w:r>
          <w:r>
            <w:rPr>
              <w:rFonts w:hint="eastAsia" w:asciiTheme="minorEastAsia" w:hAnsiTheme="minorEastAsia" w:eastAsiaTheme="minorEastAsia" w:cstheme="minorEastAsia"/>
              <w:b/>
              <w:color w:val="auto"/>
              <w:sz w:val="21"/>
              <w:szCs w:val="21"/>
              <w:highlight w:val="none"/>
            </w:rPr>
            <w:instrText xml:space="preserve"> PAGEREF _Toc24751 \h </w:instrText>
          </w:r>
          <w:r>
            <w:rPr>
              <w:rFonts w:hint="eastAsia" w:asciiTheme="minorEastAsia" w:hAnsiTheme="minorEastAsia" w:eastAsiaTheme="minorEastAsia" w:cstheme="minorEastAsia"/>
              <w:b/>
              <w:color w:val="auto"/>
              <w:sz w:val="21"/>
              <w:szCs w:val="21"/>
              <w:highlight w:val="none"/>
            </w:rPr>
            <w:fldChar w:fldCharType="separate"/>
          </w:r>
          <w:r>
            <w:rPr>
              <w:rFonts w:hint="eastAsia" w:asciiTheme="minorEastAsia" w:hAnsiTheme="minorEastAsia" w:eastAsiaTheme="minorEastAsia" w:cstheme="minorEastAsia"/>
              <w:b/>
              <w:color w:val="auto"/>
              <w:sz w:val="21"/>
              <w:szCs w:val="21"/>
              <w:highlight w:val="none"/>
            </w:rPr>
            <w:t>47</w:t>
          </w:r>
          <w:r>
            <w:rPr>
              <w:rFonts w:hint="eastAsia" w:asciiTheme="minorEastAsia" w:hAnsiTheme="minorEastAsia" w:eastAsiaTheme="minorEastAsia" w:cstheme="minorEastAsia"/>
              <w:b/>
              <w:color w:val="auto"/>
              <w:sz w:val="21"/>
              <w:szCs w:val="21"/>
              <w:highlight w:val="none"/>
            </w:rPr>
            <w:fldChar w:fldCharType="end"/>
          </w:r>
          <w:r>
            <w:rPr>
              <w:rFonts w:hint="eastAsia" w:asciiTheme="minorEastAsia" w:hAnsiTheme="minorEastAsia" w:eastAsiaTheme="minorEastAsia" w:cstheme="minorEastAsia"/>
              <w:b/>
              <w:bCs/>
              <w:color w:val="auto"/>
              <w:sz w:val="21"/>
              <w:szCs w:val="21"/>
              <w:highlight w:val="none"/>
            </w:rPr>
            <w:fldChar w:fldCharType="end"/>
          </w:r>
        </w:p>
        <w:p w14:paraId="390A7725">
          <w:pPr>
            <w:pStyle w:val="60"/>
            <w:tabs>
              <w:tab w:val="right" w:leader="dot" w:pos="9830"/>
            </w:tabs>
            <w:rPr>
              <w:rFonts w:hint="eastAsia" w:asciiTheme="minorEastAsia" w:hAnsiTheme="minorEastAsia" w:eastAsiaTheme="minorEastAsia" w:cstheme="minorEastAsia"/>
              <w:b/>
              <w:color w:val="auto"/>
              <w:sz w:val="21"/>
              <w:szCs w:val="21"/>
              <w:highlight w:val="none"/>
            </w:rPr>
          </w:pPr>
          <w:r>
            <w:rPr>
              <w:rFonts w:hint="eastAsia" w:asciiTheme="minorEastAsia" w:hAnsiTheme="minorEastAsia" w:eastAsiaTheme="minorEastAsia" w:cstheme="minorEastAsia"/>
              <w:b/>
              <w:bCs/>
              <w:color w:val="auto"/>
              <w:sz w:val="21"/>
              <w:szCs w:val="21"/>
              <w:highlight w:val="none"/>
            </w:rPr>
            <w:fldChar w:fldCharType="begin"/>
          </w:r>
          <w:r>
            <w:rPr>
              <w:rFonts w:hint="eastAsia" w:asciiTheme="minorEastAsia" w:hAnsiTheme="minorEastAsia" w:eastAsiaTheme="minorEastAsia" w:cstheme="minorEastAsia"/>
              <w:b/>
              <w:bCs/>
              <w:color w:val="auto"/>
              <w:sz w:val="21"/>
              <w:szCs w:val="21"/>
              <w:highlight w:val="none"/>
            </w:rPr>
            <w:instrText xml:space="preserve"> HYPERLINK \l _Toc15292 </w:instrText>
          </w:r>
          <w:r>
            <w:rPr>
              <w:rFonts w:hint="eastAsia" w:asciiTheme="minorEastAsia" w:hAnsiTheme="minorEastAsia" w:eastAsiaTheme="minorEastAsia" w:cstheme="minorEastAsia"/>
              <w:b/>
              <w:bCs/>
              <w:color w:val="auto"/>
              <w:sz w:val="21"/>
              <w:szCs w:val="21"/>
              <w:highlight w:val="none"/>
            </w:rPr>
            <w:fldChar w:fldCharType="separate"/>
          </w:r>
          <w:r>
            <w:rPr>
              <w:rFonts w:hint="eastAsia" w:asciiTheme="minorEastAsia" w:hAnsiTheme="minorEastAsia" w:eastAsiaTheme="minorEastAsia" w:cstheme="minorEastAsia"/>
              <w:b/>
              <w:color w:val="auto"/>
              <w:kern w:val="44"/>
              <w:sz w:val="21"/>
              <w:szCs w:val="21"/>
              <w:highlight w:val="none"/>
              <w:lang w:val="en-US" w:eastAsia="zh-CN" w:bidi="ar-SA"/>
            </w:rPr>
            <w:t>第五章 采购合同格式（仅供参考）</w:t>
          </w:r>
          <w:r>
            <w:rPr>
              <w:rFonts w:hint="eastAsia" w:asciiTheme="minorEastAsia" w:hAnsiTheme="minorEastAsia" w:eastAsiaTheme="minorEastAsia" w:cstheme="minorEastAsia"/>
              <w:b/>
              <w:color w:val="auto"/>
              <w:sz w:val="21"/>
              <w:szCs w:val="21"/>
              <w:highlight w:val="none"/>
            </w:rPr>
            <w:tab/>
          </w:r>
          <w:r>
            <w:rPr>
              <w:rFonts w:hint="eastAsia" w:asciiTheme="minorEastAsia" w:hAnsiTheme="minorEastAsia" w:eastAsiaTheme="minorEastAsia" w:cstheme="minorEastAsia"/>
              <w:b/>
              <w:color w:val="auto"/>
              <w:sz w:val="21"/>
              <w:szCs w:val="21"/>
              <w:highlight w:val="none"/>
            </w:rPr>
            <w:fldChar w:fldCharType="begin"/>
          </w:r>
          <w:r>
            <w:rPr>
              <w:rFonts w:hint="eastAsia" w:asciiTheme="minorEastAsia" w:hAnsiTheme="minorEastAsia" w:eastAsiaTheme="minorEastAsia" w:cstheme="minorEastAsia"/>
              <w:b/>
              <w:color w:val="auto"/>
              <w:sz w:val="21"/>
              <w:szCs w:val="21"/>
              <w:highlight w:val="none"/>
            </w:rPr>
            <w:instrText xml:space="preserve"> PAGEREF _Toc15292 \h </w:instrText>
          </w:r>
          <w:r>
            <w:rPr>
              <w:rFonts w:hint="eastAsia" w:asciiTheme="minorEastAsia" w:hAnsiTheme="minorEastAsia" w:eastAsiaTheme="minorEastAsia" w:cstheme="minorEastAsia"/>
              <w:b/>
              <w:color w:val="auto"/>
              <w:sz w:val="21"/>
              <w:szCs w:val="21"/>
              <w:highlight w:val="none"/>
            </w:rPr>
            <w:fldChar w:fldCharType="separate"/>
          </w:r>
          <w:r>
            <w:rPr>
              <w:rFonts w:hint="eastAsia" w:asciiTheme="minorEastAsia" w:hAnsiTheme="minorEastAsia" w:eastAsiaTheme="minorEastAsia" w:cstheme="minorEastAsia"/>
              <w:b/>
              <w:color w:val="auto"/>
              <w:sz w:val="21"/>
              <w:szCs w:val="21"/>
              <w:highlight w:val="none"/>
            </w:rPr>
            <w:t>82</w:t>
          </w:r>
          <w:r>
            <w:rPr>
              <w:rFonts w:hint="eastAsia" w:asciiTheme="minorEastAsia" w:hAnsiTheme="minorEastAsia" w:eastAsiaTheme="minorEastAsia" w:cstheme="minorEastAsia"/>
              <w:b/>
              <w:color w:val="auto"/>
              <w:sz w:val="21"/>
              <w:szCs w:val="21"/>
              <w:highlight w:val="none"/>
            </w:rPr>
            <w:fldChar w:fldCharType="end"/>
          </w:r>
          <w:r>
            <w:rPr>
              <w:rFonts w:hint="eastAsia" w:asciiTheme="minorEastAsia" w:hAnsiTheme="minorEastAsia" w:eastAsiaTheme="minorEastAsia" w:cstheme="minorEastAsia"/>
              <w:b/>
              <w:bCs/>
              <w:color w:val="auto"/>
              <w:sz w:val="21"/>
              <w:szCs w:val="21"/>
              <w:highlight w:val="none"/>
            </w:rPr>
            <w:fldChar w:fldCharType="end"/>
          </w:r>
        </w:p>
        <w:p w14:paraId="7E561F46">
          <w:pPr>
            <w:pStyle w:val="60"/>
            <w:tabs>
              <w:tab w:val="right" w:leader="dot" w:pos="9830"/>
            </w:tabs>
            <w:rPr>
              <w:rFonts w:hint="eastAsia" w:asciiTheme="minorEastAsia" w:hAnsiTheme="minorEastAsia" w:eastAsiaTheme="minorEastAsia" w:cstheme="minorEastAsia"/>
              <w:b/>
              <w:color w:val="auto"/>
              <w:sz w:val="21"/>
              <w:szCs w:val="21"/>
              <w:highlight w:val="none"/>
            </w:rPr>
          </w:pPr>
          <w:r>
            <w:rPr>
              <w:rFonts w:hint="eastAsia" w:asciiTheme="minorEastAsia" w:hAnsiTheme="minorEastAsia" w:eastAsiaTheme="minorEastAsia" w:cstheme="minorEastAsia"/>
              <w:b/>
              <w:bCs/>
              <w:color w:val="auto"/>
              <w:sz w:val="21"/>
              <w:szCs w:val="21"/>
              <w:highlight w:val="none"/>
            </w:rPr>
            <w:fldChar w:fldCharType="begin"/>
          </w:r>
          <w:r>
            <w:rPr>
              <w:rFonts w:hint="eastAsia" w:asciiTheme="minorEastAsia" w:hAnsiTheme="minorEastAsia" w:eastAsiaTheme="minorEastAsia" w:cstheme="minorEastAsia"/>
              <w:b/>
              <w:bCs/>
              <w:color w:val="auto"/>
              <w:sz w:val="21"/>
              <w:szCs w:val="21"/>
              <w:highlight w:val="none"/>
            </w:rPr>
            <w:instrText xml:space="preserve"> HYPERLINK \l _Toc18821 </w:instrText>
          </w:r>
          <w:r>
            <w:rPr>
              <w:rFonts w:hint="eastAsia" w:asciiTheme="minorEastAsia" w:hAnsiTheme="minorEastAsia" w:eastAsiaTheme="minorEastAsia" w:cstheme="minorEastAsia"/>
              <w:b/>
              <w:bCs/>
              <w:color w:val="auto"/>
              <w:sz w:val="21"/>
              <w:szCs w:val="21"/>
              <w:highlight w:val="none"/>
            </w:rPr>
            <w:fldChar w:fldCharType="separate"/>
          </w:r>
          <w:r>
            <w:rPr>
              <w:rFonts w:hint="eastAsia" w:asciiTheme="minorEastAsia" w:hAnsiTheme="minorEastAsia" w:eastAsiaTheme="minorEastAsia" w:cstheme="minorEastAsia"/>
              <w:b/>
              <w:color w:val="auto"/>
              <w:kern w:val="44"/>
              <w:sz w:val="21"/>
              <w:szCs w:val="21"/>
              <w:highlight w:val="none"/>
              <w:lang w:val="en-US" w:eastAsia="zh-CN" w:bidi="ar-SA"/>
            </w:rPr>
            <w:t>第六章 投标文件格式</w:t>
          </w:r>
          <w:r>
            <w:rPr>
              <w:rFonts w:hint="eastAsia" w:asciiTheme="minorEastAsia" w:hAnsiTheme="minorEastAsia" w:eastAsiaTheme="minorEastAsia" w:cstheme="minorEastAsia"/>
              <w:b/>
              <w:color w:val="auto"/>
              <w:sz w:val="21"/>
              <w:szCs w:val="21"/>
              <w:highlight w:val="none"/>
            </w:rPr>
            <w:tab/>
          </w:r>
          <w:r>
            <w:rPr>
              <w:rFonts w:hint="eastAsia" w:asciiTheme="minorEastAsia" w:hAnsiTheme="minorEastAsia" w:eastAsiaTheme="minorEastAsia" w:cstheme="minorEastAsia"/>
              <w:b/>
              <w:color w:val="auto"/>
              <w:sz w:val="21"/>
              <w:szCs w:val="21"/>
              <w:highlight w:val="none"/>
            </w:rPr>
            <w:fldChar w:fldCharType="begin"/>
          </w:r>
          <w:r>
            <w:rPr>
              <w:rFonts w:hint="eastAsia" w:asciiTheme="minorEastAsia" w:hAnsiTheme="minorEastAsia" w:eastAsiaTheme="minorEastAsia" w:cstheme="minorEastAsia"/>
              <w:b/>
              <w:color w:val="auto"/>
              <w:sz w:val="21"/>
              <w:szCs w:val="21"/>
              <w:highlight w:val="none"/>
            </w:rPr>
            <w:instrText xml:space="preserve"> PAGEREF _Toc18821 \h </w:instrText>
          </w:r>
          <w:r>
            <w:rPr>
              <w:rFonts w:hint="eastAsia" w:asciiTheme="minorEastAsia" w:hAnsiTheme="minorEastAsia" w:eastAsiaTheme="minorEastAsia" w:cstheme="minorEastAsia"/>
              <w:b/>
              <w:color w:val="auto"/>
              <w:sz w:val="21"/>
              <w:szCs w:val="21"/>
              <w:highlight w:val="none"/>
            </w:rPr>
            <w:fldChar w:fldCharType="separate"/>
          </w:r>
          <w:r>
            <w:rPr>
              <w:rFonts w:hint="eastAsia" w:asciiTheme="minorEastAsia" w:hAnsiTheme="minorEastAsia" w:eastAsiaTheme="minorEastAsia" w:cstheme="minorEastAsia"/>
              <w:b/>
              <w:color w:val="auto"/>
              <w:sz w:val="21"/>
              <w:szCs w:val="21"/>
              <w:highlight w:val="none"/>
            </w:rPr>
            <w:t>92</w:t>
          </w:r>
          <w:r>
            <w:rPr>
              <w:rFonts w:hint="eastAsia" w:asciiTheme="minorEastAsia" w:hAnsiTheme="minorEastAsia" w:eastAsiaTheme="minorEastAsia" w:cstheme="minorEastAsia"/>
              <w:b/>
              <w:color w:val="auto"/>
              <w:sz w:val="21"/>
              <w:szCs w:val="21"/>
              <w:highlight w:val="none"/>
            </w:rPr>
            <w:fldChar w:fldCharType="end"/>
          </w:r>
          <w:r>
            <w:rPr>
              <w:rFonts w:hint="eastAsia" w:asciiTheme="minorEastAsia" w:hAnsiTheme="minorEastAsia" w:eastAsiaTheme="minorEastAsia" w:cstheme="minorEastAsia"/>
              <w:b/>
              <w:bCs/>
              <w:color w:val="auto"/>
              <w:sz w:val="21"/>
              <w:szCs w:val="21"/>
              <w:highlight w:val="none"/>
            </w:rPr>
            <w:fldChar w:fldCharType="end"/>
          </w:r>
        </w:p>
        <w:p w14:paraId="0A268AC3">
          <w:pPr>
            <w:pStyle w:val="61"/>
            <w:tabs>
              <w:tab w:val="right" w:leader="dot" w:pos="9830"/>
            </w:tabs>
            <w:rPr>
              <w:color w:val="auto"/>
              <w:highlight w:val="none"/>
            </w:rPr>
          </w:pPr>
        </w:p>
        <w:p w14:paraId="72285B47">
          <w:pPr>
            <w:pStyle w:val="3"/>
            <w:spacing w:before="0" w:after="0" w:line="360" w:lineRule="auto"/>
            <w:ind w:firstLine="1405" w:firstLineChars="500"/>
            <w:outlineLvl w:val="9"/>
            <w:rPr>
              <w:rFonts w:hint="eastAsia" w:ascii="宋体" w:hAnsi="宋体" w:eastAsia="宋体"/>
              <w:b w:val="0"/>
              <w:bCs/>
              <w:color w:val="auto"/>
              <w:sz w:val="21"/>
              <w:szCs w:val="21"/>
              <w:highlight w:val="none"/>
            </w:rPr>
          </w:pPr>
          <w:r>
            <w:rPr>
              <w:rFonts w:hint="eastAsia" w:ascii="宋体" w:hAnsi="宋体" w:eastAsia="宋体"/>
              <w:b/>
              <w:bCs/>
              <w:color w:val="auto"/>
              <w:szCs w:val="21"/>
              <w:highlight w:val="none"/>
            </w:rPr>
            <w:fldChar w:fldCharType="end"/>
          </w:r>
        </w:p>
      </w:sdtContent>
    </w:sdt>
    <w:p w14:paraId="4A08C567">
      <w:pPr>
        <w:pStyle w:val="4"/>
        <w:rPr>
          <w:rFonts w:hint="eastAsia"/>
          <w:color w:val="auto"/>
          <w:szCs w:val="21"/>
          <w:highlight w:val="none"/>
        </w:rPr>
      </w:pPr>
    </w:p>
    <w:p w14:paraId="517119EC">
      <w:pPr>
        <w:pStyle w:val="4"/>
        <w:rPr>
          <w:rFonts w:hint="eastAsia"/>
          <w:color w:val="auto"/>
          <w:szCs w:val="21"/>
          <w:highlight w:val="none"/>
        </w:rPr>
      </w:pPr>
    </w:p>
    <w:p w14:paraId="3CAB86E5">
      <w:pPr>
        <w:pStyle w:val="4"/>
        <w:rPr>
          <w:rFonts w:hint="eastAsia"/>
          <w:color w:val="auto"/>
          <w:szCs w:val="21"/>
          <w:highlight w:val="none"/>
        </w:rPr>
      </w:pPr>
    </w:p>
    <w:p w14:paraId="42E152D5">
      <w:pPr>
        <w:pStyle w:val="4"/>
        <w:rPr>
          <w:rFonts w:hint="eastAsia"/>
          <w:color w:val="auto"/>
          <w:szCs w:val="21"/>
          <w:highlight w:val="none"/>
        </w:rPr>
      </w:pPr>
    </w:p>
    <w:p w14:paraId="1092F90F">
      <w:pPr>
        <w:pStyle w:val="4"/>
        <w:rPr>
          <w:rFonts w:hint="eastAsia"/>
          <w:color w:val="auto"/>
          <w:szCs w:val="21"/>
          <w:highlight w:val="none"/>
        </w:rPr>
      </w:pPr>
    </w:p>
    <w:bookmarkEnd w:id="0"/>
    <w:bookmarkEnd w:id="1"/>
    <w:p w14:paraId="74012277">
      <w:pPr>
        <w:pStyle w:val="4"/>
        <w:spacing w:before="120" w:beforeLines="50" w:after="360" w:afterLines="150"/>
        <w:ind w:firstLine="0"/>
        <w:jc w:val="center"/>
        <w:rPr>
          <w:rFonts w:hint="eastAsia" w:ascii="黑体" w:hAnsi="宋体" w:eastAsia="黑体"/>
          <w:b/>
          <w:color w:val="auto"/>
          <w:kern w:val="44"/>
          <w:sz w:val="44"/>
          <w:szCs w:val="44"/>
          <w:highlight w:val="none"/>
        </w:rPr>
        <w:sectPr>
          <w:footerReference r:id="rId8" w:type="default"/>
          <w:pgSz w:w="11910" w:h="16840"/>
          <w:pgMar w:top="1100" w:right="1000" w:bottom="1680" w:left="1080" w:header="873" w:footer="1485" w:gutter="0"/>
          <w:pgBorders>
            <w:top w:val="none" w:sz="0" w:space="0"/>
            <w:left w:val="none" w:sz="0" w:space="0"/>
            <w:bottom w:val="none" w:sz="0" w:space="0"/>
            <w:right w:val="none" w:sz="0" w:space="0"/>
          </w:pgBorders>
          <w:pgNumType w:fmt="decimal" w:start="50"/>
          <w:cols w:space="720" w:num="1"/>
        </w:sectPr>
      </w:pPr>
    </w:p>
    <w:p w14:paraId="15D3710E">
      <w:pPr>
        <w:pStyle w:val="4"/>
        <w:pageBreakBefore w:val="0"/>
        <w:widowControl w:val="0"/>
        <w:kinsoku/>
        <w:wordWrap/>
        <w:overflowPunct/>
        <w:topLinePunct w:val="0"/>
        <w:bidi w:val="0"/>
        <w:snapToGrid/>
        <w:spacing w:line="480" w:lineRule="exact"/>
        <w:ind w:firstLine="0"/>
        <w:jc w:val="center"/>
        <w:textAlignment w:val="auto"/>
        <w:outlineLvl w:val="0"/>
        <w:rPr>
          <w:rFonts w:hint="eastAsia" w:ascii="黑体" w:hAnsi="宋体" w:eastAsia="黑体"/>
          <w:color w:val="auto"/>
          <w:sz w:val="44"/>
          <w:szCs w:val="44"/>
          <w:highlight w:val="none"/>
        </w:rPr>
      </w:pPr>
      <w:bookmarkStart w:id="6" w:name="_Toc16383"/>
      <w:r>
        <w:rPr>
          <w:rFonts w:hint="eastAsia" w:ascii="黑体" w:hAnsi="宋体" w:eastAsia="黑体"/>
          <w:b/>
          <w:color w:val="auto"/>
          <w:kern w:val="44"/>
          <w:sz w:val="44"/>
          <w:szCs w:val="44"/>
          <w:highlight w:val="none"/>
        </w:rPr>
        <w:t>第一</w:t>
      </w:r>
      <w:r>
        <w:rPr>
          <w:rFonts w:hint="eastAsia" w:ascii="黑体" w:hAnsi="宋体" w:eastAsia="黑体"/>
          <w:b/>
          <w:color w:val="auto"/>
          <w:sz w:val="44"/>
          <w:szCs w:val="44"/>
          <w:highlight w:val="none"/>
        </w:rPr>
        <w:t>章</w:t>
      </w:r>
      <w:r>
        <w:rPr>
          <w:rFonts w:hint="eastAsia" w:ascii="黑体" w:hAnsi="宋体" w:eastAsia="黑体"/>
          <w:b/>
          <w:color w:val="auto"/>
          <w:sz w:val="44"/>
          <w:szCs w:val="44"/>
          <w:highlight w:val="none"/>
          <w:lang w:val="en-US" w:eastAsia="zh-CN"/>
        </w:rPr>
        <w:t xml:space="preserve"> </w:t>
      </w:r>
      <w:r>
        <w:rPr>
          <w:rFonts w:hint="eastAsia" w:ascii="黑体" w:hAnsi="宋体" w:eastAsia="黑体"/>
          <w:b/>
          <w:color w:val="auto"/>
          <w:sz w:val="44"/>
          <w:szCs w:val="44"/>
          <w:highlight w:val="none"/>
        </w:rPr>
        <w:t>招标公告</w:t>
      </w:r>
      <w:bookmarkEnd w:id="6"/>
    </w:p>
    <w:p w14:paraId="435D471F">
      <w:pPr>
        <w:pStyle w:val="2"/>
        <w:pageBreakBefore w:val="0"/>
        <w:widowControl w:val="0"/>
        <w:numPr>
          <w:ilvl w:val="0"/>
          <w:numId w:val="0"/>
        </w:numPr>
        <w:tabs>
          <w:tab w:val="left" w:pos="0"/>
          <w:tab w:val="left" w:pos="3165"/>
          <w:tab w:val="center" w:pos="4153"/>
        </w:tabs>
        <w:kinsoku/>
        <w:wordWrap/>
        <w:overflowPunct/>
        <w:topLinePunct w:val="0"/>
        <w:autoSpaceDE w:val="0"/>
        <w:autoSpaceDN w:val="0"/>
        <w:bidi w:val="0"/>
        <w:adjustRightInd w:val="0"/>
        <w:snapToGrid/>
        <w:spacing w:before="0" w:after="0" w:line="480" w:lineRule="exact"/>
        <w:ind w:leftChars="0"/>
        <w:jc w:val="center"/>
        <w:textAlignment w:val="auto"/>
        <w:outlineLvl w:val="1"/>
        <w:rPr>
          <w:rFonts w:hint="eastAsia" w:asciiTheme="minorEastAsia" w:hAnsiTheme="minorEastAsia" w:eastAsiaTheme="minorEastAsia" w:cstheme="minorEastAsia"/>
          <w:b w:val="0"/>
          <w:bCs/>
          <w:color w:val="auto"/>
          <w:sz w:val="36"/>
          <w:szCs w:val="36"/>
          <w:highlight w:val="none"/>
          <w:lang w:eastAsia="zh-CN"/>
        </w:rPr>
      </w:pPr>
      <w:bookmarkStart w:id="7" w:name="_Toc213396945"/>
      <w:bookmarkStart w:id="8" w:name="_Toc213397009"/>
      <w:bookmarkStart w:id="9" w:name="_Toc213496267"/>
      <w:bookmarkStart w:id="10" w:name="_Toc217446031"/>
      <w:bookmarkStart w:id="11" w:name="_Toc213396759"/>
      <w:bookmarkStart w:id="12" w:name="_Toc183682339"/>
      <w:bookmarkStart w:id="13" w:name="_Toc77400776"/>
      <w:bookmarkStart w:id="14" w:name="_Toc89075871"/>
      <w:bookmarkStart w:id="15" w:name="_Toc183582202"/>
      <w:r>
        <w:rPr>
          <w:rFonts w:hint="eastAsia" w:asciiTheme="minorEastAsia" w:hAnsiTheme="minorEastAsia" w:eastAsiaTheme="minorEastAsia" w:cstheme="minorEastAsia"/>
          <w:b/>
          <w:bCs w:val="0"/>
          <w:color w:val="auto"/>
          <w:sz w:val="36"/>
          <w:szCs w:val="36"/>
          <w:highlight w:val="none"/>
          <w:lang w:val="en-US" w:eastAsia="zh-CN"/>
        </w:rPr>
        <w:t>伊宁县第六中学教学仪器设备采购项目</w:t>
      </w:r>
      <w:bookmarkStart w:id="16" w:name="_Toc7266"/>
      <w:r>
        <w:rPr>
          <w:rFonts w:hint="eastAsia" w:asciiTheme="minorEastAsia" w:hAnsiTheme="minorEastAsia" w:eastAsiaTheme="minorEastAsia" w:cstheme="minorEastAsia"/>
          <w:b/>
          <w:bCs w:val="0"/>
          <w:color w:val="auto"/>
          <w:sz w:val="36"/>
          <w:szCs w:val="36"/>
          <w:highlight w:val="none"/>
          <w:lang w:val="en-US" w:eastAsia="zh-CN"/>
        </w:rPr>
        <w:t>公开招标公告</w:t>
      </w:r>
      <w:bookmarkEnd w:id="16"/>
    </w:p>
    <w:p w14:paraId="5645DF3B">
      <w:pPr>
        <w:keepNext w:val="0"/>
        <w:keepLines w:val="0"/>
        <w:pageBreakBefore w:val="0"/>
        <w:widowControl w:val="0"/>
        <w:pBdr>
          <w:top w:val="single" w:color="auto" w:sz="4" w:space="1"/>
          <w:left w:val="single" w:color="auto" w:sz="4" w:space="4"/>
          <w:bottom w:val="single" w:color="auto" w:sz="4" w:space="1"/>
          <w:right w:val="single" w:color="auto" w:sz="4" w:space="4"/>
        </w:pBdr>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i w:val="0"/>
          <w:iCs w:val="0"/>
          <w:color w:val="auto"/>
          <w:sz w:val="24"/>
          <w:szCs w:val="24"/>
          <w:highlight w:val="none"/>
          <w:u w:val="none"/>
        </w:rPr>
      </w:pPr>
      <w:r>
        <w:rPr>
          <w:rFonts w:hint="eastAsia" w:asciiTheme="minorEastAsia" w:hAnsiTheme="minorEastAsia" w:eastAsiaTheme="minorEastAsia" w:cstheme="minorEastAsia"/>
          <w:i w:val="0"/>
          <w:iCs w:val="0"/>
          <w:color w:val="auto"/>
          <w:sz w:val="24"/>
          <w:szCs w:val="24"/>
          <w:highlight w:val="none"/>
          <w:u w:val="none"/>
        </w:rPr>
        <w:t>项目概况</w:t>
      </w:r>
    </w:p>
    <w:p w14:paraId="2AA3909C">
      <w:pPr>
        <w:keepNext w:val="0"/>
        <w:keepLines w:val="0"/>
        <w:pageBreakBefore w:val="0"/>
        <w:widowControl w:val="0"/>
        <w:pBdr>
          <w:top w:val="single" w:color="auto" w:sz="4" w:space="1"/>
          <w:left w:val="single" w:color="auto" w:sz="4" w:space="4"/>
          <w:bottom w:val="single" w:color="auto" w:sz="4" w:space="1"/>
          <w:right w:val="single" w:color="auto" w:sz="4" w:space="4"/>
        </w:pBdr>
        <w:kinsoku/>
        <w:wordWrap/>
        <w:overflowPunct/>
        <w:topLinePunct w:val="0"/>
        <w:autoSpaceDE/>
        <w:autoSpaceDN/>
        <w:bidi w:val="0"/>
        <w:adjustRightInd/>
        <w:snapToGrid/>
        <w:spacing w:line="360" w:lineRule="auto"/>
        <w:ind w:left="0" w:firstLine="480" w:firstLineChars="200"/>
        <w:textAlignment w:val="auto"/>
        <w:rPr>
          <w:rFonts w:hint="eastAsia" w:ascii="宋体" w:hAnsi="宋体" w:eastAsia="宋体" w:cs="宋体"/>
          <w:b/>
          <w:bCs/>
          <w:i w:val="0"/>
          <w:iCs w:val="0"/>
          <w:color w:val="auto"/>
          <w:sz w:val="24"/>
          <w:szCs w:val="24"/>
          <w:highlight w:val="none"/>
          <w:u w:val="none"/>
        </w:rPr>
      </w:pPr>
      <w:r>
        <w:rPr>
          <w:rFonts w:hint="eastAsia" w:asciiTheme="minorEastAsia" w:hAnsiTheme="minorEastAsia" w:eastAsiaTheme="minorEastAsia" w:cstheme="minorEastAsia"/>
          <w:i w:val="0"/>
          <w:iCs w:val="0"/>
          <w:color w:val="auto"/>
          <w:sz w:val="24"/>
          <w:szCs w:val="24"/>
          <w:highlight w:val="none"/>
          <w:u w:val="single"/>
          <w:lang w:eastAsia="zh-CN"/>
        </w:rPr>
        <w:t>伊宁县第六中学教学仪器设备采购项目</w:t>
      </w:r>
      <w:r>
        <w:rPr>
          <w:rFonts w:hint="eastAsia" w:asciiTheme="minorEastAsia" w:hAnsiTheme="minorEastAsia" w:eastAsiaTheme="minorEastAsia" w:cstheme="minorEastAsia"/>
          <w:i w:val="0"/>
          <w:iCs w:val="0"/>
          <w:color w:val="auto"/>
          <w:sz w:val="24"/>
          <w:szCs w:val="24"/>
          <w:highlight w:val="none"/>
          <w:u w:val="none"/>
        </w:rPr>
        <w:t>的潜在</w:t>
      </w:r>
      <w:r>
        <w:rPr>
          <w:rFonts w:hint="eastAsia" w:asciiTheme="minorEastAsia" w:hAnsiTheme="minorEastAsia" w:eastAsiaTheme="minorEastAsia" w:cstheme="minorEastAsia"/>
          <w:i w:val="0"/>
          <w:iCs w:val="0"/>
          <w:color w:val="auto"/>
          <w:sz w:val="24"/>
          <w:szCs w:val="24"/>
          <w:highlight w:val="none"/>
          <w:u w:val="none"/>
          <w:lang w:val="en-US" w:eastAsia="zh-CN"/>
        </w:rPr>
        <w:t>投标人</w:t>
      </w:r>
      <w:r>
        <w:rPr>
          <w:rFonts w:hint="eastAsia" w:asciiTheme="minorEastAsia" w:hAnsiTheme="minorEastAsia" w:eastAsiaTheme="minorEastAsia" w:cstheme="minorEastAsia"/>
          <w:i w:val="0"/>
          <w:iCs w:val="0"/>
          <w:color w:val="auto"/>
          <w:sz w:val="24"/>
          <w:szCs w:val="24"/>
          <w:highlight w:val="none"/>
          <w:u w:val="none"/>
        </w:rPr>
        <w:t>应在政采云系统平台（https://www.zcygov.cn/）获取采购文件，</w:t>
      </w:r>
      <w:r>
        <w:rPr>
          <w:rFonts w:hint="eastAsia" w:asciiTheme="minorEastAsia" w:hAnsiTheme="minorEastAsia" w:eastAsiaTheme="minorEastAsia" w:cstheme="minorEastAsia"/>
          <w:b/>
          <w:bCs/>
          <w:i w:val="0"/>
          <w:iCs w:val="0"/>
          <w:color w:val="auto"/>
          <w:sz w:val="24"/>
          <w:szCs w:val="24"/>
          <w:highlight w:val="none"/>
          <w:u w:val="none"/>
        </w:rPr>
        <w:t>并于</w:t>
      </w:r>
      <w:r>
        <w:rPr>
          <w:rFonts w:hint="eastAsia" w:asciiTheme="minorEastAsia" w:hAnsiTheme="minorEastAsia" w:eastAsiaTheme="minorEastAsia" w:cstheme="minorEastAsia"/>
          <w:b/>
          <w:bCs/>
          <w:i w:val="0"/>
          <w:iCs w:val="0"/>
          <w:color w:val="auto"/>
          <w:sz w:val="24"/>
          <w:szCs w:val="24"/>
          <w:highlight w:val="none"/>
          <w:u w:val="single"/>
          <w:lang w:val="en-US" w:eastAsia="zh-CN"/>
        </w:rPr>
        <w:t>2024</w:t>
      </w:r>
      <w:r>
        <w:rPr>
          <w:rFonts w:hint="eastAsia" w:asciiTheme="minorEastAsia" w:hAnsiTheme="minorEastAsia" w:eastAsiaTheme="minorEastAsia" w:cstheme="minorEastAsia"/>
          <w:b/>
          <w:bCs/>
          <w:i w:val="0"/>
          <w:iCs w:val="0"/>
          <w:color w:val="auto"/>
          <w:sz w:val="24"/>
          <w:szCs w:val="24"/>
          <w:highlight w:val="none"/>
          <w:u w:val="single"/>
        </w:rPr>
        <w:t>年</w:t>
      </w:r>
      <w:r>
        <w:rPr>
          <w:rFonts w:hint="eastAsia" w:asciiTheme="minorEastAsia" w:hAnsiTheme="minorEastAsia" w:eastAsiaTheme="minorEastAsia" w:cstheme="minorEastAsia"/>
          <w:b/>
          <w:bCs/>
          <w:i w:val="0"/>
          <w:iCs w:val="0"/>
          <w:color w:val="auto"/>
          <w:sz w:val="24"/>
          <w:szCs w:val="24"/>
          <w:highlight w:val="none"/>
          <w:u w:val="single"/>
          <w:lang w:val="en-US" w:eastAsia="zh-CN"/>
        </w:rPr>
        <w:t>12月05日</w:t>
      </w:r>
      <w:r>
        <w:rPr>
          <w:rFonts w:hint="eastAsia" w:asciiTheme="minorEastAsia" w:hAnsiTheme="minorEastAsia" w:eastAsiaTheme="minorEastAsia" w:cstheme="minorEastAsia"/>
          <w:b/>
          <w:bCs/>
          <w:color w:val="auto"/>
          <w:kern w:val="2"/>
          <w:sz w:val="24"/>
          <w:szCs w:val="24"/>
          <w:highlight w:val="none"/>
          <w:u w:val="single"/>
          <w:lang w:val="en-US" w:eastAsia="zh-CN" w:bidi="ar-SA"/>
        </w:rPr>
        <w:t>10点</w:t>
      </w:r>
      <w:r>
        <w:rPr>
          <w:rFonts w:hint="eastAsia" w:asciiTheme="minorEastAsia" w:hAnsiTheme="minorEastAsia" w:eastAsiaTheme="minorEastAsia" w:cstheme="minorEastAsia"/>
          <w:b/>
          <w:bCs/>
          <w:i w:val="0"/>
          <w:iCs w:val="0"/>
          <w:color w:val="auto"/>
          <w:sz w:val="24"/>
          <w:szCs w:val="24"/>
          <w:highlight w:val="none"/>
          <w:u w:val="single"/>
          <w:lang w:val="en-US" w:eastAsia="zh-CN"/>
        </w:rPr>
        <w:t>3</w:t>
      </w:r>
      <w:r>
        <w:rPr>
          <w:rFonts w:hint="eastAsia" w:asciiTheme="minorEastAsia" w:hAnsiTheme="minorEastAsia" w:eastAsiaTheme="minorEastAsia" w:cstheme="minorEastAsia"/>
          <w:b/>
          <w:bCs/>
          <w:color w:val="auto"/>
          <w:kern w:val="2"/>
          <w:sz w:val="24"/>
          <w:szCs w:val="24"/>
          <w:highlight w:val="none"/>
          <w:u w:val="single"/>
          <w:lang w:val="en-US" w:eastAsia="zh-CN" w:bidi="ar-SA"/>
        </w:rPr>
        <w:t>0</w:t>
      </w:r>
      <w:r>
        <w:rPr>
          <w:rFonts w:hint="eastAsia" w:asciiTheme="minorEastAsia" w:hAnsiTheme="minorEastAsia" w:eastAsiaTheme="minorEastAsia" w:cstheme="minorEastAsia"/>
          <w:b/>
          <w:bCs/>
          <w:i w:val="0"/>
          <w:iCs w:val="0"/>
          <w:color w:val="auto"/>
          <w:sz w:val="24"/>
          <w:szCs w:val="24"/>
          <w:highlight w:val="none"/>
          <w:u w:val="single"/>
        </w:rPr>
        <w:t>分</w:t>
      </w:r>
      <w:r>
        <w:rPr>
          <w:rFonts w:hint="eastAsia" w:asciiTheme="minorEastAsia" w:hAnsiTheme="minorEastAsia" w:eastAsiaTheme="minorEastAsia" w:cstheme="minorEastAsia"/>
          <w:b/>
          <w:bCs/>
          <w:i w:val="0"/>
          <w:iCs w:val="0"/>
          <w:color w:val="auto"/>
          <w:sz w:val="24"/>
          <w:szCs w:val="24"/>
          <w:highlight w:val="none"/>
          <w:u w:val="none"/>
        </w:rPr>
        <w:t>（北京时间）前递交投标文件。</w:t>
      </w:r>
    </w:p>
    <w:p w14:paraId="62024BC6">
      <w:pPr>
        <w:pStyle w:val="3"/>
        <w:pageBreakBefore w:val="0"/>
        <w:widowControl w:val="0"/>
        <w:kinsoku/>
        <w:wordWrap/>
        <w:overflowPunct/>
        <w:topLinePunct w:val="0"/>
        <w:autoSpaceDE/>
        <w:autoSpaceDN/>
        <w:bidi w:val="0"/>
        <w:adjustRightInd/>
        <w:snapToGrid/>
        <w:spacing w:before="0" w:beforeAutospacing="0" w:after="0" w:afterAutospacing="0" w:line="480" w:lineRule="exact"/>
        <w:ind w:left="0" w:leftChars="0" w:firstLine="0" w:firstLineChars="0"/>
        <w:jc w:val="both"/>
        <w:textAlignment w:val="auto"/>
        <w:rPr>
          <w:rFonts w:hint="eastAsia" w:asciiTheme="minorEastAsia" w:hAnsiTheme="minorEastAsia" w:eastAsiaTheme="minorEastAsia" w:cstheme="minorEastAsia"/>
          <w:b/>
          <w:bCs w:val="0"/>
          <w:i w:val="0"/>
          <w:iCs w:val="0"/>
          <w:color w:val="auto"/>
          <w:sz w:val="24"/>
          <w:szCs w:val="24"/>
          <w:highlight w:val="none"/>
        </w:rPr>
      </w:pPr>
      <w:bookmarkStart w:id="17" w:name="_Toc28359079"/>
      <w:bookmarkStart w:id="18" w:name="_Toc35393621"/>
      <w:bookmarkStart w:id="19" w:name="_Toc28359002"/>
      <w:bookmarkStart w:id="20" w:name="_Toc11836"/>
      <w:bookmarkStart w:id="21" w:name="_Toc35393790"/>
      <w:bookmarkStart w:id="22" w:name="_Hlk24379207"/>
      <w:r>
        <w:rPr>
          <w:rFonts w:hint="eastAsia" w:asciiTheme="minorEastAsia" w:hAnsiTheme="minorEastAsia" w:eastAsiaTheme="minorEastAsia" w:cstheme="minorEastAsia"/>
          <w:b/>
          <w:bCs w:val="0"/>
          <w:i w:val="0"/>
          <w:iCs w:val="0"/>
          <w:color w:val="auto"/>
          <w:sz w:val="24"/>
          <w:szCs w:val="24"/>
          <w:highlight w:val="none"/>
        </w:rPr>
        <w:t>一、项目基本情况</w:t>
      </w:r>
      <w:bookmarkEnd w:id="17"/>
      <w:bookmarkEnd w:id="18"/>
      <w:bookmarkEnd w:id="19"/>
      <w:bookmarkEnd w:id="20"/>
      <w:bookmarkEnd w:id="21"/>
    </w:p>
    <w:p w14:paraId="7DF43E0E">
      <w:pPr>
        <w:keepNext w:val="0"/>
        <w:keepLines w:val="0"/>
        <w:pageBreakBefore w:val="0"/>
        <w:widowControl w:val="0"/>
        <w:kinsoku/>
        <w:wordWrap/>
        <w:overflowPunct/>
        <w:topLinePunct w:val="0"/>
        <w:autoSpaceDE/>
        <w:autoSpaceDN/>
        <w:bidi w:val="0"/>
        <w:adjustRightInd/>
        <w:snapToGrid/>
        <w:spacing w:beforeAutospacing="0" w:afterAutospacing="0" w:line="480" w:lineRule="exact"/>
        <w:ind w:left="0" w:leftChars="0" w:firstLine="482" w:firstLineChars="200"/>
        <w:textAlignment w:val="auto"/>
        <w:rPr>
          <w:rFonts w:hint="eastAsia" w:asciiTheme="minorEastAsia" w:hAnsiTheme="minorEastAsia" w:eastAsiaTheme="minorEastAsia" w:cstheme="minorEastAsia"/>
          <w:b w:val="0"/>
          <w:bCs w:val="0"/>
          <w:i w:val="0"/>
          <w:iCs w:val="0"/>
          <w:color w:val="auto"/>
          <w:sz w:val="24"/>
          <w:szCs w:val="24"/>
          <w:highlight w:val="none"/>
          <w:u w:val="none"/>
          <w:lang w:val="en-US" w:eastAsia="zh-CN"/>
        </w:rPr>
      </w:pPr>
      <w:r>
        <w:rPr>
          <w:rFonts w:hint="eastAsia" w:asciiTheme="minorEastAsia" w:hAnsiTheme="minorEastAsia" w:eastAsiaTheme="minorEastAsia" w:cstheme="minorEastAsia"/>
          <w:b/>
          <w:bCs/>
          <w:i w:val="0"/>
          <w:iCs w:val="0"/>
          <w:color w:val="auto"/>
          <w:sz w:val="24"/>
          <w:szCs w:val="24"/>
          <w:highlight w:val="none"/>
          <w:u w:val="none"/>
          <w:lang w:eastAsia="zh-CN"/>
        </w:rPr>
        <w:t>项目编号：</w:t>
      </w:r>
      <w:r>
        <w:rPr>
          <w:rFonts w:hint="eastAsia" w:asciiTheme="minorEastAsia" w:hAnsiTheme="minorEastAsia" w:eastAsiaTheme="minorEastAsia" w:cstheme="minorEastAsia"/>
          <w:b w:val="0"/>
          <w:bCs w:val="0"/>
          <w:i w:val="0"/>
          <w:iCs w:val="0"/>
          <w:color w:val="auto"/>
          <w:sz w:val="24"/>
          <w:szCs w:val="24"/>
          <w:highlight w:val="none"/>
          <w:u w:val="none"/>
          <w:lang w:val="en-US" w:eastAsia="zh-CN"/>
        </w:rPr>
        <w:t>YNXCG-GK2024003号</w:t>
      </w:r>
    </w:p>
    <w:p w14:paraId="2CCF9083">
      <w:pPr>
        <w:keepNext w:val="0"/>
        <w:keepLines w:val="0"/>
        <w:pageBreakBefore w:val="0"/>
        <w:widowControl w:val="0"/>
        <w:kinsoku/>
        <w:wordWrap/>
        <w:overflowPunct/>
        <w:topLinePunct w:val="0"/>
        <w:autoSpaceDE/>
        <w:autoSpaceDN/>
        <w:bidi w:val="0"/>
        <w:adjustRightInd/>
        <w:snapToGrid/>
        <w:spacing w:beforeAutospacing="0" w:afterAutospacing="0" w:line="480" w:lineRule="exact"/>
        <w:ind w:left="0" w:leftChars="0" w:firstLine="482" w:firstLineChars="200"/>
        <w:textAlignment w:val="auto"/>
        <w:rPr>
          <w:rFonts w:hint="eastAsia" w:asciiTheme="minorEastAsia" w:hAnsiTheme="minorEastAsia" w:eastAsiaTheme="minorEastAsia" w:cstheme="minorEastAsia"/>
          <w:b w:val="0"/>
          <w:bCs w:val="0"/>
          <w:i w:val="0"/>
          <w:iCs w:val="0"/>
          <w:color w:val="auto"/>
          <w:sz w:val="24"/>
          <w:szCs w:val="24"/>
          <w:highlight w:val="none"/>
          <w:u w:val="none"/>
          <w:lang w:eastAsia="zh-CN"/>
        </w:rPr>
      </w:pPr>
      <w:r>
        <w:rPr>
          <w:rFonts w:hint="eastAsia" w:asciiTheme="minorEastAsia" w:hAnsiTheme="minorEastAsia" w:eastAsiaTheme="minorEastAsia" w:cstheme="minorEastAsia"/>
          <w:b/>
          <w:bCs/>
          <w:i w:val="0"/>
          <w:iCs w:val="0"/>
          <w:color w:val="auto"/>
          <w:sz w:val="24"/>
          <w:szCs w:val="24"/>
          <w:highlight w:val="none"/>
          <w:u w:val="none"/>
        </w:rPr>
        <w:t>项目名称：</w:t>
      </w:r>
      <w:r>
        <w:rPr>
          <w:rFonts w:hint="eastAsia" w:asciiTheme="minorEastAsia" w:hAnsiTheme="minorEastAsia" w:eastAsiaTheme="minorEastAsia" w:cstheme="minorEastAsia"/>
          <w:b w:val="0"/>
          <w:bCs w:val="0"/>
          <w:i w:val="0"/>
          <w:iCs w:val="0"/>
          <w:color w:val="auto"/>
          <w:sz w:val="24"/>
          <w:szCs w:val="24"/>
          <w:highlight w:val="none"/>
          <w:u w:val="none"/>
          <w:lang w:val="en-US" w:eastAsia="zh-CN"/>
        </w:rPr>
        <w:t>伊宁县第六中学教学仪器设备采购项目</w:t>
      </w:r>
    </w:p>
    <w:bookmarkEnd w:id="22"/>
    <w:p w14:paraId="6C92C132">
      <w:pPr>
        <w:pageBreakBefore w:val="0"/>
        <w:widowControl w:val="0"/>
        <w:kinsoku/>
        <w:wordWrap/>
        <w:overflowPunct/>
        <w:topLinePunct w:val="0"/>
        <w:autoSpaceDE/>
        <w:autoSpaceDN/>
        <w:bidi w:val="0"/>
        <w:adjustRightInd/>
        <w:snapToGrid w:val="0"/>
        <w:spacing w:beforeAutospacing="0" w:afterAutospacing="0" w:line="480" w:lineRule="exact"/>
        <w:ind w:left="0" w:leftChars="0" w:firstLine="482" w:firstLineChars="200"/>
        <w:textAlignment w:val="auto"/>
        <w:rPr>
          <w:rFonts w:hint="eastAsia" w:asciiTheme="minorEastAsia" w:hAnsiTheme="minorEastAsia" w:eastAsiaTheme="minorEastAsia" w:cstheme="minorEastAsia"/>
          <w:b w:val="0"/>
          <w:bCs w:val="0"/>
          <w:i w:val="0"/>
          <w:iCs w:val="0"/>
          <w:color w:val="auto"/>
          <w:sz w:val="24"/>
          <w:szCs w:val="24"/>
          <w:highlight w:val="none"/>
          <w:lang w:val="en-US" w:eastAsia="zh-CN"/>
        </w:rPr>
      </w:pPr>
      <w:r>
        <w:rPr>
          <w:rFonts w:hint="eastAsia" w:asciiTheme="minorEastAsia" w:hAnsiTheme="minorEastAsia" w:eastAsiaTheme="minorEastAsia" w:cstheme="minorEastAsia"/>
          <w:b/>
          <w:bCs/>
          <w:i w:val="0"/>
          <w:iCs w:val="0"/>
          <w:color w:val="auto"/>
          <w:sz w:val="24"/>
          <w:szCs w:val="24"/>
          <w:highlight w:val="none"/>
          <w:lang w:val="en-US" w:eastAsia="zh-CN"/>
        </w:rPr>
        <w:t>采购方式：</w:t>
      </w:r>
      <w:r>
        <w:rPr>
          <w:rFonts w:hint="eastAsia" w:asciiTheme="minorEastAsia" w:hAnsiTheme="minorEastAsia" w:eastAsiaTheme="minorEastAsia" w:cstheme="minorEastAsia"/>
          <w:b w:val="0"/>
          <w:bCs w:val="0"/>
          <w:i w:val="0"/>
          <w:iCs w:val="0"/>
          <w:color w:val="auto"/>
          <w:sz w:val="24"/>
          <w:szCs w:val="24"/>
          <w:highlight w:val="none"/>
          <w:lang w:val="en-US" w:eastAsia="zh-CN"/>
        </w:rPr>
        <w:t>公开招标</w:t>
      </w:r>
    </w:p>
    <w:p w14:paraId="49099CB8">
      <w:pPr>
        <w:pageBreakBefore w:val="0"/>
        <w:widowControl w:val="0"/>
        <w:kinsoku/>
        <w:wordWrap/>
        <w:overflowPunct/>
        <w:topLinePunct w:val="0"/>
        <w:autoSpaceDE/>
        <w:autoSpaceDN/>
        <w:bidi w:val="0"/>
        <w:adjustRightInd/>
        <w:snapToGrid w:val="0"/>
        <w:spacing w:beforeAutospacing="0" w:afterAutospacing="0" w:line="480" w:lineRule="exact"/>
        <w:ind w:left="0" w:leftChars="0" w:firstLine="482" w:firstLineChars="200"/>
        <w:textAlignment w:val="auto"/>
        <w:rPr>
          <w:rFonts w:hint="eastAsia" w:asciiTheme="minorEastAsia" w:hAnsiTheme="minorEastAsia" w:eastAsiaTheme="minorEastAsia" w:cstheme="minorEastAsia"/>
          <w:b w:val="0"/>
          <w:bCs w:val="0"/>
          <w:i w:val="0"/>
          <w:iCs w:val="0"/>
          <w:color w:val="auto"/>
          <w:sz w:val="24"/>
          <w:szCs w:val="24"/>
          <w:highlight w:val="none"/>
          <w:lang w:val="en-US" w:eastAsia="zh-CN"/>
        </w:rPr>
      </w:pPr>
      <w:bookmarkStart w:id="23" w:name="_Toc35393622"/>
      <w:bookmarkStart w:id="24" w:name="_Toc28359080"/>
      <w:bookmarkStart w:id="25" w:name="_Toc35393791"/>
      <w:bookmarkStart w:id="26" w:name="_Toc28359003"/>
      <w:r>
        <w:rPr>
          <w:rFonts w:hint="eastAsia" w:asciiTheme="minorEastAsia" w:hAnsiTheme="minorEastAsia" w:eastAsiaTheme="minorEastAsia" w:cstheme="minorEastAsia"/>
          <w:b/>
          <w:bCs/>
          <w:i w:val="0"/>
          <w:iCs w:val="0"/>
          <w:color w:val="auto"/>
          <w:sz w:val="24"/>
          <w:szCs w:val="24"/>
          <w:highlight w:val="none"/>
          <w:lang w:val="en-US" w:eastAsia="zh-CN"/>
        </w:rPr>
        <w:t>总预算金额：4000万元</w:t>
      </w:r>
    </w:p>
    <w:p w14:paraId="74360383">
      <w:pPr>
        <w:pageBreakBefore w:val="0"/>
        <w:widowControl w:val="0"/>
        <w:kinsoku/>
        <w:wordWrap/>
        <w:overflowPunct/>
        <w:topLinePunct w:val="0"/>
        <w:autoSpaceDE/>
        <w:autoSpaceDN/>
        <w:bidi w:val="0"/>
        <w:adjustRightInd/>
        <w:snapToGrid w:val="0"/>
        <w:spacing w:beforeAutospacing="0" w:afterAutospacing="0" w:line="480" w:lineRule="exact"/>
        <w:ind w:left="0" w:leftChars="0" w:firstLine="480" w:firstLineChars="200"/>
        <w:textAlignment w:val="auto"/>
        <w:rPr>
          <w:rFonts w:hint="eastAsia" w:asciiTheme="minorEastAsia" w:hAnsiTheme="minorEastAsia" w:eastAsiaTheme="minorEastAsia" w:cstheme="minorEastAsia"/>
          <w:b w:val="0"/>
          <w:bCs w:val="0"/>
          <w:i w:val="0"/>
          <w:iCs w:val="0"/>
          <w:color w:val="auto"/>
          <w:sz w:val="24"/>
          <w:szCs w:val="24"/>
          <w:highlight w:val="none"/>
          <w:lang w:val="en-US" w:eastAsia="zh-CN"/>
        </w:rPr>
      </w:pPr>
      <w:r>
        <w:rPr>
          <w:rFonts w:hint="eastAsia" w:asciiTheme="minorEastAsia" w:hAnsiTheme="minorEastAsia" w:eastAsiaTheme="minorEastAsia" w:cstheme="minorEastAsia"/>
          <w:b w:val="0"/>
          <w:bCs w:val="0"/>
          <w:i w:val="0"/>
          <w:iCs w:val="0"/>
          <w:color w:val="auto"/>
          <w:sz w:val="24"/>
          <w:szCs w:val="24"/>
          <w:highlight w:val="none"/>
          <w:lang w:val="en-US" w:eastAsia="zh-CN"/>
        </w:rPr>
        <w:t>一标段：365万元</w:t>
      </w:r>
    </w:p>
    <w:p w14:paraId="555ABCA9">
      <w:pPr>
        <w:pageBreakBefore w:val="0"/>
        <w:widowControl w:val="0"/>
        <w:kinsoku/>
        <w:wordWrap/>
        <w:overflowPunct/>
        <w:topLinePunct w:val="0"/>
        <w:autoSpaceDE/>
        <w:autoSpaceDN/>
        <w:bidi w:val="0"/>
        <w:adjustRightInd/>
        <w:snapToGrid w:val="0"/>
        <w:spacing w:beforeAutospacing="0" w:afterAutospacing="0" w:line="480" w:lineRule="exact"/>
        <w:ind w:left="0" w:leftChars="0" w:firstLine="480" w:firstLineChars="200"/>
        <w:textAlignment w:val="auto"/>
        <w:rPr>
          <w:rFonts w:hint="eastAsia" w:asciiTheme="minorEastAsia" w:hAnsiTheme="minorEastAsia" w:eastAsiaTheme="minorEastAsia" w:cstheme="minorEastAsia"/>
          <w:b w:val="0"/>
          <w:bCs w:val="0"/>
          <w:i w:val="0"/>
          <w:iCs w:val="0"/>
          <w:color w:val="auto"/>
          <w:sz w:val="24"/>
          <w:szCs w:val="24"/>
          <w:highlight w:val="none"/>
          <w:lang w:val="en-US" w:eastAsia="zh-CN"/>
        </w:rPr>
      </w:pPr>
      <w:r>
        <w:rPr>
          <w:rFonts w:hint="eastAsia" w:asciiTheme="minorEastAsia" w:hAnsiTheme="minorEastAsia" w:eastAsiaTheme="minorEastAsia" w:cstheme="minorEastAsia"/>
          <w:b w:val="0"/>
          <w:bCs w:val="0"/>
          <w:i w:val="0"/>
          <w:iCs w:val="0"/>
          <w:color w:val="auto"/>
          <w:sz w:val="24"/>
          <w:szCs w:val="24"/>
          <w:highlight w:val="none"/>
          <w:lang w:val="en-US" w:eastAsia="zh-CN"/>
        </w:rPr>
        <w:t>二标段：662万元</w:t>
      </w:r>
    </w:p>
    <w:p w14:paraId="1021E94F">
      <w:pPr>
        <w:pageBreakBefore w:val="0"/>
        <w:widowControl w:val="0"/>
        <w:kinsoku/>
        <w:wordWrap/>
        <w:overflowPunct/>
        <w:topLinePunct w:val="0"/>
        <w:autoSpaceDE/>
        <w:autoSpaceDN/>
        <w:bidi w:val="0"/>
        <w:adjustRightInd/>
        <w:snapToGrid w:val="0"/>
        <w:spacing w:beforeAutospacing="0" w:afterAutospacing="0" w:line="480" w:lineRule="exact"/>
        <w:ind w:left="0" w:leftChars="0" w:firstLine="480" w:firstLineChars="200"/>
        <w:textAlignment w:val="auto"/>
        <w:rPr>
          <w:rFonts w:hint="eastAsia" w:asciiTheme="minorEastAsia" w:hAnsiTheme="minorEastAsia" w:eastAsiaTheme="minorEastAsia" w:cstheme="minorEastAsia"/>
          <w:b w:val="0"/>
          <w:bCs w:val="0"/>
          <w:i w:val="0"/>
          <w:iCs w:val="0"/>
          <w:color w:val="auto"/>
          <w:sz w:val="24"/>
          <w:szCs w:val="24"/>
          <w:highlight w:val="none"/>
          <w:lang w:val="en-US" w:eastAsia="zh-CN"/>
        </w:rPr>
      </w:pPr>
      <w:r>
        <w:rPr>
          <w:rFonts w:hint="eastAsia" w:asciiTheme="minorEastAsia" w:hAnsiTheme="minorEastAsia" w:eastAsiaTheme="minorEastAsia" w:cstheme="minorEastAsia"/>
          <w:b w:val="0"/>
          <w:bCs w:val="0"/>
          <w:i w:val="0"/>
          <w:iCs w:val="0"/>
          <w:color w:val="auto"/>
          <w:sz w:val="24"/>
          <w:szCs w:val="24"/>
          <w:highlight w:val="none"/>
          <w:lang w:val="en-US" w:eastAsia="zh-CN"/>
        </w:rPr>
        <w:t>三标段：805万元</w:t>
      </w:r>
    </w:p>
    <w:p w14:paraId="58B1182B">
      <w:pPr>
        <w:pageBreakBefore w:val="0"/>
        <w:widowControl w:val="0"/>
        <w:kinsoku/>
        <w:wordWrap/>
        <w:overflowPunct/>
        <w:topLinePunct w:val="0"/>
        <w:autoSpaceDE/>
        <w:autoSpaceDN/>
        <w:bidi w:val="0"/>
        <w:adjustRightInd/>
        <w:snapToGrid w:val="0"/>
        <w:spacing w:beforeAutospacing="0" w:afterAutospacing="0" w:line="480" w:lineRule="exact"/>
        <w:ind w:left="0" w:leftChars="0" w:firstLine="480" w:firstLineChars="200"/>
        <w:textAlignment w:val="auto"/>
        <w:rPr>
          <w:rFonts w:hint="eastAsia" w:asciiTheme="minorEastAsia" w:hAnsiTheme="minorEastAsia" w:eastAsiaTheme="minorEastAsia" w:cstheme="minorEastAsia"/>
          <w:b w:val="0"/>
          <w:bCs w:val="0"/>
          <w:i w:val="0"/>
          <w:iCs w:val="0"/>
          <w:color w:val="auto"/>
          <w:sz w:val="24"/>
          <w:szCs w:val="24"/>
          <w:highlight w:val="none"/>
          <w:lang w:val="en-US" w:eastAsia="zh-CN"/>
        </w:rPr>
      </w:pPr>
      <w:r>
        <w:rPr>
          <w:rFonts w:hint="eastAsia" w:asciiTheme="minorEastAsia" w:hAnsiTheme="minorEastAsia" w:eastAsiaTheme="minorEastAsia" w:cstheme="minorEastAsia"/>
          <w:b w:val="0"/>
          <w:bCs w:val="0"/>
          <w:i w:val="0"/>
          <w:iCs w:val="0"/>
          <w:color w:val="auto"/>
          <w:sz w:val="24"/>
          <w:szCs w:val="24"/>
          <w:highlight w:val="none"/>
          <w:lang w:val="en-US" w:eastAsia="zh-CN"/>
        </w:rPr>
        <w:t>四标段：245万元</w:t>
      </w:r>
    </w:p>
    <w:p w14:paraId="19969FD8">
      <w:pPr>
        <w:pageBreakBefore w:val="0"/>
        <w:widowControl w:val="0"/>
        <w:kinsoku/>
        <w:wordWrap/>
        <w:overflowPunct/>
        <w:topLinePunct w:val="0"/>
        <w:autoSpaceDE/>
        <w:autoSpaceDN/>
        <w:bidi w:val="0"/>
        <w:adjustRightInd/>
        <w:snapToGrid w:val="0"/>
        <w:spacing w:beforeAutospacing="0" w:afterAutospacing="0" w:line="480" w:lineRule="exact"/>
        <w:ind w:left="0" w:leftChars="0" w:firstLine="480" w:firstLineChars="200"/>
        <w:textAlignment w:val="auto"/>
        <w:rPr>
          <w:rFonts w:hint="eastAsia" w:asciiTheme="minorEastAsia" w:hAnsiTheme="minorEastAsia" w:eastAsiaTheme="minorEastAsia" w:cstheme="minorEastAsia"/>
          <w:b w:val="0"/>
          <w:bCs w:val="0"/>
          <w:i w:val="0"/>
          <w:iCs w:val="0"/>
          <w:color w:val="auto"/>
          <w:sz w:val="24"/>
          <w:szCs w:val="24"/>
          <w:highlight w:val="none"/>
          <w:lang w:val="en-US" w:eastAsia="zh-CN"/>
        </w:rPr>
      </w:pPr>
      <w:r>
        <w:rPr>
          <w:rFonts w:hint="eastAsia" w:asciiTheme="minorEastAsia" w:hAnsiTheme="minorEastAsia" w:eastAsiaTheme="minorEastAsia" w:cstheme="minorEastAsia"/>
          <w:b w:val="0"/>
          <w:bCs w:val="0"/>
          <w:i w:val="0"/>
          <w:iCs w:val="0"/>
          <w:color w:val="auto"/>
          <w:sz w:val="24"/>
          <w:szCs w:val="24"/>
          <w:highlight w:val="none"/>
          <w:lang w:val="en-US" w:eastAsia="zh-CN"/>
        </w:rPr>
        <w:t>五标段：300万元</w:t>
      </w:r>
    </w:p>
    <w:p w14:paraId="7A101D69">
      <w:pPr>
        <w:pageBreakBefore w:val="0"/>
        <w:widowControl w:val="0"/>
        <w:kinsoku/>
        <w:wordWrap/>
        <w:overflowPunct/>
        <w:topLinePunct w:val="0"/>
        <w:autoSpaceDE/>
        <w:autoSpaceDN/>
        <w:bidi w:val="0"/>
        <w:adjustRightInd/>
        <w:snapToGrid w:val="0"/>
        <w:spacing w:beforeAutospacing="0" w:afterAutospacing="0" w:line="480" w:lineRule="exact"/>
        <w:ind w:left="0" w:leftChars="0" w:firstLine="480" w:firstLineChars="200"/>
        <w:textAlignment w:val="auto"/>
        <w:rPr>
          <w:rFonts w:hint="eastAsia" w:asciiTheme="minorEastAsia" w:hAnsiTheme="minorEastAsia" w:eastAsiaTheme="minorEastAsia" w:cstheme="minorEastAsia"/>
          <w:b w:val="0"/>
          <w:bCs w:val="0"/>
          <w:i w:val="0"/>
          <w:iCs w:val="0"/>
          <w:color w:val="auto"/>
          <w:sz w:val="24"/>
          <w:szCs w:val="24"/>
          <w:highlight w:val="none"/>
          <w:lang w:val="en-US" w:eastAsia="zh-CN"/>
        </w:rPr>
      </w:pPr>
      <w:r>
        <w:rPr>
          <w:rFonts w:hint="eastAsia" w:asciiTheme="minorEastAsia" w:hAnsiTheme="minorEastAsia" w:eastAsiaTheme="minorEastAsia" w:cstheme="minorEastAsia"/>
          <w:b w:val="0"/>
          <w:bCs w:val="0"/>
          <w:i w:val="0"/>
          <w:iCs w:val="0"/>
          <w:color w:val="auto"/>
          <w:sz w:val="24"/>
          <w:szCs w:val="24"/>
          <w:highlight w:val="none"/>
          <w:lang w:val="en-US" w:eastAsia="zh-CN"/>
        </w:rPr>
        <w:t>六标段：698万元</w:t>
      </w:r>
    </w:p>
    <w:p w14:paraId="61ED5FB0">
      <w:pPr>
        <w:pageBreakBefore w:val="0"/>
        <w:widowControl w:val="0"/>
        <w:kinsoku/>
        <w:wordWrap/>
        <w:overflowPunct/>
        <w:topLinePunct w:val="0"/>
        <w:autoSpaceDE/>
        <w:autoSpaceDN/>
        <w:bidi w:val="0"/>
        <w:adjustRightInd/>
        <w:snapToGrid w:val="0"/>
        <w:spacing w:beforeAutospacing="0" w:afterAutospacing="0" w:line="480" w:lineRule="exact"/>
        <w:ind w:left="0" w:leftChars="0" w:firstLine="480" w:firstLineChars="200"/>
        <w:textAlignment w:val="auto"/>
        <w:rPr>
          <w:rFonts w:hint="eastAsia" w:asciiTheme="minorEastAsia" w:hAnsiTheme="minorEastAsia" w:eastAsiaTheme="minorEastAsia" w:cstheme="minorEastAsia"/>
          <w:b w:val="0"/>
          <w:bCs w:val="0"/>
          <w:i w:val="0"/>
          <w:iCs w:val="0"/>
          <w:color w:val="auto"/>
          <w:sz w:val="24"/>
          <w:szCs w:val="24"/>
          <w:highlight w:val="none"/>
          <w:lang w:val="en-US" w:eastAsia="zh-CN"/>
        </w:rPr>
      </w:pPr>
      <w:r>
        <w:rPr>
          <w:rFonts w:hint="eastAsia" w:asciiTheme="minorEastAsia" w:hAnsiTheme="minorEastAsia" w:eastAsiaTheme="minorEastAsia" w:cstheme="minorEastAsia"/>
          <w:b w:val="0"/>
          <w:bCs w:val="0"/>
          <w:i w:val="0"/>
          <w:iCs w:val="0"/>
          <w:color w:val="auto"/>
          <w:sz w:val="24"/>
          <w:szCs w:val="24"/>
          <w:highlight w:val="none"/>
          <w:lang w:val="en-US" w:eastAsia="zh-CN"/>
        </w:rPr>
        <w:t>七标段：500万元</w:t>
      </w:r>
    </w:p>
    <w:p w14:paraId="508F8ABA">
      <w:pPr>
        <w:pageBreakBefore w:val="0"/>
        <w:widowControl w:val="0"/>
        <w:kinsoku/>
        <w:wordWrap/>
        <w:overflowPunct/>
        <w:topLinePunct w:val="0"/>
        <w:autoSpaceDE/>
        <w:autoSpaceDN/>
        <w:bidi w:val="0"/>
        <w:adjustRightInd/>
        <w:snapToGrid w:val="0"/>
        <w:spacing w:beforeAutospacing="0" w:afterAutospacing="0" w:line="480" w:lineRule="exact"/>
        <w:ind w:left="0" w:leftChars="0" w:firstLine="480" w:firstLineChars="200"/>
        <w:textAlignment w:val="auto"/>
        <w:rPr>
          <w:rFonts w:hint="eastAsia" w:asciiTheme="minorEastAsia" w:hAnsiTheme="minorEastAsia" w:eastAsiaTheme="minorEastAsia" w:cstheme="minorEastAsia"/>
          <w:b w:val="0"/>
          <w:bCs w:val="0"/>
          <w:i w:val="0"/>
          <w:iCs w:val="0"/>
          <w:color w:val="auto"/>
          <w:sz w:val="24"/>
          <w:szCs w:val="24"/>
          <w:highlight w:val="none"/>
          <w:lang w:val="en-US" w:eastAsia="zh-CN"/>
        </w:rPr>
      </w:pPr>
      <w:r>
        <w:rPr>
          <w:rFonts w:hint="eastAsia" w:asciiTheme="minorEastAsia" w:hAnsiTheme="minorEastAsia" w:eastAsiaTheme="minorEastAsia" w:cstheme="minorEastAsia"/>
          <w:b w:val="0"/>
          <w:bCs w:val="0"/>
          <w:i w:val="0"/>
          <w:iCs w:val="0"/>
          <w:color w:val="auto"/>
          <w:sz w:val="24"/>
          <w:szCs w:val="24"/>
          <w:highlight w:val="none"/>
          <w:lang w:val="en-US" w:eastAsia="zh-CN"/>
        </w:rPr>
        <w:t>八标段：425万元</w:t>
      </w:r>
    </w:p>
    <w:p w14:paraId="7AFF9CCD">
      <w:pPr>
        <w:pageBreakBefore w:val="0"/>
        <w:widowControl w:val="0"/>
        <w:kinsoku/>
        <w:wordWrap/>
        <w:overflowPunct/>
        <w:topLinePunct w:val="0"/>
        <w:autoSpaceDE/>
        <w:autoSpaceDN/>
        <w:bidi w:val="0"/>
        <w:adjustRightInd/>
        <w:snapToGrid w:val="0"/>
        <w:spacing w:beforeAutospacing="0" w:afterAutospacing="0" w:line="480" w:lineRule="exact"/>
        <w:ind w:left="0" w:leftChars="0" w:firstLine="482" w:firstLineChars="200"/>
        <w:textAlignment w:val="auto"/>
        <w:rPr>
          <w:rFonts w:hint="eastAsia" w:asciiTheme="minorEastAsia" w:hAnsiTheme="minorEastAsia" w:eastAsiaTheme="minorEastAsia" w:cstheme="minorEastAsia"/>
          <w:b w:val="0"/>
          <w:bCs w:val="0"/>
          <w:i w:val="0"/>
          <w:iCs w:val="0"/>
          <w:color w:val="auto"/>
          <w:sz w:val="24"/>
          <w:szCs w:val="24"/>
          <w:highlight w:val="none"/>
          <w:lang w:val="en-US" w:eastAsia="zh-CN"/>
        </w:rPr>
      </w:pPr>
      <w:r>
        <w:rPr>
          <w:rFonts w:hint="eastAsia" w:asciiTheme="minorEastAsia" w:hAnsiTheme="minorEastAsia" w:eastAsiaTheme="minorEastAsia" w:cstheme="minorEastAsia"/>
          <w:b/>
          <w:bCs/>
          <w:i w:val="0"/>
          <w:iCs w:val="0"/>
          <w:color w:val="auto"/>
          <w:sz w:val="24"/>
          <w:szCs w:val="24"/>
          <w:highlight w:val="none"/>
        </w:rPr>
        <w:t>最高限价：</w:t>
      </w:r>
      <w:r>
        <w:rPr>
          <w:rFonts w:hint="eastAsia" w:asciiTheme="minorEastAsia" w:hAnsiTheme="minorEastAsia" w:eastAsiaTheme="minorEastAsia" w:cstheme="minorEastAsia"/>
          <w:b/>
          <w:bCs/>
          <w:i w:val="0"/>
          <w:iCs w:val="0"/>
          <w:color w:val="auto"/>
          <w:sz w:val="24"/>
          <w:szCs w:val="24"/>
          <w:highlight w:val="none"/>
          <w:lang w:val="en-US" w:eastAsia="zh-CN"/>
        </w:rPr>
        <w:t>4000万元</w:t>
      </w:r>
    </w:p>
    <w:p w14:paraId="0634FD3D">
      <w:pPr>
        <w:pageBreakBefore w:val="0"/>
        <w:widowControl w:val="0"/>
        <w:kinsoku/>
        <w:wordWrap/>
        <w:overflowPunct/>
        <w:topLinePunct w:val="0"/>
        <w:autoSpaceDE/>
        <w:autoSpaceDN/>
        <w:bidi w:val="0"/>
        <w:adjustRightInd/>
        <w:snapToGrid w:val="0"/>
        <w:spacing w:beforeAutospacing="0" w:afterAutospacing="0" w:line="480" w:lineRule="exact"/>
        <w:ind w:left="0" w:leftChars="0" w:firstLine="480" w:firstLineChars="200"/>
        <w:textAlignment w:val="auto"/>
        <w:rPr>
          <w:rFonts w:hint="eastAsia" w:asciiTheme="minorEastAsia" w:hAnsiTheme="minorEastAsia" w:eastAsiaTheme="minorEastAsia" w:cstheme="minorEastAsia"/>
          <w:b w:val="0"/>
          <w:bCs w:val="0"/>
          <w:i w:val="0"/>
          <w:iCs w:val="0"/>
          <w:color w:val="auto"/>
          <w:sz w:val="24"/>
          <w:szCs w:val="24"/>
          <w:highlight w:val="none"/>
          <w:lang w:val="en-US" w:eastAsia="zh-CN"/>
        </w:rPr>
      </w:pPr>
      <w:r>
        <w:rPr>
          <w:rFonts w:hint="eastAsia" w:asciiTheme="minorEastAsia" w:hAnsiTheme="minorEastAsia" w:eastAsiaTheme="minorEastAsia" w:cstheme="minorEastAsia"/>
          <w:b w:val="0"/>
          <w:bCs w:val="0"/>
          <w:i w:val="0"/>
          <w:iCs w:val="0"/>
          <w:color w:val="auto"/>
          <w:sz w:val="24"/>
          <w:szCs w:val="24"/>
          <w:highlight w:val="none"/>
          <w:lang w:val="en-US" w:eastAsia="zh-CN"/>
        </w:rPr>
        <w:t>一标段：365万元</w:t>
      </w:r>
    </w:p>
    <w:p w14:paraId="2ECC027C">
      <w:pPr>
        <w:pageBreakBefore w:val="0"/>
        <w:widowControl w:val="0"/>
        <w:kinsoku/>
        <w:wordWrap/>
        <w:overflowPunct/>
        <w:topLinePunct w:val="0"/>
        <w:autoSpaceDE/>
        <w:autoSpaceDN/>
        <w:bidi w:val="0"/>
        <w:adjustRightInd/>
        <w:snapToGrid w:val="0"/>
        <w:spacing w:beforeAutospacing="0" w:afterAutospacing="0" w:line="480" w:lineRule="exact"/>
        <w:ind w:left="0" w:leftChars="0" w:firstLine="480" w:firstLineChars="200"/>
        <w:textAlignment w:val="auto"/>
        <w:rPr>
          <w:rFonts w:hint="eastAsia" w:asciiTheme="minorEastAsia" w:hAnsiTheme="minorEastAsia" w:eastAsiaTheme="minorEastAsia" w:cstheme="minorEastAsia"/>
          <w:b w:val="0"/>
          <w:bCs w:val="0"/>
          <w:i w:val="0"/>
          <w:iCs w:val="0"/>
          <w:color w:val="auto"/>
          <w:sz w:val="24"/>
          <w:szCs w:val="24"/>
          <w:highlight w:val="none"/>
          <w:lang w:val="en-US" w:eastAsia="zh-CN"/>
        </w:rPr>
      </w:pPr>
      <w:r>
        <w:rPr>
          <w:rFonts w:hint="eastAsia" w:asciiTheme="minorEastAsia" w:hAnsiTheme="minorEastAsia" w:eastAsiaTheme="minorEastAsia" w:cstheme="minorEastAsia"/>
          <w:b w:val="0"/>
          <w:bCs w:val="0"/>
          <w:i w:val="0"/>
          <w:iCs w:val="0"/>
          <w:color w:val="auto"/>
          <w:sz w:val="24"/>
          <w:szCs w:val="24"/>
          <w:highlight w:val="none"/>
          <w:lang w:val="en-US" w:eastAsia="zh-CN"/>
        </w:rPr>
        <w:t>二标段：662万元</w:t>
      </w:r>
    </w:p>
    <w:p w14:paraId="0D084F32">
      <w:pPr>
        <w:pageBreakBefore w:val="0"/>
        <w:widowControl w:val="0"/>
        <w:kinsoku/>
        <w:wordWrap/>
        <w:overflowPunct/>
        <w:topLinePunct w:val="0"/>
        <w:autoSpaceDE/>
        <w:autoSpaceDN/>
        <w:bidi w:val="0"/>
        <w:adjustRightInd/>
        <w:snapToGrid w:val="0"/>
        <w:spacing w:beforeAutospacing="0" w:afterAutospacing="0" w:line="480" w:lineRule="exact"/>
        <w:ind w:left="0" w:leftChars="0" w:firstLine="480" w:firstLineChars="200"/>
        <w:textAlignment w:val="auto"/>
        <w:rPr>
          <w:rFonts w:hint="eastAsia" w:asciiTheme="minorEastAsia" w:hAnsiTheme="minorEastAsia" w:eastAsiaTheme="minorEastAsia" w:cstheme="minorEastAsia"/>
          <w:b w:val="0"/>
          <w:bCs w:val="0"/>
          <w:i w:val="0"/>
          <w:iCs w:val="0"/>
          <w:color w:val="auto"/>
          <w:sz w:val="24"/>
          <w:szCs w:val="24"/>
          <w:highlight w:val="none"/>
          <w:lang w:val="en-US" w:eastAsia="zh-CN"/>
        </w:rPr>
      </w:pPr>
      <w:r>
        <w:rPr>
          <w:rFonts w:hint="eastAsia" w:asciiTheme="minorEastAsia" w:hAnsiTheme="minorEastAsia" w:eastAsiaTheme="minorEastAsia" w:cstheme="minorEastAsia"/>
          <w:b w:val="0"/>
          <w:bCs w:val="0"/>
          <w:i w:val="0"/>
          <w:iCs w:val="0"/>
          <w:color w:val="auto"/>
          <w:sz w:val="24"/>
          <w:szCs w:val="24"/>
          <w:highlight w:val="none"/>
          <w:lang w:val="en-US" w:eastAsia="zh-CN"/>
        </w:rPr>
        <w:t>三标段：805万元</w:t>
      </w:r>
    </w:p>
    <w:p w14:paraId="5CE6A1D3">
      <w:pPr>
        <w:pageBreakBefore w:val="0"/>
        <w:widowControl w:val="0"/>
        <w:kinsoku/>
        <w:wordWrap/>
        <w:overflowPunct/>
        <w:topLinePunct w:val="0"/>
        <w:autoSpaceDE/>
        <w:autoSpaceDN/>
        <w:bidi w:val="0"/>
        <w:adjustRightInd/>
        <w:snapToGrid w:val="0"/>
        <w:spacing w:beforeAutospacing="0" w:afterAutospacing="0" w:line="480" w:lineRule="exact"/>
        <w:ind w:left="0" w:leftChars="0" w:firstLine="480" w:firstLineChars="200"/>
        <w:textAlignment w:val="auto"/>
        <w:rPr>
          <w:rFonts w:hint="eastAsia" w:asciiTheme="minorEastAsia" w:hAnsiTheme="minorEastAsia" w:eastAsiaTheme="minorEastAsia" w:cstheme="minorEastAsia"/>
          <w:b w:val="0"/>
          <w:bCs w:val="0"/>
          <w:i w:val="0"/>
          <w:iCs w:val="0"/>
          <w:color w:val="auto"/>
          <w:sz w:val="24"/>
          <w:szCs w:val="24"/>
          <w:highlight w:val="none"/>
          <w:lang w:val="en-US" w:eastAsia="zh-CN"/>
        </w:rPr>
      </w:pPr>
      <w:r>
        <w:rPr>
          <w:rFonts w:hint="eastAsia" w:asciiTheme="minorEastAsia" w:hAnsiTheme="minorEastAsia" w:eastAsiaTheme="minorEastAsia" w:cstheme="minorEastAsia"/>
          <w:b w:val="0"/>
          <w:bCs w:val="0"/>
          <w:i w:val="0"/>
          <w:iCs w:val="0"/>
          <w:color w:val="auto"/>
          <w:sz w:val="24"/>
          <w:szCs w:val="24"/>
          <w:highlight w:val="none"/>
          <w:lang w:val="en-US" w:eastAsia="zh-CN"/>
        </w:rPr>
        <w:t>四标段：245万元</w:t>
      </w:r>
    </w:p>
    <w:p w14:paraId="6A15D9BA">
      <w:pPr>
        <w:pageBreakBefore w:val="0"/>
        <w:widowControl w:val="0"/>
        <w:kinsoku/>
        <w:wordWrap/>
        <w:overflowPunct/>
        <w:topLinePunct w:val="0"/>
        <w:autoSpaceDE/>
        <w:autoSpaceDN/>
        <w:bidi w:val="0"/>
        <w:adjustRightInd/>
        <w:snapToGrid w:val="0"/>
        <w:spacing w:beforeAutospacing="0" w:afterAutospacing="0" w:line="480" w:lineRule="exact"/>
        <w:ind w:left="0" w:leftChars="0" w:firstLine="480" w:firstLineChars="200"/>
        <w:textAlignment w:val="auto"/>
        <w:rPr>
          <w:rFonts w:hint="eastAsia" w:asciiTheme="minorEastAsia" w:hAnsiTheme="minorEastAsia" w:eastAsiaTheme="minorEastAsia" w:cstheme="minorEastAsia"/>
          <w:b w:val="0"/>
          <w:bCs w:val="0"/>
          <w:i w:val="0"/>
          <w:iCs w:val="0"/>
          <w:color w:val="auto"/>
          <w:sz w:val="24"/>
          <w:szCs w:val="24"/>
          <w:highlight w:val="none"/>
          <w:lang w:val="en-US" w:eastAsia="zh-CN"/>
        </w:rPr>
      </w:pPr>
      <w:r>
        <w:rPr>
          <w:rFonts w:hint="eastAsia" w:asciiTheme="minorEastAsia" w:hAnsiTheme="minorEastAsia" w:eastAsiaTheme="minorEastAsia" w:cstheme="minorEastAsia"/>
          <w:b w:val="0"/>
          <w:bCs w:val="0"/>
          <w:i w:val="0"/>
          <w:iCs w:val="0"/>
          <w:color w:val="auto"/>
          <w:sz w:val="24"/>
          <w:szCs w:val="24"/>
          <w:highlight w:val="none"/>
          <w:lang w:val="en-US" w:eastAsia="zh-CN"/>
        </w:rPr>
        <w:t>五标段：300万元</w:t>
      </w:r>
    </w:p>
    <w:p w14:paraId="17B6CB53">
      <w:pPr>
        <w:pageBreakBefore w:val="0"/>
        <w:widowControl w:val="0"/>
        <w:kinsoku/>
        <w:wordWrap/>
        <w:overflowPunct/>
        <w:topLinePunct w:val="0"/>
        <w:autoSpaceDE/>
        <w:autoSpaceDN/>
        <w:bidi w:val="0"/>
        <w:adjustRightInd/>
        <w:snapToGrid w:val="0"/>
        <w:spacing w:beforeAutospacing="0" w:afterAutospacing="0" w:line="480" w:lineRule="exact"/>
        <w:ind w:left="0" w:leftChars="0" w:firstLine="480" w:firstLineChars="200"/>
        <w:textAlignment w:val="auto"/>
        <w:rPr>
          <w:rFonts w:hint="eastAsia" w:asciiTheme="minorEastAsia" w:hAnsiTheme="minorEastAsia" w:eastAsiaTheme="minorEastAsia" w:cstheme="minorEastAsia"/>
          <w:b w:val="0"/>
          <w:bCs w:val="0"/>
          <w:i w:val="0"/>
          <w:iCs w:val="0"/>
          <w:color w:val="auto"/>
          <w:sz w:val="24"/>
          <w:szCs w:val="24"/>
          <w:highlight w:val="none"/>
          <w:lang w:val="en-US" w:eastAsia="zh-CN"/>
        </w:rPr>
      </w:pPr>
      <w:r>
        <w:rPr>
          <w:rFonts w:hint="eastAsia" w:asciiTheme="minorEastAsia" w:hAnsiTheme="minorEastAsia" w:eastAsiaTheme="minorEastAsia" w:cstheme="minorEastAsia"/>
          <w:b w:val="0"/>
          <w:bCs w:val="0"/>
          <w:i w:val="0"/>
          <w:iCs w:val="0"/>
          <w:color w:val="auto"/>
          <w:sz w:val="24"/>
          <w:szCs w:val="24"/>
          <w:highlight w:val="none"/>
          <w:lang w:val="en-US" w:eastAsia="zh-CN"/>
        </w:rPr>
        <w:t>六标段：698万元</w:t>
      </w:r>
    </w:p>
    <w:p w14:paraId="67E73C11">
      <w:pPr>
        <w:pageBreakBefore w:val="0"/>
        <w:widowControl w:val="0"/>
        <w:kinsoku/>
        <w:wordWrap/>
        <w:overflowPunct/>
        <w:topLinePunct w:val="0"/>
        <w:autoSpaceDE/>
        <w:autoSpaceDN/>
        <w:bidi w:val="0"/>
        <w:adjustRightInd/>
        <w:snapToGrid w:val="0"/>
        <w:spacing w:beforeAutospacing="0" w:afterAutospacing="0" w:line="480" w:lineRule="exact"/>
        <w:ind w:left="0" w:leftChars="0" w:firstLine="480" w:firstLineChars="200"/>
        <w:textAlignment w:val="auto"/>
        <w:rPr>
          <w:rFonts w:hint="eastAsia" w:asciiTheme="minorEastAsia" w:hAnsiTheme="minorEastAsia" w:eastAsiaTheme="minorEastAsia" w:cstheme="minorEastAsia"/>
          <w:b w:val="0"/>
          <w:bCs w:val="0"/>
          <w:i w:val="0"/>
          <w:iCs w:val="0"/>
          <w:color w:val="auto"/>
          <w:sz w:val="24"/>
          <w:szCs w:val="24"/>
          <w:highlight w:val="none"/>
          <w:lang w:val="en-US" w:eastAsia="zh-CN"/>
        </w:rPr>
      </w:pPr>
      <w:r>
        <w:rPr>
          <w:rFonts w:hint="eastAsia" w:asciiTheme="minorEastAsia" w:hAnsiTheme="minorEastAsia" w:eastAsiaTheme="minorEastAsia" w:cstheme="minorEastAsia"/>
          <w:b w:val="0"/>
          <w:bCs w:val="0"/>
          <w:i w:val="0"/>
          <w:iCs w:val="0"/>
          <w:color w:val="auto"/>
          <w:sz w:val="24"/>
          <w:szCs w:val="24"/>
          <w:highlight w:val="none"/>
          <w:lang w:val="en-US" w:eastAsia="zh-CN"/>
        </w:rPr>
        <w:t>七标段：500万元</w:t>
      </w:r>
    </w:p>
    <w:p w14:paraId="6CFA3A60">
      <w:pPr>
        <w:pageBreakBefore w:val="0"/>
        <w:widowControl w:val="0"/>
        <w:kinsoku/>
        <w:wordWrap/>
        <w:overflowPunct/>
        <w:topLinePunct w:val="0"/>
        <w:autoSpaceDE/>
        <w:autoSpaceDN/>
        <w:bidi w:val="0"/>
        <w:adjustRightInd/>
        <w:snapToGrid w:val="0"/>
        <w:spacing w:beforeAutospacing="0" w:afterAutospacing="0" w:line="480" w:lineRule="exact"/>
        <w:ind w:left="0" w:leftChars="0" w:firstLine="480" w:firstLineChars="200"/>
        <w:textAlignment w:val="auto"/>
        <w:rPr>
          <w:rFonts w:hint="eastAsia" w:asciiTheme="minorEastAsia" w:hAnsiTheme="minorEastAsia" w:eastAsiaTheme="minorEastAsia" w:cstheme="minorEastAsia"/>
          <w:b w:val="0"/>
          <w:bCs w:val="0"/>
          <w:i w:val="0"/>
          <w:iCs w:val="0"/>
          <w:color w:val="auto"/>
          <w:sz w:val="24"/>
          <w:szCs w:val="24"/>
          <w:highlight w:val="none"/>
          <w:lang w:val="en-US" w:eastAsia="zh-CN"/>
        </w:rPr>
      </w:pPr>
      <w:r>
        <w:rPr>
          <w:rFonts w:hint="eastAsia" w:asciiTheme="minorEastAsia" w:hAnsiTheme="minorEastAsia" w:eastAsiaTheme="minorEastAsia" w:cstheme="minorEastAsia"/>
          <w:b w:val="0"/>
          <w:bCs w:val="0"/>
          <w:i w:val="0"/>
          <w:iCs w:val="0"/>
          <w:color w:val="auto"/>
          <w:sz w:val="24"/>
          <w:szCs w:val="24"/>
          <w:highlight w:val="none"/>
          <w:lang w:val="en-US" w:eastAsia="zh-CN"/>
        </w:rPr>
        <w:t>八标段：425万元</w:t>
      </w:r>
    </w:p>
    <w:p w14:paraId="6BEDB7B7">
      <w:pPr>
        <w:pageBreakBefore w:val="0"/>
        <w:widowControl w:val="0"/>
        <w:kinsoku/>
        <w:wordWrap/>
        <w:overflowPunct/>
        <w:topLinePunct w:val="0"/>
        <w:autoSpaceDE/>
        <w:autoSpaceDN/>
        <w:bidi w:val="0"/>
        <w:adjustRightInd/>
        <w:snapToGrid w:val="0"/>
        <w:spacing w:beforeAutospacing="0" w:afterAutospacing="0" w:line="480" w:lineRule="exact"/>
        <w:ind w:left="0" w:leftChars="0" w:firstLine="482" w:firstLineChars="200"/>
        <w:textAlignment w:val="auto"/>
        <w:rPr>
          <w:rFonts w:hint="eastAsia" w:asciiTheme="minorEastAsia" w:hAnsiTheme="minorEastAsia" w:eastAsiaTheme="minorEastAsia" w:cstheme="minorEastAsia"/>
          <w:b/>
          <w:bCs/>
          <w:i w:val="0"/>
          <w:iCs w:val="0"/>
          <w:color w:val="auto"/>
          <w:sz w:val="24"/>
          <w:szCs w:val="24"/>
          <w:highlight w:val="none"/>
        </w:rPr>
      </w:pPr>
      <w:r>
        <w:rPr>
          <w:rFonts w:hint="eastAsia" w:asciiTheme="minorEastAsia" w:hAnsiTheme="minorEastAsia" w:eastAsiaTheme="minorEastAsia" w:cstheme="minorEastAsia"/>
          <w:b/>
          <w:bCs/>
          <w:i w:val="0"/>
          <w:iCs w:val="0"/>
          <w:color w:val="auto"/>
          <w:sz w:val="24"/>
          <w:szCs w:val="24"/>
          <w:highlight w:val="none"/>
        </w:rPr>
        <w:t>采购需求：</w:t>
      </w:r>
    </w:p>
    <w:p w14:paraId="27C759EF">
      <w:pPr>
        <w:pageBreakBefore w:val="0"/>
        <w:widowControl w:val="0"/>
        <w:kinsoku/>
        <w:wordWrap/>
        <w:overflowPunct/>
        <w:topLinePunct w:val="0"/>
        <w:autoSpaceDE/>
        <w:autoSpaceDN/>
        <w:bidi w:val="0"/>
        <w:adjustRightInd/>
        <w:snapToGrid w:val="0"/>
        <w:spacing w:beforeAutospacing="0" w:afterAutospacing="0" w:line="480" w:lineRule="exact"/>
        <w:ind w:left="0" w:leftChars="0" w:firstLine="480" w:firstLineChars="200"/>
        <w:textAlignment w:val="auto"/>
        <w:rPr>
          <w:rFonts w:hint="eastAsia" w:asciiTheme="minorEastAsia" w:hAnsiTheme="minorEastAsia" w:eastAsiaTheme="minorEastAsia" w:cstheme="minorEastAsia"/>
          <w:b w:val="0"/>
          <w:bCs w:val="0"/>
          <w:i w:val="0"/>
          <w:iCs w:val="0"/>
          <w:color w:val="auto"/>
          <w:sz w:val="24"/>
          <w:szCs w:val="24"/>
          <w:highlight w:val="none"/>
          <w:u w:val="none"/>
          <w:lang w:val="en-US" w:eastAsia="zh-CN"/>
        </w:rPr>
      </w:pPr>
      <w:r>
        <w:rPr>
          <w:rFonts w:hint="eastAsia" w:asciiTheme="minorEastAsia" w:hAnsiTheme="minorEastAsia" w:eastAsiaTheme="minorEastAsia" w:cstheme="minorEastAsia"/>
          <w:b w:val="0"/>
          <w:bCs w:val="0"/>
          <w:i w:val="0"/>
          <w:iCs w:val="0"/>
          <w:color w:val="auto"/>
          <w:sz w:val="24"/>
          <w:szCs w:val="24"/>
          <w:highlight w:val="none"/>
          <w:u w:val="none"/>
          <w:lang w:val="en-US" w:eastAsia="zh-CN"/>
        </w:rPr>
        <w:t>一标段：</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智慧黑板及精品录播系统设备采购</w:t>
      </w:r>
      <w:r>
        <w:rPr>
          <w:rFonts w:hint="eastAsia" w:asciiTheme="minorEastAsia" w:hAnsiTheme="minorEastAsia" w:eastAsiaTheme="minorEastAsia" w:cstheme="minorEastAsia"/>
          <w:b w:val="0"/>
          <w:bCs w:val="0"/>
          <w:i w:val="0"/>
          <w:iCs w:val="0"/>
          <w:color w:val="auto"/>
          <w:sz w:val="24"/>
          <w:szCs w:val="24"/>
          <w:highlight w:val="none"/>
          <w:u w:val="none"/>
          <w:lang w:val="en-US" w:eastAsia="zh-CN"/>
        </w:rPr>
        <w:t>。具体参数详见招标文件。</w:t>
      </w:r>
    </w:p>
    <w:p w14:paraId="4431417D">
      <w:pPr>
        <w:pageBreakBefore w:val="0"/>
        <w:widowControl w:val="0"/>
        <w:kinsoku/>
        <w:wordWrap/>
        <w:overflowPunct/>
        <w:topLinePunct w:val="0"/>
        <w:autoSpaceDE/>
        <w:autoSpaceDN/>
        <w:bidi w:val="0"/>
        <w:adjustRightInd/>
        <w:snapToGrid w:val="0"/>
        <w:spacing w:beforeAutospacing="0" w:afterAutospacing="0" w:line="480" w:lineRule="exact"/>
        <w:ind w:left="0" w:leftChars="0" w:firstLine="480" w:firstLineChars="200"/>
        <w:textAlignment w:val="auto"/>
        <w:rPr>
          <w:rFonts w:hint="eastAsia" w:asciiTheme="minorEastAsia" w:hAnsiTheme="minorEastAsia" w:eastAsiaTheme="minorEastAsia" w:cstheme="minorEastAsia"/>
          <w:b w:val="0"/>
          <w:bCs w:val="0"/>
          <w:i w:val="0"/>
          <w:iCs w:val="0"/>
          <w:color w:val="auto"/>
          <w:sz w:val="24"/>
          <w:szCs w:val="24"/>
          <w:highlight w:val="none"/>
          <w:u w:val="none"/>
          <w:lang w:val="en-US" w:eastAsia="zh-CN"/>
        </w:rPr>
      </w:pPr>
      <w:r>
        <w:rPr>
          <w:rFonts w:hint="eastAsia" w:asciiTheme="minorEastAsia" w:hAnsiTheme="minorEastAsia" w:eastAsiaTheme="minorEastAsia" w:cstheme="minorEastAsia"/>
          <w:b w:val="0"/>
          <w:bCs w:val="0"/>
          <w:i w:val="0"/>
          <w:iCs w:val="0"/>
          <w:color w:val="auto"/>
          <w:sz w:val="24"/>
          <w:szCs w:val="24"/>
          <w:highlight w:val="none"/>
          <w:u w:val="none"/>
          <w:lang w:val="en-US" w:eastAsia="zh-CN"/>
        </w:rPr>
        <w:t>二标段：</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云终端教室及音视频系统设备采购</w:t>
      </w:r>
      <w:r>
        <w:rPr>
          <w:rFonts w:hint="eastAsia" w:asciiTheme="minorEastAsia" w:hAnsiTheme="minorEastAsia" w:eastAsiaTheme="minorEastAsia" w:cstheme="minorEastAsia"/>
          <w:b w:val="0"/>
          <w:bCs w:val="0"/>
          <w:i w:val="0"/>
          <w:iCs w:val="0"/>
          <w:color w:val="auto"/>
          <w:sz w:val="24"/>
          <w:szCs w:val="24"/>
          <w:highlight w:val="none"/>
          <w:u w:val="none"/>
          <w:lang w:val="en-US" w:eastAsia="zh-CN"/>
        </w:rPr>
        <w:t>。具体参数详见招标文件。</w:t>
      </w:r>
    </w:p>
    <w:p w14:paraId="78953DF5">
      <w:pPr>
        <w:pageBreakBefore w:val="0"/>
        <w:widowControl w:val="0"/>
        <w:kinsoku/>
        <w:wordWrap/>
        <w:overflowPunct/>
        <w:topLinePunct w:val="0"/>
        <w:autoSpaceDE/>
        <w:autoSpaceDN/>
        <w:bidi w:val="0"/>
        <w:adjustRightInd/>
        <w:snapToGrid w:val="0"/>
        <w:spacing w:beforeAutospacing="0" w:afterAutospacing="0" w:line="480" w:lineRule="exact"/>
        <w:ind w:left="0" w:leftChars="0" w:firstLine="480" w:firstLineChars="200"/>
        <w:textAlignment w:val="auto"/>
        <w:rPr>
          <w:rFonts w:hint="eastAsia" w:asciiTheme="minorEastAsia" w:hAnsiTheme="minorEastAsia" w:eastAsiaTheme="minorEastAsia" w:cstheme="minorEastAsia"/>
          <w:b w:val="0"/>
          <w:bCs w:val="0"/>
          <w:i w:val="0"/>
          <w:iCs w:val="0"/>
          <w:color w:val="auto"/>
          <w:sz w:val="24"/>
          <w:szCs w:val="24"/>
          <w:highlight w:val="none"/>
          <w:u w:val="none"/>
          <w:lang w:val="en-US" w:eastAsia="zh-CN"/>
        </w:rPr>
      </w:pPr>
      <w:r>
        <w:rPr>
          <w:rFonts w:hint="eastAsia" w:asciiTheme="minorEastAsia" w:hAnsiTheme="minorEastAsia" w:eastAsiaTheme="minorEastAsia" w:cstheme="minorEastAsia"/>
          <w:b w:val="0"/>
          <w:bCs w:val="0"/>
          <w:i w:val="0"/>
          <w:iCs w:val="0"/>
          <w:color w:val="auto"/>
          <w:sz w:val="24"/>
          <w:szCs w:val="24"/>
          <w:highlight w:val="none"/>
          <w:u w:val="none"/>
          <w:lang w:val="en-US" w:eastAsia="zh-CN"/>
        </w:rPr>
        <w:t>三标段：</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校园广播、安防及标考系统设备采购</w:t>
      </w:r>
      <w:r>
        <w:rPr>
          <w:rFonts w:hint="eastAsia" w:asciiTheme="minorEastAsia" w:hAnsiTheme="minorEastAsia" w:eastAsiaTheme="minorEastAsia" w:cstheme="minorEastAsia"/>
          <w:b w:val="0"/>
          <w:bCs w:val="0"/>
          <w:i w:val="0"/>
          <w:iCs w:val="0"/>
          <w:color w:val="auto"/>
          <w:sz w:val="24"/>
          <w:szCs w:val="24"/>
          <w:highlight w:val="none"/>
          <w:u w:val="none"/>
          <w:lang w:val="en-US" w:eastAsia="zh-CN"/>
        </w:rPr>
        <w:t>。具体参数详见招标文件。</w:t>
      </w:r>
    </w:p>
    <w:p w14:paraId="67308946">
      <w:pPr>
        <w:pageBreakBefore w:val="0"/>
        <w:widowControl w:val="0"/>
        <w:kinsoku/>
        <w:wordWrap/>
        <w:overflowPunct/>
        <w:topLinePunct w:val="0"/>
        <w:autoSpaceDE/>
        <w:autoSpaceDN/>
        <w:bidi w:val="0"/>
        <w:adjustRightInd/>
        <w:snapToGrid w:val="0"/>
        <w:spacing w:beforeAutospacing="0" w:afterAutospacing="0" w:line="480" w:lineRule="exact"/>
        <w:ind w:left="0" w:leftChars="0" w:firstLine="480" w:firstLineChars="200"/>
        <w:textAlignment w:val="auto"/>
        <w:rPr>
          <w:rFonts w:hint="eastAsia" w:asciiTheme="minorEastAsia" w:hAnsiTheme="minorEastAsia" w:eastAsiaTheme="minorEastAsia" w:cstheme="minorEastAsia"/>
          <w:b w:val="0"/>
          <w:bCs w:val="0"/>
          <w:i w:val="0"/>
          <w:iCs w:val="0"/>
          <w:color w:val="auto"/>
          <w:sz w:val="24"/>
          <w:szCs w:val="24"/>
          <w:highlight w:val="none"/>
          <w:u w:val="none"/>
          <w:lang w:val="en-US" w:eastAsia="zh-CN"/>
        </w:rPr>
      </w:pPr>
      <w:r>
        <w:rPr>
          <w:rFonts w:hint="eastAsia" w:asciiTheme="minorEastAsia" w:hAnsiTheme="minorEastAsia" w:eastAsiaTheme="minorEastAsia" w:cstheme="minorEastAsia"/>
          <w:b w:val="0"/>
          <w:bCs w:val="0"/>
          <w:i w:val="0"/>
          <w:iCs w:val="0"/>
          <w:color w:val="auto"/>
          <w:sz w:val="24"/>
          <w:szCs w:val="24"/>
          <w:highlight w:val="none"/>
          <w:u w:val="none"/>
          <w:lang w:val="en-US" w:eastAsia="zh-CN"/>
        </w:rPr>
        <w:t>四标段：</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纸质图书及图书馆设备采购</w:t>
      </w:r>
      <w:r>
        <w:rPr>
          <w:rFonts w:hint="eastAsia" w:asciiTheme="minorEastAsia" w:hAnsiTheme="minorEastAsia" w:eastAsiaTheme="minorEastAsia" w:cstheme="minorEastAsia"/>
          <w:b w:val="0"/>
          <w:bCs w:val="0"/>
          <w:i w:val="0"/>
          <w:iCs w:val="0"/>
          <w:color w:val="auto"/>
          <w:sz w:val="24"/>
          <w:szCs w:val="24"/>
          <w:highlight w:val="none"/>
          <w:u w:val="none"/>
          <w:lang w:val="en-US" w:eastAsia="zh-CN"/>
        </w:rPr>
        <w:t>。具体参数详见招标文件。</w:t>
      </w:r>
    </w:p>
    <w:p w14:paraId="41541EEC">
      <w:pPr>
        <w:pageBreakBefore w:val="0"/>
        <w:widowControl w:val="0"/>
        <w:kinsoku/>
        <w:wordWrap/>
        <w:overflowPunct/>
        <w:topLinePunct w:val="0"/>
        <w:autoSpaceDE/>
        <w:autoSpaceDN/>
        <w:bidi w:val="0"/>
        <w:adjustRightInd/>
        <w:snapToGrid w:val="0"/>
        <w:spacing w:beforeAutospacing="0" w:afterAutospacing="0" w:line="480" w:lineRule="exact"/>
        <w:ind w:left="0" w:leftChars="0" w:firstLine="480" w:firstLineChars="200"/>
        <w:textAlignment w:val="auto"/>
        <w:rPr>
          <w:rFonts w:hint="eastAsia" w:asciiTheme="minorEastAsia" w:hAnsiTheme="minorEastAsia" w:eastAsiaTheme="minorEastAsia" w:cstheme="minorEastAsia"/>
          <w:b w:val="0"/>
          <w:bCs w:val="0"/>
          <w:i w:val="0"/>
          <w:iCs w:val="0"/>
          <w:color w:val="auto"/>
          <w:sz w:val="24"/>
          <w:szCs w:val="24"/>
          <w:highlight w:val="none"/>
          <w:u w:val="none"/>
          <w:lang w:val="en-US" w:eastAsia="zh-CN"/>
        </w:rPr>
      </w:pPr>
      <w:r>
        <w:rPr>
          <w:rFonts w:hint="eastAsia" w:asciiTheme="minorEastAsia" w:hAnsiTheme="minorEastAsia" w:eastAsiaTheme="minorEastAsia" w:cstheme="minorEastAsia"/>
          <w:b w:val="0"/>
          <w:bCs w:val="0"/>
          <w:i w:val="0"/>
          <w:iCs w:val="0"/>
          <w:color w:val="auto"/>
          <w:sz w:val="24"/>
          <w:szCs w:val="24"/>
          <w:highlight w:val="none"/>
          <w:u w:val="none"/>
          <w:lang w:val="en-US" w:eastAsia="zh-CN"/>
        </w:rPr>
        <w:t>五标段：</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后勤及配套设施设备采购</w:t>
      </w:r>
      <w:r>
        <w:rPr>
          <w:rFonts w:hint="eastAsia" w:asciiTheme="minorEastAsia" w:hAnsiTheme="minorEastAsia" w:eastAsiaTheme="minorEastAsia" w:cstheme="minorEastAsia"/>
          <w:b w:val="0"/>
          <w:bCs w:val="0"/>
          <w:i w:val="0"/>
          <w:iCs w:val="0"/>
          <w:color w:val="auto"/>
          <w:sz w:val="24"/>
          <w:szCs w:val="24"/>
          <w:highlight w:val="none"/>
          <w:u w:val="none"/>
          <w:lang w:val="en-US" w:eastAsia="zh-CN"/>
        </w:rPr>
        <w:t>。具体参数详见招标文件。</w:t>
      </w:r>
    </w:p>
    <w:p w14:paraId="16D3F07D">
      <w:pPr>
        <w:pageBreakBefore w:val="0"/>
        <w:widowControl w:val="0"/>
        <w:kinsoku/>
        <w:wordWrap/>
        <w:overflowPunct/>
        <w:topLinePunct w:val="0"/>
        <w:autoSpaceDE/>
        <w:autoSpaceDN/>
        <w:bidi w:val="0"/>
        <w:adjustRightInd/>
        <w:snapToGrid w:val="0"/>
        <w:spacing w:beforeAutospacing="0" w:afterAutospacing="0" w:line="480" w:lineRule="exact"/>
        <w:ind w:left="0" w:leftChars="0" w:firstLine="480" w:firstLineChars="200"/>
        <w:textAlignment w:val="auto"/>
        <w:rPr>
          <w:rFonts w:hint="eastAsia" w:asciiTheme="minorEastAsia" w:hAnsiTheme="minorEastAsia" w:eastAsiaTheme="minorEastAsia" w:cstheme="minorEastAsia"/>
          <w:b w:val="0"/>
          <w:bCs w:val="0"/>
          <w:i w:val="0"/>
          <w:iCs w:val="0"/>
          <w:color w:val="auto"/>
          <w:sz w:val="24"/>
          <w:szCs w:val="24"/>
          <w:highlight w:val="none"/>
          <w:u w:val="none"/>
          <w:lang w:val="en-US" w:eastAsia="zh-CN"/>
        </w:rPr>
      </w:pPr>
      <w:r>
        <w:rPr>
          <w:rFonts w:hint="eastAsia" w:asciiTheme="minorEastAsia" w:hAnsiTheme="minorEastAsia" w:eastAsiaTheme="minorEastAsia" w:cstheme="minorEastAsia"/>
          <w:b w:val="0"/>
          <w:bCs w:val="0"/>
          <w:i w:val="0"/>
          <w:iCs w:val="0"/>
          <w:color w:val="auto"/>
          <w:sz w:val="24"/>
          <w:szCs w:val="24"/>
          <w:highlight w:val="none"/>
          <w:u w:val="none"/>
          <w:lang w:val="en-US" w:eastAsia="zh-CN"/>
        </w:rPr>
        <w:t>六标段：</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办公设备及教学配套设施采购</w:t>
      </w:r>
      <w:r>
        <w:rPr>
          <w:rFonts w:hint="eastAsia" w:asciiTheme="minorEastAsia" w:hAnsiTheme="minorEastAsia" w:eastAsiaTheme="minorEastAsia" w:cstheme="minorEastAsia"/>
          <w:b w:val="0"/>
          <w:bCs w:val="0"/>
          <w:i w:val="0"/>
          <w:iCs w:val="0"/>
          <w:color w:val="auto"/>
          <w:sz w:val="24"/>
          <w:szCs w:val="24"/>
          <w:highlight w:val="none"/>
          <w:u w:val="none"/>
          <w:lang w:val="en-US" w:eastAsia="zh-CN"/>
        </w:rPr>
        <w:t>。具体参数详见招标文件。</w:t>
      </w:r>
    </w:p>
    <w:p w14:paraId="3DFFE60C">
      <w:pPr>
        <w:pageBreakBefore w:val="0"/>
        <w:widowControl w:val="0"/>
        <w:kinsoku/>
        <w:wordWrap/>
        <w:overflowPunct/>
        <w:topLinePunct w:val="0"/>
        <w:autoSpaceDE/>
        <w:autoSpaceDN/>
        <w:bidi w:val="0"/>
        <w:adjustRightInd/>
        <w:snapToGrid w:val="0"/>
        <w:spacing w:beforeAutospacing="0" w:afterAutospacing="0" w:line="480" w:lineRule="exact"/>
        <w:ind w:left="0" w:leftChars="0" w:firstLine="480" w:firstLineChars="200"/>
        <w:textAlignment w:val="auto"/>
        <w:rPr>
          <w:rFonts w:hint="eastAsia" w:asciiTheme="minorEastAsia" w:hAnsiTheme="minorEastAsia" w:eastAsiaTheme="minorEastAsia" w:cstheme="minorEastAsia"/>
          <w:b w:val="0"/>
          <w:bCs w:val="0"/>
          <w:i w:val="0"/>
          <w:iCs w:val="0"/>
          <w:color w:val="auto"/>
          <w:sz w:val="24"/>
          <w:szCs w:val="24"/>
          <w:highlight w:val="none"/>
          <w:u w:val="none"/>
          <w:lang w:val="en-US" w:eastAsia="zh-CN"/>
        </w:rPr>
      </w:pPr>
      <w:r>
        <w:rPr>
          <w:rFonts w:hint="eastAsia" w:asciiTheme="minorEastAsia" w:hAnsiTheme="minorEastAsia" w:eastAsiaTheme="minorEastAsia" w:cstheme="minorEastAsia"/>
          <w:b w:val="0"/>
          <w:bCs w:val="0"/>
          <w:i w:val="0"/>
          <w:iCs w:val="0"/>
          <w:color w:val="auto"/>
          <w:sz w:val="24"/>
          <w:szCs w:val="24"/>
          <w:highlight w:val="none"/>
          <w:u w:val="none"/>
          <w:lang w:val="en-US" w:eastAsia="zh-CN"/>
        </w:rPr>
        <w:t>七标段：</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实验室设施设备采购</w:t>
      </w:r>
      <w:r>
        <w:rPr>
          <w:rFonts w:hint="eastAsia" w:asciiTheme="minorEastAsia" w:hAnsiTheme="minorEastAsia" w:eastAsiaTheme="minorEastAsia" w:cstheme="minorEastAsia"/>
          <w:b w:val="0"/>
          <w:bCs w:val="0"/>
          <w:i w:val="0"/>
          <w:iCs w:val="0"/>
          <w:color w:val="auto"/>
          <w:sz w:val="24"/>
          <w:szCs w:val="24"/>
          <w:highlight w:val="none"/>
          <w:u w:val="none"/>
          <w:lang w:val="en-US" w:eastAsia="zh-CN"/>
        </w:rPr>
        <w:t>。具体参数详见招标文件。</w:t>
      </w:r>
    </w:p>
    <w:p w14:paraId="45435AAE">
      <w:pPr>
        <w:pageBreakBefore w:val="0"/>
        <w:widowControl w:val="0"/>
        <w:kinsoku/>
        <w:wordWrap/>
        <w:overflowPunct/>
        <w:topLinePunct w:val="0"/>
        <w:autoSpaceDE/>
        <w:autoSpaceDN/>
        <w:bidi w:val="0"/>
        <w:adjustRightInd/>
        <w:snapToGrid w:val="0"/>
        <w:spacing w:beforeAutospacing="0" w:afterAutospacing="0" w:line="480" w:lineRule="exact"/>
        <w:ind w:left="0" w:leftChars="0" w:firstLine="480" w:firstLineChars="200"/>
        <w:textAlignment w:val="auto"/>
        <w:rPr>
          <w:rFonts w:hint="eastAsia" w:asciiTheme="minorEastAsia" w:hAnsiTheme="minorEastAsia" w:eastAsiaTheme="minorEastAsia" w:cstheme="minorEastAsia"/>
          <w:b w:val="0"/>
          <w:bCs w:val="0"/>
          <w:i w:val="0"/>
          <w:iCs w:val="0"/>
          <w:color w:val="auto"/>
          <w:sz w:val="24"/>
          <w:szCs w:val="24"/>
          <w:highlight w:val="none"/>
          <w:u w:val="none"/>
          <w:lang w:val="en-US" w:eastAsia="zh-CN"/>
        </w:rPr>
      </w:pPr>
      <w:r>
        <w:rPr>
          <w:rFonts w:hint="eastAsia" w:asciiTheme="minorEastAsia" w:hAnsiTheme="minorEastAsia" w:eastAsiaTheme="minorEastAsia" w:cstheme="minorEastAsia"/>
          <w:b w:val="0"/>
          <w:bCs w:val="0"/>
          <w:i w:val="0"/>
          <w:iCs w:val="0"/>
          <w:color w:val="auto"/>
          <w:sz w:val="24"/>
          <w:szCs w:val="24"/>
          <w:highlight w:val="none"/>
          <w:u w:val="none"/>
          <w:lang w:val="en-US" w:eastAsia="zh-CN"/>
        </w:rPr>
        <w:t>八标段：</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校园文化建设采购</w:t>
      </w:r>
      <w:r>
        <w:rPr>
          <w:rFonts w:hint="eastAsia" w:asciiTheme="minorEastAsia" w:hAnsiTheme="minorEastAsia" w:eastAsiaTheme="minorEastAsia" w:cstheme="minorEastAsia"/>
          <w:b w:val="0"/>
          <w:bCs w:val="0"/>
          <w:i w:val="0"/>
          <w:iCs w:val="0"/>
          <w:color w:val="auto"/>
          <w:sz w:val="24"/>
          <w:szCs w:val="24"/>
          <w:highlight w:val="none"/>
          <w:u w:val="none"/>
          <w:lang w:val="en-US" w:eastAsia="zh-CN"/>
        </w:rPr>
        <w:t>。具体参数详见招标文件。</w:t>
      </w:r>
    </w:p>
    <w:p w14:paraId="6049FA3D">
      <w:pPr>
        <w:pageBreakBefore w:val="0"/>
        <w:widowControl w:val="0"/>
        <w:kinsoku/>
        <w:wordWrap/>
        <w:overflowPunct/>
        <w:topLinePunct w:val="0"/>
        <w:autoSpaceDE/>
        <w:autoSpaceDN/>
        <w:bidi w:val="0"/>
        <w:adjustRightInd/>
        <w:snapToGrid w:val="0"/>
        <w:spacing w:beforeAutospacing="0" w:afterAutospacing="0" w:line="480" w:lineRule="exact"/>
        <w:ind w:left="0" w:leftChars="0" w:firstLine="482" w:firstLineChars="200"/>
        <w:textAlignment w:val="auto"/>
        <w:rPr>
          <w:rFonts w:hint="eastAsia" w:asciiTheme="minorEastAsia" w:hAnsiTheme="minorEastAsia" w:eastAsiaTheme="minorEastAsia" w:cstheme="minorEastAsia"/>
          <w:b/>
          <w:bCs/>
          <w:i w:val="0"/>
          <w:iCs w:val="0"/>
          <w:color w:val="auto"/>
          <w:sz w:val="24"/>
          <w:szCs w:val="24"/>
          <w:highlight w:val="none"/>
        </w:rPr>
      </w:pPr>
      <w:r>
        <w:rPr>
          <w:rFonts w:hint="eastAsia" w:asciiTheme="minorEastAsia" w:hAnsiTheme="minorEastAsia" w:eastAsiaTheme="minorEastAsia" w:cstheme="minorEastAsia"/>
          <w:b/>
          <w:bCs/>
          <w:i w:val="0"/>
          <w:iCs w:val="0"/>
          <w:color w:val="auto"/>
          <w:sz w:val="24"/>
          <w:szCs w:val="24"/>
          <w:highlight w:val="none"/>
        </w:rPr>
        <w:t>合同履行期限：</w:t>
      </w:r>
    </w:p>
    <w:p w14:paraId="0A65D735">
      <w:pPr>
        <w:pageBreakBefore w:val="0"/>
        <w:widowControl w:val="0"/>
        <w:kinsoku/>
        <w:wordWrap/>
        <w:overflowPunct/>
        <w:topLinePunct w:val="0"/>
        <w:autoSpaceDE/>
        <w:autoSpaceDN/>
        <w:bidi w:val="0"/>
        <w:adjustRightInd/>
        <w:snapToGrid w:val="0"/>
        <w:spacing w:beforeAutospacing="0" w:afterAutospacing="0" w:line="480" w:lineRule="exact"/>
        <w:ind w:left="0" w:leftChars="0" w:firstLine="480" w:firstLineChars="200"/>
        <w:textAlignment w:val="auto"/>
        <w:rPr>
          <w:rFonts w:hint="eastAsia" w:asciiTheme="minorEastAsia" w:hAnsiTheme="minorEastAsia" w:eastAsiaTheme="minorEastAsia" w:cstheme="minorEastAsia"/>
          <w:b w:val="0"/>
          <w:bCs w:val="0"/>
          <w:i w:val="0"/>
          <w:iCs w:val="0"/>
          <w:color w:val="auto"/>
          <w:sz w:val="24"/>
          <w:szCs w:val="24"/>
          <w:highlight w:val="none"/>
          <w:lang w:val="en-US" w:eastAsia="zh-CN"/>
        </w:rPr>
      </w:pPr>
      <w:r>
        <w:rPr>
          <w:rFonts w:hint="eastAsia" w:asciiTheme="minorEastAsia" w:hAnsiTheme="minorEastAsia" w:eastAsiaTheme="minorEastAsia" w:cstheme="minorEastAsia"/>
          <w:b w:val="0"/>
          <w:bCs w:val="0"/>
          <w:i w:val="0"/>
          <w:iCs w:val="0"/>
          <w:color w:val="auto"/>
          <w:sz w:val="24"/>
          <w:szCs w:val="24"/>
          <w:highlight w:val="none"/>
          <w:lang w:val="en-US" w:eastAsia="zh-CN"/>
        </w:rPr>
        <w:t>一标段至七标段</w:t>
      </w:r>
      <w:r>
        <w:rPr>
          <w:rFonts w:hint="eastAsia" w:asciiTheme="minorEastAsia" w:hAnsiTheme="minorEastAsia" w:eastAsiaTheme="minorEastAsia" w:cstheme="minorEastAsia"/>
          <w:color w:val="auto"/>
          <w:sz w:val="24"/>
          <w:szCs w:val="24"/>
          <w:highlight w:val="none"/>
          <w:lang w:val="en-US" w:eastAsia="zh-CN"/>
        </w:rPr>
        <w:t>：合同签订后2个月内</w:t>
      </w:r>
      <w:r>
        <w:rPr>
          <w:rFonts w:hint="eastAsia" w:asciiTheme="minorEastAsia" w:hAnsiTheme="minorEastAsia" w:eastAsiaTheme="minorEastAsia" w:cstheme="minorEastAsia"/>
          <w:color w:val="auto"/>
          <w:sz w:val="24"/>
          <w:szCs w:val="24"/>
          <w:highlight w:val="none"/>
          <w:lang w:eastAsia="zh-CN"/>
        </w:rPr>
        <w:t>完成所有设备的供货及验收。</w:t>
      </w:r>
    </w:p>
    <w:p w14:paraId="17844143">
      <w:pPr>
        <w:pageBreakBefore w:val="0"/>
        <w:widowControl w:val="0"/>
        <w:kinsoku/>
        <w:wordWrap/>
        <w:overflowPunct/>
        <w:topLinePunct w:val="0"/>
        <w:autoSpaceDE/>
        <w:autoSpaceDN/>
        <w:bidi w:val="0"/>
        <w:adjustRightInd/>
        <w:snapToGrid w:val="0"/>
        <w:spacing w:beforeAutospacing="0" w:afterAutospacing="0" w:line="480" w:lineRule="exact"/>
        <w:ind w:left="0" w:leftChars="0" w:firstLine="480" w:firstLineChars="200"/>
        <w:textAlignment w:val="auto"/>
        <w:rPr>
          <w:rFonts w:hint="eastAsia" w:asciiTheme="minorEastAsia" w:hAnsiTheme="minorEastAsia" w:eastAsiaTheme="minorEastAsia" w:cstheme="minorEastAsia"/>
          <w:b w:val="0"/>
          <w:bCs w:val="0"/>
          <w:i w:val="0"/>
          <w:iCs w:val="0"/>
          <w:color w:val="auto"/>
          <w:sz w:val="24"/>
          <w:szCs w:val="24"/>
          <w:highlight w:val="none"/>
          <w:lang w:val="en-US" w:eastAsia="zh-CN"/>
        </w:rPr>
      </w:pPr>
      <w:r>
        <w:rPr>
          <w:rFonts w:hint="eastAsia" w:asciiTheme="minorEastAsia" w:hAnsiTheme="minorEastAsia" w:eastAsiaTheme="minorEastAsia" w:cstheme="minorEastAsia"/>
          <w:b w:val="0"/>
          <w:bCs w:val="0"/>
          <w:i w:val="0"/>
          <w:iCs w:val="0"/>
          <w:color w:val="auto"/>
          <w:sz w:val="24"/>
          <w:szCs w:val="24"/>
          <w:highlight w:val="none"/>
          <w:lang w:val="en-US" w:eastAsia="zh-CN"/>
        </w:rPr>
        <w:t>八标段：合同签订后3个月内完成所有设备的供货及验收。</w:t>
      </w:r>
    </w:p>
    <w:p w14:paraId="1DDC4862">
      <w:pPr>
        <w:pageBreakBefore w:val="0"/>
        <w:widowControl w:val="0"/>
        <w:kinsoku/>
        <w:wordWrap/>
        <w:overflowPunct/>
        <w:topLinePunct w:val="0"/>
        <w:autoSpaceDE/>
        <w:autoSpaceDN/>
        <w:bidi w:val="0"/>
        <w:adjustRightInd/>
        <w:snapToGrid w:val="0"/>
        <w:spacing w:beforeAutospacing="0" w:afterAutospacing="0" w:line="480" w:lineRule="exact"/>
        <w:ind w:left="0" w:leftChars="0" w:firstLine="480" w:firstLineChars="200"/>
        <w:textAlignment w:val="auto"/>
        <w:rPr>
          <w:rFonts w:hint="eastAsia" w:asciiTheme="minorEastAsia" w:hAnsiTheme="minorEastAsia" w:eastAsiaTheme="minorEastAsia" w:cstheme="minorEastAsia"/>
          <w:b w:val="0"/>
          <w:bCs w:val="0"/>
          <w:i w:val="0"/>
          <w:iCs w:val="0"/>
          <w:color w:val="auto"/>
          <w:sz w:val="24"/>
          <w:szCs w:val="24"/>
          <w:highlight w:val="none"/>
        </w:rPr>
      </w:pPr>
      <w:r>
        <w:rPr>
          <w:rFonts w:hint="eastAsia" w:asciiTheme="minorEastAsia" w:hAnsiTheme="minorEastAsia" w:eastAsiaTheme="minorEastAsia" w:cstheme="minorEastAsia"/>
          <w:b w:val="0"/>
          <w:bCs w:val="0"/>
          <w:i w:val="0"/>
          <w:iCs w:val="0"/>
          <w:color w:val="auto"/>
          <w:sz w:val="24"/>
          <w:szCs w:val="24"/>
          <w:highlight w:val="none"/>
        </w:rPr>
        <w:t>本项目</w:t>
      </w:r>
      <w:r>
        <w:rPr>
          <w:rFonts w:hint="eastAsia" w:asciiTheme="minorEastAsia" w:hAnsiTheme="minorEastAsia" w:eastAsiaTheme="minorEastAsia" w:cstheme="minorEastAsia"/>
          <w:b w:val="0"/>
          <w:bCs w:val="0"/>
          <w:i w:val="0"/>
          <w:iCs w:val="0"/>
          <w:color w:val="auto"/>
          <w:sz w:val="24"/>
          <w:szCs w:val="24"/>
          <w:highlight w:val="none"/>
          <w:lang w:val="en-US" w:eastAsia="zh-CN"/>
        </w:rPr>
        <w:t>不</w:t>
      </w:r>
      <w:r>
        <w:rPr>
          <w:rFonts w:hint="eastAsia" w:asciiTheme="minorEastAsia" w:hAnsiTheme="minorEastAsia" w:eastAsiaTheme="minorEastAsia" w:cstheme="minorEastAsia"/>
          <w:b w:val="0"/>
          <w:bCs w:val="0"/>
          <w:i w:val="0"/>
          <w:iCs w:val="0"/>
          <w:color w:val="auto"/>
          <w:sz w:val="24"/>
          <w:szCs w:val="24"/>
          <w:highlight w:val="none"/>
        </w:rPr>
        <w:t>接受联合体。</w:t>
      </w:r>
    </w:p>
    <w:p w14:paraId="147D9343">
      <w:pPr>
        <w:pStyle w:val="3"/>
        <w:pageBreakBefore w:val="0"/>
        <w:widowControl w:val="0"/>
        <w:kinsoku/>
        <w:wordWrap/>
        <w:overflowPunct/>
        <w:topLinePunct w:val="0"/>
        <w:autoSpaceDE/>
        <w:autoSpaceDN/>
        <w:bidi w:val="0"/>
        <w:adjustRightInd/>
        <w:snapToGrid/>
        <w:spacing w:before="0" w:beforeAutospacing="0" w:after="0" w:afterAutospacing="0" w:line="480" w:lineRule="exact"/>
        <w:ind w:left="0" w:leftChars="0" w:firstLine="0" w:firstLineChars="0"/>
        <w:jc w:val="both"/>
        <w:textAlignment w:val="auto"/>
        <w:rPr>
          <w:rFonts w:hint="eastAsia" w:asciiTheme="minorEastAsia" w:hAnsiTheme="minorEastAsia" w:eastAsiaTheme="minorEastAsia" w:cstheme="minorEastAsia"/>
          <w:b/>
          <w:bCs w:val="0"/>
          <w:i w:val="0"/>
          <w:iCs w:val="0"/>
          <w:color w:val="auto"/>
          <w:sz w:val="24"/>
          <w:szCs w:val="24"/>
          <w:highlight w:val="none"/>
        </w:rPr>
      </w:pPr>
      <w:bookmarkStart w:id="27" w:name="_Toc3873"/>
      <w:r>
        <w:rPr>
          <w:rFonts w:hint="eastAsia" w:asciiTheme="minorEastAsia" w:hAnsiTheme="minorEastAsia" w:eastAsiaTheme="minorEastAsia" w:cstheme="minorEastAsia"/>
          <w:b/>
          <w:bCs w:val="0"/>
          <w:i w:val="0"/>
          <w:iCs w:val="0"/>
          <w:color w:val="auto"/>
          <w:sz w:val="24"/>
          <w:szCs w:val="24"/>
          <w:highlight w:val="none"/>
        </w:rPr>
        <w:t>二、申请人的资格要求：</w:t>
      </w:r>
      <w:bookmarkEnd w:id="23"/>
      <w:bookmarkEnd w:id="24"/>
      <w:bookmarkEnd w:id="25"/>
      <w:bookmarkEnd w:id="26"/>
      <w:bookmarkEnd w:id="27"/>
    </w:p>
    <w:p w14:paraId="59F1CABB">
      <w:pPr>
        <w:pageBreakBefore w:val="0"/>
        <w:widowControl w:val="0"/>
        <w:kinsoku/>
        <w:wordWrap/>
        <w:overflowPunct/>
        <w:topLinePunct w:val="0"/>
        <w:autoSpaceDE/>
        <w:autoSpaceDN/>
        <w:bidi w:val="0"/>
        <w:adjustRightInd/>
        <w:snapToGrid w:val="0"/>
        <w:spacing w:beforeAutospacing="0" w:afterAutospacing="0" w:line="480" w:lineRule="exact"/>
        <w:ind w:left="0" w:leftChars="0" w:firstLine="482" w:firstLineChars="200"/>
        <w:textAlignment w:val="auto"/>
        <w:rPr>
          <w:rFonts w:hint="eastAsia" w:asciiTheme="minorEastAsia" w:hAnsiTheme="minorEastAsia" w:eastAsiaTheme="minorEastAsia" w:cstheme="minorEastAsia"/>
          <w:b/>
          <w:bCs/>
          <w:i w:val="0"/>
          <w:iCs w:val="0"/>
          <w:color w:val="auto"/>
          <w:sz w:val="24"/>
          <w:szCs w:val="24"/>
          <w:highlight w:val="none"/>
          <w:u w:val="none"/>
        </w:rPr>
      </w:pPr>
      <w:bookmarkStart w:id="28" w:name="_Toc28359081"/>
      <w:bookmarkStart w:id="29" w:name="_Toc28359004"/>
      <w:r>
        <w:rPr>
          <w:rFonts w:hint="eastAsia" w:asciiTheme="minorEastAsia" w:hAnsiTheme="minorEastAsia" w:eastAsiaTheme="minorEastAsia" w:cstheme="minorEastAsia"/>
          <w:b/>
          <w:bCs/>
          <w:i w:val="0"/>
          <w:iCs w:val="0"/>
          <w:color w:val="auto"/>
          <w:sz w:val="24"/>
          <w:szCs w:val="24"/>
          <w:highlight w:val="none"/>
          <w:u w:val="none"/>
        </w:rPr>
        <w:t>1.满足《中华人民共和国政府采购法》第二十二条规定；</w:t>
      </w:r>
    </w:p>
    <w:p w14:paraId="78176B64">
      <w:pPr>
        <w:pageBreakBefore w:val="0"/>
        <w:widowControl w:val="0"/>
        <w:kinsoku/>
        <w:wordWrap/>
        <w:overflowPunct/>
        <w:topLinePunct w:val="0"/>
        <w:autoSpaceDE/>
        <w:autoSpaceDN/>
        <w:bidi w:val="0"/>
        <w:adjustRightInd/>
        <w:snapToGrid w:val="0"/>
        <w:spacing w:beforeAutospacing="0" w:afterAutospacing="0" w:line="480" w:lineRule="exact"/>
        <w:ind w:left="0" w:leftChars="0" w:firstLine="482" w:firstLineChars="200"/>
        <w:textAlignment w:val="auto"/>
        <w:rPr>
          <w:rFonts w:hint="eastAsia" w:asciiTheme="minorEastAsia" w:hAnsiTheme="minorEastAsia" w:eastAsiaTheme="minorEastAsia" w:cstheme="minorEastAsia"/>
          <w:b w:val="0"/>
          <w:bCs w:val="0"/>
          <w:i w:val="0"/>
          <w:iCs w:val="0"/>
          <w:color w:val="auto"/>
          <w:sz w:val="24"/>
          <w:szCs w:val="24"/>
          <w:highlight w:val="none"/>
          <w:u w:val="none"/>
          <w:lang w:val="en-US" w:eastAsia="zh-CN"/>
        </w:rPr>
      </w:pPr>
      <w:r>
        <w:rPr>
          <w:rFonts w:hint="eastAsia" w:asciiTheme="minorEastAsia" w:hAnsiTheme="minorEastAsia" w:eastAsiaTheme="minorEastAsia" w:cstheme="minorEastAsia"/>
          <w:b/>
          <w:bCs/>
          <w:i w:val="0"/>
          <w:iCs w:val="0"/>
          <w:color w:val="auto"/>
          <w:sz w:val="24"/>
          <w:szCs w:val="24"/>
          <w:highlight w:val="none"/>
          <w:u w:val="none"/>
        </w:rPr>
        <w:t>2.落实政府采购政策需满足的资格要求</w:t>
      </w:r>
      <w:r>
        <w:rPr>
          <w:rFonts w:hint="eastAsia" w:asciiTheme="minorEastAsia" w:hAnsiTheme="minorEastAsia" w:eastAsiaTheme="minorEastAsia" w:cstheme="minorEastAsia"/>
          <w:b/>
          <w:bCs/>
          <w:i w:val="0"/>
          <w:iCs w:val="0"/>
          <w:color w:val="auto"/>
          <w:sz w:val="24"/>
          <w:szCs w:val="24"/>
          <w:highlight w:val="none"/>
          <w:u w:val="none"/>
          <w:lang w:eastAsia="zh-CN"/>
        </w:rPr>
        <w:t>：</w:t>
      </w:r>
      <w:r>
        <w:rPr>
          <w:rFonts w:hint="eastAsia" w:asciiTheme="minorEastAsia" w:hAnsiTheme="minorEastAsia" w:eastAsiaTheme="minorEastAsia" w:cstheme="minorEastAsia"/>
          <w:b/>
          <w:bCs/>
          <w:i w:val="0"/>
          <w:iCs w:val="0"/>
          <w:color w:val="auto"/>
          <w:sz w:val="24"/>
          <w:szCs w:val="24"/>
          <w:highlight w:val="none"/>
          <w:u w:val="none"/>
          <w:lang w:val="en-US" w:eastAsia="zh-CN"/>
        </w:rPr>
        <w:t>/；</w:t>
      </w:r>
    </w:p>
    <w:p w14:paraId="40CCC78D">
      <w:pPr>
        <w:pageBreakBefore w:val="0"/>
        <w:widowControl w:val="0"/>
        <w:kinsoku/>
        <w:wordWrap/>
        <w:overflowPunct/>
        <w:topLinePunct w:val="0"/>
        <w:autoSpaceDE/>
        <w:autoSpaceDN/>
        <w:bidi w:val="0"/>
        <w:adjustRightInd/>
        <w:snapToGrid/>
        <w:spacing w:line="480" w:lineRule="exact"/>
        <w:ind w:left="0" w:leftChars="0" w:firstLine="482" w:firstLineChars="200"/>
        <w:textAlignment w:val="auto"/>
        <w:rPr>
          <w:rFonts w:hint="eastAsia" w:asciiTheme="minorEastAsia" w:hAnsiTheme="minorEastAsia" w:eastAsiaTheme="minorEastAsia" w:cstheme="minorEastAsia"/>
          <w:b/>
          <w:bCs/>
          <w:i w:val="0"/>
          <w:iCs w:val="0"/>
          <w:color w:val="auto"/>
          <w:sz w:val="24"/>
          <w:szCs w:val="24"/>
          <w:highlight w:val="none"/>
          <w:u w:val="none"/>
        </w:rPr>
      </w:pPr>
      <w:r>
        <w:rPr>
          <w:rFonts w:hint="eastAsia" w:asciiTheme="minorEastAsia" w:hAnsiTheme="minorEastAsia" w:eastAsiaTheme="minorEastAsia" w:cstheme="minorEastAsia"/>
          <w:b/>
          <w:bCs/>
          <w:i w:val="0"/>
          <w:iCs w:val="0"/>
          <w:color w:val="auto"/>
          <w:sz w:val="24"/>
          <w:szCs w:val="24"/>
          <w:highlight w:val="none"/>
          <w:u w:val="none"/>
        </w:rPr>
        <w:t>3.本项目的特定资格要求：</w:t>
      </w:r>
    </w:p>
    <w:p w14:paraId="329EBA8E">
      <w:pPr>
        <w:keepNext w:val="0"/>
        <w:keepLines w:val="0"/>
        <w:pageBreakBefore w:val="0"/>
        <w:widowControl w:val="0"/>
        <w:kinsoku/>
        <w:wordWrap/>
        <w:overflowPunct/>
        <w:topLinePunct w:val="0"/>
        <w:autoSpaceDE/>
        <w:autoSpaceDN/>
        <w:bidi w:val="0"/>
        <w:adjustRightInd/>
        <w:snapToGrid/>
        <w:spacing w:beforeAutospacing="0" w:afterAutospacing="0" w:line="480" w:lineRule="exact"/>
        <w:ind w:left="0" w:leftChars="0" w:firstLine="482" w:firstLineChars="200"/>
        <w:textAlignment w:val="auto"/>
        <w:rPr>
          <w:rFonts w:hint="eastAsia" w:asciiTheme="minorEastAsia" w:hAnsiTheme="minorEastAsia" w:eastAsiaTheme="minorEastAsia" w:cstheme="minorEastAsia"/>
          <w:b/>
          <w:bCs/>
          <w:i w:val="0"/>
          <w:iCs w:val="0"/>
          <w:color w:val="auto"/>
          <w:sz w:val="24"/>
          <w:szCs w:val="24"/>
          <w:highlight w:val="none"/>
          <w:u w:val="none"/>
          <w:lang w:val="en-US" w:eastAsia="zh-CN"/>
        </w:rPr>
      </w:pPr>
      <w:r>
        <w:rPr>
          <w:rFonts w:hint="eastAsia" w:asciiTheme="minorEastAsia" w:hAnsiTheme="minorEastAsia" w:eastAsiaTheme="minorEastAsia" w:cstheme="minorEastAsia"/>
          <w:b/>
          <w:bCs/>
          <w:i w:val="0"/>
          <w:iCs w:val="0"/>
          <w:color w:val="auto"/>
          <w:sz w:val="24"/>
          <w:szCs w:val="24"/>
          <w:highlight w:val="none"/>
          <w:u w:val="none"/>
          <w:lang w:val="en-US" w:eastAsia="zh-CN"/>
        </w:rPr>
        <w:t>一标段、二标段、三标段、五标段、六标段、七标段、八标段</w:t>
      </w:r>
      <w:r>
        <w:rPr>
          <w:rFonts w:hint="eastAsia" w:asciiTheme="minorEastAsia" w:hAnsiTheme="minorEastAsia" w:eastAsiaTheme="minorEastAsia" w:cstheme="minorEastAsia"/>
          <w:b/>
          <w:bCs/>
          <w:i w:val="0"/>
          <w:iCs w:val="0"/>
          <w:color w:val="auto"/>
          <w:sz w:val="24"/>
          <w:szCs w:val="24"/>
          <w:highlight w:val="none"/>
          <w:u w:val="none"/>
        </w:rPr>
        <w:t>特定资格要求</w:t>
      </w:r>
      <w:r>
        <w:rPr>
          <w:rFonts w:hint="eastAsia" w:asciiTheme="minorEastAsia" w:hAnsiTheme="minorEastAsia" w:eastAsiaTheme="minorEastAsia" w:cstheme="minorEastAsia"/>
          <w:b/>
          <w:bCs/>
          <w:i w:val="0"/>
          <w:iCs w:val="0"/>
          <w:color w:val="auto"/>
          <w:sz w:val="24"/>
          <w:szCs w:val="24"/>
          <w:highlight w:val="none"/>
          <w:u w:val="none"/>
          <w:lang w:val="en-US" w:eastAsia="zh-CN"/>
        </w:rPr>
        <w:t>：</w:t>
      </w:r>
    </w:p>
    <w:p w14:paraId="64F5B9CC">
      <w:pPr>
        <w:keepNext w:val="0"/>
        <w:keepLines w:val="0"/>
        <w:pageBreakBefore w:val="0"/>
        <w:widowControl w:val="0"/>
        <w:kinsoku/>
        <w:wordWrap/>
        <w:overflowPunct/>
        <w:topLinePunct w:val="0"/>
        <w:autoSpaceDE/>
        <w:autoSpaceDN/>
        <w:bidi w:val="0"/>
        <w:adjustRightInd/>
        <w:snapToGrid/>
        <w:spacing w:beforeAutospacing="0" w:afterAutospacing="0" w:line="480" w:lineRule="exact"/>
        <w:ind w:left="0" w:leftChars="0" w:firstLine="480" w:firstLineChars="200"/>
        <w:textAlignment w:val="auto"/>
        <w:rPr>
          <w:rFonts w:hint="eastAsia" w:asciiTheme="minorEastAsia" w:hAnsiTheme="minorEastAsia" w:eastAsiaTheme="minorEastAsia" w:cstheme="minorEastAsia"/>
          <w:i w:val="0"/>
          <w:iCs w:val="0"/>
          <w:color w:val="auto"/>
          <w:sz w:val="24"/>
          <w:szCs w:val="24"/>
          <w:highlight w:val="none"/>
          <w:u w:val="none"/>
          <w:lang w:val="en-US" w:eastAsia="zh-CN"/>
        </w:rPr>
      </w:pPr>
      <w:r>
        <w:rPr>
          <w:rFonts w:hint="eastAsia" w:asciiTheme="minorEastAsia" w:hAnsiTheme="minorEastAsia" w:eastAsiaTheme="minorEastAsia" w:cstheme="minorEastAsia"/>
          <w:i w:val="0"/>
          <w:iCs w:val="0"/>
          <w:color w:val="auto"/>
          <w:sz w:val="24"/>
          <w:szCs w:val="24"/>
          <w:highlight w:val="none"/>
          <w:u w:val="none"/>
        </w:rPr>
        <w:t>（</w:t>
      </w:r>
      <w:r>
        <w:rPr>
          <w:rFonts w:hint="eastAsia" w:asciiTheme="minorEastAsia" w:hAnsiTheme="minorEastAsia" w:eastAsiaTheme="minorEastAsia" w:cstheme="minorEastAsia"/>
          <w:i w:val="0"/>
          <w:iCs w:val="0"/>
          <w:color w:val="auto"/>
          <w:sz w:val="24"/>
          <w:szCs w:val="24"/>
          <w:highlight w:val="none"/>
          <w:u w:val="none"/>
          <w:lang w:val="en-US" w:eastAsia="zh-CN"/>
        </w:rPr>
        <w:t>1</w:t>
      </w:r>
      <w:r>
        <w:rPr>
          <w:rFonts w:hint="eastAsia" w:asciiTheme="minorEastAsia" w:hAnsiTheme="minorEastAsia" w:eastAsiaTheme="minorEastAsia" w:cstheme="minorEastAsia"/>
          <w:i w:val="0"/>
          <w:iCs w:val="0"/>
          <w:color w:val="auto"/>
          <w:sz w:val="24"/>
          <w:szCs w:val="24"/>
          <w:highlight w:val="none"/>
          <w:u w:val="none"/>
        </w:rPr>
        <w:t>）</w:t>
      </w:r>
      <w:r>
        <w:rPr>
          <w:rFonts w:hint="eastAsia" w:asciiTheme="minorEastAsia" w:hAnsiTheme="minorEastAsia" w:eastAsiaTheme="minorEastAsia" w:cstheme="minorEastAsia"/>
          <w:i w:val="0"/>
          <w:iCs w:val="0"/>
          <w:color w:val="auto"/>
          <w:sz w:val="24"/>
          <w:szCs w:val="24"/>
          <w:highlight w:val="none"/>
          <w:u w:val="none"/>
          <w:lang w:val="en-US" w:eastAsia="zh-CN"/>
        </w:rPr>
        <w:t>投标人</w:t>
      </w:r>
      <w:r>
        <w:rPr>
          <w:rFonts w:hint="eastAsia" w:asciiTheme="minorEastAsia" w:hAnsiTheme="minorEastAsia" w:eastAsiaTheme="minorEastAsia" w:cstheme="minorEastAsia"/>
          <w:i w:val="0"/>
          <w:iCs w:val="0"/>
          <w:color w:val="auto"/>
          <w:sz w:val="24"/>
          <w:szCs w:val="24"/>
          <w:highlight w:val="none"/>
          <w:u w:val="none"/>
        </w:rPr>
        <w:t>须在“信用中国”（www.creditchina.gov.cn）和中国政府采购网（www.ccgp.gov.cn）上未被列入失信被执行人、重大税收违法失信主体、政府采购严重违法失信行为记录名单（网页打印件须自</w:t>
      </w:r>
      <w:r>
        <w:rPr>
          <w:rFonts w:hint="eastAsia" w:asciiTheme="minorEastAsia" w:hAnsiTheme="minorEastAsia" w:eastAsiaTheme="minorEastAsia" w:cstheme="minorEastAsia"/>
          <w:i w:val="0"/>
          <w:iCs w:val="0"/>
          <w:color w:val="auto"/>
          <w:sz w:val="24"/>
          <w:szCs w:val="24"/>
          <w:highlight w:val="none"/>
          <w:u w:val="none"/>
          <w:lang w:eastAsia="zh-CN"/>
        </w:rPr>
        <w:t>招标文件</w:t>
      </w:r>
      <w:r>
        <w:rPr>
          <w:rFonts w:hint="eastAsia" w:asciiTheme="minorEastAsia" w:hAnsiTheme="minorEastAsia" w:eastAsiaTheme="minorEastAsia" w:cstheme="minorEastAsia"/>
          <w:i w:val="0"/>
          <w:iCs w:val="0"/>
          <w:color w:val="auto"/>
          <w:sz w:val="24"/>
          <w:szCs w:val="24"/>
          <w:highlight w:val="none"/>
          <w:u w:val="none"/>
        </w:rPr>
        <w:t>发布之日起至投标截止时间从上述网站中打印）</w:t>
      </w:r>
      <w:r>
        <w:rPr>
          <w:rFonts w:hint="eastAsia" w:asciiTheme="minorEastAsia" w:hAnsiTheme="minorEastAsia" w:eastAsiaTheme="minorEastAsia" w:cstheme="minorEastAsia"/>
          <w:i w:val="0"/>
          <w:iCs w:val="0"/>
          <w:color w:val="auto"/>
          <w:sz w:val="24"/>
          <w:szCs w:val="24"/>
          <w:highlight w:val="none"/>
          <w:u w:val="none"/>
          <w:lang w:val="en-US" w:eastAsia="zh-CN"/>
        </w:rPr>
        <w:t>；</w:t>
      </w:r>
    </w:p>
    <w:p w14:paraId="72941117">
      <w:pPr>
        <w:keepNext w:val="0"/>
        <w:keepLines w:val="0"/>
        <w:pageBreakBefore w:val="0"/>
        <w:widowControl w:val="0"/>
        <w:kinsoku/>
        <w:wordWrap/>
        <w:overflowPunct/>
        <w:topLinePunct w:val="0"/>
        <w:autoSpaceDE/>
        <w:autoSpaceDN/>
        <w:bidi w:val="0"/>
        <w:adjustRightInd/>
        <w:snapToGrid/>
        <w:spacing w:beforeAutospacing="0" w:afterAutospacing="0" w:line="480" w:lineRule="exact"/>
        <w:ind w:left="0" w:leftChars="0" w:firstLine="480" w:firstLineChars="200"/>
        <w:textAlignment w:val="auto"/>
        <w:rPr>
          <w:rFonts w:hint="eastAsia" w:asciiTheme="minorEastAsia" w:hAnsiTheme="minorEastAsia" w:eastAsiaTheme="minorEastAsia" w:cstheme="minorEastAsia"/>
          <w:i w:val="0"/>
          <w:iCs w:val="0"/>
          <w:color w:val="auto"/>
          <w:sz w:val="24"/>
          <w:szCs w:val="24"/>
          <w:highlight w:val="none"/>
          <w:u w:val="none"/>
          <w:lang w:val="en-US" w:eastAsia="zh-CN"/>
        </w:rPr>
      </w:pPr>
      <w:r>
        <w:rPr>
          <w:rFonts w:hint="eastAsia" w:asciiTheme="minorEastAsia" w:hAnsiTheme="minorEastAsia" w:eastAsiaTheme="minorEastAsia" w:cstheme="minorEastAsia"/>
          <w:i w:val="0"/>
          <w:iCs w:val="0"/>
          <w:color w:val="auto"/>
          <w:sz w:val="24"/>
          <w:szCs w:val="24"/>
          <w:highlight w:val="none"/>
          <w:u w:val="none"/>
        </w:rPr>
        <w:t>（</w:t>
      </w:r>
      <w:r>
        <w:rPr>
          <w:rFonts w:hint="eastAsia" w:asciiTheme="minorEastAsia" w:hAnsiTheme="minorEastAsia" w:eastAsiaTheme="minorEastAsia" w:cstheme="minorEastAsia"/>
          <w:i w:val="0"/>
          <w:iCs w:val="0"/>
          <w:color w:val="auto"/>
          <w:sz w:val="24"/>
          <w:szCs w:val="24"/>
          <w:highlight w:val="none"/>
          <w:u w:val="none"/>
          <w:lang w:val="en-US" w:eastAsia="zh-CN"/>
        </w:rPr>
        <w:t>2</w:t>
      </w:r>
      <w:r>
        <w:rPr>
          <w:rFonts w:hint="eastAsia" w:asciiTheme="minorEastAsia" w:hAnsiTheme="minorEastAsia" w:eastAsiaTheme="minorEastAsia" w:cstheme="minorEastAsia"/>
          <w:i w:val="0"/>
          <w:iCs w:val="0"/>
          <w:color w:val="auto"/>
          <w:sz w:val="24"/>
          <w:szCs w:val="24"/>
          <w:highlight w:val="none"/>
          <w:u w:val="none"/>
        </w:rPr>
        <w:t>）单位负责人为同一人或者存在直接控股、管理关系的不同</w:t>
      </w:r>
      <w:r>
        <w:rPr>
          <w:rFonts w:hint="eastAsia" w:asciiTheme="minorEastAsia" w:hAnsiTheme="minorEastAsia" w:eastAsiaTheme="minorEastAsia" w:cstheme="minorEastAsia"/>
          <w:i w:val="0"/>
          <w:iCs w:val="0"/>
          <w:color w:val="auto"/>
          <w:sz w:val="24"/>
          <w:szCs w:val="24"/>
          <w:highlight w:val="none"/>
          <w:u w:val="none"/>
          <w:lang w:val="en-US" w:eastAsia="zh-CN"/>
        </w:rPr>
        <w:t>投标人</w:t>
      </w:r>
      <w:r>
        <w:rPr>
          <w:rFonts w:hint="eastAsia" w:asciiTheme="minorEastAsia" w:hAnsiTheme="minorEastAsia" w:eastAsiaTheme="minorEastAsia" w:cstheme="minorEastAsia"/>
          <w:i w:val="0"/>
          <w:iCs w:val="0"/>
          <w:color w:val="auto"/>
          <w:sz w:val="24"/>
          <w:szCs w:val="24"/>
          <w:highlight w:val="none"/>
          <w:u w:val="none"/>
        </w:rPr>
        <w:t>，不得参</w:t>
      </w:r>
      <w:r>
        <w:rPr>
          <w:rFonts w:hint="eastAsia" w:asciiTheme="minorEastAsia" w:hAnsiTheme="minorEastAsia" w:eastAsiaTheme="minorEastAsia" w:cstheme="minorEastAsia"/>
          <w:i w:val="0"/>
          <w:iCs w:val="0"/>
          <w:color w:val="auto"/>
          <w:sz w:val="24"/>
          <w:szCs w:val="24"/>
          <w:highlight w:val="none"/>
          <w:u w:val="none"/>
          <w:lang w:val="en-US" w:eastAsia="zh-CN"/>
        </w:rPr>
        <w:t>加同一合同项下的政府采购活动。除单一来源采购项目外，为采购项目提供整体设计、规范编制或者项目管理、监理、检测等服务的投标人，不得再参加该采购项目的其他采购活动。</w:t>
      </w:r>
    </w:p>
    <w:p w14:paraId="6DD51429">
      <w:pPr>
        <w:keepNext w:val="0"/>
        <w:keepLines w:val="0"/>
        <w:pageBreakBefore w:val="0"/>
        <w:widowControl w:val="0"/>
        <w:kinsoku/>
        <w:wordWrap/>
        <w:overflowPunct/>
        <w:topLinePunct w:val="0"/>
        <w:autoSpaceDE/>
        <w:autoSpaceDN/>
        <w:bidi w:val="0"/>
        <w:adjustRightInd/>
        <w:snapToGrid/>
        <w:spacing w:beforeAutospacing="0" w:afterAutospacing="0" w:line="480" w:lineRule="exact"/>
        <w:ind w:left="0" w:leftChars="0" w:firstLine="482" w:firstLineChars="200"/>
        <w:textAlignment w:val="auto"/>
        <w:rPr>
          <w:rFonts w:hint="eastAsia" w:asciiTheme="minorEastAsia" w:hAnsiTheme="minorEastAsia" w:eastAsiaTheme="minorEastAsia" w:cstheme="minorEastAsia"/>
          <w:b/>
          <w:bCs/>
          <w:i w:val="0"/>
          <w:iCs w:val="0"/>
          <w:color w:val="auto"/>
          <w:sz w:val="24"/>
          <w:szCs w:val="24"/>
          <w:highlight w:val="none"/>
          <w:u w:val="none"/>
          <w:lang w:val="en-US" w:eastAsia="zh-CN"/>
        </w:rPr>
      </w:pPr>
      <w:r>
        <w:rPr>
          <w:rFonts w:hint="eastAsia" w:asciiTheme="minorEastAsia" w:hAnsiTheme="minorEastAsia" w:eastAsiaTheme="minorEastAsia" w:cstheme="minorEastAsia"/>
          <w:b/>
          <w:bCs/>
          <w:i w:val="0"/>
          <w:iCs w:val="0"/>
          <w:color w:val="auto"/>
          <w:sz w:val="24"/>
          <w:szCs w:val="24"/>
          <w:highlight w:val="none"/>
          <w:u w:val="none"/>
          <w:lang w:val="en-US" w:eastAsia="zh-CN"/>
        </w:rPr>
        <w:t>四标段</w:t>
      </w:r>
      <w:r>
        <w:rPr>
          <w:rFonts w:hint="eastAsia" w:asciiTheme="minorEastAsia" w:hAnsiTheme="minorEastAsia" w:eastAsiaTheme="minorEastAsia" w:cstheme="minorEastAsia"/>
          <w:b/>
          <w:bCs/>
          <w:i w:val="0"/>
          <w:iCs w:val="0"/>
          <w:color w:val="auto"/>
          <w:sz w:val="24"/>
          <w:szCs w:val="24"/>
          <w:highlight w:val="none"/>
          <w:u w:val="none"/>
        </w:rPr>
        <w:t>特定资格要求</w:t>
      </w:r>
      <w:r>
        <w:rPr>
          <w:rFonts w:hint="eastAsia" w:asciiTheme="minorEastAsia" w:hAnsiTheme="minorEastAsia" w:eastAsiaTheme="minorEastAsia" w:cstheme="minorEastAsia"/>
          <w:b/>
          <w:bCs/>
          <w:i w:val="0"/>
          <w:iCs w:val="0"/>
          <w:color w:val="auto"/>
          <w:sz w:val="24"/>
          <w:szCs w:val="24"/>
          <w:highlight w:val="none"/>
          <w:u w:val="none"/>
          <w:lang w:val="en-US" w:eastAsia="zh-CN"/>
        </w:rPr>
        <w:t>：</w:t>
      </w:r>
    </w:p>
    <w:p w14:paraId="7F256B76">
      <w:pPr>
        <w:keepNext w:val="0"/>
        <w:keepLines w:val="0"/>
        <w:pageBreakBefore w:val="0"/>
        <w:widowControl w:val="0"/>
        <w:kinsoku/>
        <w:wordWrap/>
        <w:overflowPunct/>
        <w:topLinePunct w:val="0"/>
        <w:autoSpaceDE/>
        <w:autoSpaceDN/>
        <w:bidi w:val="0"/>
        <w:adjustRightInd/>
        <w:snapToGrid/>
        <w:spacing w:beforeAutospacing="0" w:afterAutospacing="0" w:line="480" w:lineRule="exact"/>
        <w:ind w:left="0" w:leftChars="0" w:firstLine="480" w:firstLineChars="200"/>
        <w:textAlignment w:val="auto"/>
        <w:rPr>
          <w:rFonts w:hint="eastAsia" w:asciiTheme="minorEastAsia" w:hAnsiTheme="minorEastAsia" w:eastAsiaTheme="minorEastAsia" w:cstheme="minorEastAsia"/>
          <w:i w:val="0"/>
          <w:iCs w:val="0"/>
          <w:color w:val="auto"/>
          <w:sz w:val="24"/>
          <w:szCs w:val="24"/>
          <w:highlight w:val="none"/>
          <w:u w:val="none"/>
          <w:lang w:val="en-US" w:eastAsia="zh-CN"/>
        </w:rPr>
      </w:pPr>
      <w:r>
        <w:rPr>
          <w:rFonts w:hint="eastAsia" w:asciiTheme="minorEastAsia" w:hAnsiTheme="minorEastAsia" w:eastAsiaTheme="minorEastAsia" w:cstheme="minorEastAsia"/>
          <w:i w:val="0"/>
          <w:iCs w:val="0"/>
          <w:color w:val="auto"/>
          <w:sz w:val="24"/>
          <w:szCs w:val="24"/>
          <w:highlight w:val="none"/>
          <w:u w:val="none"/>
        </w:rPr>
        <w:t>（</w:t>
      </w:r>
      <w:r>
        <w:rPr>
          <w:rFonts w:hint="eastAsia" w:asciiTheme="minorEastAsia" w:hAnsiTheme="minorEastAsia" w:eastAsiaTheme="minorEastAsia" w:cstheme="minorEastAsia"/>
          <w:i w:val="0"/>
          <w:iCs w:val="0"/>
          <w:color w:val="auto"/>
          <w:sz w:val="24"/>
          <w:szCs w:val="24"/>
          <w:highlight w:val="none"/>
          <w:u w:val="none"/>
          <w:lang w:val="en-US" w:eastAsia="zh-CN"/>
        </w:rPr>
        <w:t>1</w:t>
      </w:r>
      <w:r>
        <w:rPr>
          <w:rFonts w:hint="eastAsia" w:asciiTheme="minorEastAsia" w:hAnsiTheme="minorEastAsia" w:eastAsiaTheme="minorEastAsia" w:cstheme="minorEastAsia"/>
          <w:i w:val="0"/>
          <w:iCs w:val="0"/>
          <w:color w:val="auto"/>
          <w:sz w:val="24"/>
          <w:szCs w:val="24"/>
          <w:highlight w:val="none"/>
          <w:u w:val="none"/>
        </w:rPr>
        <w:t>）</w:t>
      </w:r>
      <w:r>
        <w:rPr>
          <w:rFonts w:hint="eastAsia" w:asciiTheme="minorEastAsia" w:hAnsiTheme="minorEastAsia" w:eastAsiaTheme="minorEastAsia" w:cstheme="minorEastAsia"/>
          <w:i w:val="0"/>
          <w:iCs w:val="0"/>
          <w:color w:val="auto"/>
          <w:sz w:val="24"/>
          <w:szCs w:val="24"/>
          <w:highlight w:val="none"/>
          <w:u w:val="none"/>
          <w:lang w:val="en-US" w:eastAsia="zh-CN"/>
        </w:rPr>
        <w:t>投标人</w:t>
      </w:r>
      <w:r>
        <w:rPr>
          <w:rFonts w:hint="eastAsia" w:asciiTheme="minorEastAsia" w:hAnsiTheme="minorEastAsia" w:eastAsiaTheme="minorEastAsia" w:cstheme="minorEastAsia"/>
          <w:i w:val="0"/>
          <w:iCs w:val="0"/>
          <w:color w:val="auto"/>
          <w:sz w:val="24"/>
          <w:szCs w:val="24"/>
          <w:highlight w:val="none"/>
          <w:u w:val="none"/>
        </w:rPr>
        <w:t>须在“信用中国”（www.creditchina.gov.cn）和中国政府采购网（www.ccgp.gov.cn）上未被列入失信被执行人、重大税收违法失信主体、政府采购严重违法失信行为记录名单（网页打印件须自</w:t>
      </w:r>
      <w:r>
        <w:rPr>
          <w:rFonts w:hint="eastAsia" w:asciiTheme="minorEastAsia" w:hAnsiTheme="minorEastAsia" w:eastAsiaTheme="minorEastAsia" w:cstheme="minorEastAsia"/>
          <w:i w:val="0"/>
          <w:iCs w:val="0"/>
          <w:color w:val="auto"/>
          <w:sz w:val="24"/>
          <w:szCs w:val="24"/>
          <w:highlight w:val="none"/>
          <w:u w:val="none"/>
          <w:lang w:eastAsia="zh-CN"/>
        </w:rPr>
        <w:t>招标文件</w:t>
      </w:r>
      <w:r>
        <w:rPr>
          <w:rFonts w:hint="eastAsia" w:asciiTheme="minorEastAsia" w:hAnsiTheme="minorEastAsia" w:eastAsiaTheme="minorEastAsia" w:cstheme="minorEastAsia"/>
          <w:i w:val="0"/>
          <w:iCs w:val="0"/>
          <w:color w:val="auto"/>
          <w:sz w:val="24"/>
          <w:szCs w:val="24"/>
          <w:highlight w:val="none"/>
          <w:u w:val="none"/>
        </w:rPr>
        <w:t>发布之日起至投标截止时间从上述网站中打印）</w:t>
      </w:r>
      <w:r>
        <w:rPr>
          <w:rFonts w:hint="eastAsia" w:asciiTheme="minorEastAsia" w:hAnsiTheme="minorEastAsia" w:eastAsiaTheme="minorEastAsia" w:cstheme="minorEastAsia"/>
          <w:i w:val="0"/>
          <w:iCs w:val="0"/>
          <w:color w:val="auto"/>
          <w:sz w:val="24"/>
          <w:szCs w:val="24"/>
          <w:highlight w:val="none"/>
          <w:u w:val="none"/>
          <w:lang w:val="en-US" w:eastAsia="zh-CN"/>
        </w:rPr>
        <w:t>；</w:t>
      </w:r>
    </w:p>
    <w:p w14:paraId="250704AD">
      <w:pPr>
        <w:keepNext w:val="0"/>
        <w:keepLines w:val="0"/>
        <w:pageBreakBefore w:val="0"/>
        <w:widowControl w:val="0"/>
        <w:kinsoku/>
        <w:wordWrap/>
        <w:overflowPunct/>
        <w:topLinePunct w:val="0"/>
        <w:autoSpaceDE/>
        <w:autoSpaceDN/>
        <w:bidi w:val="0"/>
        <w:adjustRightInd/>
        <w:snapToGrid/>
        <w:spacing w:beforeAutospacing="0" w:afterAutospacing="0" w:line="480" w:lineRule="exact"/>
        <w:ind w:left="0" w:leftChars="0" w:firstLine="480" w:firstLineChars="200"/>
        <w:textAlignment w:val="auto"/>
        <w:rPr>
          <w:rFonts w:hint="eastAsia" w:asciiTheme="minorEastAsia" w:hAnsiTheme="minorEastAsia" w:eastAsiaTheme="minorEastAsia" w:cstheme="minorEastAsia"/>
          <w:i w:val="0"/>
          <w:iCs w:val="0"/>
          <w:color w:val="auto"/>
          <w:sz w:val="24"/>
          <w:szCs w:val="24"/>
          <w:highlight w:val="none"/>
          <w:u w:val="none"/>
          <w:lang w:val="en-US" w:eastAsia="zh-CN"/>
        </w:rPr>
      </w:pPr>
      <w:r>
        <w:rPr>
          <w:rFonts w:hint="eastAsia" w:asciiTheme="minorEastAsia" w:hAnsiTheme="minorEastAsia" w:eastAsiaTheme="minorEastAsia" w:cstheme="minorEastAsia"/>
          <w:i w:val="0"/>
          <w:iCs w:val="0"/>
          <w:color w:val="auto"/>
          <w:sz w:val="24"/>
          <w:szCs w:val="24"/>
          <w:highlight w:val="none"/>
          <w:u w:val="none"/>
        </w:rPr>
        <w:t>（</w:t>
      </w:r>
      <w:r>
        <w:rPr>
          <w:rFonts w:hint="eastAsia" w:asciiTheme="minorEastAsia" w:hAnsiTheme="minorEastAsia" w:eastAsiaTheme="minorEastAsia" w:cstheme="minorEastAsia"/>
          <w:i w:val="0"/>
          <w:iCs w:val="0"/>
          <w:color w:val="auto"/>
          <w:sz w:val="24"/>
          <w:szCs w:val="24"/>
          <w:highlight w:val="none"/>
          <w:u w:val="none"/>
          <w:lang w:val="en-US" w:eastAsia="zh-CN"/>
        </w:rPr>
        <w:t>2</w:t>
      </w:r>
      <w:r>
        <w:rPr>
          <w:rFonts w:hint="eastAsia" w:asciiTheme="minorEastAsia" w:hAnsiTheme="minorEastAsia" w:eastAsiaTheme="minorEastAsia" w:cstheme="minorEastAsia"/>
          <w:i w:val="0"/>
          <w:iCs w:val="0"/>
          <w:color w:val="auto"/>
          <w:sz w:val="24"/>
          <w:szCs w:val="24"/>
          <w:highlight w:val="none"/>
          <w:u w:val="none"/>
        </w:rPr>
        <w:t>）单位负责人为同一人或者存在直接控股、管理关系的不同</w:t>
      </w:r>
      <w:r>
        <w:rPr>
          <w:rFonts w:hint="eastAsia" w:asciiTheme="minorEastAsia" w:hAnsiTheme="minorEastAsia" w:eastAsiaTheme="minorEastAsia" w:cstheme="minorEastAsia"/>
          <w:i w:val="0"/>
          <w:iCs w:val="0"/>
          <w:color w:val="auto"/>
          <w:sz w:val="24"/>
          <w:szCs w:val="24"/>
          <w:highlight w:val="none"/>
          <w:u w:val="none"/>
          <w:lang w:val="en-US" w:eastAsia="zh-CN"/>
        </w:rPr>
        <w:t>投标人</w:t>
      </w:r>
      <w:r>
        <w:rPr>
          <w:rFonts w:hint="eastAsia" w:asciiTheme="minorEastAsia" w:hAnsiTheme="minorEastAsia" w:eastAsiaTheme="minorEastAsia" w:cstheme="minorEastAsia"/>
          <w:i w:val="0"/>
          <w:iCs w:val="0"/>
          <w:color w:val="auto"/>
          <w:sz w:val="24"/>
          <w:szCs w:val="24"/>
          <w:highlight w:val="none"/>
          <w:u w:val="none"/>
        </w:rPr>
        <w:t>，不得参</w:t>
      </w:r>
      <w:r>
        <w:rPr>
          <w:rFonts w:hint="eastAsia" w:asciiTheme="minorEastAsia" w:hAnsiTheme="minorEastAsia" w:eastAsiaTheme="minorEastAsia" w:cstheme="minorEastAsia"/>
          <w:i w:val="0"/>
          <w:iCs w:val="0"/>
          <w:color w:val="auto"/>
          <w:sz w:val="24"/>
          <w:szCs w:val="24"/>
          <w:highlight w:val="none"/>
          <w:u w:val="none"/>
          <w:lang w:val="en-US" w:eastAsia="zh-CN"/>
        </w:rPr>
        <w:t>加同一合同项下的政府采购活动。除单一来源采购项目外，为采购项目提供整体设计、规范编制或者项目管理、监理、检测等服务的投标人，不得再参加该采购项目的其他采购活动。</w:t>
      </w:r>
    </w:p>
    <w:p w14:paraId="336C8AB7">
      <w:pPr>
        <w:keepNext w:val="0"/>
        <w:keepLines w:val="0"/>
        <w:pageBreakBefore w:val="0"/>
        <w:widowControl w:val="0"/>
        <w:kinsoku/>
        <w:wordWrap/>
        <w:overflowPunct/>
        <w:topLinePunct w:val="0"/>
        <w:autoSpaceDE/>
        <w:autoSpaceDN/>
        <w:bidi w:val="0"/>
        <w:adjustRightInd/>
        <w:snapToGrid/>
        <w:spacing w:beforeAutospacing="0" w:afterAutospacing="0" w:line="480" w:lineRule="exact"/>
        <w:ind w:left="0" w:leftChars="0" w:firstLine="482" w:firstLineChars="200"/>
        <w:textAlignment w:val="auto"/>
        <w:rPr>
          <w:rFonts w:hint="eastAsia" w:asciiTheme="minorEastAsia" w:hAnsiTheme="minorEastAsia" w:eastAsiaTheme="minorEastAsia" w:cstheme="minorEastAsia"/>
          <w:b/>
          <w:bCs/>
          <w:i w:val="0"/>
          <w:iCs w:val="0"/>
          <w:color w:val="auto"/>
          <w:sz w:val="24"/>
          <w:szCs w:val="24"/>
          <w:highlight w:val="none"/>
          <w:u w:val="none"/>
          <w:lang w:val="en-US" w:eastAsia="zh-CN"/>
        </w:rPr>
      </w:pPr>
      <w:r>
        <w:rPr>
          <w:rFonts w:hint="eastAsia" w:asciiTheme="minorEastAsia" w:hAnsiTheme="minorEastAsia" w:eastAsiaTheme="minorEastAsia" w:cstheme="minorEastAsia"/>
          <w:b/>
          <w:bCs/>
          <w:i w:val="0"/>
          <w:iCs w:val="0"/>
          <w:color w:val="auto"/>
          <w:sz w:val="24"/>
          <w:szCs w:val="24"/>
          <w:highlight w:val="none"/>
          <w:u w:val="none"/>
          <w:lang w:val="en-US" w:eastAsia="zh-CN"/>
        </w:rPr>
        <w:t>（3）投标人须具备有效的《出版物经营许可证》或《中华人民共和国出版物经营许可证》或《中华人民共和国出版物发行许可证》。</w:t>
      </w:r>
    </w:p>
    <w:p w14:paraId="3D5A7D17">
      <w:pPr>
        <w:pStyle w:val="3"/>
        <w:pageBreakBefore w:val="0"/>
        <w:widowControl w:val="0"/>
        <w:kinsoku/>
        <w:wordWrap/>
        <w:overflowPunct/>
        <w:topLinePunct w:val="0"/>
        <w:autoSpaceDE/>
        <w:autoSpaceDN/>
        <w:bidi w:val="0"/>
        <w:adjustRightInd/>
        <w:snapToGrid/>
        <w:spacing w:before="0" w:beforeAutospacing="0" w:after="0" w:afterAutospacing="0" w:line="480" w:lineRule="exact"/>
        <w:ind w:left="0" w:leftChars="0" w:firstLine="0" w:firstLineChars="0"/>
        <w:jc w:val="both"/>
        <w:textAlignment w:val="auto"/>
        <w:rPr>
          <w:rFonts w:hint="eastAsia" w:asciiTheme="minorEastAsia" w:hAnsiTheme="minorEastAsia" w:eastAsiaTheme="minorEastAsia" w:cstheme="minorEastAsia"/>
          <w:b/>
          <w:bCs w:val="0"/>
          <w:i w:val="0"/>
          <w:iCs w:val="0"/>
          <w:color w:val="auto"/>
          <w:sz w:val="24"/>
          <w:szCs w:val="24"/>
          <w:highlight w:val="none"/>
        </w:rPr>
      </w:pPr>
      <w:bookmarkStart w:id="30" w:name="_Toc35393623"/>
      <w:bookmarkStart w:id="31" w:name="_Toc16265"/>
      <w:bookmarkStart w:id="32" w:name="_Toc35393792"/>
      <w:r>
        <w:rPr>
          <w:rFonts w:hint="eastAsia" w:asciiTheme="minorEastAsia" w:hAnsiTheme="minorEastAsia" w:eastAsiaTheme="minorEastAsia" w:cstheme="minorEastAsia"/>
          <w:b/>
          <w:bCs w:val="0"/>
          <w:i w:val="0"/>
          <w:iCs w:val="0"/>
          <w:color w:val="auto"/>
          <w:sz w:val="24"/>
          <w:szCs w:val="24"/>
          <w:highlight w:val="none"/>
        </w:rPr>
        <w:t>三、获取招标文件</w:t>
      </w:r>
      <w:bookmarkEnd w:id="28"/>
      <w:bookmarkEnd w:id="29"/>
      <w:bookmarkEnd w:id="30"/>
      <w:bookmarkEnd w:id="31"/>
      <w:bookmarkEnd w:id="32"/>
    </w:p>
    <w:p w14:paraId="40B1CD5E">
      <w:pPr>
        <w:keepNext w:val="0"/>
        <w:keepLines w:val="0"/>
        <w:pageBreakBefore w:val="0"/>
        <w:widowControl w:val="0"/>
        <w:kinsoku/>
        <w:wordWrap/>
        <w:overflowPunct/>
        <w:topLinePunct w:val="0"/>
        <w:autoSpaceDE/>
        <w:autoSpaceDN/>
        <w:bidi w:val="0"/>
        <w:adjustRightInd/>
        <w:snapToGrid/>
        <w:spacing w:beforeAutospacing="0" w:afterAutospacing="0" w:line="480" w:lineRule="exact"/>
        <w:ind w:left="0" w:leftChars="0" w:firstLine="482" w:firstLineChars="200"/>
        <w:textAlignment w:val="auto"/>
        <w:rPr>
          <w:rFonts w:hint="eastAsia"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b/>
          <w:bCs/>
          <w:i w:val="0"/>
          <w:iCs w:val="0"/>
          <w:color w:val="auto"/>
          <w:sz w:val="24"/>
          <w:szCs w:val="24"/>
          <w:highlight w:val="none"/>
        </w:rPr>
        <w:t>时间：</w:t>
      </w:r>
      <w:r>
        <w:rPr>
          <w:rFonts w:hint="eastAsia" w:asciiTheme="minorEastAsia" w:hAnsiTheme="minorEastAsia" w:eastAsiaTheme="minorEastAsia" w:cstheme="minorEastAsia"/>
          <w:i w:val="0"/>
          <w:iCs w:val="0"/>
          <w:color w:val="auto"/>
          <w:sz w:val="24"/>
          <w:szCs w:val="24"/>
          <w:highlight w:val="none"/>
          <w:u w:val="single"/>
          <w:lang w:val="en-US" w:eastAsia="zh-CN"/>
        </w:rPr>
        <w:t>2024</w:t>
      </w:r>
      <w:r>
        <w:rPr>
          <w:rFonts w:hint="eastAsia" w:asciiTheme="minorEastAsia" w:hAnsiTheme="minorEastAsia" w:eastAsiaTheme="minorEastAsia" w:cstheme="minorEastAsia"/>
          <w:i w:val="0"/>
          <w:iCs w:val="0"/>
          <w:color w:val="auto"/>
          <w:sz w:val="24"/>
          <w:szCs w:val="24"/>
          <w:highlight w:val="none"/>
          <w:u w:val="single"/>
        </w:rPr>
        <w:t>年</w:t>
      </w:r>
      <w:r>
        <w:rPr>
          <w:rFonts w:hint="eastAsia" w:asciiTheme="minorEastAsia" w:hAnsiTheme="minorEastAsia" w:eastAsiaTheme="minorEastAsia" w:cstheme="minorEastAsia"/>
          <w:i w:val="0"/>
          <w:iCs w:val="0"/>
          <w:color w:val="auto"/>
          <w:sz w:val="24"/>
          <w:szCs w:val="24"/>
          <w:highlight w:val="none"/>
          <w:u w:val="single"/>
          <w:lang w:val="en-US" w:eastAsia="zh-CN"/>
        </w:rPr>
        <w:t>11</w:t>
      </w:r>
      <w:r>
        <w:rPr>
          <w:rFonts w:hint="eastAsia" w:asciiTheme="minorEastAsia" w:hAnsiTheme="minorEastAsia" w:eastAsiaTheme="minorEastAsia" w:cstheme="minorEastAsia"/>
          <w:i w:val="0"/>
          <w:iCs w:val="0"/>
          <w:color w:val="auto"/>
          <w:sz w:val="24"/>
          <w:szCs w:val="24"/>
          <w:highlight w:val="none"/>
          <w:u w:val="single"/>
        </w:rPr>
        <w:t>月</w:t>
      </w:r>
      <w:r>
        <w:rPr>
          <w:rFonts w:hint="eastAsia" w:asciiTheme="minorEastAsia" w:hAnsiTheme="minorEastAsia" w:eastAsiaTheme="minorEastAsia" w:cstheme="minorEastAsia"/>
          <w:i w:val="0"/>
          <w:iCs w:val="0"/>
          <w:color w:val="auto"/>
          <w:sz w:val="24"/>
          <w:szCs w:val="24"/>
          <w:highlight w:val="none"/>
          <w:u w:val="single"/>
          <w:lang w:val="en-US" w:eastAsia="zh-CN"/>
        </w:rPr>
        <w:t>05</w:t>
      </w:r>
      <w:r>
        <w:rPr>
          <w:rFonts w:hint="eastAsia" w:asciiTheme="minorEastAsia" w:hAnsiTheme="minorEastAsia" w:eastAsiaTheme="minorEastAsia" w:cstheme="minorEastAsia"/>
          <w:i w:val="0"/>
          <w:iCs w:val="0"/>
          <w:color w:val="auto"/>
          <w:sz w:val="24"/>
          <w:szCs w:val="24"/>
          <w:highlight w:val="none"/>
          <w:u w:val="single"/>
        </w:rPr>
        <w:t>日</w:t>
      </w:r>
      <w:r>
        <w:rPr>
          <w:rFonts w:hint="eastAsia" w:asciiTheme="minorEastAsia" w:hAnsiTheme="minorEastAsia" w:eastAsiaTheme="minorEastAsia" w:cstheme="minorEastAsia"/>
          <w:i w:val="0"/>
          <w:iCs w:val="0"/>
          <w:color w:val="auto"/>
          <w:sz w:val="24"/>
          <w:szCs w:val="24"/>
          <w:highlight w:val="none"/>
        </w:rPr>
        <w:t>至</w:t>
      </w:r>
      <w:r>
        <w:rPr>
          <w:rFonts w:hint="eastAsia" w:asciiTheme="minorEastAsia" w:hAnsiTheme="minorEastAsia" w:eastAsiaTheme="minorEastAsia" w:cstheme="minorEastAsia"/>
          <w:i w:val="0"/>
          <w:iCs w:val="0"/>
          <w:color w:val="auto"/>
          <w:sz w:val="24"/>
          <w:szCs w:val="24"/>
          <w:highlight w:val="none"/>
          <w:u w:val="single"/>
          <w:lang w:val="en-US" w:eastAsia="zh-CN"/>
        </w:rPr>
        <w:t>2024</w:t>
      </w:r>
      <w:r>
        <w:rPr>
          <w:rFonts w:hint="eastAsia" w:asciiTheme="minorEastAsia" w:hAnsiTheme="minorEastAsia" w:eastAsiaTheme="minorEastAsia" w:cstheme="minorEastAsia"/>
          <w:i w:val="0"/>
          <w:iCs w:val="0"/>
          <w:color w:val="auto"/>
          <w:sz w:val="24"/>
          <w:szCs w:val="24"/>
          <w:highlight w:val="none"/>
          <w:u w:val="single"/>
        </w:rPr>
        <w:t>年</w:t>
      </w:r>
      <w:r>
        <w:rPr>
          <w:rFonts w:hint="eastAsia" w:asciiTheme="minorEastAsia" w:hAnsiTheme="minorEastAsia" w:eastAsiaTheme="minorEastAsia" w:cstheme="minorEastAsia"/>
          <w:i w:val="0"/>
          <w:iCs w:val="0"/>
          <w:color w:val="auto"/>
          <w:sz w:val="24"/>
          <w:szCs w:val="24"/>
          <w:highlight w:val="none"/>
          <w:u w:val="single"/>
          <w:lang w:val="en-US" w:eastAsia="zh-CN"/>
        </w:rPr>
        <w:t>11</w:t>
      </w:r>
      <w:r>
        <w:rPr>
          <w:rFonts w:hint="eastAsia" w:asciiTheme="minorEastAsia" w:hAnsiTheme="minorEastAsia" w:eastAsiaTheme="minorEastAsia" w:cstheme="minorEastAsia"/>
          <w:i w:val="0"/>
          <w:iCs w:val="0"/>
          <w:color w:val="auto"/>
          <w:sz w:val="24"/>
          <w:szCs w:val="24"/>
          <w:highlight w:val="none"/>
          <w:u w:val="single"/>
        </w:rPr>
        <w:t>月</w:t>
      </w:r>
      <w:r>
        <w:rPr>
          <w:rFonts w:hint="eastAsia" w:asciiTheme="minorEastAsia" w:hAnsiTheme="minorEastAsia" w:eastAsiaTheme="minorEastAsia" w:cstheme="minorEastAsia"/>
          <w:i w:val="0"/>
          <w:iCs w:val="0"/>
          <w:color w:val="auto"/>
          <w:sz w:val="24"/>
          <w:szCs w:val="24"/>
          <w:highlight w:val="none"/>
          <w:u w:val="single"/>
          <w:lang w:val="en-US" w:eastAsia="zh-CN"/>
        </w:rPr>
        <w:t>12</w:t>
      </w:r>
      <w:r>
        <w:rPr>
          <w:rFonts w:hint="eastAsia" w:asciiTheme="minorEastAsia" w:hAnsiTheme="minorEastAsia" w:eastAsiaTheme="minorEastAsia" w:cstheme="minorEastAsia"/>
          <w:i w:val="0"/>
          <w:iCs w:val="0"/>
          <w:color w:val="auto"/>
          <w:sz w:val="24"/>
          <w:szCs w:val="24"/>
          <w:highlight w:val="none"/>
          <w:u w:val="single"/>
        </w:rPr>
        <w:t>日</w:t>
      </w:r>
      <w:r>
        <w:rPr>
          <w:rFonts w:hint="eastAsia" w:asciiTheme="minorEastAsia" w:hAnsiTheme="minorEastAsia" w:eastAsiaTheme="minorEastAsia" w:cstheme="minorEastAsia"/>
          <w:i w:val="0"/>
          <w:iCs w:val="0"/>
          <w:color w:val="auto"/>
          <w:sz w:val="24"/>
          <w:szCs w:val="24"/>
          <w:highlight w:val="none"/>
        </w:rPr>
        <w:t>，每天上午</w:t>
      </w:r>
      <w:r>
        <w:rPr>
          <w:rFonts w:hint="eastAsia" w:asciiTheme="minorEastAsia" w:hAnsiTheme="minorEastAsia" w:eastAsiaTheme="minorEastAsia" w:cstheme="minorEastAsia"/>
          <w:i w:val="0"/>
          <w:iCs w:val="0"/>
          <w:color w:val="auto"/>
          <w:sz w:val="24"/>
          <w:szCs w:val="24"/>
          <w:highlight w:val="none"/>
          <w:u w:val="single"/>
          <w:lang w:val="en-US" w:eastAsia="zh-CN"/>
        </w:rPr>
        <w:t>10:00</w:t>
      </w:r>
      <w:r>
        <w:rPr>
          <w:rFonts w:hint="eastAsia" w:asciiTheme="minorEastAsia" w:hAnsiTheme="minorEastAsia" w:eastAsiaTheme="minorEastAsia" w:cstheme="minorEastAsia"/>
          <w:i w:val="0"/>
          <w:iCs w:val="0"/>
          <w:color w:val="auto"/>
          <w:sz w:val="24"/>
          <w:szCs w:val="24"/>
          <w:highlight w:val="none"/>
        </w:rPr>
        <w:t>至</w:t>
      </w:r>
      <w:r>
        <w:rPr>
          <w:rFonts w:hint="eastAsia" w:asciiTheme="minorEastAsia" w:hAnsiTheme="minorEastAsia" w:eastAsiaTheme="minorEastAsia" w:cstheme="minorEastAsia"/>
          <w:i w:val="0"/>
          <w:iCs w:val="0"/>
          <w:color w:val="auto"/>
          <w:sz w:val="24"/>
          <w:szCs w:val="24"/>
          <w:highlight w:val="none"/>
          <w:u w:val="single"/>
          <w:lang w:val="en-US" w:eastAsia="zh-CN"/>
        </w:rPr>
        <w:t>14:00</w:t>
      </w:r>
      <w:r>
        <w:rPr>
          <w:rFonts w:hint="eastAsia" w:asciiTheme="minorEastAsia" w:hAnsiTheme="minorEastAsia" w:eastAsiaTheme="minorEastAsia" w:cstheme="minorEastAsia"/>
          <w:i w:val="0"/>
          <w:iCs w:val="0"/>
          <w:color w:val="auto"/>
          <w:sz w:val="24"/>
          <w:szCs w:val="24"/>
          <w:highlight w:val="none"/>
        </w:rPr>
        <w:t>，下午</w:t>
      </w:r>
      <w:r>
        <w:rPr>
          <w:rFonts w:hint="eastAsia" w:asciiTheme="minorEastAsia" w:hAnsiTheme="minorEastAsia" w:eastAsiaTheme="minorEastAsia" w:cstheme="minorEastAsia"/>
          <w:i w:val="0"/>
          <w:iCs w:val="0"/>
          <w:color w:val="auto"/>
          <w:sz w:val="24"/>
          <w:szCs w:val="24"/>
          <w:highlight w:val="none"/>
          <w:u w:val="single"/>
          <w:lang w:val="en-US" w:eastAsia="zh-CN"/>
        </w:rPr>
        <w:t>15:30</w:t>
      </w:r>
      <w:r>
        <w:rPr>
          <w:rFonts w:hint="eastAsia" w:asciiTheme="minorEastAsia" w:hAnsiTheme="minorEastAsia" w:eastAsiaTheme="minorEastAsia" w:cstheme="minorEastAsia"/>
          <w:i w:val="0"/>
          <w:iCs w:val="0"/>
          <w:color w:val="auto"/>
          <w:sz w:val="24"/>
          <w:szCs w:val="24"/>
          <w:highlight w:val="none"/>
        </w:rPr>
        <w:t>至</w:t>
      </w:r>
      <w:r>
        <w:rPr>
          <w:rFonts w:hint="eastAsia" w:asciiTheme="minorEastAsia" w:hAnsiTheme="minorEastAsia" w:eastAsiaTheme="minorEastAsia" w:cstheme="minorEastAsia"/>
          <w:i w:val="0"/>
          <w:iCs w:val="0"/>
          <w:color w:val="auto"/>
          <w:sz w:val="24"/>
          <w:szCs w:val="24"/>
          <w:highlight w:val="none"/>
          <w:u w:val="single"/>
          <w:lang w:val="en-US" w:eastAsia="zh-CN"/>
        </w:rPr>
        <w:t>19:30</w:t>
      </w:r>
      <w:r>
        <w:rPr>
          <w:rFonts w:hint="eastAsia" w:asciiTheme="minorEastAsia" w:hAnsiTheme="minorEastAsia" w:eastAsiaTheme="minorEastAsia" w:cstheme="minorEastAsia"/>
          <w:i w:val="0"/>
          <w:iCs w:val="0"/>
          <w:color w:val="auto"/>
          <w:sz w:val="24"/>
          <w:szCs w:val="24"/>
          <w:highlight w:val="none"/>
        </w:rPr>
        <w:t>（北京时间，法定节假日除外）</w:t>
      </w:r>
    </w:p>
    <w:p w14:paraId="3077193B">
      <w:pPr>
        <w:pageBreakBefore w:val="0"/>
        <w:widowControl w:val="0"/>
        <w:kinsoku/>
        <w:wordWrap/>
        <w:overflowPunct/>
        <w:topLinePunct w:val="0"/>
        <w:autoSpaceDE/>
        <w:autoSpaceDN/>
        <w:bidi w:val="0"/>
        <w:adjustRightInd/>
        <w:snapToGrid/>
        <w:spacing w:beforeAutospacing="0" w:afterAutospacing="0" w:line="480" w:lineRule="exact"/>
        <w:ind w:left="0" w:leftChars="0" w:firstLine="482" w:firstLineChars="200"/>
        <w:textAlignment w:val="auto"/>
        <w:rPr>
          <w:rFonts w:hint="eastAsia" w:asciiTheme="minorEastAsia" w:hAnsiTheme="minorEastAsia" w:eastAsiaTheme="minorEastAsia" w:cstheme="minorEastAsia"/>
          <w:i w:val="0"/>
          <w:iCs w:val="0"/>
          <w:color w:val="auto"/>
          <w:sz w:val="24"/>
          <w:szCs w:val="24"/>
          <w:highlight w:val="none"/>
          <w:u w:val="single"/>
          <w:lang w:val="en-US" w:eastAsia="zh-CN"/>
        </w:rPr>
      </w:pPr>
      <w:bookmarkStart w:id="33" w:name="_Toc28359005"/>
      <w:bookmarkStart w:id="34" w:name="_Toc28359082"/>
      <w:bookmarkStart w:id="35" w:name="_Toc35393793"/>
      <w:bookmarkStart w:id="36" w:name="_Toc35393624"/>
      <w:r>
        <w:rPr>
          <w:rFonts w:hint="eastAsia" w:asciiTheme="minorEastAsia" w:hAnsiTheme="minorEastAsia" w:eastAsiaTheme="minorEastAsia" w:cstheme="minorEastAsia"/>
          <w:b/>
          <w:bCs/>
          <w:i w:val="0"/>
          <w:iCs w:val="0"/>
          <w:color w:val="auto"/>
          <w:sz w:val="24"/>
          <w:szCs w:val="24"/>
          <w:highlight w:val="none"/>
        </w:rPr>
        <w:t>地点：</w:t>
      </w:r>
      <w:r>
        <w:rPr>
          <w:rFonts w:hint="eastAsia" w:asciiTheme="minorEastAsia" w:hAnsiTheme="minorEastAsia" w:eastAsiaTheme="minorEastAsia" w:cstheme="minorEastAsia"/>
          <w:b w:val="0"/>
          <w:bCs w:val="0"/>
          <w:i w:val="0"/>
          <w:iCs w:val="0"/>
          <w:color w:val="auto"/>
          <w:sz w:val="24"/>
          <w:szCs w:val="24"/>
          <w:highlight w:val="none"/>
        </w:rPr>
        <w:t>政采云系统平台（https://www.zcygov.cn/）</w:t>
      </w:r>
    </w:p>
    <w:p w14:paraId="2179C754">
      <w:pPr>
        <w:keepNext w:val="0"/>
        <w:keepLines w:val="0"/>
        <w:pageBreakBefore w:val="0"/>
        <w:widowControl w:val="0"/>
        <w:kinsoku/>
        <w:wordWrap/>
        <w:overflowPunct/>
        <w:topLinePunct w:val="0"/>
        <w:autoSpaceDE/>
        <w:autoSpaceDN/>
        <w:bidi w:val="0"/>
        <w:adjustRightInd/>
        <w:snapToGrid/>
        <w:spacing w:line="480" w:lineRule="exact"/>
        <w:ind w:left="0" w:leftChars="0" w:firstLine="482" w:firstLineChars="200"/>
        <w:textAlignment w:val="auto"/>
        <w:rPr>
          <w:rFonts w:hint="eastAsia" w:asciiTheme="minorEastAsia" w:hAnsiTheme="minorEastAsia" w:eastAsiaTheme="minorEastAsia" w:cstheme="minorEastAsia"/>
          <w:b w:val="0"/>
          <w:bCs w:val="0"/>
          <w:i w:val="0"/>
          <w:iCs w:val="0"/>
          <w:color w:val="auto"/>
          <w:sz w:val="24"/>
          <w:szCs w:val="24"/>
          <w:highlight w:val="none"/>
          <w:u w:val="none"/>
          <w:lang w:eastAsia="zh-CN"/>
        </w:rPr>
      </w:pPr>
      <w:r>
        <w:rPr>
          <w:rFonts w:hint="eastAsia" w:asciiTheme="minorEastAsia" w:hAnsiTheme="minorEastAsia" w:eastAsiaTheme="minorEastAsia" w:cstheme="minorEastAsia"/>
          <w:b/>
          <w:bCs/>
          <w:i w:val="0"/>
          <w:iCs w:val="0"/>
          <w:color w:val="auto"/>
          <w:sz w:val="24"/>
          <w:szCs w:val="24"/>
          <w:highlight w:val="none"/>
        </w:rPr>
        <w:t>方式</w:t>
      </w:r>
      <w:r>
        <w:rPr>
          <w:rFonts w:hint="eastAsia" w:asciiTheme="minorEastAsia" w:hAnsiTheme="minorEastAsia" w:eastAsiaTheme="minorEastAsia" w:cstheme="minorEastAsia"/>
          <w:b w:val="0"/>
          <w:bCs w:val="0"/>
          <w:i w:val="0"/>
          <w:iCs w:val="0"/>
          <w:color w:val="auto"/>
          <w:sz w:val="24"/>
          <w:szCs w:val="24"/>
          <w:highlight w:val="none"/>
        </w:rPr>
        <w:t>：</w:t>
      </w:r>
      <w:r>
        <w:rPr>
          <w:rFonts w:hint="eastAsia" w:asciiTheme="minorEastAsia" w:hAnsiTheme="minorEastAsia" w:eastAsiaTheme="minorEastAsia" w:cstheme="minorEastAsia"/>
          <w:b w:val="0"/>
          <w:bCs w:val="0"/>
          <w:i w:val="0"/>
          <w:iCs w:val="0"/>
          <w:color w:val="auto"/>
          <w:sz w:val="24"/>
          <w:szCs w:val="24"/>
          <w:highlight w:val="none"/>
          <w:lang w:eastAsia="zh-CN"/>
        </w:rPr>
        <w:t>投标人</w:t>
      </w:r>
      <w:r>
        <w:rPr>
          <w:rFonts w:hint="eastAsia" w:asciiTheme="minorEastAsia" w:hAnsiTheme="minorEastAsia" w:eastAsiaTheme="minorEastAsia" w:cstheme="minorEastAsia"/>
          <w:b w:val="0"/>
          <w:bCs w:val="0"/>
          <w:i w:val="0"/>
          <w:iCs w:val="0"/>
          <w:color w:val="auto"/>
          <w:sz w:val="24"/>
          <w:szCs w:val="24"/>
          <w:highlight w:val="none"/>
        </w:rPr>
        <w:t>登陆政采云系统平台（https://www.zcygov.cn/）进入“项目采购”栏目，在获取采购文件菜单中选择所要获取采购文件的项目，申请获取采购文件。</w:t>
      </w:r>
    </w:p>
    <w:p w14:paraId="2A605428">
      <w:pPr>
        <w:pStyle w:val="34"/>
        <w:pageBreakBefore w:val="0"/>
        <w:widowControl w:val="0"/>
        <w:kinsoku/>
        <w:wordWrap/>
        <w:overflowPunct/>
        <w:topLinePunct w:val="0"/>
        <w:autoSpaceDE/>
        <w:autoSpaceDN/>
        <w:bidi w:val="0"/>
        <w:adjustRightInd/>
        <w:snapToGrid/>
        <w:spacing w:line="480" w:lineRule="exact"/>
        <w:ind w:left="0" w:firstLine="482" w:firstLineChars="200"/>
        <w:textAlignment w:val="auto"/>
        <w:rPr>
          <w:rFonts w:hint="eastAsia"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b/>
          <w:bCs/>
          <w:i w:val="0"/>
          <w:iCs w:val="0"/>
          <w:color w:val="auto"/>
          <w:sz w:val="24"/>
          <w:szCs w:val="24"/>
          <w:highlight w:val="none"/>
        </w:rPr>
        <w:t>售价：</w:t>
      </w:r>
      <w:r>
        <w:rPr>
          <w:rFonts w:hint="eastAsia" w:asciiTheme="minorEastAsia" w:hAnsiTheme="minorEastAsia" w:eastAsiaTheme="minorEastAsia" w:cstheme="minorEastAsia"/>
          <w:i w:val="0"/>
          <w:iCs w:val="0"/>
          <w:color w:val="auto"/>
          <w:sz w:val="24"/>
          <w:szCs w:val="24"/>
          <w:highlight w:val="none"/>
        </w:rPr>
        <w:t>0元</w:t>
      </w:r>
    </w:p>
    <w:p w14:paraId="7F40ADE8">
      <w:pPr>
        <w:pStyle w:val="3"/>
        <w:pageBreakBefore w:val="0"/>
        <w:widowControl w:val="0"/>
        <w:kinsoku/>
        <w:wordWrap/>
        <w:overflowPunct/>
        <w:topLinePunct w:val="0"/>
        <w:autoSpaceDE/>
        <w:autoSpaceDN/>
        <w:bidi w:val="0"/>
        <w:adjustRightInd/>
        <w:snapToGrid/>
        <w:spacing w:before="0" w:beforeAutospacing="0" w:after="0" w:afterAutospacing="0" w:line="480" w:lineRule="exact"/>
        <w:ind w:left="0" w:leftChars="0" w:firstLine="0" w:firstLineChars="0"/>
        <w:jc w:val="both"/>
        <w:textAlignment w:val="auto"/>
        <w:rPr>
          <w:rFonts w:hint="eastAsia" w:asciiTheme="minorEastAsia" w:hAnsiTheme="minorEastAsia" w:eastAsiaTheme="minorEastAsia" w:cstheme="minorEastAsia"/>
          <w:b/>
          <w:bCs w:val="0"/>
          <w:i w:val="0"/>
          <w:iCs w:val="0"/>
          <w:color w:val="auto"/>
          <w:sz w:val="24"/>
          <w:szCs w:val="24"/>
          <w:highlight w:val="none"/>
        </w:rPr>
      </w:pPr>
      <w:bookmarkStart w:id="37" w:name="_Toc12731"/>
      <w:r>
        <w:rPr>
          <w:rFonts w:hint="eastAsia" w:asciiTheme="minorEastAsia" w:hAnsiTheme="minorEastAsia" w:eastAsiaTheme="minorEastAsia" w:cstheme="minorEastAsia"/>
          <w:b/>
          <w:bCs w:val="0"/>
          <w:i w:val="0"/>
          <w:iCs w:val="0"/>
          <w:color w:val="auto"/>
          <w:sz w:val="24"/>
          <w:szCs w:val="24"/>
          <w:highlight w:val="none"/>
        </w:rPr>
        <w:t>四、提交投标文件</w:t>
      </w:r>
      <w:bookmarkEnd w:id="33"/>
      <w:bookmarkEnd w:id="34"/>
      <w:r>
        <w:rPr>
          <w:rFonts w:hint="eastAsia" w:asciiTheme="minorEastAsia" w:hAnsiTheme="minorEastAsia" w:eastAsiaTheme="minorEastAsia" w:cstheme="minorEastAsia"/>
          <w:b/>
          <w:bCs w:val="0"/>
          <w:i w:val="0"/>
          <w:iCs w:val="0"/>
          <w:color w:val="auto"/>
          <w:sz w:val="24"/>
          <w:szCs w:val="24"/>
          <w:highlight w:val="none"/>
        </w:rPr>
        <w:t>截止时间、开标时间和地点</w:t>
      </w:r>
      <w:bookmarkEnd w:id="35"/>
      <w:bookmarkEnd w:id="36"/>
      <w:bookmarkEnd w:id="37"/>
    </w:p>
    <w:p w14:paraId="4E28D7CA">
      <w:pPr>
        <w:keepNext w:val="0"/>
        <w:keepLines w:val="0"/>
        <w:pageBreakBefore w:val="0"/>
        <w:widowControl w:val="0"/>
        <w:kinsoku/>
        <w:wordWrap/>
        <w:overflowPunct/>
        <w:topLinePunct w:val="0"/>
        <w:autoSpaceDE/>
        <w:autoSpaceDN/>
        <w:bidi w:val="0"/>
        <w:adjustRightInd/>
        <w:snapToGrid/>
        <w:spacing w:beforeAutospacing="0" w:afterAutospacing="0" w:line="480" w:lineRule="exact"/>
        <w:ind w:left="0" w:leftChars="0" w:firstLine="480" w:firstLineChars="200"/>
        <w:textAlignment w:val="auto"/>
        <w:rPr>
          <w:rFonts w:hint="eastAsia" w:asciiTheme="minorEastAsia" w:hAnsiTheme="minorEastAsia" w:eastAsiaTheme="minorEastAsia" w:cstheme="minorEastAsia"/>
          <w:color w:val="auto"/>
          <w:kern w:val="2"/>
          <w:sz w:val="24"/>
          <w:szCs w:val="24"/>
          <w:highlight w:val="none"/>
          <w:u w:val="single"/>
          <w:lang w:val="en-US" w:eastAsia="zh-CN" w:bidi="ar-SA"/>
        </w:rPr>
      </w:pPr>
      <w:r>
        <w:rPr>
          <w:rFonts w:hint="eastAsia" w:asciiTheme="minorEastAsia" w:hAnsiTheme="minorEastAsia" w:eastAsiaTheme="minorEastAsia" w:cstheme="minorEastAsia"/>
          <w:color w:val="auto"/>
          <w:kern w:val="2"/>
          <w:sz w:val="24"/>
          <w:szCs w:val="24"/>
          <w:highlight w:val="none"/>
          <w:lang w:val="en-US" w:eastAsia="zh-CN" w:bidi="ar-SA"/>
        </w:rPr>
        <w:t>提交投标文件截止时间：</w:t>
      </w:r>
      <w:r>
        <w:rPr>
          <w:rFonts w:hint="eastAsia" w:asciiTheme="minorEastAsia" w:hAnsiTheme="minorEastAsia" w:eastAsiaTheme="minorEastAsia" w:cstheme="minorEastAsia"/>
          <w:b w:val="0"/>
          <w:bCs w:val="0"/>
          <w:i w:val="0"/>
          <w:iCs w:val="0"/>
          <w:color w:val="auto"/>
          <w:sz w:val="24"/>
          <w:szCs w:val="24"/>
          <w:highlight w:val="none"/>
          <w:u w:val="single"/>
          <w:lang w:val="en-US" w:eastAsia="zh-CN"/>
        </w:rPr>
        <w:t>2024</w:t>
      </w:r>
      <w:r>
        <w:rPr>
          <w:rFonts w:hint="eastAsia" w:asciiTheme="minorEastAsia" w:hAnsiTheme="minorEastAsia" w:eastAsiaTheme="minorEastAsia" w:cstheme="minorEastAsia"/>
          <w:b w:val="0"/>
          <w:bCs w:val="0"/>
          <w:i w:val="0"/>
          <w:iCs w:val="0"/>
          <w:color w:val="auto"/>
          <w:sz w:val="24"/>
          <w:szCs w:val="24"/>
          <w:highlight w:val="none"/>
          <w:u w:val="single"/>
        </w:rPr>
        <w:t>年</w:t>
      </w:r>
      <w:r>
        <w:rPr>
          <w:rFonts w:hint="eastAsia" w:asciiTheme="minorEastAsia" w:hAnsiTheme="minorEastAsia" w:eastAsiaTheme="minorEastAsia" w:cstheme="minorEastAsia"/>
          <w:b w:val="0"/>
          <w:bCs w:val="0"/>
          <w:i w:val="0"/>
          <w:iCs w:val="0"/>
          <w:color w:val="auto"/>
          <w:sz w:val="24"/>
          <w:szCs w:val="24"/>
          <w:highlight w:val="none"/>
          <w:u w:val="single"/>
          <w:lang w:val="en-US" w:eastAsia="zh-CN"/>
        </w:rPr>
        <w:t>12月05日</w:t>
      </w:r>
      <w:r>
        <w:rPr>
          <w:rFonts w:hint="eastAsia" w:asciiTheme="minorEastAsia" w:hAnsiTheme="minorEastAsia" w:eastAsiaTheme="minorEastAsia" w:cstheme="minorEastAsia"/>
          <w:b w:val="0"/>
          <w:bCs w:val="0"/>
          <w:color w:val="auto"/>
          <w:kern w:val="2"/>
          <w:sz w:val="24"/>
          <w:szCs w:val="24"/>
          <w:highlight w:val="none"/>
          <w:u w:val="single"/>
          <w:lang w:val="en-US" w:eastAsia="zh-CN" w:bidi="ar-SA"/>
        </w:rPr>
        <w:t>10点</w:t>
      </w:r>
      <w:r>
        <w:rPr>
          <w:rFonts w:hint="eastAsia" w:asciiTheme="minorEastAsia" w:hAnsiTheme="minorEastAsia" w:eastAsiaTheme="minorEastAsia" w:cstheme="minorEastAsia"/>
          <w:b w:val="0"/>
          <w:bCs w:val="0"/>
          <w:i w:val="0"/>
          <w:iCs w:val="0"/>
          <w:color w:val="auto"/>
          <w:sz w:val="24"/>
          <w:szCs w:val="24"/>
          <w:highlight w:val="none"/>
          <w:u w:val="single"/>
          <w:lang w:val="en-US" w:eastAsia="zh-CN"/>
        </w:rPr>
        <w:t>3</w:t>
      </w:r>
      <w:r>
        <w:rPr>
          <w:rFonts w:hint="eastAsia" w:asciiTheme="minorEastAsia" w:hAnsiTheme="minorEastAsia" w:eastAsiaTheme="minorEastAsia" w:cstheme="minorEastAsia"/>
          <w:b w:val="0"/>
          <w:bCs w:val="0"/>
          <w:color w:val="auto"/>
          <w:kern w:val="2"/>
          <w:sz w:val="24"/>
          <w:szCs w:val="24"/>
          <w:highlight w:val="none"/>
          <w:u w:val="single"/>
          <w:lang w:val="en-US" w:eastAsia="zh-CN" w:bidi="ar-SA"/>
        </w:rPr>
        <w:t>0</w:t>
      </w:r>
      <w:r>
        <w:rPr>
          <w:rFonts w:hint="eastAsia" w:asciiTheme="minorEastAsia" w:hAnsiTheme="minorEastAsia" w:eastAsiaTheme="minorEastAsia" w:cstheme="minorEastAsia"/>
          <w:b w:val="0"/>
          <w:bCs w:val="0"/>
          <w:i w:val="0"/>
          <w:iCs w:val="0"/>
          <w:color w:val="auto"/>
          <w:sz w:val="24"/>
          <w:szCs w:val="24"/>
          <w:highlight w:val="none"/>
          <w:u w:val="single"/>
        </w:rPr>
        <w:t>分</w:t>
      </w:r>
      <w:r>
        <w:rPr>
          <w:rFonts w:hint="eastAsia" w:asciiTheme="minorEastAsia" w:hAnsiTheme="minorEastAsia" w:eastAsiaTheme="minorEastAsia" w:cstheme="minorEastAsia"/>
          <w:b w:val="0"/>
          <w:bCs w:val="0"/>
          <w:i w:val="0"/>
          <w:iCs w:val="0"/>
          <w:color w:val="auto"/>
          <w:sz w:val="24"/>
          <w:szCs w:val="24"/>
          <w:highlight w:val="none"/>
          <w:u w:val="none"/>
        </w:rPr>
        <w:t>（北京时间）</w:t>
      </w:r>
    </w:p>
    <w:p w14:paraId="37A3BFC5">
      <w:pPr>
        <w:keepNext w:val="0"/>
        <w:keepLines w:val="0"/>
        <w:pageBreakBefore w:val="0"/>
        <w:widowControl w:val="0"/>
        <w:kinsoku/>
        <w:wordWrap/>
        <w:overflowPunct/>
        <w:topLinePunct w:val="0"/>
        <w:autoSpaceDE/>
        <w:autoSpaceDN/>
        <w:bidi w:val="0"/>
        <w:adjustRightInd/>
        <w:snapToGrid/>
        <w:spacing w:beforeAutospacing="0" w:afterAutospacing="0" w:line="480" w:lineRule="exact"/>
        <w:ind w:left="0" w:leftChars="0" w:firstLine="480" w:firstLineChars="200"/>
        <w:textAlignment w:val="auto"/>
        <w:rPr>
          <w:rFonts w:hint="eastAsia" w:asciiTheme="minorEastAsia" w:hAnsiTheme="minorEastAsia" w:eastAsiaTheme="minorEastAsia" w:cstheme="minorEastAsia"/>
          <w:color w:val="auto"/>
          <w:kern w:val="2"/>
          <w:sz w:val="24"/>
          <w:szCs w:val="24"/>
          <w:highlight w:val="none"/>
          <w:lang w:val="en-US" w:eastAsia="zh-CN" w:bidi="ar-SA"/>
        </w:rPr>
      </w:pPr>
      <w:r>
        <w:rPr>
          <w:rFonts w:hint="eastAsia" w:asciiTheme="minorEastAsia" w:hAnsiTheme="minorEastAsia" w:eastAsiaTheme="minorEastAsia" w:cstheme="minorEastAsia"/>
          <w:color w:val="auto"/>
          <w:kern w:val="2"/>
          <w:sz w:val="24"/>
          <w:szCs w:val="24"/>
          <w:highlight w:val="none"/>
          <w:lang w:val="en-US" w:eastAsia="zh-CN" w:bidi="ar-SA"/>
        </w:rPr>
        <w:t>投标地点：请登录政采云投标客户端，在截止时间前将加密的电子响应文件（.jmbs）上传到新疆政府采购网对应的位置（逾期上传或者未上传指定地点的响应文件，采购人不予受理）。</w:t>
      </w:r>
    </w:p>
    <w:p w14:paraId="733316E9">
      <w:pPr>
        <w:keepNext w:val="0"/>
        <w:keepLines w:val="0"/>
        <w:pageBreakBefore w:val="0"/>
        <w:widowControl w:val="0"/>
        <w:kinsoku/>
        <w:wordWrap/>
        <w:overflowPunct/>
        <w:topLinePunct w:val="0"/>
        <w:autoSpaceDE/>
        <w:autoSpaceDN/>
        <w:bidi w:val="0"/>
        <w:adjustRightInd/>
        <w:snapToGrid/>
        <w:spacing w:beforeAutospacing="0" w:afterAutospacing="0" w:line="480" w:lineRule="exact"/>
        <w:ind w:left="0" w:leftChars="0" w:firstLine="480" w:firstLineChars="200"/>
        <w:textAlignment w:val="auto"/>
        <w:rPr>
          <w:rFonts w:hint="eastAsia" w:asciiTheme="minorEastAsia" w:hAnsiTheme="minorEastAsia" w:eastAsiaTheme="minorEastAsia" w:cstheme="minorEastAsia"/>
          <w:color w:val="auto"/>
          <w:kern w:val="2"/>
          <w:sz w:val="24"/>
          <w:szCs w:val="24"/>
          <w:highlight w:val="none"/>
          <w:u w:val="single"/>
          <w:lang w:val="en-US" w:eastAsia="zh-CN" w:bidi="ar-SA"/>
        </w:rPr>
      </w:pPr>
      <w:r>
        <w:rPr>
          <w:rFonts w:hint="eastAsia" w:asciiTheme="minorEastAsia" w:hAnsiTheme="minorEastAsia" w:eastAsiaTheme="minorEastAsia" w:cstheme="minorEastAsia"/>
          <w:color w:val="auto"/>
          <w:kern w:val="2"/>
          <w:sz w:val="24"/>
          <w:szCs w:val="24"/>
          <w:highlight w:val="none"/>
          <w:lang w:val="en-US" w:eastAsia="zh-CN" w:bidi="ar-SA"/>
        </w:rPr>
        <w:t>开标时间：</w:t>
      </w:r>
      <w:r>
        <w:rPr>
          <w:rFonts w:hint="eastAsia" w:asciiTheme="minorEastAsia" w:hAnsiTheme="minorEastAsia" w:eastAsiaTheme="minorEastAsia" w:cstheme="minorEastAsia"/>
          <w:b w:val="0"/>
          <w:bCs w:val="0"/>
          <w:i w:val="0"/>
          <w:iCs w:val="0"/>
          <w:color w:val="auto"/>
          <w:sz w:val="24"/>
          <w:szCs w:val="24"/>
          <w:highlight w:val="none"/>
          <w:u w:val="single"/>
          <w:lang w:val="en-US" w:eastAsia="zh-CN"/>
        </w:rPr>
        <w:t>2024</w:t>
      </w:r>
      <w:r>
        <w:rPr>
          <w:rFonts w:hint="eastAsia" w:asciiTheme="minorEastAsia" w:hAnsiTheme="minorEastAsia" w:eastAsiaTheme="minorEastAsia" w:cstheme="minorEastAsia"/>
          <w:b w:val="0"/>
          <w:bCs w:val="0"/>
          <w:i w:val="0"/>
          <w:iCs w:val="0"/>
          <w:color w:val="auto"/>
          <w:sz w:val="24"/>
          <w:szCs w:val="24"/>
          <w:highlight w:val="none"/>
          <w:u w:val="single"/>
        </w:rPr>
        <w:t>年</w:t>
      </w:r>
      <w:r>
        <w:rPr>
          <w:rFonts w:hint="eastAsia" w:asciiTheme="minorEastAsia" w:hAnsiTheme="minorEastAsia" w:eastAsiaTheme="minorEastAsia" w:cstheme="minorEastAsia"/>
          <w:b w:val="0"/>
          <w:bCs w:val="0"/>
          <w:i w:val="0"/>
          <w:iCs w:val="0"/>
          <w:color w:val="auto"/>
          <w:sz w:val="24"/>
          <w:szCs w:val="24"/>
          <w:highlight w:val="none"/>
          <w:u w:val="single"/>
          <w:lang w:val="en-US" w:eastAsia="zh-CN"/>
        </w:rPr>
        <w:t>12月05日</w:t>
      </w:r>
      <w:r>
        <w:rPr>
          <w:rFonts w:hint="eastAsia" w:asciiTheme="minorEastAsia" w:hAnsiTheme="minorEastAsia" w:eastAsiaTheme="minorEastAsia" w:cstheme="minorEastAsia"/>
          <w:b w:val="0"/>
          <w:bCs w:val="0"/>
          <w:color w:val="auto"/>
          <w:kern w:val="2"/>
          <w:sz w:val="24"/>
          <w:szCs w:val="24"/>
          <w:highlight w:val="none"/>
          <w:u w:val="single"/>
          <w:lang w:val="en-US" w:eastAsia="zh-CN" w:bidi="ar-SA"/>
        </w:rPr>
        <w:t>10点</w:t>
      </w:r>
      <w:r>
        <w:rPr>
          <w:rFonts w:hint="eastAsia" w:asciiTheme="minorEastAsia" w:hAnsiTheme="minorEastAsia" w:eastAsiaTheme="minorEastAsia" w:cstheme="minorEastAsia"/>
          <w:b w:val="0"/>
          <w:bCs w:val="0"/>
          <w:i w:val="0"/>
          <w:iCs w:val="0"/>
          <w:color w:val="auto"/>
          <w:sz w:val="24"/>
          <w:szCs w:val="24"/>
          <w:highlight w:val="none"/>
          <w:u w:val="single"/>
          <w:lang w:val="en-US" w:eastAsia="zh-CN"/>
        </w:rPr>
        <w:t>3</w:t>
      </w:r>
      <w:r>
        <w:rPr>
          <w:rFonts w:hint="eastAsia" w:asciiTheme="minorEastAsia" w:hAnsiTheme="minorEastAsia" w:eastAsiaTheme="minorEastAsia" w:cstheme="minorEastAsia"/>
          <w:b w:val="0"/>
          <w:bCs w:val="0"/>
          <w:color w:val="auto"/>
          <w:kern w:val="2"/>
          <w:sz w:val="24"/>
          <w:szCs w:val="24"/>
          <w:highlight w:val="none"/>
          <w:u w:val="single"/>
          <w:lang w:val="en-US" w:eastAsia="zh-CN" w:bidi="ar-SA"/>
        </w:rPr>
        <w:t>0</w:t>
      </w:r>
      <w:r>
        <w:rPr>
          <w:rFonts w:hint="eastAsia" w:asciiTheme="minorEastAsia" w:hAnsiTheme="minorEastAsia" w:eastAsiaTheme="minorEastAsia" w:cstheme="minorEastAsia"/>
          <w:b w:val="0"/>
          <w:bCs w:val="0"/>
          <w:i w:val="0"/>
          <w:iCs w:val="0"/>
          <w:color w:val="auto"/>
          <w:sz w:val="24"/>
          <w:szCs w:val="24"/>
          <w:highlight w:val="none"/>
          <w:u w:val="single"/>
        </w:rPr>
        <w:t>分</w:t>
      </w:r>
      <w:r>
        <w:rPr>
          <w:rFonts w:hint="eastAsia" w:asciiTheme="minorEastAsia" w:hAnsiTheme="minorEastAsia" w:eastAsiaTheme="minorEastAsia" w:cstheme="minorEastAsia"/>
          <w:b w:val="0"/>
          <w:bCs w:val="0"/>
          <w:i w:val="0"/>
          <w:iCs w:val="0"/>
          <w:color w:val="auto"/>
          <w:sz w:val="24"/>
          <w:szCs w:val="24"/>
          <w:highlight w:val="none"/>
          <w:u w:val="none"/>
        </w:rPr>
        <w:t>（北京时间）</w:t>
      </w:r>
    </w:p>
    <w:p w14:paraId="0409205C">
      <w:pPr>
        <w:keepNext w:val="0"/>
        <w:keepLines w:val="0"/>
        <w:pageBreakBefore w:val="0"/>
        <w:widowControl w:val="0"/>
        <w:kinsoku/>
        <w:wordWrap/>
        <w:overflowPunct/>
        <w:topLinePunct w:val="0"/>
        <w:autoSpaceDE/>
        <w:autoSpaceDN/>
        <w:bidi w:val="0"/>
        <w:adjustRightInd/>
        <w:snapToGrid/>
        <w:spacing w:beforeAutospacing="0" w:afterAutospacing="0" w:line="480" w:lineRule="exact"/>
        <w:ind w:left="0" w:leftChars="0" w:firstLine="480" w:firstLineChars="200"/>
        <w:textAlignment w:val="auto"/>
        <w:rPr>
          <w:rFonts w:hint="eastAsia" w:asciiTheme="minorEastAsia" w:hAnsiTheme="minorEastAsia" w:eastAsiaTheme="minorEastAsia" w:cstheme="minorEastAsia"/>
          <w:color w:val="auto"/>
          <w:kern w:val="2"/>
          <w:sz w:val="24"/>
          <w:szCs w:val="24"/>
          <w:highlight w:val="none"/>
          <w:lang w:val="en-US" w:eastAsia="zh-CN" w:bidi="ar-SA"/>
        </w:rPr>
      </w:pPr>
      <w:r>
        <w:rPr>
          <w:rFonts w:hint="eastAsia" w:asciiTheme="minorEastAsia" w:hAnsiTheme="minorEastAsia" w:eastAsiaTheme="minorEastAsia" w:cstheme="minorEastAsia"/>
          <w:color w:val="auto"/>
          <w:kern w:val="2"/>
          <w:sz w:val="24"/>
          <w:szCs w:val="24"/>
          <w:highlight w:val="none"/>
          <w:lang w:val="en-US" w:eastAsia="zh-CN" w:bidi="ar-SA"/>
        </w:rPr>
        <w:t>开标地点：政采云电子开标大厅</w:t>
      </w:r>
    </w:p>
    <w:p w14:paraId="0F57BAD5">
      <w:pPr>
        <w:pStyle w:val="3"/>
        <w:pageBreakBefore w:val="0"/>
        <w:widowControl w:val="0"/>
        <w:kinsoku/>
        <w:wordWrap/>
        <w:overflowPunct/>
        <w:topLinePunct w:val="0"/>
        <w:autoSpaceDE/>
        <w:autoSpaceDN/>
        <w:bidi w:val="0"/>
        <w:adjustRightInd/>
        <w:snapToGrid/>
        <w:spacing w:before="0" w:beforeAutospacing="0" w:after="0" w:afterAutospacing="0" w:line="480" w:lineRule="exact"/>
        <w:ind w:left="0" w:leftChars="0" w:firstLine="0" w:firstLineChars="0"/>
        <w:jc w:val="both"/>
        <w:textAlignment w:val="auto"/>
        <w:rPr>
          <w:rFonts w:hint="eastAsia" w:asciiTheme="minorEastAsia" w:hAnsiTheme="minorEastAsia" w:eastAsiaTheme="minorEastAsia" w:cstheme="minorEastAsia"/>
          <w:b/>
          <w:bCs w:val="0"/>
          <w:i w:val="0"/>
          <w:iCs w:val="0"/>
          <w:color w:val="auto"/>
          <w:sz w:val="24"/>
          <w:szCs w:val="24"/>
          <w:highlight w:val="none"/>
        </w:rPr>
      </w:pPr>
      <w:bookmarkStart w:id="38" w:name="_Toc6872"/>
      <w:bookmarkStart w:id="39" w:name="_Toc35393794"/>
      <w:bookmarkStart w:id="40" w:name="_Toc35393625"/>
      <w:bookmarkStart w:id="41" w:name="_Toc28359007"/>
      <w:bookmarkStart w:id="42" w:name="_Toc28359084"/>
      <w:r>
        <w:rPr>
          <w:rFonts w:hint="eastAsia" w:asciiTheme="minorEastAsia" w:hAnsiTheme="minorEastAsia" w:eastAsiaTheme="minorEastAsia" w:cstheme="minorEastAsia"/>
          <w:b/>
          <w:bCs w:val="0"/>
          <w:i w:val="0"/>
          <w:iCs w:val="0"/>
          <w:color w:val="auto"/>
          <w:sz w:val="24"/>
          <w:szCs w:val="24"/>
          <w:highlight w:val="none"/>
        </w:rPr>
        <w:t>五、公告期限</w:t>
      </w:r>
      <w:bookmarkEnd w:id="38"/>
      <w:bookmarkEnd w:id="39"/>
      <w:bookmarkEnd w:id="40"/>
      <w:bookmarkEnd w:id="41"/>
      <w:bookmarkEnd w:id="42"/>
    </w:p>
    <w:p w14:paraId="1747E906">
      <w:pPr>
        <w:keepNext w:val="0"/>
        <w:keepLines w:val="0"/>
        <w:pageBreakBefore w:val="0"/>
        <w:widowControl w:val="0"/>
        <w:kinsoku/>
        <w:wordWrap/>
        <w:overflowPunct/>
        <w:topLinePunct w:val="0"/>
        <w:autoSpaceDE/>
        <w:autoSpaceDN/>
        <w:bidi w:val="0"/>
        <w:adjustRightInd/>
        <w:snapToGrid/>
        <w:spacing w:beforeAutospacing="0" w:afterAutospacing="0" w:line="480" w:lineRule="exact"/>
        <w:ind w:left="0" w:leftChars="0" w:firstLine="480" w:firstLineChars="200"/>
        <w:textAlignment w:val="auto"/>
        <w:rPr>
          <w:rFonts w:hint="eastAsia" w:asciiTheme="minorEastAsia" w:hAnsiTheme="minorEastAsia" w:eastAsiaTheme="minorEastAsia" w:cstheme="minorEastAsia"/>
          <w:color w:val="auto"/>
          <w:kern w:val="2"/>
          <w:sz w:val="24"/>
          <w:szCs w:val="24"/>
          <w:highlight w:val="none"/>
          <w:lang w:val="en-US" w:eastAsia="zh-CN" w:bidi="ar-SA"/>
        </w:rPr>
      </w:pPr>
      <w:r>
        <w:rPr>
          <w:rFonts w:hint="eastAsia" w:asciiTheme="minorEastAsia" w:hAnsiTheme="minorEastAsia" w:eastAsiaTheme="minorEastAsia" w:cstheme="minorEastAsia"/>
          <w:color w:val="auto"/>
          <w:kern w:val="2"/>
          <w:sz w:val="24"/>
          <w:szCs w:val="24"/>
          <w:highlight w:val="none"/>
          <w:lang w:val="en-US" w:eastAsia="zh-CN" w:bidi="ar-SA"/>
        </w:rPr>
        <w:t>自本公告发布之日起5个工作日。</w:t>
      </w:r>
    </w:p>
    <w:p w14:paraId="6B4FEC7B">
      <w:pPr>
        <w:pStyle w:val="3"/>
        <w:pageBreakBefore w:val="0"/>
        <w:widowControl w:val="0"/>
        <w:kinsoku/>
        <w:wordWrap/>
        <w:overflowPunct/>
        <w:topLinePunct w:val="0"/>
        <w:autoSpaceDE/>
        <w:autoSpaceDN/>
        <w:bidi w:val="0"/>
        <w:adjustRightInd/>
        <w:snapToGrid/>
        <w:spacing w:before="0" w:beforeAutospacing="0" w:after="0" w:afterAutospacing="0" w:line="480" w:lineRule="exact"/>
        <w:ind w:left="0" w:leftChars="0" w:firstLine="0" w:firstLineChars="0"/>
        <w:jc w:val="both"/>
        <w:textAlignment w:val="auto"/>
        <w:rPr>
          <w:rFonts w:hint="eastAsia" w:asciiTheme="minorEastAsia" w:hAnsiTheme="minorEastAsia" w:eastAsiaTheme="minorEastAsia" w:cstheme="minorEastAsia"/>
          <w:b/>
          <w:bCs w:val="0"/>
          <w:i w:val="0"/>
          <w:iCs w:val="0"/>
          <w:color w:val="auto"/>
          <w:sz w:val="24"/>
          <w:szCs w:val="24"/>
          <w:highlight w:val="none"/>
        </w:rPr>
      </w:pPr>
      <w:bookmarkStart w:id="43" w:name="_Toc35393626"/>
      <w:bookmarkStart w:id="44" w:name="_Toc664"/>
      <w:bookmarkStart w:id="45" w:name="_Toc35393795"/>
      <w:r>
        <w:rPr>
          <w:rFonts w:hint="eastAsia" w:asciiTheme="minorEastAsia" w:hAnsiTheme="minorEastAsia" w:eastAsiaTheme="minorEastAsia" w:cstheme="minorEastAsia"/>
          <w:b/>
          <w:bCs w:val="0"/>
          <w:i w:val="0"/>
          <w:iCs w:val="0"/>
          <w:color w:val="auto"/>
          <w:sz w:val="24"/>
          <w:szCs w:val="24"/>
          <w:highlight w:val="none"/>
        </w:rPr>
        <w:t>六、其他补充事宜</w:t>
      </w:r>
      <w:bookmarkEnd w:id="43"/>
      <w:bookmarkEnd w:id="44"/>
      <w:bookmarkEnd w:id="45"/>
    </w:p>
    <w:p w14:paraId="08AEC64F">
      <w:pPr>
        <w:keepNext w:val="0"/>
        <w:keepLines w:val="0"/>
        <w:pageBreakBefore w:val="0"/>
        <w:widowControl w:val="0"/>
        <w:kinsoku/>
        <w:wordWrap/>
        <w:overflowPunct/>
        <w:topLinePunct w:val="0"/>
        <w:autoSpaceDE/>
        <w:autoSpaceDN/>
        <w:bidi w:val="0"/>
        <w:adjustRightInd/>
        <w:snapToGrid w:val="0"/>
        <w:spacing w:beforeAutospacing="0" w:afterAutospacing="0" w:line="480" w:lineRule="exact"/>
        <w:ind w:left="0" w:leftChars="0" w:firstLine="480" w:firstLineChars="200"/>
        <w:textAlignment w:val="auto"/>
        <w:rPr>
          <w:rFonts w:hint="eastAsia" w:asciiTheme="minorEastAsia" w:hAnsiTheme="minorEastAsia" w:eastAsiaTheme="minorEastAsia" w:cstheme="minorEastAsia"/>
          <w:i w:val="0"/>
          <w:iCs w:val="0"/>
          <w:color w:val="auto"/>
          <w:kern w:val="0"/>
          <w:sz w:val="24"/>
          <w:szCs w:val="24"/>
          <w:highlight w:val="none"/>
          <w:lang w:eastAsia="zh-CN"/>
        </w:rPr>
      </w:pPr>
      <w:bookmarkStart w:id="46" w:name="_Toc28359008"/>
      <w:bookmarkStart w:id="47" w:name="_Toc35393796"/>
      <w:bookmarkStart w:id="48" w:name="_Toc35393627"/>
      <w:bookmarkStart w:id="49" w:name="_Toc28359085"/>
      <w:r>
        <w:rPr>
          <w:rFonts w:hint="eastAsia" w:asciiTheme="minorEastAsia" w:hAnsiTheme="minorEastAsia" w:eastAsiaTheme="minorEastAsia" w:cstheme="minorEastAsia"/>
          <w:i w:val="0"/>
          <w:iCs w:val="0"/>
          <w:color w:val="auto"/>
          <w:kern w:val="0"/>
          <w:sz w:val="24"/>
          <w:szCs w:val="24"/>
          <w:highlight w:val="none"/>
        </w:rPr>
        <w:t>1、本项目实行网上投标，采用电子投标文件</w:t>
      </w:r>
      <w:r>
        <w:rPr>
          <w:rFonts w:hint="eastAsia" w:asciiTheme="minorEastAsia" w:hAnsiTheme="minorEastAsia" w:eastAsiaTheme="minorEastAsia" w:cstheme="minorEastAsia"/>
          <w:i w:val="0"/>
          <w:iCs w:val="0"/>
          <w:color w:val="auto"/>
          <w:kern w:val="0"/>
          <w:sz w:val="24"/>
          <w:szCs w:val="24"/>
          <w:highlight w:val="none"/>
          <w:lang w:eastAsia="zh-CN"/>
        </w:rPr>
        <w:t>。</w:t>
      </w:r>
    </w:p>
    <w:p w14:paraId="5310D1D9">
      <w:pPr>
        <w:keepNext w:val="0"/>
        <w:keepLines w:val="0"/>
        <w:pageBreakBefore w:val="0"/>
        <w:widowControl w:val="0"/>
        <w:kinsoku/>
        <w:wordWrap/>
        <w:overflowPunct/>
        <w:topLinePunct w:val="0"/>
        <w:autoSpaceDE/>
        <w:autoSpaceDN/>
        <w:bidi w:val="0"/>
        <w:adjustRightInd/>
        <w:snapToGrid w:val="0"/>
        <w:spacing w:beforeAutospacing="0" w:afterAutospacing="0" w:line="480" w:lineRule="exact"/>
        <w:ind w:left="0" w:leftChars="0" w:firstLine="480" w:firstLineChars="200"/>
        <w:textAlignment w:val="auto"/>
        <w:rPr>
          <w:rFonts w:hint="eastAsia" w:asciiTheme="minorEastAsia" w:hAnsiTheme="minorEastAsia" w:eastAsiaTheme="minorEastAsia" w:cstheme="minorEastAsia"/>
          <w:i w:val="0"/>
          <w:iCs w:val="0"/>
          <w:color w:val="auto"/>
          <w:kern w:val="0"/>
          <w:sz w:val="24"/>
          <w:szCs w:val="24"/>
          <w:highlight w:val="none"/>
          <w:lang w:eastAsia="zh-CN"/>
        </w:rPr>
      </w:pPr>
      <w:r>
        <w:rPr>
          <w:rFonts w:hint="eastAsia" w:asciiTheme="minorEastAsia" w:hAnsiTheme="minorEastAsia" w:eastAsiaTheme="minorEastAsia" w:cstheme="minorEastAsia"/>
          <w:i w:val="0"/>
          <w:iCs w:val="0"/>
          <w:color w:val="auto"/>
          <w:kern w:val="0"/>
          <w:sz w:val="24"/>
          <w:szCs w:val="24"/>
          <w:highlight w:val="none"/>
        </w:rPr>
        <w:t>2、各投标人应在开标前应确保成为政采云平台</w:t>
      </w:r>
      <w:r>
        <w:rPr>
          <w:rFonts w:hint="eastAsia" w:asciiTheme="minorEastAsia" w:hAnsiTheme="minorEastAsia" w:eastAsiaTheme="minorEastAsia" w:cstheme="minorEastAsia"/>
          <w:i w:val="0"/>
          <w:iCs w:val="0"/>
          <w:color w:val="auto"/>
          <w:kern w:val="0"/>
          <w:sz w:val="24"/>
          <w:szCs w:val="24"/>
          <w:highlight w:val="none"/>
          <w:lang w:eastAsia="zh-CN"/>
        </w:rPr>
        <w:t>投标人</w:t>
      </w:r>
      <w:r>
        <w:rPr>
          <w:rFonts w:hint="eastAsia" w:asciiTheme="minorEastAsia" w:hAnsiTheme="minorEastAsia" w:eastAsiaTheme="minorEastAsia" w:cstheme="minorEastAsia"/>
          <w:i w:val="0"/>
          <w:iCs w:val="0"/>
          <w:color w:val="auto"/>
          <w:kern w:val="0"/>
          <w:sz w:val="24"/>
          <w:szCs w:val="24"/>
          <w:highlight w:val="none"/>
        </w:rPr>
        <w:t>，并完成CA数字证书（符合国密标准）申领。因未注册入库、未办理CA数字证书等原因造成无法投标或投标失败等后果由投标人自行承担。有意向参与区域电子开评标的</w:t>
      </w:r>
      <w:r>
        <w:rPr>
          <w:rFonts w:hint="eastAsia" w:asciiTheme="minorEastAsia" w:hAnsiTheme="minorEastAsia" w:eastAsiaTheme="minorEastAsia" w:cstheme="minorEastAsia"/>
          <w:i w:val="0"/>
          <w:iCs w:val="0"/>
          <w:color w:val="auto"/>
          <w:kern w:val="0"/>
          <w:sz w:val="24"/>
          <w:szCs w:val="24"/>
          <w:highlight w:val="none"/>
          <w:lang w:eastAsia="zh-CN"/>
        </w:rPr>
        <w:t>投标人</w:t>
      </w:r>
      <w:r>
        <w:rPr>
          <w:rFonts w:hint="eastAsia" w:asciiTheme="minorEastAsia" w:hAnsiTheme="minorEastAsia" w:eastAsiaTheme="minorEastAsia" w:cstheme="minorEastAsia"/>
          <w:i w:val="0"/>
          <w:iCs w:val="0"/>
          <w:color w:val="auto"/>
          <w:kern w:val="0"/>
          <w:sz w:val="24"/>
          <w:szCs w:val="24"/>
          <w:highlight w:val="none"/>
        </w:rPr>
        <w:t>，可访问新疆数字证书认证中心官方网站（https://www.xjca.com.cn/）或下载“新疆政务通”APP自行进行申领。如需咨询，请联系新疆CA服务热线0991-2819290</w:t>
      </w:r>
      <w:r>
        <w:rPr>
          <w:rFonts w:hint="eastAsia" w:asciiTheme="minorEastAsia" w:hAnsiTheme="minorEastAsia" w:eastAsiaTheme="minorEastAsia" w:cstheme="minorEastAsia"/>
          <w:i w:val="0"/>
          <w:iCs w:val="0"/>
          <w:color w:val="auto"/>
          <w:kern w:val="0"/>
          <w:sz w:val="24"/>
          <w:szCs w:val="24"/>
          <w:highlight w:val="none"/>
          <w:lang w:eastAsia="zh-CN"/>
        </w:rPr>
        <w:t>。</w:t>
      </w:r>
    </w:p>
    <w:p w14:paraId="392606B2">
      <w:pPr>
        <w:keepNext w:val="0"/>
        <w:keepLines w:val="0"/>
        <w:pageBreakBefore w:val="0"/>
        <w:widowControl w:val="0"/>
        <w:kinsoku/>
        <w:wordWrap/>
        <w:overflowPunct/>
        <w:topLinePunct w:val="0"/>
        <w:autoSpaceDE/>
        <w:autoSpaceDN/>
        <w:bidi w:val="0"/>
        <w:adjustRightInd/>
        <w:snapToGrid/>
        <w:spacing w:beforeAutospacing="0" w:afterAutospacing="0" w:line="480" w:lineRule="exact"/>
        <w:ind w:left="0" w:leftChars="0" w:firstLine="480" w:firstLineChars="200"/>
        <w:textAlignment w:val="auto"/>
        <w:rPr>
          <w:rFonts w:hint="eastAsia" w:asciiTheme="minorEastAsia" w:hAnsiTheme="minorEastAsia" w:eastAsiaTheme="minorEastAsia" w:cstheme="minorEastAsia"/>
          <w:b w:val="0"/>
          <w:bCs w:val="0"/>
          <w:color w:val="auto"/>
          <w:kern w:val="2"/>
          <w:sz w:val="24"/>
          <w:szCs w:val="24"/>
          <w:highlight w:val="none"/>
          <w:lang w:val="en-US" w:eastAsia="zh-CN" w:bidi="ar-SA"/>
        </w:rPr>
      </w:pPr>
      <w:r>
        <w:rPr>
          <w:rFonts w:hint="eastAsia" w:asciiTheme="minorEastAsia" w:hAnsiTheme="minorEastAsia" w:eastAsiaTheme="minorEastAsia" w:cstheme="minorEastAsia"/>
          <w:i w:val="0"/>
          <w:iCs w:val="0"/>
          <w:color w:val="auto"/>
          <w:kern w:val="0"/>
          <w:sz w:val="24"/>
          <w:szCs w:val="24"/>
          <w:highlight w:val="none"/>
        </w:rPr>
        <w:t>3、</w:t>
      </w:r>
      <w:r>
        <w:rPr>
          <w:rFonts w:hint="eastAsia" w:asciiTheme="minorEastAsia" w:hAnsiTheme="minorEastAsia" w:eastAsiaTheme="minorEastAsia" w:cstheme="minorEastAsia"/>
          <w:i w:val="0"/>
          <w:iCs w:val="0"/>
          <w:color w:val="auto"/>
          <w:kern w:val="0"/>
          <w:sz w:val="24"/>
          <w:szCs w:val="24"/>
          <w:highlight w:val="none"/>
          <w:lang w:eastAsia="zh-CN"/>
        </w:rPr>
        <w:t>投标人</w:t>
      </w:r>
      <w:r>
        <w:rPr>
          <w:rFonts w:hint="eastAsia" w:asciiTheme="minorEastAsia" w:hAnsiTheme="minorEastAsia" w:eastAsiaTheme="minorEastAsia" w:cstheme="minorEastAsia"/>
          <w:i w:val="0"/>
          <w:iCs w:val="0"/>
          <w:color w:val="auto"/>
          <w:kern w:val="0"/>
          <w:sz w:val="24"/>
          <w:szCs w:val="24"/>
          <w:highlight w:val="none"/>
        </w:rPr>
        <w:t>将政采云电子交易客户端下载、安装完成后，可通过账号密码或CA登录客户端进行投标文件的制作。在使用政采云投标客户端时，建议使用WIN7（64位）及以上操作系统。客户端请至</w:t>
      </w:r>
      <w:r>
        <w:rPr>
          <w:rFonts w:hint="eastAsia" w:asciiTheme="minorEastAsia" w:hAnsiTheme="minorEastAsia" w:eastAsiaTheme="minorEastAsia" w:cstheme="minorEastAsia"/>
          <w:i w:val="0"/>
          <w:iCs w:val="0"/>
          <w:color w:val="auto"/>
          <w:kern w:val="0"/>
          <w:sz w:val="24"/>
          <w:szCs w:val="24"/>
          <w:highlight w:val="none"/>
          <w:lang w:val="en-US" w:eastAsia="zh-CN"/>
        </w:rPr>
        <w:t>新疆</w:t>
      </w:r>
      <w:r>
        <w:rPr>
          <w:rFonts w:hint="eastAsia" w:asciiTheme="minorEastAsia" w:hAnsiTheme="minorEastAsia" w:eastAsiaTheme="minorEastAsia" w:cstheme="minorEastAsia"/>
          <w:i w:val="0"/>
          <w:iCs w:val="0"/>
          <w:color w:val="auto"/>
          <w:kern w:val="0"/>
          <w:sz w:val="24"/>
          <w:szCs w:val="24"/>
          <w:highlight w:val="none"/>
        </w:rPr>
        <w:t>政府采购网（http://ccgp-bingtuan.gov.cn/）下载专区查看，如有问题可拨打政采云客户服务热线400-881-7190进行咨询。如因</w:t>
      </w:r>
      <w:r>
        <w:rPr>
          <w:rFonts w:hint="eastAsia" w:asciiTheme="minorEastAsia" w:hAnsiTheme="minorEastAsia" w:eastAsiaTheme="minorEastAsia" w:cstheme="minorEastAsia"/>
          <w:i w:val="0"/>
          <w:iCs w:val="0"/>
          <w:color w:val="auto"/>
          <w:kern w:val="0"/>
          <w:sz w:val="24"/>
          <w:szCs w:val="24"/>
          <w:highlight w:val="none"/>
          <w:lang w:eastAsia="zh-CN"/>
        </w:rPr>
        <w:t>投标人</w:t>
      </w:r>
      <w:r>
        <w:rPr>
          <w:rFonts w:hint="eastAsia" w:asciiTheme="minorEastAsia" w:hAnsiTheme="minorEastAsia" w:eastAsiaTheme="minorEastAsia" w:cstheme="minorEastAsia"/>
          <w:i w:val="0"/>
          <w:iCs w:val="0"/>
          <w:color w:val="auto"/>
          <w:kern w:val="0"/>
          <w:sz w:val="24"/>
          <w:szCs w:val="24"/>
          <w:highlight w:val="none"/>
        </w:rPr>
        <w:t>自身原因导致在规定时间内无法正常解密的（如：浏览器故障、未安装相关驱动、网络故障、加密CA与解密CA不一致等），采购中心/代理机构不予异常处理，视为</w:t>
      </w:r>
      <w:r>
        <w:rPr>
          <w:rFonts w:hint="eastAsia" w:asciiTheme="minorEastAsia" w:hAnsiTheme="minorEastAsia" w:eastAsiaTheme="minorEastAsia" w:cstheme="minorEastAsia"/>
          <w:i w:val="0"/>
          <w:iCs w:val="0"/>
          <w:color w:val="auto"/>
          <w:kern w:val="0"/>
          <w:sz w:val="24"/>
          <w:szCs w:val="24"/>
          <w:highlight w:val="none"/>
          <w:lang w:eastAsia="zh-CN"/>
        </w:rPr>
        <w:t>投标人</w:t>
      </w:r>
      <w:r>
        <w:rPr>
          <w:rFonts w:hint="eastAsia" w:asciiTheme="minorEastAsia" w:hAnsiTheme="minorEastAsia" w:eastAsiaTheme="minorEastAsia" w:cstheme="minorEastAsia"/>
          <w:i w:val="0"/>
          <w:iCs w:val="0"/>
          <w:color w:val="auto"/>
          <w:kern w:val="0"/>
          <w:sz w:val="24"/>
          <w:szCs w:val="24"/>
          <w:highlight w:val="none"/>
        </w:rPr>
        <w:t>自动弃标。</w:t>
      </w:r>
    </w:p>
    <w:p w14:paraId="64078E6C">
      <w:pPr>
        <w:pStyle w:val="3"/>
        <w:pageBreakBefore w:val="0"/>
        <w:widowControl w:val="0"/>
        <w:kinsoku/>
        <w:wordWrap/>
        <w:overflowPunct/>
        <w:topLinePunct w:val="0"/>
        <w:autoSpaceDE/>
        <w:autoSpaceDN/>
        <w:bidi w:val="0"/>
        <w:adjustRightInd/>
        <w:snapToGrid/>
        <w:spacing w:before="0" w:beforeAutospacing="0" w:after="0" w:afterAutospacing="0" w:line="480" w:lineRule="exact"/>
        <w:ind w:left="0" w:leftChars="0" w:firstLine="0" w:firstLineChars="0"/>
        <w:jc w:val="both"/>
        <w:textAlignment w:val="auto"/>
        <w:rPr>
          <w:rFonts w:hint="eastAsia" w:asciiTheme="minorEastAsia" w:hAnsiTheme="minorEastAsia" w:eastAsiaTheme="minorEastAsia" w:cstheme="minorEastAsia"/>
          <w:b/>
          <w:bCs w:val="0"/>
          <w:i w:val="0"/>
          <w:iCs w:val="0"/>
          <w:color w:val="auto"/>
          <w:sz w:val="24"/>
          <w:szCs w:val="24"/>
          <w:highlight w:val="none"/>
        </w:rPr>
      </w:pPr>
      <w:bookmarkStart w:id="50" w:name="_Toc31618"/>
      <w:r>
        <w:rPr>
          <w:rFonts w:hint="eastAsia" w:asciiTheme="minorEastAsia" w:hAnsiTheme="minorEastAsia" w:eastAsiaTheme="minorEastAsia" w:cstheme="minorEastAsia"/>
          <w:b/>
          <w:bCs w:val="0"/>
          <w:i w:val="0"/>
          <w:iCs w:val="0"/>
          <w:color w:val="auto"/>
          <w:sz w:val="24"/>
          <w:szCs w:val="24"/>
          <w:highlight w:val="none"/>
        </w:rPr>
        <w:t>七、对本次招标提出询问，请按以下方式联系</w:t>
      </w:r>
      <w:bookmarkEnd w:id="46"/>
      <w:bookmarkEnd w:id="47"/>
      <w:bookmarkEnd w:id="48"/>
      <w:bookmarkEnd w:id="49"/>
      <w:bookmarkEnd w:id="50"/>
    </w:p>
    <w:p w14:paraId="112470C2">
      <w:pPr>
        <w:keepNext w:val="0"/>
        <w:keepLines w:val="0"/>
        <w:pageBreakBefore w:val="0"/>
        <w:widowControl/>
        <w:kinsoku/>
        <w:wordWrap/>
        <w:overflowPunct/>
        <w:topLinePunct w:val="0"/>
        <w:autoSpaceDE/>
        <w:autoSpaceDN/>
        <w:bidi w:val="0"/>
        <w:adjustRightInd/>
        <w:snapToGrid/>
        <w:spacing w:beforeAutospacing="0" w:afterAutospacing="0" w:line="480" w:lineRule="exact"/>
        <w:ind w:left="0" w:leftChars="0" w:firstLine="480" w:firstLineChars="200"/>
        <w:jc w:val="left"/>
        <w:textAlignment w:val="auto"/>
        <w:rPr>
          <w:rFonts w:hint="eastAsia"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1.采购人信息</w:t>
      </w:r>
    </w:p>
    <w:p w14:paraId="31C45C9C">
      <w:pPr>
        <w:keepNext w:val="0"/>
        <w:keepLines w:val="0"/>
        <w:pageBreakBefore w:val="0"/>
        <w:kinsoku/>
        <w:wordWrap/>
        <w:overflowPunct/>
        <w:topLinePunct w:val="0"/>
        <w:autoSpaceDE/>
        <w:autoSpaceDN/>
        <w:bidi w:val="0"/>
        <w:adjustRightInd/>
        <w:snapToGrid/>
        <w:spacing w:beforeAutospacing="0" w:afterAutospacing="0" w:line="480" w:lineRule="exact"/>
        <w:ind w:left="0" w:leftChars="0" w:firstLine="480" w:firstLineChars="200"/>
        <w:jc w:val="left"/>
        <w:textAlignment w:val="auto"/>
        <w:rPr>
          <w:rFonts w:hint="eastAsia" w:asciiTheme="minorEastAsia" w:hAnsiTheme="minorEastAsia" w:eastAsiaTheme="minorEastAsia" w:cstheme="minorEastAsia"/>
          <w:i w:val="0"/>
          <w:iCs w:val="0"/>
          <w:color w:val="auto"/>
          <w:sz w:val="24"/>
          <w:szCs w:val="24"/>
          <w:highlight w:val="none"/>
          <w:u w:val="none"/>
          <w:lang w:val="en-US" w:eastAsia="zh-CN"/>
        </w:rPr>
      </w:pPr>
      <w:r>
        <w:rPr>
          <w:rFonts w:hint="eastAsia" w:asciiTheme="minorEastAsia" w:hAnsiTheme="minorEastAsia" w:eastAsiaTheme="minorEastAsia" w:cstheme="minorEastAsia"/>
          <w:i w:val="0"/>
          <w:iCs w:val="0"/>
          <w:color w:val="auto"/>
          <w:sz w:val="24"/>
          <w:szCs w:val="24"/>
          <w:highlight w:val="none"/>
          <w:u w:val="none"/>
        </w:rPr>
        <w:t>名 称：</w:t>
      </w:r>
      <w:r>
        <w:rPr>
          <w:rFonts w:hint="eastAsia" w:asciiTheme="minorEastAsia" w:hAnsiTheme="minorEastAsia" w:eastAsiaTheme="minorEastAsia" w:cstheme="minorEastAsia"/>
          <w:i w:val="0"/>
          <w:iCs w:val="0"/>
          <w:color w:val="auto"/>
          <w:sz w:val="24"/>
          <w:szCs w:val="24"/>
          <w:highlight w:val="none"/>
          <w:u w:val="none"/>
          <w:lang w:val="en-US" w:eastAsia="zh-CN"/>
        </w:rPr>
        <w:t xml:space="preserve">伊宁县教育局 </w:t>
      </w:r>
    </w:p>
    <w:p w14:paraId="13647101">
      <w:pPr>
        <w:keepNext w:val="0"/>
        <w:keepLines w:val="0"/>
        <w:pageBreakBefore w:val="0"/>
        <w:kinsoku/>
        <w:wordWrap/>
        <w:overflowPunct/>
        <w:topLinePunct w:val="0"/>
        <w:autoSpaceDE/>
        <w:autoSpaceDN/>
        <w:bidi w:val="0"/>
        <w:adjustRightInd/>
        <w:snapToGrid/>
        <w:spacing w:beforeAutospacing="0" w:afterAutospacing="0" w:line="480" w:lineRule="exact"/>
        <w:ind w:left="0" w:leftChars="0" w:firstLine="480" w:firstLineChars="200"/>
        <w:jc w:val="left"/>
        <w:textAlignment w:val="auto"/>
        <w:rPr>
          <w:rFonts w:hint="eastAsia" w:asciiTheme="minorEastAsia" w:hAnsiTheme="minorEastAsia" w:eastAsiaTheme="minorEastAsia" w:cstheme="minorEastAsia"/>
          <w:i w:val="0"/>
          <w:iCs w:val="0"/>
          <w:color w:val="auto"/>
          <w:sz w:val="24"/>
          <w:szCs w:val="24"/>
          <w:highlight w:val="none"/>
          <w:u w:val="none"/>
          <w:lang w:val="en-US"/>
        </w:rPr>
      </w:pPr>
      <w:r>
        <w:rPr>
          <w:rFonts w:hint="eastAsia" w:asciiTheme="minorEastAsia" w:hAnsiTheme="minorEastAsia" w:eastAsiaTheme="minorEastAsia" w:cstheme="minorEastAsia"/>
          <w:i w:val="0"/>
          <w:iCs w:val="0"/>
          <w:color w:val="auto"/>
          <w:sz w:val="24"/>
          <w:szCs w:val="24"/>
          <w:highlight w:val="none"/>
          <w:u w:val="none"/>
        </w:rPr>
        <w:t>地</w:t>
      </w:r>
      <w:r>
        <w:rPr>
          <w:rFonts w:hint="eastAsia" w:asciiTheme="minorEastAsia" w:hAnsiTheme="minorEastAsia" w:eastAsiaTheme="minorEastAsia" w:cstheme="minorEastAsia"/>
          <w:i w:val="0"/>
          <w:iCs w:val="0"/>
          <w:color w:val="auto"/>
          <w:sz w:val="24"/>
          <w:szCs w:val="24"/>
          <w:highlight w:val="none"/>
          <w:u w:val="none"/>
          <w:lang w:val="en-US" w:eastAsia="zh-CN"/>
        </w:rPr>
        <w:t xml:space="preserve"> </w:t>
      </w:r>
      <w:r>
        <w:rPr>
          <w:rFonts w:hint="eastAsia" w:asciiTheme="minorEastAsia" w:hAnsiTheme="minorEastAsia" w:eastAsiaTheme="minorEastAsia" w:cstheme="minorEastAsia"/>
          <w:i w:val="0"/>
          <w:iCs w:val="0"/>
          <w:color w:val="auto"/>
          <w:sz w:val="24"/>
          <w:szCs w:val="24"/>
          <w:highlight w:val="none"/>
          <w:u w:val="none"/>
        </w:rPr>
        <w:t>址：</w:t>
      </w:r>
      <w:r>
        <w:rPr>
          <w:rFonts w:hint="eastAsia" w:asciiTheme="minorEastAsia" w:hAnsiTheme="minorEastAsia" w:eastAsiaTheme="minorEastAsia" w:cstheme="minorEastAsia"/>
          <w:i w:val="0"/>
          <w:iCs w:val="0"/>
          <w:color w:val="auto"/>
          <w:sz w:val="24"/>
          <w:szCs w:val="24"/>
          <w:highlight w:val="none"/>
          <w:u w:val="none"/>
          <w:lang w:val="en-US" w:eastAsia="zh-CN"/>
        </w:rPr>
        <w:t xml:space="preserve">伊宁县教育局 </w:t>
      </w:r>
    </w:p>
    <w:p w14:paraId="3A9A272A">
      <w:pPr>
        <w:pStyle w:val="12"/>
        <w:keepNext w:val="0"/>
        <w:keepLines w:val="0"/>
        <w:pageBreakBefore w:val="0"/>
        <w:kinsoku/>
        <w:wordWrap/>
        <w:overflowPunct/>
        <w:topLinePunct w:val="0"/>
        <w:bidi w:val="0"/>
        <w:snapToGrid/>
        <w:spacing w:line="390" w:lineRule="exact"/>
        <w:ind w:right="0" w:rightChars="0" w:firstLine="480" w:firstLineChars="200"/>
        <w:textAlignment w:val="auto"/>
        <w:rPr>
          <w:rFonts w:hint="default" w:asciiTheme="minorEastAsia" w:hAnsiTheme="minorEastAsia" w:eastAsiaTheme="minorEastAsia" w:cstheme="minorEastAsia"/>
          <w:i w:val="0"/>
          <w:iCs w:val="0"/>
          <w:color w:val="auto"/>
          <w:kern w:val="2"/>
          <w:sz w:val="24"/>
          <w:szCs w:val="24"/>
          <w:highlight w:val="none"/>
          <w:u w:val="none"/>
          <w:lang w:val="en-US" w:eastAsia="zh-CN" w:bidi="ar-SA"/>
        </w:rPr>
      </w:pPr>
      <w:bookmarkStart w:id="51" w:name="_Toc28359086"/>
      <w:bookmarkStart w:id="52" w:name="_Toc28359009"/>
      <w:r>
        <w:rPr>
          <w:rFonts w:hint="eastAsia" w:asciiTheme="minorEastAsia" w:hAnsiTheme="minorEastAsia" w:eastAsiaTheme="minorEastAsia" w:cstheme="minorEastAsia"/>
          <w:i w:val="0"/>
          <w:iCs w:val="0"/>
          <w:color w:val="auto"/>
          <w:kern w:val="2"/>
          <w:sz w:val="24"/>
          <w:szCs w:val="24"/>
          <w:highlight w:val="none"/>
          <w:u w:val="none"/>
          <w:lang w:val="zh-CN" w:eastAsia="zh-CN" w:bidi="ar-SA"/>
        </w:rPr>
        <w:t>联系人：</w:t>
      </w:r>
      <w:r>
        <w:rPr>
          <w:rFonts w:hint="eastAsia" w:asciiTheme="minorEastAsia" w:hAnsiTheme="minorEastAsia" w:eastAsiaTheme="minorEastAsia" w:cstheme="minorEastAsia"/>
          <w:i w:val="0"/>
          <w:iCs w:val="0"/>
          <w:color w:val="auto"/>
          <w:kern w:val="2"/>
          <w:sz w:val="24"/>
          <w:szCs w:val="24"/>
          <w:highlight w:val="none"/>
          <w:u w:val="none"/>
          <w:lang w:val="en-US" w:eastAsia="zh-CN" w:bidi="ar-SA"/>
        </w:rPr>
        <w:t>樊老师</w:t>
      </w:r>
    </w:p>
    <w:p w14:paraId="36001866">
      <w:pPr>
        <w:keepNext w:val="0"/>
        <w:keepLines w:val="0"/>
        <w:pageBreakBefore w:val="0"/>
        <w:kinsoku/>
        <w:wordWrap/>
        <w:overflowPunct/>
        <w:topLinePunct w:val="0"/>
        <w:autoSpaceDE/>
        <w:autoSpaceDN/>
        <w:bidi w:val="0"/>
        <w:adjustRightInd/>
        <w:snapToGrid/>
        <w:spacing w:beforeAutospacing="0" w:afterAutospacing="0" w:line="480" w:lineRule="exact"/>
        <w:ind w:left="0" w:leftChars="0" w:firstLine="480" w:firstLineChars="200"/>
        <w:jc w:val="left"/>
        <w:textAlignment w:val="auto"/>
        <w:rPr>
          <w:rFonts w:hint="eastAsia" w:asciiTheme="minorEastAsia" w:hAnsiTheme="minorEastAsia" w:eastAsiaTheme="minorEastAsia" w:cstheme="minorEastAsia"/>
          <w:i w:val="0"/>
          <w:iCs w:val="0"/>
          <w:color w:val="auto"/>
          <w:kern w:val="2"/>
          <w:sz w:val="24"/>
          <w:szCs w:val="24"/>
          <w:highlight w:val="none"/>
          <w:u w:val="none"/>
          <w:lang w:val="en-US" w:eastAsia="zh-CN" w:bidi="ar-SA"/>
        </w:rPr>
      </w:pPr>
      <w:r>
        <w:rPr>
          <w:rFonts w:hint="eastAsia" w:asciiTheme="minorEastAsia" w:hAnsiTheme="minorEastAsia" w:eastAsiaTheme="minorEastAsia" w:cstheme="minorEastAsia"/>
          <w:i w:val="0"/>
          <w:iCs w:val="0"/>
          <w:color w:val="auto"/>
          <w:kern w:val="2"/>
          <w:sz w:val="24"/>
          <w:szCs w:val="24"/>
          <w:highlight w:val="none"/>
          <w:u w:val="none"/>
          <w:lang w:val="zh-CN" w:eastAsia="zh-CN" w:bidi="ar-SA"/>
        </w:rPr>
        <w:t>联系方式：</w:t>
      </w:r>
      <w:r>
        <w:rPr>
          <w:rFonts w:hint="eastAsia" w:asciiTheme="minorEastAsia" w:hAnsiTheme="minorEastAsia" w:eastAsiaTheme="minorEastAsia" w:cstheme="minorEastAsia"/>
          <w:i w:val="0"/>
          <w:iCs w:val="0"/>
          <w:color w:val="auto"/>
          <w:kern w:val="2"/>
          <w:sz w:val="24"/>
          <w:szCs w:val="24"/>
          <w:highlight w:val="none"/>
          <w:u w:val="none"/>
          <w:lang w:val="en-US" w:eastAsia="zh-CN" w:bidi="ar-SA"/>
        </w:rPr>
        <w:t>15999261962</w:t>
      </w:r>
    </w:p>
    <w:p w14:paraId="1C899673">
      <w:pPr>
        <w:keepNext w:val="0"/>
        <w:keepLines w:val="0"/>
        <w:pageBreakBefore w:val="0"/>
        <w:kinsoku/>
        <w:wordWrap/>
        <w:overflowPunct/>
        <w:topLinePunct w:val="0"/>
        <w:autoSpaceDE/>
        <w:autoSpaceDN/>
        <w:bidi w:val="0"/>
        <w:adjustRightInd/>
        <w:snapToGrid/>
        <w:spacing w:beforeAutospacing="0" w:afterAutospacing="0" w:line="480" w:lineRule="exact"/>
        <w:ind w:left="0" w:leftChars="0" w:firstLine="480" w:firstLineChars="200"/>
        <w:jc w:val="left"/>
        <w:textAlignment w:val="auto"/>
        <w:rPr>
          <w:rFonts w:hint="eastAsia" w:asciiTheme="minorEastAsia" w:hAnsiTheme="minorEastAsia" w:eastAsiaTheme="minorEastAsia" w:cstheme="minorEastAsia"/>
          <w:i w:val="0"/>
          <w:iCs w:val="0"/>
          <w:color w:val="auto"/>
          <w:sz w:val="24"/>
          <w:szCs w:val="24"/>
          <w:highlight w:val="none"/>
          <w:u w:val="none"/>
          <w:lang w:val="en-US" w:eastAsia="zh-CN"/>
        </w:rPr>
      </w:pPr>
      <w:r>
        <w:rPr>
          <w:rFonts w:hint="eastAsia" w:asciiTheme="minorEastAsia" w:hAnsiTheme="minorEastAsia" w:eastAsiaTheme="minorEastAsia" w:cstheme="minorEastAsia"/>
          <w:i w:val="0"/>
          <w:iCs w:val="0"/>
          <w:color w:val="auto"/>
          <w:sz w:val="24"/>
          <w:szCs w:val="24"/>
          <w:highlight w:val="none"/>
          <w:u w:val="none"/>
          <w:lang w:val="en-US" w:eastAsia="zh-CN"/>
        </w:rPr>
        <w:t>2.代理机构信息</w:t>
      </w:r>
      <w:bookmarkEnd w:id="51"/>
      <w:bookmarkEnd w:id="52"/>
    </w:p>
    <w:p w14:paraId="5CDE8D8C">
      <w:pPr>
        <w:keepNext w:val="0"/>
        <w:keepLines w:val="0"/>
        <w:pageBreakBefore w:val="0"/>
        <w:kinsoku/>
        <w:wordWrap/>
        <w:overflowPunct/>
        <w:topLinePunct w:val="0"/>
        <w:autoSpaceDE/>
        <w:autoSpaceDN/>
        <w:bidi w:val="0"/>
        <w:adjustRightInd/>
        <w:snapToGrid/>
        <w:spacing w:beforeAutospacing="0" w:afterAutospacing="0" w:line="480" w:lineRule="exact"/>
        <w:ind w:left="0" w:leftChars="0" w:firstLine="480" w:firstLineChars="200"/>
        <w:jc w:val="left"/>
        <w:textAlignment w:val="auto"/>
        <w:rPr>
          <w:rFonts w:hint="eastAsia" w:asciiTheme="minorEastAsia" w:hAnsiTheme="minorEastAsia" w:eastAsiaTheme="minorEastAsia" w:cstheme="minorEastAsia"/>
          <w:i w:val="0"/>
          <w:iCs w:val="0"/>
          <w:color w:val="auto"/>
          <w:sz w:val="24"/>
          <w:szCs w:val="24"/>
          <w:highlight w:val="none"/>
          <w:u w:val="none"/>
          <w:lang w:val="en-US" w:eastAsia="zh-CN"/>
        </w:rPr>
      </w:pPr>
      <w:r>
        <w:rPr>
          <w:rFonts w:hint="eastAsia" w:asciiTheme="minorEastAsia" w:hAnsiTheme="minorEastAsia" w:eastAsiaTheme="minorEastAsia" w:cstheme="minorEastAsia"/>
          <w:i w:val="0"/>
          <w:iCs w:val="0"/>
          <w:color w:val="auto"/>
          <w:sz w:val="24"/>
          <w:szCs w:val="24"/>
          <w:highlight w:val="none"/>
          <w:u w:val="none"/>
          <w:lang w:val="en-US" w:eastAsia="zh-CN"/>
        </w:rPr>
        <w:t>名 称：伊宁县政府采购中心</w:t>
      </w:r>
    </w:p>
    <w:p w14:paraId="0A2A0E8E">
      <w:pPr>
        <w:keepNext w:val="0"/>
        <w:keepLines w:val="0"/>
        <w:pageBreakBefore w:val="0"/>
        <w:kinsoku/>
        <w:wordWrap/>
        <w:overflowPunct/>
        <w:topLinePunct w:val="0"/>
        <w:autoSpaceDE/>
        <w:autoSpaceDN/>
        <w:bidi w:val="0"/>
        <w:adjustRightInd/>
        <w:snapToGrid/>
        <w:spacing w:beforeAutospacing="0" w:afterAutospacing="0" w:line="480" w:lineRule="exact"/>
        <w:ind w:left="0" w:leftChars="0" w:firstLine="480" w:firstLineChars="200"/>
        <w:jc w:val="left"/>
        <w:textAlignment w:val="auto"/>
        <w:rPr>
          <w:rFonts w:hint="eastAsia" w:asciiTheme="minorEastAsia" w:hAnsiTheme="minorEastAsia" w:eastAsiaTheme="minorEastAsia" w:cstheme="minorEastAsia"/>
          <w:i w:val="0"/>
          <w:iCs w:val="0"/>
          <w:color w:val="auto"/>
          <w:sz w:val="24"/>
          <w:szCs w:val="24"/>
          <w:highlight w:val="none"/>
          <w:u w:val="none"/>
          <w:lang w:val="en-US" w:eastAsia="zh-CN"/>
        </w:rPr>
      </w:pPr>
      <w:r>
        <w:rPr>
          <w:rFonts w:hint="eastAsia" w:asciiTheme="minorEastAsia" w:hAnsiTheme="minorEastAsia" w:eastAsiaTheme="minorEastAsia" w:cstheme="minorEastAsia"/>
          <w:i w:val="0"/>
          <w:iCs w:val="0"/>
          <w:color w:val="auto"/>
          <w:sz w:val="24"/>
          <w:szCs w:val="24"/>
          <w:highlight w:val="none"/>
          <w:u w:val="none"/>
          <w:lang w:val="en-US" w:eastAsia="zh-CN"/>
        </w:rPr>
        <w:t>地 址：伊宁县人民政府</w:t>
      </w:r>
    </w:p>
    <w:p w14:paraId="370BE2FA">
      <w:pPr>
        <w:keepNext w:val="0"/>
        <w:keepLines w:val="0"/>
        <w:pageBreakBefore w:val="0"/>
        <w:kinsoku/>
        <w:wordWrap/>
        <w:overflowPunct/>
        <w:topLinePunct w:val="0"/>
        <w:autoSpaceDE/>
        <w:autoSpaceDN/>
        <w:bidi w:val="0"/>
        <w:adjustRightInd/>
        <w:snapToGrid/>
        <w:spacing w:beforeAutospacing="0" w:afterAutospacing="0" w:line="480" w:lineRule="exact"/>
        <w:ind w:left="0" w:leftChars="0" w:firstLine="480" w:firstLineChars="200"/>
        <w:jc w:val="left"/>
        <w:textAlignment w:val="auto"/>
        <w:rPr>
          <w:rFonts w:hint="default" w:asciiTheme="minorEastAsia" w:hAnsiTheme="minorEastAsia" w:eastAsiaTheme="minorEastAsia" w:cstheme="minorEastAsia"/>
          <w:i w:val="0"/>
          <w:iCs w:val="0"/>
          <w:color w:val="auto"/>
          <w:sz w:val="24"/>
          <w:szCs w:val="24"/>
          <w:highlight w:val="none"/>
          <w:u w:val="none"/>
          <w:lang w:val="en-US" w:eastAsia="zh-CN"/>
        </w:rPr>
      </w:pPr>
      <w:r>
        <w:rPr>
          <w:rFonts w:hint="eastAsia" w:asciiTheme="minorEastAsia" w:hAnsiTheme="minorEastAsia" w:eastAsiaTheme="minorEastAsia" w:cstheme="minorEastAsia"/>
          <w:i w:val="0"/>
          <w:iCs w:val="0"/>
          <w:color w:val="auto"/>
          <w:sz w:val="24"/>
          <w:szCs w:val="24"/>
          <w:highlight w:val="none"/>
          <w:u w:val="none"/>
          <w:lang w:val="en-US" w:eastAsia="zh-CN"/>
        </w:rPr>
        <w:t>项目联系人：古丽老师</w:t>
      </w:r>
    </w:p>
    <w:p w14:paraId="48AE63B4">
      <w:pPr>
        <w:keepNext w:val="0"/>
        <w:keepLines w:val="0"/>
        <w:pageBreakBefore w:val="0"/>
        <w:kinsoku/>
        <w:wordWrap/>
        <w:overflowPunct/>
        <w:topLinePunct w:val="0"/>
        <w:autoSpaceDE/>
        <w:autoSpaceDN/>
        <w:bidi w:val="0"/>
        <w:adjustRightInd/>
        <w:snapToGrid/>
        <w:spacing w:beforeAutospacing="0" w:afterAutospacing="0" w:line="480" w:lineRule="exact"/>
        <w:ind w:left="0" w:leftChars="0" w:firstLine="480" w:firstLineChars="200"/>
        <w:jc w:val="left"/>
        <w:textAlignment w:val="auto"/>
        <w:rPr>
          <w:rFonts w:hint="eastAsia" w:asciiTheme="minorEastAsia" w:hAnsiTheme="minorEastAsia" w:eastAsiaTheme="minorEastAsia" w:cstheme="minorEastAsia"/>
          <w:i w:val="0"/>
          <w:iCs w:val="0"/>
          <w:color w:val="auto"/>
          <w:sz w:val="24"/>
          <w:szCs w:val="24"/>
          <w:highlight w:val="none"/>
          <w:u w:val="none"/>
        </w:rPr>
      </w:pPr>
      <w:r>
        <w:rPr>
          <w:rFonts w:hint="eastAsia" w:asciiTheme="minorEastAsia" w:hAnsiTheme="minorEastAsia" w:eastAsiaTheme="minorEastAsia" w:cstheme="minorEastAsia"/>
          <w:i w:val="0"/>
          <w:iCs w:val="0"/>
          <w:color w:val="auto"/>
          <w:sz w:val="24"/>
          <w:szCs w:val="24"/>
          <w:highlight w:val="none"/>
          <w:u w:val="none"/>
          <w:lang w:val="en-US" w:eastAsia="zh-CN"/>
        </w:rPr>
        <w:t>项目联系方式：18097887808</w:t>
      </w:r>
    </w:p>
    <w:p w14:paraId="0CB413B6">
      <w:pPr>
        <w:pageBreakBefore w:val="0"/>
        <w:kinsoku/>
        <w:wordWrap/>
        <w:overflowPunct/>
        <w:topLinePunct w:val="0"/>
        <w:autoSpaceDE/>
        <w:autoSpaceDN/>
        <w:bidi w:val="0"/>
        <w:adjustRightInd/>
        <w:spacing w:line="480" w:lineRule="exact"/>
        <w:textAlignment w:val="auto"/>
        <w:rPr>
          <w:rFonts w:hint="eastAsia" w:asciiTheme="minorEastAsia" w:hAnsiTheme="minorEastAsia" w:eastAsiaTheme="minorEastAsia" w:cstheme="minorEastAsia"/>
          <w:b/>
          <w:color w:val="auto"/>
          <w:kern w:val="44"/>
          <w:sz w:val="24"/>
          <w:szCs w:val="24"/>
          <w:highlight w:val="none"/>
        </w:rPr>
      </w:pPr>
      <w:r>
        <w:rPr>
          <w:rFonts w:hint="eastAsia" w:asciiTheme="minorEastAsia" w:hAnsiTheme="minorEastAsia" w:eastAsiaTheme="minorEastAsia" w:cstheme="minorEastAsia"/>
          <w:b/>
          <w:color w:val="auto"/>
          <w:kern w:val="44"/>
          <w:sz w:val="24"/>
          <w:szCs w:val="24"/>
          <w:highlight w:val="none"/>
        </w:rPr>
        <w:br w:type="page"/>
      </w:r>
    </w:p>
    <w:p w14:paraId="1A90D0DE">
      <w:pPr>
        <w:pStyle w:val="4"/>
        <w:pageBreakBefore w:val="0"/>
        <w:widowControl w:val="0"/>
        <w:kinsoku/>
        <w:wordWrap/>
        <w:overflowPunct/>
        <w:topLinePunct w:val="0"/>
        <w:bidi w:val="0"/>
        <w:snapToGrid/>
        <w:spacing w:line="480" w:lineRule="exact"/>
        <w:ind w:firstLine="0"/>
        <w:jc w:val="center"/>
        <w:textAlignment w:val="auto"/>
        <w:outlineLvl w:val="0"/>
        <w:rPr>
          <w:rFonts w:hint="eastAsia" w:ascii="黑体" w:hAnsi="宋体" w:eastAsia="黑体" w:cs="Times New Roman"/>
          <w:b/>
          <w:color w:val="auto"/>
          <w:kern w:val="44"/>
          <w:sz w:val="44"/>
          <w:szCs w:val="44"/>
          <w:highlight w:val="none"/>
        </w:rPr>
      </w:pPr>
      <w:bookmarkStart w:id="53" w:name="_Toc29688"/>
      <w:r>
        <w:rPr>
          <w:rFonts w:hint="eastAsia" w:ascii="黑体" w:hAnsi="宋体" w:eastAsia="黑体" w:cs="Times New Roman"/>
          <w:b/>
          <w:color w:val="auto"/>
          <w:kern w:val="44"/>
          <w:sz w:val="44"/>
          <w:szCs w:val="44"/>
          <w:highlight w:val="none"/>
        </w:rPr>
        <w:t>第二章</w:t>
      </w:r>
      <w:r>
        <w:rPr>
          <w:rFonts w:hint="eastAsia" w:ascii="黑体" w:hAnsi="宋体" w:eastAsia="黑体" w:cs="Times New Roman"/>
          <w:b/>
          <w:color w:val="auto"/>
          <w:kern w:val="44"/>
          <w:sz w:val="44"/>
          <w:szCs w:val="44"/>
          <w:highlight w:val="none"/>
          <w:lang w:val="en-US" w:eastAsia="zh-CN"/>
        </w:rPr>
        <w:t xml:space="preserve"> </w:t>
      </w:r>
      <w:r>
        <w:rPr>
          <w:rFonts w:hint="eastAsia" w:ascii="黑体" w:hAnsi="宋体" w:eastAsia="黑体" w:cs="Times New Roman"/>
          <w:b/>
          <w:color w:val="auto"/>
          <w:kern w:val="44"/>
          <w:sz w:val="44"/>
          <w:szCs w:val="44"/>
          <w:highlight w:val="none"/>
        </w:rPr>
        <w:t>投标人须知</w:t>
      </w:r>
      <w:bookmarkEnd w:id="7"/>
      <w:bookmarkEnd w:id="8"/>
      <w:bookmarkEnd w:id="9"/>
      <w:bookmarkEnd w:id="10"/>
      <w:bookmarkEnd w:id="11"/>
      <w:bookmarkEnd w:id="53"/>
      <w:bookmarkStart w:id="54" w:name="_Toc213396760"/>
      <w:bookmarkStart w:id="55" w:name="_Toc217446032"/>
      <w:bookmarkStart w:id="56" w:name="_Toc184283909"/>
      <w:bookmarkStart w:id="57" w:name="_Toc213397010"/>
      <w:bookmarkStart w:id="58" w:name="_Toc184274915"/>
      <w:bookmarkStart w:id="59" w:name="_Toc213496268"/>
      <w:bookmarkStart w:id="60" w:name="_Toc213396946"/>
      <w:bookmarkStart w:id="61" w:name="_Toc189727030"/>
    </w:p>
    <w:p w14:paraId="3442E966">
      <w:pPr>
        <w:pStyle w:val="2"/>
        <w:pageBreakBefore w:val="0"/>
        <w:widowControl w:val="0"/>
        <w:numPr>
          <w:ilvl w:val="0"/>
          <w:numId w:val="0"/>
        </w:numPr>
        <w:tabs>
          <w:tab w:val="left" w:pos="0"/>
          <w:tab w:val="left" w:pos="3165"/>
          <w:tab w:val="center" w:pos="4153"/>
        </w:tabs>
        <w:kinsoku/>
        <w:wordWrap/>
        <w:overflowPunct/>
        <w:topLinePunct w:val="0"/>
        <w:autoSpaceDE w:val="0"/>
        <w:autoSpaceDN w:val="0"/>
        <w:bidi w:val="0"/>
        <w:adjustRightInd w:val="0"/>
        <w:snapToGrid/>
        <w:spacing w:before="0" w:after="0" w:line="480" w:lineRule="exact"/>
        <w:ind w:leftChars="0"/>
        <w:jc w:val="center"/>
        <w:textAlignment w:val="auto"/>
        <w:outlineLvl w:val="1"/>
        <w:rPr>
          <w:rFonts w:hint="eastAsia" w:asciiTheme="minorEastAsia" w:hAnsiTheme="minorEastAsia" w:eastAsiaTheme="minorEastAsia" w:cstheme="minorEastAsia"/>
          <w:b/>
          <w:bCs w:val="0"/>
          <w:color w:val="auto"/>
          <w:sz w:val="36"/>
          <w:szCs w:val="36"/>
          <w:highlight w:val="none"/>
          <w:lang w:val="en-US" w:eastAsia="zh-CN"/>
        </w:rPr>
      </w:pPr>
      <w:bookmarkStart w:id="62" w:name="_Toc17895"/>
      <w:r>
        <w:rPr>
          <w:rFonts w:hint="eastAsia" w:asciiTheme="minorEastAsia" w:hAnsiTheme="minorEastAsia" w:eastAsiaTheme="minorEastAsia" w:cstheme="minorEastAsia"/>
          <w:b/>
          <w:bCs w:val="0"/>
          <w:color w:val="auto"/>
          <w:sz w:val="36"/>
          <w:szCs w:val="36"/>
          <w:highlight w:val="none"/>
          <w:lang w:val="en-US" w:eastAsia="zh-CN"/>
        </w:rPr>
        <w:t>投标人须知前附表</w:t>
      </w:r>
      <w:bookmarkEnd w:id="54"/>
      <w:bookmarkEnd w:id="55"/>
      <w:bookmarkEnd w:id="56"/>
      <w:bookmarkEnd w:id="57"/>
      <w:bookmarkEnd w:id="58"/>
      <w:bookmarkEnd w:id="59"/>
      <w:bookmarkEnd w:id="60"/>
      <w:bookmarkEnd w:id="61"/>
      <w:bookmarkEnd w:id="62"/>
    </w:p>
    <w:tbl>
      <w:tblPr>
        <w:tblStyle w:val="23"/>
        <w:tblW w:w="9501" w:type="dxa"/>
        <w:jc w:val="center"/>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Layout w:type="fixed"/>
        <w:tblCellMar>
          <w:top w:w="0" w:type="dxa"/>
          <w:left w:w="0" w:type="dxa"/>
          <w:bottom w:w="0" w:type="dxa"/>
          <w:right w:w="0" w:type="dxa"/>
        </w:tblCellMar>
      </w:tblPr>
      <w:tblGrid>
        <w:gridCol w:w="811"/>
        <w:gridCol w:w="2160"/>
        <w:gridCol w:w="6530"/>
      </w:tblGrid>
      <w:tr w14:paraId="6CCD69CB">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451" w:hRule="exact"/>
          <w:tblHeader/>
          <w:jc w:val="center"/>
        </w:trPr>
        <w:tc>
          <w:tcPr>
            <w:tcW w:w="811" w:type="dxa"/>
            <w:tcBorders>
              <w:bottom w:val="single" w:color="auto" w:sz="8" w:space="0"/>
              <w:right w:val="single" w:color="auto" w:sz="8" w:space="0"/>
            </w:tcBorders>
            <w:noWrap w:val="0"/>
            <w:vAlign w:val="center"/>
          </w:tcPr>
          <w:p w14:paraId="71EBF899">
            <w:pPr>
              <w:pStyle w:val="35"/>
              <w:keepNext w:val="0"/>
              <w:keepLines w:val="0"/>
              <w:pageBreakBefore w:val="0"/>
              <w:kinsoku/>
              <w:wordWrap/>
              <w:overflowPunct/>
              <w:topLinePunct w:val="0"/>
              <w:bidi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 xml:space="preserve">序号 </w:t>
            </w:r>
          </w:p>
        </w:tc>
        <w:tc>
          <w:tcPr>
            <w:tcW w:w="2160" w:type="dxa"/>
            <w:tcBorders>
              <w:left w:val="single" w:color="auto" w:sz="8" w:space="0"/>
              <w:bottom w:val="single" w:color="auto" w:sz="8" w:space="0"/>
              <w:right w:val="single" w:color="auto" w:sz="8" w:space="0"/>
            </w:tcBorders>
            <w:noWrap w:val="0"/>
            <w:vAlign w:val="center"/>
          </w:tcPr>
          <w:p w14:paraId="2C28B22E">
            <w:pPr>
              <w:pStyle w:val="35"/>
              <w:keepNext w:val="0"/>
              <w:keepLines w:val="0"/>
              <w:pageBreakBefore w:val="0"/>
              <w:kinsoku/>
              <w:wordWrap/>
              <w:overflowPunct/>
              <w:topLinePunct w:val="0"/>
              <w:bidi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内容</w:t>
            </w:r>
          </w:p>
        </w:tc>
        <w:tc>
          <w:tcPr>
            <w:tcW w:w="6530" w:type="dxa"/>
            <w:tcBorders>
              <w:left w:val="single" w:color="auto" w:sz="8" w:space="0"/>
              <w:bottom w:val="single" w:color="auto" w:sz="8" w:space="0"/>
            </w:tcBorders>
            <w:noWrap w:val="0"/>
            <w:vAlign w:val="center"/>
          </w:tcPr>
          <w:p w14:paraId="2D1F71B7">
            <w:pPr>
              <w:pStyle w:val="35"/>
              <w:keepNext w:val="0"/>
              <w:keepLines w:val="0"/>
              <w:pageBreakBefore w:val="0"/>
              <w:kinsoku/>
              <w:wordWrap/>
              <w:overflowPunct/>
              <w:topLinePunct w:val="0"/>
              <w:bidi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说明和要求</w:t>
            </w:r>
          </w:p>
        </w:tc>
      </w:tr>
      <w:tr w14:paraId="407AE760">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1154" w:hRule="atLeast"/>
          <w:jc w:val="center"/>
        </w:trPr>
        <w:tc>
          <w:tcPr>
            <w:tcW w:w="811" w:type="dxa"/>
            <w:tcBorders>
              <w:top w:val="single" w:color="auto" w:sz="8" w:space="0"/>
              <w:bottom w:val="single" w:color="auto" w:sz="8" w:space="0"/>
              <w:right w:val="single" w:color="auto" w:sz="8" w:space="0"/>
            </w:tcBorders>
            <w:noWrap w:val="0"/>
            <w:vAlign w:val="center"/>
          </w:tcPr>
          <w:p w14:paraId="46EC2974">
            <w:pPr>
              <w:pStyle w:val="35"/>
              <w:keepNext w:val="0"/>
              <w:keepLines w:val="0"/>
              <w:pageBreakBefore w:val="0"/>
              <w:kinsoku/>
              <w:wordWrap/>
              <w:overflowPunct/>
              <w:topLinePunct w:val="0"/>
              <w:bidi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1</w:t>
            </w:r>
          </w:p>
        </w:tc>
        <w:tc>
          <w:tcPr>
            <w:tcW w:w="2160" w:type="dxa"/>
            <w:tcBorders>
              <w:top w:val="single" w:color="auto" w:sz="8" w:space="0"/>
              <w:left w:val="single" w:color="auto" w:sz="8" w:space="0"/>
              <w:bottom w:val="single" w:color="auto" w:sz="8" w:space="0"/>
              <w:right w:val="single" w:color="auto" w:sz="8" w:space="0"/>
            </w:tcBorders>
            <w:noWrap w:val="0"/>
            <w:vAlign w:val="center"/>
          </w:tcPr>
          <w:p w14:paraId="7FF43869">
            <w:pPr>
              <w:pStyle w:val="35"/>
              <w:keepNext w:val="0"/>
              <w:keepLines w:val="0"/>
              <w:pageBreakBefore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采购人</w:t>
            </w:r>
          </w:p>
        </w:tc>
        <w:tc>
          <w:tcPr>
            <w:tcW w:w="6530" w:type="dxa"/>
            <w:tcBorders>
              <w:top w:val="single" w:color="auto" w:sz="8" w:space="0"/>
              <w:left w:val="single" w:color="auto" w:sz="8" w:space="0"/>
              <w:bottom w:val="single" w:color="auto" w:sz="8" w:space="0"/>
            </w:tcBorders>
            <w:noWrap w:val="0"/>
            <w:vAlign w:val="center"/>
          </w:tcPr>
          <w:p w14:paraId="166592C8">
            <w:pPr>
              <w:pStyle w:val="12"/>
              <w:keepNext w:val="0"/>
              <w:keepLines w:val="0"/>
              <w:pageBreakBefore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 xml:space="preserve">名 称：伊宁县教育局 </w:t>
            </w:r>
          </w:p>
          <w:p w14:paraId="1002120A">
            <w:pPr>
              <w:pStyle w:val="12"/>
              <w:keepNext w:val="0"/>
              <w:keepLines w:val="0"/>
              <w:pageBreakBefore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 xml:space="preserve">地 址：伊宁县教育局 </w:t>
            </w:r>
          </w:p>
          <w:p w14:paraId="76E8A3DD">
            <w:pPr>
              <w:pStyle w:val="12"/>
              <w:keepNext w:val="0"/>
              <w:keepLines w:val="0"/>
              <w:pageBreakBefore w:val="0"/>
              <w:kinsoku/>
              <w:wordWrap/>
              <w:overflowPunct/>
              <w:topLinePunct w:val="0"/>
              <w:bidi w:val="0"/>
              <w:snapToGrid/>
              <w:spacing w:line="390" w:lineRule="exact"/>
              <w:ind w:right="0" w:rightChars="0"/>
              <w:textAlignment w:val="auto"/>
              <w:rPr>
                <w:rFonts w:hint="default"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zh-CN"/>
              </w:rPr>
              <w:t>联系人：</w:t>
            </w:r>
            <w:r>
              <w:rPr>
                <w:rFonts w:hint="eastAsia" w:asciiTheme="minorEastAsia" w:hAnsiTheme="minorEastAsia" w:eastAsiaTheme="minorEastAsia" w:cstheme="minorEastAsia"/>
                <w:color w:val="auto"/>
                <w:sz w:val="24"/>
                <w:szCs w:val="24"/>
                <w:highlight w:val="none"/>
                <w:lang w:val="en-US" w:eastAsia="zh-CN"/>
              </w:rPr>
              <w:t>樊老师</w:t>
            </w:r>
          </w:p>
          <w:p w14:paraId="1A0D6AD6">
            <w:pPr>
              <w:pStyle w:val="12"/>
              <w:keepNext w:val="0"/>
              <w:keepLines w:val="0"/>
              <w:pageBreakBefore w:val="0"/>
              <w:kinsoku/>
              <w:wordWrap/>
              <w:overflowPunct/>
              <w:topLinePunct w:val="0"/>
              <w:bidi w:val="0"/>
              <w:snapToGrid/>
              <w:spacing w:line="390" w:lineRule="exact"/>
              <w:ind w:right="0" w:rightChars="0"/>
              <w:textAlignment w:val="auto"/>
              <w:rPr>
                <w:rFonts w:hint="default"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zh-CN"/>
              </w:rPr>
              <w:t>联系方式：</w:t>
            </w:r>
            <w:r>
              <w:rPr>
                <w:rFonts w:hint="eastAsia" w:asciiTheme="minorEastAsia" w:hAnsiTheme="minorEastAsia" w:eastAsiaTheme="minorEastAsia" w:cstheme="minorEastAsia"/>
                <w:color w:val="auto"/>
                <w:sz w:val="24"/>
                <w:szCs w:val="24"/>
                <w:highlight w:val="none"/>
                <w:lang w:val="en-US" w:eastAsia="zh-CN"/>
              </w:rPr>
              <w:t>15999261962</w:t>
            </w:r>
          </w:p>
        </w:tc>
      </w:tr>
      <w:tr w14:paraId="074F294F">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1369" w:hRule="atLeast"/>
          <w:jc w:val="center"/>
        </w:trPr>
        <w:tc>
          <w:tcPr>
            <w:tcW w:w="811" w:type="dxa"/>
            <w:tcBorders>
              <w:top w:val="single" w:color="auto" w:sz="8" w:space="0"/>
              <w:bottom w:val="single" w:color="auto" w:sz="8" w:space="0"/>
              <w:right w:val="single" w:color="auto" w:sz="8" w:space="0"/>
            </w:tcBorders>
            <w:noWrap w:val="0"/>
            <w:vAlign w:val="center"/>
          </w:tcPr>
          <w:p w14:paraId="0F1385EF">
            <w:pPr>
              <w:pStyle w:val="35"/>
              <w:keepNext w:val="0"/>
              <w:keepLines w:val="0"/>
              <w:pageBreakBefore w:val="0"/>
              <w:kinsoku/>
              <w:wordWrap/>
              <w:overflowPunct/>
              <w:topLinePunct w:val="0"/>
              <w:bidi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2</w:t>
            </w:r>
          </w:p>
        </w:tc>
        <w:tc>
          <w:tcPr>
            <w:tcW w:w="2160" w:type="dxa"/>
            <w:tcBorders>
              <w:top w:val="single" w:color="auto" w:sz="8" w:space="0"/>
              <w:left w:val="single" w:color="auto" w:sz="8" w:space="0"/>
              <w:bottom w:val="single" w:color="auto" w:sz="8" w:space="0"/>
              <w:right w:val="single" w:color="auto" w:sz="8" w:space="0"/>
            </w:tcBorders>
            <w:noWrap w:val="0"/>
            <w:vAlign w:val="center"/>
          </w:tcPr>
          <w:p w14:paraId="0EE317AB">
            <w:pPr>
              <w:pStyle w:val="35"/>
              <w:keepNext w:val="0"/>
              <w:keepLines w:val="0"/>
              <w:pageBreakBefore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代理机构</w:t>
            </w:r>
          </w:p>
        </w:tc>
        <w:tc>
          <w:tcPr>
            <w:tcW w:w="6530" w:type="dxa"/>
            <w:tcBorders>
              <w:top w:val="single" w:color="auto" w:sz="8" w:space="0"/>
              <w:left w:val="single" w:color="auto" w:sz="8" w:space="0"/>
              <w:bottom w:val="single" w:color="auto" w:sz="8" w:space="0"/>
            </w:tcBorders>
            <w:noWrap w:val="0"/>
            <w:vAlign w:val="center"/>
          </w:tcPr>
          <w:p w14:paraId="5E5DBEC7">
            <w:pPr>
              <w:pStyle w:val="12"/>
              <w:keepNext w:val="0"/>
              <w:keepLines w:val="0"/>
              <w:pageBreakBefore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rPr>
              <w:t>名 称：</w:t>
            </w:r>
            <w:r>
              <w:rPr>
                <w:rFonts w:hint="eastAsia" w:asciiTheme="minorEastAsia" w:hAnsiTheme="minorEastAsia" w:eastAsiaTheme="minorEastAsia" w:cstheme="minorEastAsia"/>
                <w:color w:val="auto"/>
                <w:sz w:val="24"/>
                <w:szCs w:val="24"/>
                <w:highlight w:val="none"/>
                <w:lang w:eastAsia="zh-CN"/>
              </w:rPr>
              <w:t>伊宁县政府采购中心</w:t>
            </w:r>
          </w:p>
          <w:p w14:paraId="5F77043C">
            <w:pPr>
              <w:pStyle w:val="12"/>
              <w:keepNext w:val="0"/>
              <w:keepLines w:val="0"/>
              <w:pageBreakBefore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rPr>
              <w:t>地 址：</w:t>
            </w:r>
            <w:r>
              <w:rPr>
                <w:rFonts w:hint="eastAsia" w:asciiTheme="minorEastAsia" w:hAnsiTheme="minorEastAsia" w:eastAsiaTheme="minorEastAsia" w:cstheme="minorEastAsia"/>
                <w:color w:val="auto"/>
                <w:sz w:val="24"/>
                <w:szCs w:val="24"/>
                <w:highlight w:val="none"/>
                <w:lang w:eastAsia="zh-CN"/>
              </w:rPr>
              <w:t>伊宁县人民政府</w:t>
            </w:r>
          </w:p>
          <w:p w14:paraId="35056799">
            <w:pPr>
              <w:pStyle w:val="12"/>
              <w:keepNext w:val="0"/>
              <w:keepLines w:val="0"/>
              <w:pageBreakBefore w:val="0"/>
              <w:kinsoku/>
              <w:wordWrap/>
              <w:overflowPunct/>
              <w:topLinePunct w:val="0"/>
              <w:bidi w:val="0"/>
              <w:snapToGrid/>
              <w:spacing w:line="390" w:lineRule="exact"/>
              <w:ind w:right="0" w:rightChars="0"/>
              <w:textAlignment w:val="auto"/>
              <w:rPr>
                <w:rFonts w:hint="default"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rPr>
              <w:t>项目联系人：</w:t>
            </w:r>
            <w:r>
              <w:rPr>
                <w:rFonts w:hint="eastAsia" w:asciiTheme="minorEastAsia" w:hAnsiTheme="minorEastAsia" w:eastAsiaTheme="minorEastAsia" w:cstheme="minorEastAsia"/>
                <w:color w:val="auto"/>
                <w:sz w:val="24"/>
                <w:szCs w:val="24"/>
                <w:highlight w:val="none"/>
                <w:lang w:val="en-US" w:eastAsia="zh-CN"/>
              </w:rPr>
              <w:t>古丽老师</w:t>
            </w:r>
          </w:p>
          <w:p w14:paraId="7D2719AE">
            <w:pPr>
              <w:pStyle w:val="12"/>
              <w:keepNext w:val="0"/>
              <w:keepLines w:val="0"/>
              <w:pageBreakBefore w:val="0"/>
              <w:kinsoku/>
              <w:wordWrap/>
              <w:overflowPunct/>
              <w:topLinePunct w:val="0"/>
              <w:bidi w:val="0"/>
              <w:snapToGrid/>
              <w:spacing w:line="390" w:lineRule="exact"/>
              <w:ind w:right="0" w:rightChars="0"/>
              <w:textAlignment w:val="auto"/>
              <w:rPr>
                <w:rFonts w:hint="default"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rPr>
              <w:t>项目联系方式：</w:t>
            </w:r>
            <w:r>
              <w:rPr>
                <w:rFonts w:hint="eastAsia" w:asciiTheme="minorEastAsia" w:hAnsiTheme="minorEastAsia" w:eastAsiaTheme="minorEastAsia" w:cstheme="minorEastAsia"/>
                <w:color w:val="auto"/>
                <w:sz w:val="24"/>
                <w:szCs w:val="24"/>
                <w:highlight w:val="none"/>
                <w:lang w:val="en-US" w:eastAsia="zh-CN"/>
              </w:rPr>
              <w:t>18097887808</w:t>
            </w:r>
          </w:p>
        </w:tc>
      </w:tr>
      <w:tr w14:paraId="1ECB879B">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613" w:hRule="exact"/>
          <w:jc w:val="center"/>
        </w:trPr>
        <w:tc>
          <w:tcPr>
            <w:tcW w:w="811" w:type="dxa"/>
            <w:tcBorders>
              <w:top w:val="single" w:color="auto" w:sz="8" w:space="0"/>
              <w:bottom w:val="single" w:color="auto" w:sz="8" w:space="0"/>
              <w:right w:val="single" w:color="auto" w:sz="8" w:space="0"/>
            </w:tcBorders>
            <w:noWrap w:val="0"/>
            <w:vAlign w:val="center"/>
          </w:tcPr>
          <w:p w14:paraId="4C43257D">
            <w:pPr>
              <w:pStyle w:val="35"/>
              <w:keepNext w:val="0"/>
              <w:keepLines w:val="0"/>
              <w:pageBreakBefore w:val="0"/>
              <w:kinsoku/>
              <w:wordWrap/>
              <w:overflowPunct/>
              <w:topLinePunct w:val="0"/>
              <w:bidi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3</w:t>
            </w:r>
          </w:p>
        </w:tc>
        <w:tc>
          <w:tcPr>
            <w:tcW w:w="2160" w:type="dxa"/>
            <w:tcBorders>
              <w:top w:val="single" w:color="auto" w:sz="8" w:space="0"/>
              <w:left w:val="single" w:color="auto" w:sz="8" w:space="0"/>
              <w:bottom w:val="single" w:color="auto" w:sz="8" w:space="0"/>
              <w:right w:val="single" w:color="auto" w:sz="8" w:space="0"/>
            </w:tcBorders>
            <w:noWrap w:val="0"/>
            <w:vAlign w:val="center"/>
          </w:tcPr>
          <w:p w14:paraId="7F50F7BB">
            <w:pPr>
              <w:pStyle w:val="35"/>
              <w:keepNext w:val="0"/>
              <w:keepLines w:val="0"/>
              <w:pageBreakBefore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采购项目名称</w:t>
            </w:r>
          </w:p>
        </w:tc>
        <w:tc>
          <w:tcPr>
            <w:tcW w:w="6530" w:type="dxa"/>
            <w:tcBorders>
              <w:top w:val="single" w:color="auto" w:sz="8" w:space="0"/>
              <w:left w:val="single" w:color="auto" w:sz="8" w:space="0"/>
              <w:bottom w:val="single" w:color="auto" w:sz="8" w:space="0"/>
            </w:tcBorders>
            <w:noWrap w:val="0"/>
            <w:vAlign w:val="center"/>
          </w:tcPr>
          <w:p w14:paraId="3661BAB3">
            <w:pPr>
              <w:keepNext w:val="0"/>
              <w:keepLines w:val="0"/>
              <w:pageBreakBefore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伊宁县第六中学教学仪器设备采购项目（六标段）</w:t>
            </w:r>
          </w:p>
        </w:tc>
      </w:tr>
      <w:tr w14:paraId="1F4E2738">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451" w:hRule="exact"/>
          <w:jc w:val="center"/>
        </w:trPr>
        <w:tc>
          <w:tcPr>
            <w:tcW w:w="811" w:type="dxa"/>
            <w:tcBorders>
              <w:top w:val="single" w:color="auto" w:sz="8" w:space="0"/>
              <w:bottom w:val="single" w:color="auto" w:sz="8" w:space="0"/>
              <w:right w:val="single" w:color="auto" w:sz="8" w:space="0"/>
            </w:tcBorders>
            <w:noWrap w:val="0"/>
            <w:vAlign w:val="center"/>
          </w:tcPr>
          <w:p w14:paraId="441E4CF2">
            <w:pPr>
              <w:pStyle w:val="35"/>
              <w:keepNext w:val="0"/>
              <w:keepLines w:val="0"/>
              <w:pageBreakBefore w:val="0"/>
              <w:kinsoku/>
              <w:wordWrap/>
              <w:overflowPunct/>
              <w:topLinePunct w:val="0"/>
              <w:bidi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4</w:t>
            </w:r>
          </w:p>
        </w:tc>
        <w:tc>
          <w:tcPr>
            <w:tcW w:w="2160" w:type="dxa"/>
            <w:tcBorders>
              <w:top w:val="single" w:color="auto" w:sz="8" w:space="0"/>
              <w:left w:val="single" w:color="auto" w:sz="8" w:space="0"/>
              <w:bottom w:val="single" w:color="auto" w:sz="8" w:space="0"/>
              <w:right w:val="single" w:color="auto" w:sz="8" w:space="0"/>
            </w:tcBorders>
            <w:noWrap w:val="0"/>
            <w:vAlign w:val="center"/>
          </w:tcPr>
          <w:p w14:paraId="30D11AF5">
            <w:pPr>
              <w:pStyle w:val="35"/>
              <w:keepNext w:val="0"/>
              <w:keepLines w:val="0"/>
              <w:pageBreakBefore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采购项目编号</w:t>
            </w:r>
          </w:p>
        </w:tc>
        <w:tc>
          <w:tcPr>
            <w:tcW w:w="6530" w:type="dxa"/>
            <w:tcBorders>
              <w:top w:val="single" w:color="auto" w:sz="8" w:space="0"/>
              <w:left w:val="single" w:color="auto" w:sz="8" w:space="0"/>
              <w:bottom w:val="single" w:color="auto" w:sz="8" w:space="0"/>
            </w:tcBorders>
            <w:noWrap w:val="0"/>
            <w:vAlign w:val="center"/>
          </w:tcPr>
          <w:p w14:paraId="4A615D98">
            <w:pPr>
              <w:keepNext w:val="0"/>
              <w:keepLines w:val="0"/>
              <w:pageBreakBefore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YNXCG-GK2024003号</w:t>
            </w:r>
          </w:p>
        </w:tc>
      </w:tr>
      <w:tr w14:paraId="4CAC76E5">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471" w:hRule="exact"/>
          <w:jc w:val="center"/>
        </w:trPr>
        <w:tc>
          <w:tcPr>
            <w:tcW w:w="811" w:type="dxa"/>
            <w:tcBorders>
              <w:top w:val="single" w:color="auto" w:sz="8" w:space="0"/>
              <w:bottom w:val="single" w:color="auto" w:sz="8" w:space="0"/>
              <w:right w:val="single" w:color="auto" w:sz="8" w:space="0"/>
            </w:tcBorders>
            <w:noWrap w:val="0"/>
            <w:vAlign w:val="center"/>
          </w:tcPr>
          <w:p w14:paraId="78F6AF49">
            <w:pPr>
              <w:pStyle w:val="35"/>
              <w:keepNext w:val="0"/>
              <w:keepLines w:val="0"/>
              <w:pageBreakBefore w:val="0"/>
              <w:kinsoku/>
              <w:wordWrap/>
              <w:overflowPunct/>
              <w:topLinePunct w:val="0"/>
              <w:bidi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5</w:t>
            </w:r>
          </w:p>
        </w:tc>
        <w:tc>
          <w:tcPr>
            <w:tcW w:w="2160" w:type="dxa"/>
            <w:tcBorders>
              <w:top w:val="single" w:color="auto" w:sz="8" w:space="0"/>
              <w:left w:val="single" w:color="auto" w:sz="8" w:space="0"/>
              <w:bottom w:val="single" w:color="auto" w:sz="8" w:space="0"/>
              <w:right w:val="single" w:color="auto" w:sz="8" w:space="0"/>
            </w:tcBorders>
            <w:noWrap w:val="0"/>
            <w:vAlign w:val="center"/>
          </w:tcPr>
          <w:p w14:paraId="60783B00">
            <w:pPr>
              <w:pStyle w:val="35"/>
              <w:keepNext w:val="0"/>
              <w:keepLines w:val="0"/>
              <w:pageBreakBefore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资金来源</w:t>
            </w:r>
          </w:p>
        </w:tc>
        <w:tc>
          <w:tcPr>
            <w:tcW w:w="6530" w:type="dxa"/>
            <w:tcBorders>
              <w:top w:val="single" w:color="auto" w:sz="8" w:space="0"/>
              <w:left w:val="single" w:color="auto" w:sz="8" w:space="0"/>
              <w:bottom w:val="single" w:color="auto" w:sz="8" w:space="0"/>
            </w:tcBorders>
            <w:noWrap w:val="0"/>
            <w:vAlign w:val="center"/>
          </w:tcPr>
          <w:p w14:paraId="5711D0AA">
            <w:pPr>
              <w:keepNext w:val="0"/>
              <w:keepLines w:val="0"/>
              <w:pageBreakBefore w:val="0"/>
              <w:kinsoku/>
              <w:wordWrap/>
              <w:overflowPunct/>
              <w:topLinePunct w:val="0"/>
              <w:bidi w:val="0"/>
              <w:snapToGrid/>
              <w:spacing w:line="390" w:lineRule="exact"/>
              <w:ind w:right="0" w:rightChars="0"/>
              <w:textAlignment w:val="auto"/>
              <w:rPr>
                <w:rFonts w:hint="default"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债券资金</w:t>
            </w:r>
          </w:p>
        </w:tc>
      </w:tr>
      <w:tr w14:paraId="61FAC49D">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1347" w:hRule="exact"/>
          <w:jc w:val="center"/>
        </w:trPr>
        <w:tc>
          <w:tcPr>
            <w:tcW w:w="811" w:type="dxa"/>
            <w:vMerge w:val="restart"/>
            <w:tcBorders>
              <w:top w:val="single" w:color="auto" w:sz="8" w:space="0"/>
              <w:right w:val="single" w:color="auto" w:sz="8" w:space="0"/>
            </w:tcBorders>
            <w:noWrap w:val="0"/>
            <w:vAlign w:val="center"/>
          </w:tcPr>
          <w:p w14:paraId="31A0FE67">
            <w:pPr>
              <w:pStyle w:val="35"/>
              <w:keepNext w:val="0"/>
              <w:keepLines w:val="0"/>
              <w:pageBreakBefore w:val="0"/>
              <w:kinsoku/>
              <w:wordWrap/>
              <w:overflowPunct/>
              <w:topLinePunct w:val="0"/>
              <w:bidi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6</w:t>
            </w:r>
          </w:p>
        </w:tc>
        <w:tc>
          <w:tcPr>
            <w:tcW w:w="2160" w:type="dxa"/>
            <w:tcBorders>
              <w:top w:val="single" w:color="auto" w:sz="8" w:space="0"/>
              <w:left w:val="single" w:color="auto" w:sz="8" w:space="0"/>
              <w:bottom w:val="single" w:color="auto" w:sz="8" w:space="0"/>
              <w:right w:val="single" w:color="auto" w:sz="8" w:space="0"/>
            </w:tcBorders>
            <w:noWrap w:val="0"/>
            <w:vAlign w:val="center"/>
          </w:tcPr>
          <w:p w14:paraId="6D3EC326">
            <w:pPr>
              <w:pStyle w:val="35"/>
              <w:keepNext w:val="0"/>
              <w:keepLines w:val="0"/>
              <w:pageBreakBefore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预算金额</w:t>
            </w:r>
          </w:p>
        </w:tc>
        <w:tc>
          <w:tcPr>
            <w:tcW w:w="6530" w:type="dxa"/>
            <w:tcBorders>
              <w:top w:val="single" w:color="auto" w:sz="8" w:space="0"/>
              <w:left w:val="single" w:color="auto" w:sz="8" w:space="0"/>
              <w:bottom w:val="single" w:color="auto" w:sz="8" w:space="0"/>
            </w:tcBorders>
            <w:noWrap w:val="0"/>
            <w:vAlign w:val="center"/>
          </w:tcPr>
          <w:p w14:paraId="728B5B2B">
            <w:pPr>
              <w:pStyle w:val="12"/>
              <w:keepNext w:val="0"/>
              <w:keepLines w:val="0"/>
              <w:pageBreakBefore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预算金额：698万元</w:t>
            </w:r>
          </w:p>
          <w:p w14:paraId="41003BC4">
            <w:pPr>
              <w:pStyle w:val="12"/>
              <w:keepNext w:val="0"/>
              <w:keepLines w:val="0"/>
              <w:pageBreakBefore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lang w:val="zh-CN" w:eastAsia="zh-CN"/>
              </w:rPr>
            </w:pPr>
            <w:r>
              <w:rPr>
                <w:rFonts w:hint="eastAsia" w:asciiTheme="minorEastAsia" w:hAnsiTheme="minorEastAsia" w:eastAsiaTheme="minorEastAsia" w:cstheme="minorEastAsia"/>
                <w:color w:val="auto"/>
                <w:sz w:val="24"/>
                <w:szCs w:val="24"/>
                <w:highlight w:val="none"/>
                <w:lang w:val="en-US" w:eastAsia="zh-CN"/>
              </w:rPr>
              <w:t>投标人投标报价超出预算金额的，作为不实质性响应投标文件，按无效响应文件处理</w:t>
            </w:r>
          </w:p>
        </w:tc>
      </w:tr>
      <w:tr w14:paraId="420372B5">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1413" w:hRule="exact"/>
          <w:jc w:val="center"/>
        </w:trPr>
        <w:tc>
          <w:tcPr>
            <w:tcW w:w="811" w:type="dxa"/>
            <w:vMerge w:val="continue"/>
            <w:tcBorders>
              <w:bottom w:val="single" w:color="auto" w:sz="8" w:space="0"/>
              <w:right w:val="single" w:color="auto" w:sz="8" w:space="0"/>
            </w:tcBorders>
            <w:noWrap w:val="0"/>
            <w:vAlign w:val="center"/>
          </w:tcPr>
          <w:p w14:paraId="5933EF6B">
            <w:pPr>
              <w:pStyle w:val="35"/>
              <w:keepNext w:val="0"/>
              <w:keepLines w:val="0"/>
              <w:pageBreakBefore w:val="0"/>
              <w:kinsoku/>
              <w:wordWrap/>
              <w:overflowPunct/>
              <w:topLinePunct w:val="0"/>
              <w:bidi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p>
        </w:tc>
        <w:tc>
          <w:tcPr>
            <w:tcW w:w="2160" w:type="dxa"/>
            <w:tcBorders>
              <w:top w:val="single" w:color="auto" w:sz="8" w:space="0"/>
              <w:left w:val="single" w:color="auto" w:sz="8" w:space="0"/>
              <w:bottom w:val="single" w:color="auto" w:sz="8" w:space="0"/>
              <w:right w:val="single" w:color="auto" w:sz="8" w:space="0"/>
            </w:tcBorders>
            <w:noWrap w:val="0"/>
            <w:vAlign w:val="center"/>
          </w:tcPr>
          <w:p w14:paraId="43405BC0">
            <w:pPr>
              <w:pStyle w:val="35"/>
              <w:keepNext w:val="0"/>
              <w:keepLines w:val="0"/>
              <w:pageBreakBefore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最高限价</w:t>
            </w:r>
          </w:p>
        </w:tc>
        <w:tc>
          <w:tcPr>
            <w:tcW w:w="6530" w:type="dxa"/>
            <w:tcBorders>
              <w:top w:val="single" w:color="auto" w:sz="8" w:space="0"/>
              <w:left w:val="single" w:color="auto" w:sz="8" w:space="0"/>
              <w:bottom w:val="single" w:color="auto" w:sz="8" w:space="0"/>
            </w:tcBorders>
            <w:noWrap w:val="0"/>
            <w:vAlign w:val="center"/>
          </w:tcPr>
          <w:p w14:paraId="27487269">
            <w:pPr>
              <w:pStyle w:val="12"/>
              <w:keepNext w:val="0"/>
              <w:keepLines w:val="0"/>
              <w:pageBreakBefore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最高限价：698万元</w:t>
            </w:r>
          </w:p>
          <w:p w14:paraId="17BB6844">
            <w:pPr>
              <w:keepNext w:val="0"/>
              <w:keepLines w:val="0"/>
              <w:pageBreakBefore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lang w:val="zh-CN" w:eastAsia="zh-CN"/>
              </w:rPr>
            </w:pPr>
            <w:r>
              <w:rPr>
                <w:rFonts w:hint="eastAsia" w:asciiTheme="minorEastAsia" w:hAnsiTheme="minorEastAsia" w:eastAsiaTheme="minorEastAsia" w:cstheme="minorEastAsia"/>
                <w:color w:val="auto"/>
                <w:sz w:val="24"/>
                <w:szCs w:val="24"/>
                <w:highlight w:val="none"/>
                <w:lang w:val="en-US" w:eastAsia="zh-CN"/>
              </w:rPr>
              <w:t>投标人投标报价超出最高限价的，作为不实质性响应投标文件，按无效响应文件处理</w:t>
            </w:r>
          </w:p>
        </w:tc>
      </w:tr>
      <w:tr w14:paraId="3489A9C5">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461" w:hRule="exact"/>
          <w:jc w:val="center"/>
        </w:trPr>
        <w:tc>
          <w:tcPr>
            <w:tcW w:w="811" w:type="dxa"/>
            <w:tcBorders>
              <w:top w:val="single" w:color="auto" w:sz="8" w:space="0"/>
              <w:bottom w:val="single" w:color="auto" w:sz="8" w:space="0"/>
              <w:right w:val="single" w:color="auto" w:sz="8" w:space="0"/>
            </w:tcBorders>
            <w:noWrap w:val="0"/>
            <w:vAlign w:val="center"/>
          </w:tcPr>
          <w:p w14:paraId="10402911">
            <w:pPr>
              <w:pStyle w:val="35"/>
              <w:keepNext w:val="0"/>
              <w:keepLines w:val="0"/>
              <w:pageBreakBefore w:val="0"/>
              <w:kinsoku/>
              <w:wordWrap/>
              <w:overflowPunct/>
              <w:topLinePunct w:val="0"/>
              <w:bidi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8</w:t>
            </w:r>
          </w:p>
        </w:tc>
        <w:tc>
          <w:tcPr>
            <w:tcW w:w="2160" w:type="dxa"/>
            <w:tcBorders>
              <w:top w:val="single" w:color="auto" w:sz="8" w:space="0"/>
              <w:left w:val="single" w:color="auto" w:sz="8" w:space="0"/>
              <w:bottom w:val="single" w:color="auto" w:sz="8" w:space="0"/>
              <w:right w:val="single" w:color="auto" w:sz="8" w:space="0"/>
            </w:tcBorders>
            <w:noWrap w:val="0"/>
            <w:vAlign w:val="center"/>
          </w:tcPr>
          <w:p w14:paraId="56879223">
            <w:pPr>
              <w:pStyle w:val="35"/>
              <w:keepNext w:val="0"/>
              <w:keepLines w:val="0"/>
              <w:pageBreakBefore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采购方式</w:t>
            </w:r>
          </w:p>
        </w:tc>
        <w:tc>
          <w:tcPr>
            <w:tcW w:w="6530" w:type="dxa"/>
            <w:tcBorders>
              <w:top w:val="single" w:color="auto" w:sz="8" w:space="0"/>
              <w:left w:val="single" w:color="auto" w:sz="8" w:space="0"/>
              <w:bottom w:val="single" w:color="auto" w:sz="8" w:space="0"/>
            </w:tcBorders>
            <w:noWrap w:val="0"/>
            <w:vAlign w:val="center"/>
          </w:tcPr>
          <w:p w14:paraId="6D1B3876">
            <w:pPr>
              <w:pStyle w:val="35"/>
              <w:keepNext w:val="0"/>
              <w:keepLines w:val="0"/>
              <w:pageBreakBefore w:val="0"/>
              <w:kinsoku/>
              <w:wordWrap/>
              <w:overflowPunct/>
              <w:topLinePunct w:val="0"/>
              <w:bidi w:val="0"/>
              <w:snapToGrid/>
              <w:spacing w:line="390" w:lineRule="exact"/>
              <w:ind w:right="0" w:rightChars="0"/>
              <w:jc w:val="both"/>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公开招标</w:t>
            </w:r>
          </w:p>
        </w:tc>
      </w:tr>
      <w:tr w14:paraId="16500A97">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1365" w:hRule="exact"/>
          <w:jc w:val="center"/>
        </w:trPr>
        <w:tc>
          <w:tcPr>
            <w:tcW w:w="811" w:type="dxa"/>
            <w:tcBorders>
              <w:top w:val="single" w:color="auto" w:sz="8" w:space="0"/>
              <w:bottom w:val="single" w:color="auto" w:sz="8" w:space="0"/>
              <w:right w:val="single" w:color="auto" w:sz="8" w:space="0"/>
            </w:tcBorders>
            <w:noWrap w:val="0"/>
            <w:vAlign w:val="center"/>
          </w:tcPr>
          <w:p w14:paraId="0170D94D">
            <w:pPr>
              <w:pStyle w:val="35"/>
              <w:keepNext w:val="0"/>
              <w:keepLines w:val="0"/>
              <w:pageBreakBefore w:val="0"/>
              <w:kinsoku/>
              <w:wordWrap/>
              <w:overflowPunct/>
              <w:topLinePunct w:val="0"/>
              <w:bidi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9</w:t>
            </w:r>
          </w:p>
        </w:tc>
        <w:tc>
          <w:tcPr>
            <w:tcW w:w="2160" w:type="dxa"/>
            <w:tcBorders>
              <w:top w:val="single" w:color="auto" w:sz="8" w:space="0"/>
              <w:left w:val="single" w:color="auto" w:sz="8" w:space="0"/>
              <w:bottom w:val="single" w:color="auto" w:sz="8" w:space="0"/>
              <w:right w:val="single" w:color="auto" w:sz="8" w:space="0"/>
            </w:tcBorders>
            <w:noWrap w:val="0"/>
            <w:vAlign w:val="center"/>
          </w:tcPr>
          <w:p w14:paraId="733246A6">
            <w:pPr>
              <w:pStyle w:val="35"/>
              <w:keepNext w:val="0"/>
              <w:keepLines w:val="0"/>
              <w:pageBreakBefore w:val="0"/>
              <w:widowControl w:val="0"/>
              <w:kinsoku/>
              <w:wordWrap/>
              <w:overflowPunct/>
              <w:topLinePunct w:val="0"/>
              <w:bidi w:val="0"/>
              <w:snapToGrid/>
              <w:spacing w:line="440" w:lineRule="exact"/>
              <w:ind w:left="38"/>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是否专门面向中小</w:t>
            </w:r>
          </w:p>
          <w:p w14:paraId="409B2DF2">
            <w:pPr>
              <w:pStyle w:val="35"/>
              <w:keepNext w:val="0"/>
              <w:keepLines w:val="0"/>
              <w:pageBreakBefore w:val="0"/>
              <w:widowControl w:val="0"/>
              <w:kinsoku/>
              <w:wordWrap/>
              <w:overflowPunct/>
              <w:topLinePunct w:val="0"/>
              <w:bidi w:val="0"/>
              <w:snapToGrid/>
              <w:spacing w:line="440" w:lineRule="exact"/>
              <w:ind w:left="38" w:left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企业采购</w:t>
            </w:r>
          </w:p>
        </w:tc>
        <w:tc>
          <w:tcPr>
            <w:tcW w:w="6530" w:type="dxa"/>
            <w:tcBorders>
              <w:top w:val="single" w:color="auto" w:sz="8" w:space="0"/>
              <w:left w:val="single" w:color="auto" w:sz="8" w:space="0"/>
              <w:bottom w:val="single" w:color="auto" w:sz="8" w:space="0"/>
            </w:tcBorders>
            <w:noWrap w:val="0"/>
            <w:vAlign w:val="center"/>
          </w:tcPr>
          <w:p w14:paraId="0323AC0C">
            <w:pPr>
              <w:pStyle w:val="35"/>
              <w:keepNext w:val="0"/>
              <w:keepLines w:val="0"/>
              <w:pageBreakBefore w:val="0"/>
              <w:kinsoku/>
              <w:wordWrap/>
              <w:overflowPunct/>
              <w:topLinePunct w:val="0"/>
              <w:bidi w:val="0"/>
              <w:snapToGrid/>
              <w:spacing w:line="390" w:lineRule="exact"/>
              <w:ind w:right="0" w:rightChars="0"/>
              <w:jc w:val="both"/>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sym w:font="Wingdings 2" w:char="0052"/>
            </w:r>
            <w:r>
              <w:rPr>
                <w:rFonts w:hint="eastAsia" w:asciiTheme="minorEastAsia" w:hAnsiTheme="minorEastAsia" w:eastAsiaTheme="minorEastAsia" w:cstheme="minorEastAsia"/>
                <w:color w:val="auto"/>
                <w:sz w:val="24"/>
                <w:szCs w:val="24"/>
                <w:highlight w:val="none"/>
                <w:lang w:val="zh-CN"/>
              </w:rPr>
              <w:t xml:space="preserve">否 </w:t>
            </w:r>
          </w:p>
          <w:p w14:paraId="523A4349">
            <w:pPr>
              <w:pStyle w:val="35"/>
              <w:keepNext w:val="0"/>
              <w:keepLines w:val="0"/>
              <w:pageBreakBefore w:val="0"/>
              <w:widowControl w:val="0"/>
              <w:kinsoku/>
              <w:wordWrap/>
              <w:overflowPunct/>
              <w:topLinePunct w:val="0"/>
              <w:autoSpaceDE w:val="0"/>
              <w:autoSpaceDN w:val="0"/>
              <w:bidi w:val="0"/>
              <w:adjustRightInd w:val="0"/>
              <w:snapToGrid/>
              <w:spacing w:line="440" w:lineRule="exact"/>
              <w:jc w:val="both"/>
              <w:textAlignment w:val="auto"/>
              <w:rPr>
                <w:rFonts w:hint="eastAsia" w:asciiTheme="minorEastAsia" w:hAnsiTheme="minorEastAsia" w:eastAsiaTheme="minorEastAsia" w:cstheme="minorEastAsia"/>
                <w:color w:val="auto"/>
                <w:sz w:val="24"/>
                <w:szCs w:val="24"/>
                <w:highlight w:val="none"/>
                <w:lang w:val="zh-CN" w:eastAsia="zh-CN"/>
              </w:rPr>
            </w:pPr>
            <w:r>
              <w:rPr>
                <w:rFonts w:hint="eastAsia" w:asciiTheme="minorEastAsia" w:hAnsiTheme="minorEastAsia" w:eastAsiaTheme="minorEastAsia" w:cstheme="minorEastAsia"/>
                <w:color w:val="auto"/>
                <w:sz w:val="24"/>
                <w:szCs w:val="24"/>
                <w:highlight w:val="none"/>
                <w:lang w:val="zh-CN"/>
              </w:rPr>
              <w:t>□是，非中小微企业、监狱企业或者残疾人福利性单位的投标人，其</w:t>
            </w:r>
            <w:r>
              <w:rPr>
                <w:rFonts w:hint="eastAsia" w:asciiTheme="minorEastAsia" w:hAnsiTheme="minorEastAsia" w:eastAsiaTheme="minorEastAsia" w:cstheme="minorEastAsia"/>
                <w:color w:val="auto"/>
                <w:sz w:val="24"/>
                <w:szCs w:val="24"/>
                <w:highlight w:val="none"/>
                <w:lang w:val="en-US" w:eastAsia="zh-CN"/>
              </w:rPr>
              <w:t>投标</w:t>
            </w:r>
            <w:r>
              <w:rPr>
                <w:rFonts w:hint="eastAsia" w:asciiTheme="minorEastAsia" w:hAnsiTheme="minorEastAsia" w:eastAsiaTheme="minorEastAsia" w:cstheme="minorEastAsia"/>
                <w:color w:val="auto"/>
                <w:sz w:val="24"/>
                <w:szCs w:val="24"/>
                <w:highlight w:val="none"/>
                <w:lang w:val="zh-CN"/>
              </w:rPr>
              <w:t>文件无效</w:t>
            </w:r>
          </w:p>
        </w:tc>
      </w:tr>
      <w:tr w14:paraId="68C9DF23">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467" w:hRule="exact"/>
          <w:jc w:val="center"/>
        </w:trPr>
        <w:tc>
          <w:tcPr>
            <w:tcW w:w="811" w:type="dxa"/>
            <w:tcBorders>
              <w:top w:val="single" w:color="auto" w:sz="8" w:space="0"/>
              <w:bottom w:val="single" w:color="auto" w:sz="8" w:space="0"/>
              <w:right w:val="single" w:color="auto" w:sz="8" w:space="0"/>
            </w:tcBorders>
            <w:noWrap w:val="0"/>
            <w:vAlign w:val="center"/>
          </w:tcPr>
          <w:p w14:paraId="2B6247FA">
            <w:pPr>
              <w:pStyle w:val="35"/>
              <w:keepNext w:val="0"/>
              <w:keepLines w:val="0"/>
              <w:pageBreakBefore w:val="0"/>
              <w:kinsoku/>
              <w:wordWrap/>
              <w:overflowPunct/>
              <w:topLinePunct w:val="0"/>
              <w:bidi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10</w:t>
            </w:r>
          </w:p>
        </w:tc>
        <w:tc>
          <w:tcPr>
            <w:tcW w:w="2160" w:type="dxa"/>
            <w:tcBorders>
              <w:top w:val="single" w:color="auto" w:sz="8" w:space="0"/>
              <w:left w:val="single" w:color="auto" w:sz="8" w:space="0"/>
              <w:bottom w:val="single" w:color="auto" w:sz="8" w:space="0"/>
              <w:right w:val="single" w:color="auto" w:sz="8" w:space="0"/>
            </w:tcBorders>
            <w:noWrap w:val="0"/>
            <w:vAlign w:val="center"/>
          </w:tcPr>
          <w:p w14:paraId="0E9B4C56">
            <w:pPr>
              <w:pStyle w:val="35"/>
              <w:keepNext w:val="0"/>
              <w:keepLines w:val="0"/>
              <w:pageBreakBefore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采购内容</w:t>
            </w:r>
          </w:p>
        </w:tc>
        <w:tc>
          <w:tcPr>
            <w:tcW w:w="6530" w:type="dxa"/>
            <w:tcBorders>
              <w:top w:val="single" w:color="auto" w:sz="8" w:space="0"/>
              <w:left w:val="single" w:color="auto" w:sz="8" w:space="0"/>
              <w:bottom w:val="single" w:color="auto" w:sz="8" w:space="0"/>
            </w:tcBorders>
            <w:noWrap w:val="0"/>
            <w:vAlign w:val="center"/>
          </w:tcPr>
          <w:p w14:paraId="58BB4924">
            <w:pPr>
              <w:pStyle w:val="35"/>
              <w:keepNext w:val="0"/>
              <w:keepLines w:val="0"/>
              <w:pageBreakBefore w:val="0"/>
              <w:kinsoku/>
              <w:wordWrap/>
              <w:overflowPunct/>
              <w:topLinePunct w:val="0"/>
              <w:bidi w:val="0"/>
              <w:snapToGrid/>
              <w:spacing w:line="390" w:lineRule="exact"/>
              <w:ind w:right="0" w:rightChars="0"/>
              <w:jc w:val="both"/>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详见第四章</w:t>
            </w:r>
          </w:p>
        </w:tc>
      </w:tr>
      <w:tr w14:paraId="470E6739">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434" w:hRule="atLeast"/>
          <w:jc w:val="center"/>
        </w:trPr>
        <w:tc>
          <w:tcPr>
            <w:tcW w:w="811" w:type="dxa"/>
            <w:tcBorders>
              <w:top w:val="single" w:color="auto" w:sz="8" w:space="0"/>
              <w:bottom w:val="single" w:color="auto" w:sz="8" w:space="0"/>
              <w:right w:val="single" w:color="auto" w:sz="8" w:space="0"/>
            </w:tcBorders>
            <w:noWrap w:val="0"/>
            <w:vAlign w:val="center"/>
          </w:tcPr>
          <w:p w14:paraId="41FE57CF">
            <w:pPr>
              <w:pStyle w:val="35"/>
              <w:keepNext w:val="0"/>
              <w:keepLines w:val="0"/>
              <w:pageBreakBefore w:val="0"/>
              <w:kinsoku/>
              <w:wordWrap/>
              <w:overflowPunct/>
              <w:topLinePunct w:val="0"/>
              <w:bidi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11</w:t>
            </w:r>
          </w:p>
        </w:tc>
        <w:tc>
          <w:tcPr>
            <w:tcW w:w="2160" w:type="dxa"/>
            <w:tcBorders>
              <w:top w:val="single" w:color="auto" w:sz="8" w:space="0"/>
              <w:left w:val="single" w:color="auto" w:sz="8" w:space="0"/>
              <w:bottom w:val="single" w:color="auto" w:sz="8" w:space="0"/>
              <w:right w:val="single" w:color="auto" w:sz="8" w:space="0"/>
            </w:tcBorders>
            <w:noWrap w:val="0"/>
            <w:vAlign w:val="center"/>
          </w:tcPr>
          <w:p w14:paraId="4269BE07">
            <w:pPr>
              <w:pStyle w:val="35"/>
              <w:keepNext w:val="0"/>
              <w:keepLines w:val="0"/>
              <w:pageBreakBefore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en-US" w:eastAsia="zh-CN"/>
              </w:rPr>
              <w:t>合同履行期限</w:t>
            </w:r>
          </w:p>
        </w:tc>
        <w:tc>
          <w:tcPr>
            <w:tcW w:w="6530" w:type="dxa"/>
            <w:tcBorders>
              <w:top w:val="single" w:color="auto" w:sz="8" w:space="0"/>
              <w:left w:val="single" w:color="auto" w:sz="8" w:space="0"/>
              <w:bottom w:val="single" w:color="auto" w:sz="8" w:space="0"/>
            </w:tcBorders>
            <w:noWrap w:val="0"/>
            <w:vAlign w:val="center"/>
          </w:tcPr>
          <w:p w14:paraId="513B9F11">
            <w:pPr>
              <w:pageBreakBefore w:val="0"/>
              <w:widowControl w:val="0"/>
              <w:kinsoku/>
              <w:wordWrap/>
              <w:overflowPunct/>
              <w:topLinePunct w:val="0"/>
              <w:autoSpaceDE/>
              <w:autoSpaceDN/>
              <w:bidi w:val="0"/>
              <w:adjustRightInd/>
              <w:snapToGrid w:val="0"/>
              <w:spacing w:beforeAutospacing="0" w:afterAutospacing="0" w:line="480" w:lineRule="exact"/>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en-US" w:eastAsia="zh-CN"/>
              </w:rPr>
              <w:t>合同签订后2个月内</w:t>
            </w:r>
            <w:r>
              <w:rPr>
                <w:rFonts w:hint="eastAsia" w:asciiTheme="minorEastAsia" w:hAnsiTheme="minorEastAsia" w:eastAsiaTheme="minorEastAsia" w:cstheme="minorEastAsia"/>
                <w:color w:val="auto"/>
                <w:sz w:val="24"/>
                <w:szCs w:val="24"/>
                <w:highlight w:val="none"/>
                <w:lang w:eastAsia="zh-CN"/>
              </w:rPr>
              <w:t>完成所有设备的供货及验收。</w:t>
            </w:r>
          </w:p>
        </w:tc>
      </w:tr>
      <w:tr w14:paraId="794B13FF">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465" w:hRule="atLeast"/>
          <w:jc w:val="center"/>
        </w:trPr>
        <w:tc>
          <w:tcPr>
            <w:tcW w:w="811" w:type="dxa"/>
            <w:tcBorders>
              <w:top w:val="single" w:color="auto" w:sz="8" w:space="0"/>
              <w:bottom w:val="single" w:color="auto" w:sz="8" w:space="0"/>
              <w:right w:val="single" w:color="auto" w:sz="8" w:space="0"/>
            </w:tcBorders>
            <w:noWrap w:val="0"/>
            <w:vAlign w:val="center"/>
          </w:tcPr>
          <w:p w14:paraId="7755328A">
            <w:pPr>
              <w:pStyle w:val="35"/>
              <w:keepNext w:val="0"/>
              <w:keepLines w:val="0"/>
              <w:pageBreakBefore w:val="0"/>
              <w:kinsoku/>
              <w:wordWrap/>
              <w:overflowPunct/>
              <w:topLinePunct w:val="0"/>
              <w:bidi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12</w:t>
            </w:r>
          </w:p>
        </w:tc>
        <w:tc>
          <w:tcPr>
            <w:tcW w:w="2160" w:type="dxa"/>
            <w:tcBorders>
              <w:top w:val="single" w:color="auto" w:sz="8" w:space="0"/>
              <w:left w:val="single" w:color="auto" w:sz="8" w:space="0"/>
              <w:bottom w:val="single" w:color="auto" w:sz="8" w:space="0"/>
              <w:right w:val="single" w:color="auto" w:sz="8" w:space="0"/>
            </w:tcBorders>
            <w:noWrap w:val="0"/>
            <w:vAlign w:val="center"/>
          </w:tcPr>
          <w:p w14:paraId="07A12836">
            <w:pPr>
              <w:pStyle w:val="35"/>
              <w:keepNext w:val="0"/>
              <w:keepLines w:val="0"/>
              <w:pageBreakBefore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交货地点</w:t>
            </w:r>
          </w:p>
        </w:tc>
        <w:tc>
          <w:tcPr>
            <w:tcW w:w="6530" w:type="dxa"/>
            <w:tcBorders>
              <w:top w:val="single" w:color="auto" w:sz="8" w:space="0"/>
              <w:left w:val="single" w:color="auto" w:sz="8" w:space="0"/>
              <w:bottom w:val="single" w:color="auto" w:sz="8" w:space="0"/>
            </w:tcBorders>
            <w:noWrap w:val="0"/>
            <w:vAlign w:val="center"/>
          </w:tcPr>
          <w:p w14:paraId="6698FA3C">
            <w:pPr>
              <w:pStyle w:val="35"/>
              <w:keepNext w:val="0"/>
              <w:keepLines w:val="0"/>
              <w:pageBreakBefore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采购人指定地点</w:t>
            </w:r>
          </w:p>
        </w:tc>
      </w:tr>
      <w:tr w14:paraId="3E791CE1">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788" w:hRule="exact"/>
          <w:jc w:val="center"/>
        </w:trPr>
        <w:tc>
          <w:tcPr>
            <w:tcW w:w="811" w:type="dxa"/>
            <w:tcBorders>
              <w:top w:val="single" w:color="auto" w:sz="8" w:space="0"/>
              <w:bottom w:val="single" w:color="auto" w:sz="8" w:space="0"/>
              <w:right w:val="single" w:color="auto" w:sz="8" w:space="0"/>
            </w:tcBorders>
            <w:noWrap w:val="0"/>
            <w:vAlign w:val="center"/>
          </w:tcPr>
          <w:p w14:paraId="09D17614">
            <w:pPr>
              <w:pStyle w:val="35"/>
              <w:keepNext w:val="0"/>
              <w:keepLines w:val="0"/>
              <w:pageBreakBefore w:val="0"/>
              <w:kinsoku/>
              <w:wordWrap/>
              <w:overflowPunct/>
              <w:topLinePunct w:val="0"/>
              <w:bidi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13</w:t>
            </w:r>
          </w:p>
        </w:tc>
        <w:tc>
          <w:tcPr>
            <w:tcW w:w="2160" w:type="dxa"/>
            <w:tcBorders>
              <w:top w:val="single" w:color="auto" w:sz="8" w:space="0"/>
              <w:left w:val="single" w:color="auto" w:sz="8" w:space="0"/>
              <w:bottom w:val="single" w:color="auto" w:sz="8" w:space="0"/>
              <w:right w:val="single" w:color="auto" w:sz="8" w:space="0"/>
            </w:tcBorders>
            <w:noWrap w:val="0"/>
            <w:vAlign w:val="center"/>
          </w:tcPr>
          <w:p w14:paraId="434B3B98">
            <w:pPr>
              <w:pStyle w:val="35"/>
              <w:keepNext w:val="0"/>
              <w:keepLines w:val="0"/>
              <w:pageBreakBefore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质量要求、验收标准</w:t>
            </w:r>
          </w:p>
        </w:tc>
        <w:tc>
          <w:tcPr>
            <w:tcW w:w="6530" w:type="dxa"/>
            <w:tcBorders>
              <w:top w:val="single" w:color="auto" w:sz="8" w:space="0"/>
              <w:left w:val="single" w:color="auto" w:sz="8" w:space="0"/>
              <w:bottom w:val="single" w:color="auto" w:sz="8" w:space="0"/>
            </w:tcBorders>
            <w:noWrap w:val="0"/>
            <w:vAlign w:val="center"/>
          </w:tcPr>
          <w:p w14:paraId="4F870733">
            <w:pPr>
              <w:pStyle w:val="35"/>
              <w:keepNext w:val="0"/>
              <w:keepLines w:val="0"/>
              <w:pageBreakBefore w:val="0"/>
              <w:kinsoku/>
              <w:wordWrap/>
              <w:overflowPunct/>
              <w:topLinePunct w:val="0"/>
              <w:bidi w:val="0"/>
              <w:snapToGrid/>
              <w:spacing w:line="390" w:lineRule="exact"/>
              <w:ind w:right="0" w:rightChars="0"/>
              <w:jc w:val="both"/>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rPr>
              <w:t>质保期：</w:t>
            </w:r>
            <w:r>
              <w:rPr>
                <w:rFonts w:hint="eastAsia" w:asciiTheme="minorEastAsia" w:hAnsiTheme="minorEastAsia" w:eastAsiaTheme="minorEastAsia" w:cstheme="minorEastAsia"/>
                <w:color w:val="auto"/>
                <w:sz w:val="24"/>
                <w:szCs w:val="24"/>
                <w:highlight w:val="none"/>
                <w:lang w:val="en-US" w:eastAsia="zh-CN"/>
              </w:rPr>
              <w:t>3</w:t>
            </w:r>
            <w:r>
              <w:rPr>
                <w:rFonts w:hint="eastAsia" w:asciiTheme="minorEastAsia" w:hAnsiTheme="minorEastAsia" w:eastAsiaTheme="minorEastAsia" w:cstheme="minorEastAsia"/>
                <w:color w:val="auto"/>
                <w:sz w:val="24"/>
                <w:szCs w:val="24"/>
                <w:highlight w:val="none"/>
              </w:rPr>
              <w:t>年</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lang w:val="en-US" w:eastAsia="zh-CN"/>
              </w:rPr>
              <w:t>自货物验收合格之日起计算</w:t>
            </w:r>
            <w:r>
              <w:rPr>
                <w:rFonts w:hint="eastAsia" w:asciiTheme="minorEastAsia" w:hAnsiTheme="minorEastAsia" w:eastAsiaTheme="minorEastAsia" w:cstheme="minorEastAsia"/>
                <w:color w:val="auto"/>
                <w:sz w:val="24"/>
                <w:szCs w:val="24"/>
                <w:highlight w:val="none"/>
                <w:lang w:eastAsia="zh-CN"/>
              </w:rPr>
              <w:t>）。</w:t>
            </w:r>
          </w:p>
          <w:p w14:paraId="677650F0">
            <w:pPr>
              <w:pStyle w:val="35"/>
              <w:keepNext w:val="0"/>
              <w:keepLines w:val="0"/>
              <w:pageBreakBefore w:val="0"/>
              <w:kinsoku/>
              <w:wordWrap/>
              <w:overflowPunct/>
              <w:topLinePunct w:val="0"/>
              <w:bidi w:val="0"/>
              <w:snapToGrid/>
              <w:spacing w:line="390" w:lineRule="exact"/>
              <w:ind w:right="0" w:rightChars="0"/>
              <w:jc w:val="both"/>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详见第四章</w:t>
            </w:r>
          </w:p>
        </w:tc>
      </w:tr>
      <w:tr w14:paraId="4E08E506">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758" w:hRule="atLeast"/>
          <w:jc w:val="center"/>
        </w:trPr>
        <w:tc>
          <w:tcPr>
            <w:tcW w:w="811" w:type="dxa"/>
            <w:tcBorders>
              <w:top w:val="single" w:color="auto" w:sz="8" w:space="0"/>
              <w:bottom w:val="single" w:color="auto" w:sz="8" w:space="0"/>
              <w:right w:val="single" w:color="auto" w:sz="8" w:space="0"/>
            </w:tcBorders>
            <w:noWrap w:val="0"/>
            <w:vAlign w:val="center"/>
          </w:tcPr>
          <w:p w14:paraId="77B461AC">
            <w:pPr>
              <w:pStyle w:val="35"/>
              <w:keepNext w:val="0"/>
              <w:keepLines w:val="0"/>
              <w:pageBreakBefore w:val="0"/>
              <w:kinsoku/>
              <w:wordWrap/>
              <w:overflowPunct/>
              <w:topLinePunct w:val="0"/>
              <w:bidi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14</w:t>
            </w:r>
          </w:p>
        </w:tc>
        <w:tc>
          <w:tcPr>
            <w:tcW w:w="2160" w:type="dxa"/>
            <w:tcBorders>
              <w:top w:val="single" w:color="auto" w:sz="8" w:space="0"/>
              <w:left w:val="single" w:color="auto" w:sz="8" w:space="0"/>
              <w:bottom w:val="single" w:color="auto" w:sz="8" w:space="0"/>
              <w:right w:val="single" w:color="auto" w:sz="8" w:space="0"/>
            </w:tcBorders>
            <w:noWrap w:val="0"/>
            <w:vAlign w:val="center"/>
          </w:tcPr>
          <w:p w14:paraId="53EE3175">
            <w:pPr>
              <w:pStyle w:val="35"/>
              <w:keepNext w:val="0"/>
              <w:keepLines w:val="0"/>
              <w:pageBreakBefore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是否采购进口产品</w:t>
            </w:r>
          </w:p>
        </w:tc>
        <w:tc>
          <w:tcPr>
            <w:tcW w:w="6530" w:type="dxa"/>
            <w:tcBorders>
              <w:top w:val="single" w:color="auto" w:sz="8" w:space="0"/>
              <w:left w:val="single" w:color="auto" w:sz="8" w:space="0"/>
              <w:bottom w:val="single" w:color="auto" w:sz="8" w:space="0"/>
            </w:tcBorders>
            <w:noWrap w:val="0"/>
            <w:vAlign w:val="center"/>
          </w:tcPr>
          <w:p w14:paraId="4F33A0A2">
            <w:pPr>
              <w:pStyle w:val="35"/>
              <w:keepNext w:val="0"/>
              <w:keepLines w:val="0"/>
              <w:pageBreakBefore w:val="0"/>
              <w:kinsoku/>
              <w:wordWrap/>
              <w:overflowPunct/>
              <w:topLinePunct w:val="0"/>
              <w:bidi w:val="0"/>
              <w:snapToGrid/>
              <w:spacing w:line="390" w:lineRule="exact"/>
              <w:ind w:right="0" w:rightChars="0"/>
              <w:jc w:val="both"/>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本项目拒绝进口产品参加</w:t>
            </w:r>
            <w:r>
              <w:rPr>
                <w:rFonts w:hint="eastAsia" w:asciiTheme="minorEastAsia" w:hAnsiTheme="minorEastAsia" w:eastAsiaTheme="minorEastAsia" w:cstheme="minorEastAsia"/>
                <w:color w:val="auto"/>
                <w:sz w:val="24"/>
                <w:szCs w:val="24"/>
                <w:highlight w:val="none"/>
                <w:lang w:val="en-US" w:eastAsia="zh-CN"/>
              </w:rPr>
              <w:t>投标</w:t>
            </w:r>
          </w:p>
        </w:tc>
      </w:tr>
      <w:tr w14:paraId="35E8F451">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760" w:hRule="atLeast"/>
          <w:jc w:val="center"/>
        </w:trPr>
        <w:tc>
          <w:tcPr>
            <w:tcW w:w="811" w:type="dxa"/>
            <w:tcBorders>
              <w:top w:val="single" w:color="auto" w:sz="8" w:space="0"/>
              <w:bottom w:val="single" w:color="auto" w:sz="8" w:space="0"/>
              <w:right w:val="single" w:color="auto" w:sz="8" w:space="0"/>
            </w:tcBorders>
            <w:noWrap w:val="0"/>
            <w:vAlign w:val="center"/>
          </w:tcPr>
          <w:p w14:paraId="1EEC9DBC">
            <w:pPr>
              <w:pStyle w:val="35"/>
              <w:keepNext w:val="0"/>
              <w:keepLines w:val="0"/>
              <w:pageBreakBefore w:val="0"/>
              <w:kinsoku/>
              <w:wordWrap/>
              <w:overflowPunct/>
              <w:topLinePunct w:val="0"/>
              <w:bidi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15</w:t>
            </w:r>
          </w:p>
        </w:tc>
        <w:tc>
          <w:tcPr>
            <w:tcW w:w="2160" w:type="dxa"/>
            <w:tcBorders>
              <w:top w:val="single" w:color="auto" w:sz="8" w:space="0"/>
              <w:left w:val="single" w:color="auto" w:sz="8" w:space="0"/>
              <w:bottom w:val="single" w:color="auto" w:sz="8" w:space="0"/>
              <w:right w:val="single" w:color="auto" w:sz="8" w:space="0"/>
            </w:tcBorders>
            <w:noWrap w:val="0"/>
            <w:vAlign w:val="center"/>
          </w:tcPr>
          <w:p w14:paraId="6D3D5E2A">
            <w:pPr>
              <w:pStyle w:val="35"/>
              <w:keepNext w:val="0"/>
              <w:keepLines w:val="0"/>
              <w:pageBreakBefore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联合体投标</w:t>
            </w:r>
          </w:p>
        </w:tc>
        <w:tc>
          <w:tcPr>
            <w:tcW w:w="6530" w:type="dxa"/>
            <w:tcBorders>
              <w:top w:val="single" w:color="auto" w:sz="8" w:space="0"/>
              <w:left w:val="single" w:color="auto" w:sz="8" w:space="0"/>
              <w:bottom w:val="single" w:color="auto" w:sz="8" w:space="0"/>
            </w:tcBorders>
            <w:noWrap w:val="0"/>
            <w:vAlign w:val="top"/>
          </w:tcPr>
          <w:p w14:paraId="63749CDB">
            <w:pPr>
              <w:keepNext w:val="0"/>
              <w:keepLines w:val="0"/>
              <w:pageBreakBefore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sym w:font="Wingdings 2" w:char="0052"/>
            </w:r>
            <w:r>
              <w:rPr>
                <w:rFonts w:hint="eastAsia" w:asciiTheme="minorEastAsia" w:hAnsiTheme="minorEastAsia" w:eastAsiaTheme="minorEastAsia" w:cstheme="minorEastAsia"/>
                <w:color w:val="auto"/>
                <w:sz w:val="24"/>
                <w:szCs w:val="24"/>
                <w:highlight w:val="none"/>
              </w:rPr>
              <w:t>不接受</w:t>
            </w:r>
          </w:p>
          <w:p w14:paraId="57F211BC">
            <w:pPr>
              <w:keepNext w:val="0"/>
              <w:keepLines w:val="0"/>
              <w:pageBreakBefore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□接受，详见投标人须知第3.3条款</w:t>
            </w:r>
          </w:p>
        </w:tc>
      </w:tr>
      <w:tr w14:paraId="7AA90E59">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429" w:hRule="atLeast"/>
          <w:jc w:val="center"/>
        </w:trPr>
        <w:tc>
          <w:tcPr>
            <w:tcW w:w="811" w:type="dxa"/>
            <w:tcBorders>
              <w:top w:val="single" w:color="auto" w:sz="8" w:space="0"/>
              <w:bottom w:val="single" w:color="auto" w:sz="8" w:space="0"/>
              <w:right w:val="single" w:color="auto" w:sz="8" w:space="0"/>
            </w:tcBorders>
            <w:noWrap w:val="0"/>
            <w:vAlign w:val="center"/>
          </w:tcPr>
          <w:p w14:paraId="0ABEC56F">
            <w:pPr>
              <w:pStyle w:val="35"/>
              <w:keepNext w:val="0"/>
              <w:keepLines w:val="0"/>
              <w:pageBreakBefore w:val="0"/>
              <w:kinsoku/>
              <w:wordWrap/>
              <w:overflowPunct/>
              <w:topLinePunct w:val="0"/>
              <w:bidi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16</w:t>
            </w:r>
          </w:p>
        </w:tc>
        <w:tc>
          <w:tcPr>
            <w:tcW w:w="2160" w:type="dxa"/>
            <w:tcBorders>
              <w:top w:val="single" w:color="auto" w:sz="8" w:space="0"/>
              <w:left w:val="single" w:color="auto" w:sz="8" w:space="0"/>
              <w:bottom w:val="single" w:color="auto" w:sz="8" w:space="0"/>
              <w:right w:val="single" w:color="auto" w:sz="8" w:space="0"/>
            </w:tcBorders>
            <w:noWrap w:val="0"/>
            <w:vAlign w:val="center"/>
          </w:tcPr>
          <w:p w14:paraId="65308813">
            <w:pPr>
              <w:pStyle w:val="35"/>
              <w:keepNext w:val="0"/>
              <w:keepLines w:val="0"/>
              <w:pageBreakBefore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招标文件发售</w:t>
            </w:r>
          </w:p>
        </w:tc>
        <w:tc>
          <w:tcPr>
            <w:tcW w:w="6530" w:type="dxa"/>
            <w:tcBorders>
              <w:top w:val="single" w:color="auto" w:sz="8" w:space="0"/>
              <w:left w:val="single" w:color="auto" w:sz="8" w:space="0"/>
              <w:bottom w:val="single" w:color="auto" w:sz="8" w:space="0"/>
            </w:tcBorders>
            <w:noWrap w:val="0"/>
            <w:vAlign w:val="center"/>
          </w:tcPr>
          <w:p w14:paraId="0480F5CE">
            <w:pPr>
              <w:keepNext w:val="0"/>
              <w:keepLines w:val="0"/>
              <w:pageBreakBefore w:val="0"/>
              <w:widowControl/>
              <w:kinsoku/>
              <w:wordWrap/>
              <w:overflowPunct/>
              <w:topLinePunct w:val="0"/>
              <w:bidi w:val="0"/>
              <w:snapToGrid/>
              <w:spacing w:line="390" w:lineRule="exact"/>
              <w:ind w:right="0" w:rightChars="0"/>
              <w:jc w:val="left"/>
              <w:textAlignment w:val="auto"/>
              <w:rPr>
                <w:rFonts w:hint="eastAsia" w:asciiTheme="minorEastAsia" w:hAnsiTheme="minorEastAsia" w:eastAsiaTheme="minorEastAsia" w:cstheme="minorEastAsia"/>
                <w:color w:val="auto"/>
                <w:sz w:val="24"/>
                <w:szCs w:val="24"/>
                <w:highlight w:val="none"/>
                <w:u w:val="single"/>
              </w:rPr>
            </w:pPr>
            <w:r>
              <w:rPr>
                <w:rFonts w:hint="eastAsia" w:asciiTheme="minorEastAsia" w:hAnsiTheme="minorEastAsia" w:eastAsiaTheme="minorEastAsia" w:cstheme="minorEastAsia"/>
                <w:color w:val="auto"/>
                <w:sz w:val="24"/>
                <w:szCs w:val="24"/>
                <w:highlight w:val="none"/>
                <w:u w:val="single"/>
              </w:rPr>
              <w:t>时间：</w:t>
            </w:r>
            <w:r>
              <w:rPr>
                <w:rFonts w:hint="eastAsia" w:asciiTheme="minorEastAsia" w:hAnsiTheme="minorEastAsia" w:eastAsiaTheme="minorEastAsia" w:cstheme="minorEastAsia"/>
                <w:i w:val="0"/>
                <w:iCs w:val="0"/>
                <w:color w:val="auto"/>
                <w:sz w:val="24"/>
                <w:szCs w:val="24"/>
                <w:highlight w:val="none"/>
                <w:u w:val="single"/>
                <w:lang w:val="en-US" w:eastAsia="zh-CN"/>
              </w:rPr>
              <w:t>2024</w:t>
            </w:r>
            <w:r>
              <w:rPr>
                <w:rFonts w:hint="eastAsia" w:asciiTheme="minorEastAsia" w:hAnsiTheme="minorEastAsia" w:eastAsiaTheme="minorEastAsia" w:cstheme="minorEastAsia"/>
                <w:i w:val="0"/>
                <w:iCs w:val="0"/>
                <w:color w:val="auto"/>
                <w:sz w:val="24"/>
                <w:szCs w:val="24"/>
                <w:highlight w:val="none"/>
                <w:u w:val="single"/>
              </w:rPr>
              <w:t>年</w:t>
            </w:r>
            <w:r>
              <w:rPr>
                <w:rFonts w:hint="eastAsia" w:asciiTheme="minorEastAsia" w:hAnsiTheme="minorEastAsia" w:eastAsiaTheme="minorEastAsia" w:cstheme="minorEastAsia"/>
                <w:i w:val="0"/>
                <w:iCs w:val="0"/>
                <w:color w:val="auto"/>
                <w:sz w:val="24"/>
                <w:szCs w:val="24"/>
                <w:highlight w:val="none"/>
                <w:u w:val="single"/>
                <w:lang w:val="en-US" w:eastAsia="zh-CN"/>
              </w:rPr>
              <w:t>11</w:t>
            </w:r>
            <w:r>
              <w:rPr>
                <w:rFonts w:hint="eastAsia" w:asciiTheme="minorEastAsia" w:hAnsiTheme="minorEastAsia" w:eastAsiaTheme="minorEastAsia" w:cstheme="minorEastAsia"/>
                <w:i w:val="0"/>
                <w:iCs w:val="0"/>
                <w:color w:val="auto"/>
                <w:sz w:val="24"/>
                <w:szCs w:val="24"/>
                <w:highlight w:val="none"/>
                <w:u w:val="single"/>
              </w:rPr>
              <w:t>月</w:t>
            </w:r>
            <w:r>
              <w:rPr>
                <w:rFonts w:hint="eastAsia" w:asciiTheme="minorEastAsia" w:hAnsiTheme="minorEastAsia" w:eastAsiaTheme="minorEastAsia" w:cstheme="minorEastAsia"/>
                <w:i w:val="0"/>
                <w:iCs w:val="0"/>
                <w:color w:val="auto"/>
                <w:sz w:val="24"/>
                <w:szCs w:val="24"/>
                <w:highlight w:val="none"/>
                <w:u w:val="single"/>
                <w:lang w:val="en-US" w:eastAsia="zh-CN"/>
              </w:rPr>
              <w:t>05</w:t>
            </w:r>
            <w:r>
              <w:rPr>
                <w:rFonts w:hint="eastAsia" w:asciiTheme="minorEastAsia" w:hAnsiTheme="minorEastAsia" w:eastAsiaTheme="minorEastAsia" w:cstheme="minorEastAsia"/>
                <w:i w:val="0"/>
                <w:iCs w:val="0"/>
                <w:color w:val="auto"/>
                <w:sz w:val="24"/>
                <w:szCs w:val="24"/>
                <w:highlight w:val="none"/>
                <w:u w:val="single"/>
              </w:rPr>
              <w:t>日</w:t>
            </w:r>
            <w:r>
              <w:rPr>
                <w:rFonts w:hint="eastAsia" w:asciiTheme="minorEastAsia" w:hAnsiTheme="minorEastAsia" w:eastAsiaTheme="minorEastAsia" w:cstheme="minorEastAsia"/>
                <w:i w:val="0"/>
                <w:iCs w:val="0"/>
                <w:color w:val="auto"/>
                <w:sz w:val="24"/>
                <w:szCs w:val="24"/>
                <w:highlight w:val="none"/>
              </w:rPr>
              <w:t>至</w:t>
            </w:r>
            <w:r>
              <w:rPr>
                <w:rFonts w:hint="eastAsia" w:asciiTheme="minorEastAsia" w:hAnsiTheme="minorEastAsia" w:eastAsiaTheme="minorEastAsia" w:cstheme="minorEastAsia"/>
                <w:i w:val="0"/>
                <w:iCs w:val="0"/>
                <w:color w:val="auto"/>
                <w:sz w:val="24"/>
                <w:szCs w:val="24"/>
                <w:highlight w:val="none"/>
                <w:u w:val="single"/>
                <w:lang w:val="en-US" w:eastAsia="zh-CN"/>
              </w:rPr>
              <w:t>2024</w:t>
            </w:r>
            <w:r>
              <w:rPr>
                <w:rFonts w:hint="eastAsia" w:asciiTheme="minorEastAsia" w:hAnsiTheme="minorEastAsia" w:eastAsiaTheme="minorEastAsia" w:cstheme="minorEastAsia"/>
                <w:i w:val="0"/>
                <w:iCs w:val="0"/>
                <w:color w:val="auto"/>
                <w:sz w:val="24"/>
                <w:szCs w:val="24"/>
                <w:highlight w:val="none"/>
                <w:u w:val="single"/>
              </w:rPr>
              <w:t>年</w:t>
            </w:r>
            <w:r>
              <w:rPr>
                <w:rFonts w:hint="eastAsia" w:asciiTheme="minorEastAsia" w:hAnsiTheme="minorEastAsia" w:eastAsiaTheme="minorEastAsia" w:cstheme="minorEastAsia"/>
                <w:i w:val="0"/>
                <w:iCs w:val="0"/>
                <w:color w:val="auto"/>
                <w:sz w:val="24"/>
                <w:szCs w:val="24"/>
                <w:highlight w:val="none"/>
                <w:u w:val="single"/>
                <w:lang w:val="en-US" w:eastAsia="zh-CN"/>
              </w:rPr>
              <w:t>11</w:t>
            </w:r>
            <w:r>
              <w:rPr>
                <w:rFonts w:hint="eastAsia" w:asciiTheme="minorEastAsia" w:hAnsiTheme="minorEastAsia" w:eastAsiaTheme="minorEastAsia" w:cstheme="minorEastAsia"/>
                <w:i w:val="0"/>
                <w:iCs w:val="0"/>
                <w:color w:val="auto"/>
                <w:sz w:val="24"/>
                <w:szCs w:val="24"/>
                <w:highlight w:val="none"/>
                <w:u w:val="single"/>
              </w:rPr>
              <w:t>月</w:t>
            </w:r>
            <w:r>
              <w:rPr>
                <w:rFonts w:hint="eastAsia" w:asciiTheme="minorEastAsia" w:hAnsiTheme="minorEastAsia" w:eastAsiaTheme="minorEastAsia" w:cstheme="minorEastAsia"/>
                <w:i w:val="0"/>
                <w:iCs w:val="0"/>
                <w:color w:val="auto"/>
                <w:sz w:val="24"/>
                <w:szCs w:val="24"/>
                <w:highlight w:val="none"/>
                <w:u w:val="single"/>
                <w:lang w:val="en-US" w:eastAsia="zh-CN"/>
              </w:rPr>
              <w:t>12</w:t>
            </w:r>
            <w:r>
              <w:rPr>
                <w:rFonts w:hint="eastAsia" w:asciiTheme="minorEastAsia" w:hAnsiTheme="minorEastAsia" w:eastAsiaTheme="minorEastAsia" w:cstheme="minorEastAsia"/>
                <w:i w:val="0"/>
                <w:iCs w:val="0"/>
                <w:color w:val="auto"/>
                <w:sz w:val="24"/>
                <w:szCs w:val="24"/>
                <w:highlight w:val="none"/>
                <w:u w:val="single"/>
              </w:rPr>
              <w:t>日</w:t>
            </w:r>
            <w:r>
              <w:rPr>
                <w:rFonts w:hint="eastAsia" w:asciiTheme="minorEastAsia" w:hAnsiTheme="minorEastAsia" w:eastAsiaTheme="minorEastAsia" w:cstheme="minorEastAsia"/>
                <w:i w:val="0"/>
                <w:iCs w:val="0"/>
                <w:color w:val="auto"/>
                <w:sz w:val="24"/>
                <w:szCs w:val="24"/>
                <w:highlight w:val="none"/>
              </w:rPr>
              <w:t>，每天上午</w:t>
            </w:r>
            <w:r>
              <w:rPr>
                <w:rFonts w:hint="eastAsia" w:asciiTheme="minorEastAsia" w:hAnsiTheme="minorEastAsia" w:eastAsiaTheme="minorEastAsia" w:cstheme="minorEastAsia"/>
                <w:i w:val="0"/>
                <w:iCs w:val="0"/>
                <w:color w:val="auto"/>
                <w:sz w:val="24"/>
                <w:szCs w:val="24"/>
                <w:highlight w:val="none"/>
                <w:u w:val="single"/>
                <w:lang w:val="en-US" w:eastAsia="zh-CN"/>
              </w:rPr>
              <w:t>10:00</w:t>
            </w:r>
            <w:r>
              <w:rPr>
                <w:rFonts w:hint="eastAsia" w:asciiTheme="minorEastAsia" w:hAnsiTheme="minorEastAsia" w:eastAsiaTheme="minorEastAsia" w:cstheme="minorEastAsia"/>
                <w:i w:val="0"/>
                <w:iCs w:val="0"/>
                <w:color w:val="auto"/>
                <w:sz w:val="24"/>
                <w:szCs w:val="24"/>
                <w:highlight w:val="none"/>
              </w:rPr>
              <w:t>至</w:t>
            </w:r>
            <w:r>
              <w:rPr>
                <w:rFonts w:hint="eastAsia" w:asciiTheme="minorEastAsia" w:hAnsiTheme="minorEastAsia" w:eastAsiaTheme="minorEastAsia" w:cstheme="minorEastAsia"/>
                <w:i w:val="0"/>
                <w:iCs w:val="0"/>
                <w:color w:val="auto"/>
                <w:sz w:val="24"/>
                <w:szCs w:val="24"/>
                <w:highlight w:val="none"/>
                <w:u w:val="single"/>
                <w:lang w:val="en-US" w:eastAsia="zh-CN"/>
              </w:rPr>
              <w:t>14:00</w:t>
            </w:r>
            <w:r>
              <w:rPr>
                <w:rFonts w:hint="eastAsia" w:asciiTheme="minorEastAsia" w:hAnsiTheme="minorEastAsia" w:eastAsiaTheme="minorEastAsia" w:cstheme="minorEastAsia"/>
                <w:i w:val="0"/>
                <w:iCs w:val="0"/>
                <w:color w:val="auto"/>
                <w:sz w:val="24"/>
                <w:szCs w:val="24"/>
                <w:highlight w:val="none"/>
              </w:rPr>
              <w:t>，下午</w:t>
            </w:r>
            <w:r>
              <w:rPr>
                <w:rFonts w:hint="eastAsia" w:asciiTheme="minorEastAsia" w:hAnsiTheme="minorEastAsia" w:eastAsiaTheme="minorEastAsia" w:cstheme="minorEastAsia"/>
                <w:i w:val="0"/>
                <w:iCs w:val="0"/>
                <w:color w:val="auto"/>
                <w:sz w:val="24"/>
                <w:szCs w:val="24"/>
                <w:highlight w:val="none"/>
                <w:u w:val="single"/>
                <w:lang w:val="en-US" w:eastAsia="zh-CN"/>
              </w:rPr>
              <w:t>15:30</w:t>
            </w:r>
            <w:r>
              <w:rPr>
                <w:rFonts w:hint="eastAsia" w:asciiTheme="minorEastAsia" w:hAnsiTheme="minorEastAsia" w:eastAsiaTheme="minorEastAsia" w:cstheme="minorEastAsia"/>
                <w:i w:val="0"/>
                <w:iCs w:val="0"/>
                <w:color w:val="auto"/>
                <w:sz w:val="24"/>
                <w:szCs w:val="24"/>
                <w:highlight w:val="none"/>
              </w:rPr>
              <w:t>至</w:t>
            </w:r>
            <w:r>
              <w:rPr>
                <w:rFonts w:hint="eastAsia" w:asciiTheme="minorEastAsia" w:hAnsiTheme="minorEastAsia" w:eastAsiaTheme="minorEastAsia" w:cstheme="minorEastAsia"/>
                <w:i w:val="0"/>
                <w:iCs w:val="0"/>
                <w:color w:val="auto"/>
                <w:sz w:val="24"/>
                <w:szCs w:val="24"/>
                <w:highlight w:val="none"/>
                <w:u w:val="single"/>
                <w:lang w:val="en-US" w:eastAsia="zh-CN"/>
              </w:rPr>
              <w:t>19:30</w:t>
            </w:r>
            <w:r>
              <w:rPr>
                <w:rFonts w:hint="eastAsia" w:asciiTheme="minorEastAsia" w:hAnsiTheme="minorEastAsia" w:eastAsiaTheme="minorEastAsia" w:cstheme="minorEastAsia"/>
                <w:i w:val="0"/>
                <w:iCs w:val="0"/>
                <w:color w:val="auto"/>
                <w:sz w:val="24"/>
                <w:szCs w:val="24"/>
                <w:highlight w:val="none"/>
              </w:rPr>
              <w:t>（北京时间，法定节假日除外）</w:t>
            </w:r>
          </w:p>
          <w:p w14:paraId="7BA6DC71">
            <w:pPr>
              <w:keepNext w:val="0"/>
              <w:keepLines w:val="0"/>
              <w:pageBreakBefore w:val="0"/>
              <w:widowControl/>
              <w:kinsoku/>
              <w:wordWrap/>
              <w:overflowPunct/>
              <w:topLinePunct w:val="0"/>
              <w:bidi w:val="0"/>
              <w:snapToGrid/>
              <w:spacing w:line="390" w:lineRule="exact"/>
              <w:ind w:right="0" w:rightChars="0"/>
              <w:jc w:val="left"/>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sz w:val="24"/>
                <w:szCs w:val="24"/>
                <w:highlight w:val="none"/>
              </w:rPr>
              <w:t>地点：</w:t>
            </w:r>
            <w:r>
              <w:rPr>
                <w:rFonts w:hint="eastAsia" w:asciiTheme="minorEastAsia" w:hAnsiTheme="minorEastAsia" w:eastAsiaTheme="minorEastAsia" w:cstheme="minorEastAsia"/>
                <w:color w:val="auto"/>
                <w:sz w:val="24"/>
                <w:szCs w:val="24"/>
                <w:highlight w:val="none"/>
                <w:u w:val="single"/>
              </w:rPr>
              <w:t>政采云系统平台（https://www.zcygov.cn/）</w:t>
            </w:r>
          </w:p>
        </w:tc>
      </w:tr>
      <w:tr w14:paraId="6B8F2D83">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429" w:hRule="atLeast"/>
          <w:jc w:val="center"/>
        </w:trPr>
        <w:tc>
          <w:tcPr>
            <w:tcW w:w="811" w:type="dxa"/>
            <w:tcBorders>
              <w:top w:val="single" w:color="auto" w:sz="8" w:space="0"/>
              <w:bottom w:val="single" w:color="auto" w:sz="8" w:space="0"/>
              <w:right w:val="single" w:color="auto" w:sz="8" w:space="0"/>
            </w:tcBorders>
            <w:noWrap w:val="0"/>
            <w:vAlign w:val="center"/>
          </w:tcPr>
          <w:p w14:paraId="1841C0A5">
            <w:pPr>
              <w:pStyle w:val="35"/>
              <w:keepNext w:val="0"/>
              <w:keepLines w:val="0"/>
              <w:pageBreakBefore w:val="0"/>
              <w:kinsoku/>
              <w:wordWrap/>
              <w:overflowPunct/>
              <w:topLinePunct w:val="0"/>
              <w:bidi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17</w:t>
            </w:r>
          </w:p>
        </w:tc>
        <w:tc>
          <w:tcPr>
            <w:tcW w:w="2160" w:type="dxa"/>
            <w:tcBorders>
              <w:top w:val="single" w:color="auto" w:sz="8" w:space="0"/>
              <w:left w:val="single" w:color="auto" w:sz="8" w:space="0"/>
              <w:bottom w:val="single" w:color="auto" w:sz="8" w:space="0"/>
              <w:right w:val="single" w:color="auto" w:sz="8" w:space="0"/>
            </w:tcBorders>
            <w:noWrap w:val="0"/>
            <w:vAlign w:val="center"/>
          </w:tcPr>
          <w:p w14:paraId="4CC99088">
            <w:pPr>
              <w:pStyle w:val="35"/>
              <w:keepNext w:val="0"/>
              <w:keepLines w:val="0"/>
              <w:pageBreakBefore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考察现场、标前答疑会</w:t>
            </w:r>
          </w:p>
        </w:tc>
        <w:tc>
          <w:tcPr>
            <w:tcW w:w="6530" w:type="dxa"/>
            <w:tcBorders>
              <w:top w:val="single" w:color="auto" w:sz="8" w:space="0"/>
              <w:left w:val="single" w:color="auto" w:sz="8" w:space="0"/>
              <w:bottom w:val="single" w:color="auto" w:sz="8" w:space="0"/>
            </w:tcBorders>
            <w:noWrap w:val="0"/>
            <w:vAlign w:val="center"/>
          </w:tcPr>
          <w:p w14:paraId="0DAA40CB">
            <w:pPr>
              <w:pStyle w:val="35"/>
              <w:keepNext w:val="0"/>
              <w:keepLines w:val="0"/>
              <w:pageBreakBefore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sym w:font="Wingdings 2" w:char="0052"/>
            </w:r>
            <w:r>
              <w:rPr>
                <w:rFonts w:hint="eastAsia" w:asciiTheme="minorEastAsia" w:hAnsiTheme="minorEastAsia" w:eastAsiaTheme="minorEastAsia" w:cstheme="minorEastAsia"/>
                <w:color w:val="auto"/>
                <w:sz w:val="24"/>
                <w:szCs w:val="24"/>
                <w:highlight w:val="none"/>
                <w:lang w:val="zh-CN"/>
              </w:rPr>
              <w:t>不组织</w:t>
            </w:r>
          </w:p>
          <w:p w14:paraId="1630F318">
            <w:pPr>
              <w:pStyle w:val="35"/>
              <w:keepNext w:val="0"/>
              <w:keepLines w:val="0"/>
              <w:pageBreakBefore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□组织，时间、地点另行书面通知</w:t>
            </w:r>
          </w:p>
        </w:tc>
      </w:tr>
      <w:tr w14:paraId="4BBE17A2">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611" w:hRule="atLeast"/>
          <w:jc w:val="center"/>
        </w:trPr>
        <w:tc>
          <w:tcPr>
            <w:tcW w:w="811" w:type="dxa"/>
            <w:tcBorders>
              <w:top w:val="single" w:color="auto" w:sz="8" w:space="0"/>
              <w:bottom w:val="single" w:color="auto" w:sz="8" w:space="0"/>
              <w:right w:val="single" w:color="auto" w:sz="8" w:space="0"/>
            </w:tcBorders>
            <w:noWrap w:val="0"/>
            <w:vAlign w:val="center"/>
          </w:tcPr>
          <w:p w14:paraId="00A07066">
            <w:pPr>
              <w:pStyle w:val="35"/>
              <w:keepNext w:val="0"/>
              <w:keepLines w:val="0"/>
              <w:pageBreakBefore w:val="0"/>
              <w:kinsoku/>
              <w:wordWrap/>
              <w:overflowPunct/>
              <w:topLinePunct w:val="0"/>
              <w:bidi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18</w:t>
            </w:r>
          </w:p>
        </w:tc>
        <w:tc>
          <w:tcPr>
            <w:tcW w:w="2160" w:type="dxa"/>
            <w:tcBorders>
              <w:top w:val="single" w:color="auto" w:sz="8" w:space="0"/>
              <w:left w:val="single" w:color="auto" w:sz="8" w:space="0"/>
              <w:bottom w:val="single" w:color="auto" w:sz="8" w:space="0"/>
              <w:right w:val="single" w:color="auto" w:sz="8" w:space="0"/>
            </w:tcBorders>
            <w:noWrap w:val="0"/>
            <w:vAlign w:val="center"/>
          </w:tcPr>
          <w:p w14:paraId="15DFF357">
            <w:pPr>
              <w:pStyle w:val="35"/>
              <w:keepNext w:val="0"/>
              <w:keepLines w:val="0"/>
              <w:pageBreakBefore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转包与分包履约</w:t>
            </w:r>
          </w:p>
        </w:tc>
        <w:tc>
          <w:tcPr>
            <w:tcW w:w="6530" w:type="dxa"/>
            <w:tcBorders>
              <w:top w:val="single" w:color="auto" w:sz="8" w:space="0"/>
              <w:left w:val="single" w:color="auto" w:sz="8" w:space="0"/>
              <w:bottom w:val="single" w:color="auto" w:sz="8" w:space="0"/>
            </w:tcBorders>
            <w:noWrap w:val="0"/>
            <w:vAlign w:val="center"/>
          </w:tcPr>
          <w:p w14:paraId="1A8FDDF1">
            <w:pPr>
              <w:pStyle w:val="35"/>
              <w:keepNext w:val="0"/>
              <w:keepLines w:val="0"/>
              <w:pageBreakBefore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不得转包。不允许分包。</w:t>
            </w:r>
          </w:p>
        </w:tc>
      </w:tr>
      <w:tr w14:paraId="2538A886">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611" w:hRule="atLeast"/>
          <w:jc w:val="center"/>
        </w:trPr>
        <w:tc>
          <w:tcPr>
            <w:tcW w:w="811" w:type="dxa"/>
            <w:tcBorders>
              <w:top w:val="single" w:color="auto" w:sz="8" w:space="0"/>
              <w:bottom w:val="single" w:color="auto" w:sz="8" w:space="0"/>
              <w:right w:val="single" w:color="auto" w:sz="8" w:space="0"/>
            </w:tcBorders>
            <w:noWrap w:val="0"/>
            <w:vAlign w:val="center"/>
          </w:tcPr>
          <w:p w14:paraId="51E3BEA8">
            <w:pPr>
              <w:pStyle w:val="35"/>
              <w:keepNext w:val="0"/>
              <w:keepLines w:val="0"/>
              <w:pageBreakBefore w:val="0"/>
              <w:kinsoku/>
              <w:wordWrap/>
              <w:overflowPunct/>
              <w:topLinePunct w:val="0"/>
              <w:bidi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19</w:t>
            </w:r>
          </w:p>
        </w:tc>
        <w:tc>
          <w:tcPr>
            <w:tcW w:w="2160" w:type="dxa"/>
            <w:tcBorders>
              <w:top w:val="single" w:color="auto" w:sz="8" w:space="0"/>
              <w:left w:val="single" w:color="auto" w:sz="8" w:space="0"/>
              <w:bottom w:val="single" w:color="auto" w:sz="8" w:space="0"/>
              <w:right w:val="single" w:color="auto" w:sz="8" w:space="0"/>
            </w:tcBorders>
            <w:noWrap w:val="0"/>
            <w:vAlign w:val="center"/>
          </w:tcPr>
          <w:p w14:paraId="185BD85C">
            <w:pPr>
              <w:pStyle w:val="35"/>
              <w:keepNext w:val="0"/>
              <w:keepLines w:val="0"/>
              <w:pageBreakBefore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付款方式</w:t>
            </w:r>
          </w:p>
        </w:tc>
        <w:tc>
          <w:tcPr>
            <w:tcW w:w="6530" w:type="dxa"/>
            <w:tcBorders>
              <w:top w:val="single" w:color="auto" w:sz="8" w:space="0"/>
              <w:left w:val="single" w:color="auto" w:sz="8" w:space="0"/>
              <w:bottom w:val="single" w:color="auto" w:sz="8" w:space="0"/>
            </w:tcBorders>
            <w:noWrap w:val="0"/>
            <w:vAlign w:val="center"/>
          </w:tcPr>
          <w:p w14:paraId="7DEFD435">
            <w:pPr>
              <w:pStyle w:val="4"/>
              <w:keepNext w:val="0"/>
              <w:keepLines w:val="0"/>
              <w:pageBreakBefore w:val="0"/>
              <w:kinsoku/>
              <w:wordWrap/>
              <w:overflowPunct/>
              <w:topLinePunct w:val="0"/>
              <w:bidi w:val="0"/>
              <w:snapToGrid/>
              <w:spacing w:line="390" w:lineRule="exact"/>
              <w:ind w:left="0" w:leftChars="0" w:right="0" w:rightChars="0" w:firstLine="0" w:firstLineChars="0"/>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en-US" w:eastAsia="zh-CN"/>
              </w:rPr>
              <w:t>签订合同后支付合同总价的30%，</w:t>
            </w:r>
            <w:r>
              <w:rPr>
                <w:rFonts w:hint="eastAsia" w:asciiTheme="minorEastAsia" w:hAnsiTheme="minorEastAsia" w:eastAsiaTheme="minorEastAsia" w:cstheme="minorEastAsia"/>
                <w:color w:val="auto"/>
                <w:sz w:val="24"/>
                <w:szCs w:val="24"/>
                <w:highlight w:val="none"/>
                <w:lang w:val="zh-CN" w:eastAsia="zh-CN"/>
              </w:rPr>
              <w:t>产品</w:t>
            </w:r>
            <w:r>
              <w:rPr>
                <w:rFonts w:hint="eastAsia" w:asciiTheme="minorEastAsia" w:hAnsiTheme="minorEastAsia" w:eastAsiaTheme="minorEastAsia" w:cstheme="minorEastAsia"/>
                <w:color w:val="auto"/>
                <w:sz w:val="24"/>
                <w:szCs w:val="24"/>
                <w:highlight w:val="none"/>
                <w:lang w:val="en-US" w:eastAsia="zh-CN"/>
              </w:rPr>
              <w:t>到货甲方初验合格后支付同总价的40%，货物终验验收</w:t>
            </w:r>
            <w:r>
              <w:rPr>
                <w:rFonts w:hint="eastAsia" w:asciiTheme="minorEastAsia" w:hAnsiTheme="minorEastAsia" w:eastAsiaTheme="minorEastAsia" w:cstheme="minorEastAsia"/>
                <w:color w:val="auto"/>
                <w:sz w:val="24"/>
                <w:szCs w:val="24"/>
                <w:highlight w:val="none"/>
                <w:lang w:val="zh-CN" w:eastAsia="zh-CN"/>
              </w:rPr>
              <w:t>合格后支付</w:t>
            </w:r>
            <w:r>
              <w:rPr>
                <w:rFonts w:hint="eastAsia" w:asciiTheme="minorEastAsia" w:hAnsiTheme="minorEastAsia" w:eastAsiaTheme="minorEastAsia" w:cstheme="minorEastAsia"/>
                <w:color w:val="auto"/>
                <w:sz w:val="24"/>
                <w:szCs w:val="24"/>
                <w:highlight w:val="none"/>
                <w:lang w:val="en-US" w:eastAsia="zh-CN"/>
              </w:rPr>
              <w:t>合同总价的30</w:t>
            </w:r>
            <w:r>
              <w:rPr>
                <w:rFonts w:hint="eastAsia" w:asciiTheme="minorEastAsia" w:hAnsiTheme="minorEastAsia" w:eastAsiaTheme="minorEastAsia" w:cstheme="minorEastAsia"/>
                <w:color w:val="auto"/>
                <w:sz w:val="24"/>
                <w:szCs w:val="24"/>
                <w:highlight w:val="none"/>
                <w:lang w:val="zh-CN" w:eastAsia="zh-CN"/>
              </w:rPr>
              <w:t>％。（具体与甲方签订为准）</w:t>
            </w:r>
          </w:p>
        </w:tc>
      </w:tr>
      <w:tr w14:paraId="10927683">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619" w:hRule="atLeast"/>
          <w:jc w:val="center"/>
        </w:trPr>
        <w:tc>
          <w:tcPr>
            <w:tcW w:w="811" w:type="dxa"/>
            <w:tcBorders>
              <w:top w:val="single" w:color="auto" w:sz="8" w:space="0"/>
              <w:bottom w:val="single" w:color="auto" w:sz="8" w:space="0"/>
              <w:right w:val="single" w:color="auto" w:sz="8" w:space="0"/>
            </w:tcBorders>
            <w:noWrap w:val="0"/>
            <w:vAlign w:val="center"/>
          </w:tcPr>
          <w:p w14:paraId="7797CEE7">
            <w:pPr>
              <w:pStyle w:val="35"/>
              <w:keepNext w:val="0"/>
              <w:keepLines w:val="0"/>
              <w:pageBreakBefore w:val="0"/>
              <w:kinsoku/>
              <w:wordWrap/>
              <w:overflowPunct/>
              <w:topLinePunct w:val="0"/>
              <w:bidi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20</w:t>
            </w:r>
          </w:p>
        </w:tc>
        <w:tc>
          <w:tcPr>
            <w:tcW w:w="2160" w:type="dxa"/>
            <w:tcBorders>
              <w:top w:val="single" w:color="auto" w:sz="8" w:space="0"/>
              <w:left w:val="single" w:color="auto" w:sz="8" w:space="0"/>
              <w:bottom w:val="single" w:color="auto" w:sz="8" w:space="0"/>
              <w:right w:val="single" w:color="auto" w:sz="8" w:space="0"/>
            </w:tcBorders>
            <w:noWrap w:val="0"/>
            <w:vAlign w:val="center"/>
          </w:tcPr>
          <w:p w14:paraId="31E6590F">
            <w:pPr>
              <w:pStyle w:val="4"/>
              <w:keepNext w:val="0"/>
              <w:keepLines w:val="0"/>
              <w:pageBreakBefore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招标文件澄清</w:t>
            </w:r>
          </w:p>
          <w:p w14:paraId="07FAE4AD">
            <w:pPr>
              <w:pStyle w:val="4"/>
              <w:keepNext w:val="0"/>
              <w:keepLines w:val="0"/>
              <w:pageBreakBefore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rPr>
              <w:t>或修改时间、形式</w:t>
            </w:r>
          </w:p>
        </w:tc>
        <w:tc>
          <w:tcPr>
            <w:tcW w:w="6530" w:type="dxa"/>
            <w:tcBorders>
              <w:top w:val="single" w:color="auto" w:sz="8" w:space="0"/>
              <w:left w:val="single" w:color="auto" w:sz="8" w:space="0"/>
              <w:bottom w:val="single" w:color="auto" w:sz="8" w:space="0"/>
            </w:tcBorders>
            <w:noWrap w:val="0"/>
            <w:vAlign w:val="center"/>
          </w:tcPr>
          <w:p w14:paraId="3C93F71E">
            <w:pPr>
              <w:pStyle w:val="4"/>
              <w:keepNext w:val="0"/>
              <w:keepLines w:val="0"/>
              <w:pageBreakBefore w:val="0"/>
              <w:kinsoku/>
              <w:wordWrap/>
              <w:overflowPunct/>
              <w:topLinePunct w:val="0"/>
              <w:bidi w:val="0"/>
              <w:snapToGrid/>
              <w:spacing w:line="390" w:lineRule="exact"/>
              <w:ind w:left="0" w:leftChars="0" w:right="0" w:rightChars="0" w:firstLine="0" w:firstLineChars="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zh-CN"/>
              </w:rPr>
              <w:t>时间：</w:t>
            </w:r>
            <w:r>
              <w:rPr>
                <w:rFonts w:hint="eastAsia" w:asciiTheme="minorEastAsia" w:hAnsiTheme="minorEastAsia" w:eastAsiaTheme="minorEastAsia" w:cstheme="minorEastAsia"/>
                <w:color w:val="auto"/>
                <w:sz w:val="24"/>
                <w:szCs w:val="24"/>
                <w:highlight w:val="none"/>
              </w:rPr>
              <w:t>递交投标文件</w:t>
            </w:r>
            <w:r>
              <w:rPr>
                <w:rFonts w:hint="eastAsia" w:asciiTheme="minorEastAsia" w:hAnsiTheme="minorEastAsia" w:eastAsiaTheme="minorEastAsia" w:cstheme="minorEastAsia"/>
                <w:color w:val="auto"/>
                <w:sz w:val="24"/>
                <w:szCs w:val="24"/>
                <w:highlight w:val="none"/>
                <w:lang w:eastAsia="zh-CN"/>
              </w:rPr>
              <w:t>截止</w:t>
            </w:r>
            <w:r>
              <w:rPr>
                <w:rFonts w:hint="eastAsia" w:asciiTheme="minorEastAsia" w:hAnsiTheme="minorEastAsia" w:eastAsiaTheme="minorEastAsia" w:cstheme="minorEastAsia"/>
                <w:color w:val="auto"/>
                <w:sz w:val="24"/>
                <w:szCs w:val="24"/>
                <w:highlight w:val="none"/>
              </w:rPr>
              <w:t>时间15日前</w:t>
            </w:r>
          </w:p>
          <w:p w14:paraId="1543C04D">
            <w:pPr>
              <w:pStyle w:val="4"/>
              <w:keepNext w:val="0"/>
              <w:keepLines w:val="0"/>
              <w:pageBreakBefore w:val="0"/>
              <w:kinsoku/>
              <w:wordWrap/>
              <w:overflowPunct/>
              <w:topLinePunct w:val="0"/>
              <w:bidi w:val="0"/>
              <w:snapToGrid/>
              <w:spacing w:line="390" w:lineRule="exact"/>
              <w:ind w:left="0" w:leftChars="0" w:right="0" w:rightChars="0" w:firstLine="0" w:firstLineChars="0"/>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rPr>
              <w:t>形式：</w:t>
            </w:r>
            <w:r>
              <w:rPr>
                <w:rFonts w:hint="eastAsia" w:asciiTheme="minorEastAsia" w:hAnsiTheme="minorEastAsia" w:eastAsiaTheme="minorEastAsia" w:cstheme="minorEastAsia"/>
                <w:color w:val="auto"/>
                <w:sz w:val="24"/>
                <w:szCs w:val="24"/>
                <w:highlight w:val="none"/>
                <w:lang w:eastAsia="zh-CN"/>
              </w:rPr>
              <w:t>政采云平</w:t>
            </w:r>
            <w:r>
              <w:rPr>
                <w:rFonts w:hint="eastAsia" w:asciiTheme="minorEastAsia" w:hAnsiTheme="minorEastAsia" w:eastAsiaTheme="minorEastAsia" w:cstheme="minorEastAsia"/>
                <w:color w:val="auto"/>
                <w:sz w:val="24"/>
                <w:szCs w:val="24"/>
                <w:highlight w:val="none"/>
                <w:lang w:val="en-US" w:eastAsia="zh-CN"/>
              </w:rPr>
              <w:t>台发布更正澄清公告</w:t>
            </w:r>
          </w:p>
        </w:tc>
      </w:tr>
      <w:tr w14:paraId="458B78DF">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619" w:hRule="atLeast"/>
          <w:jc w:val="center"/>
        </w:trPr>
        <w:tc>
          <w:tcPr>
            <w:tcW w:w="811" w:type="dxa"/>
            <w:tcBorders>
              <w:top w:val="single" w:color="auto" w:sz="8" w:space="0"/>
              <w:bottom w:val="single" w:color="auto" w:sz="8" w:space="0"/>
              <w:right w:val="single" w:color="auto" w:sz="8" w:space="0"/>
            </w:tcBorders>
            <w:noWrap w:val="0"/>
            <w:vAlign w:val="center"/>
          </w:tcPr>
          <w:p w14:paraId="45040487">
            <w:pPr>
              <w:pStyle w:val="35"/>
              <w:keepNext w:val="0"/>
              <w:keepLines w:val="0"/>
              <w:pageBreakBefore w:val="0"/>
              <w:kinsoku/>
              <w:wordWrap/>
              <w:overflowPunct/>
              <w:topLinePunct w:val="0"/>
              <w:bidi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21</w:t>
            </w:r>
          </w:p>
        </w:tc>
        <w:tc>
          <w:tcPr>
            <w:tcW w:w="2160" w:type="dxa"/>
            <w:tcBorders>
              <w:top w:val="single" w:color="auto" w:sz="8" w:space="0"/>
              <w:left w:val="single" w:color="auto" w:sz="8" w:space="0"/>
              <w:bottom w:val="single" w:color="auto" w:sz="8" w:space="0"/>
              <w:right w:val="single" w:color="auto" w:sz="8" w:space="0"/>
            </w:tcBorders>
            <w:noWrap w:val="0"/>
            <w:vAlign w:val="center"/>
          </w:tcPr>
          <w:p w14:paraId="491334F8">
            <w:pPr>
              <w:pStyle w:val="35"/>
              <w:keepNext w:val="0"/>
              <w:keepLines w:val="0"/>
              <w:pageBreakBefore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构成招标文件的</w:t>
            </w:r>
          </w:p>
          <w:p w14:paraId="3D1FE770">
            <w:pPr>
              <w:pStyle w:val="35"/>
              <w:keepNext w:val="0"/>
              <w:keepLines w:val="0"/>
              <w:pageBreakBefore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其他文件</w:t>
            </w:r>
          </w:p>
        </w:tc>
        <w:tc>
          <w:tcPr>
            <w:tcW w:w="6530" w:type="dxa"/>
            <w:tcBorders>
              <w:top w:val="single" w:color="auto" w:sz="8" w:space="0"/>
              <w:left w:val="single" w:color="auto" w:sz="8" w:space="0"/>
              <w:bottom w:val="single" w:color="auto" w:sz="8" w:space="0"/>
            </w:tcBorders>
            <w:noWrap w:val="0"/>
            <w:vAlign w:val="center"/>
          </w:tcPr>
          <w:p w14:paraId="0C38927F">
            <w:pPr>
              <w:pStyle w:val="35"/>
              <w:keepNext w:val="0"/>
              <w:keepLines w:val="0"/>
              <w:pageBreakBefore w:val="0"/>
              <w:widowControl w:val="0"/>
              <w:kinsoku/>
              <w:wordWrap/>
              <w:overflowPunct/>
              <w:topLinePunct w:val="0"/>
              <w:autoSpaceDE w:val="0"/>
              <w:autoSpaceDN w:val="0"/>
              <w:bidi w:val="0"/>
              <w:adjustRightInd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lang w:val="zh-CN" w:eastAsia="zh-CN"/>
              </w:rPr>
            </w:pPr>
            <w:r>
              <w:rPr>
                <w:rFonts w:hint="eastAsia" w:asciiTheme="minorEastAsia" w:hAnsiTheme="minorEastAsia" w:eastAsiaTheme="minorEastAsia" w:cstheme="minorEastAsia"/>
                <w:color w:val="auto"/>
                <w:sz w:val="24"/>
                <w:szCs w:val="24"/>
                <w:highlight w:val="none"/>
                <w:lang w:val="zh-CN"/>
              </w:rPr>
              <w:t>招标文件的澄清</w:t>
            </w:r>
            <w:r>
              <w:rPr>
                <w:rFonts w:hint="eastAsia" w:asciiTheme="minorEastAsia" w:hAnsiTheme="minorEastAsia" w:eastAsiaTheme="minorEastAsia" w:cstheme="minorEastAsia"/>
                <w:color w:val="auto"/>
                <w:sz w:val="24"/>
                <w:szCs w:val="24"/>
                <w:highlight w:val="none"/>
              </w:rPr>
              <w:t>、修改书及有关补充通知为招标文件的有效组成部分</w:t>
            </w:r>
          </w:p>
        </w:tc>
      </w:tr>
      <w:tr w14:paraId="7D1B828D">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726" w:hRule="atLeast"/>
          <w:jc w:val="center"/>
        </w:trPr>
        <w:tc>
          <w:tcPr>
            <w:tcW w:w="811" w:type="dxa"/>
            <w:tcBorders>
              <w:top w:val="single" w:color="auto" w:sz="8" w:space="0"/>
              <w:bottom w:val="single" w:color="auto" w:sz="8" w:space="0"/>
              <w:right w:val="single" w:color="auto" w:sz="8" w:space="0"/>
            </w:tcBorders>
            <w:noWrap w:val="0"/>
            <w:vAlign w:val="center"/>
          </w:tcPr>
          <w:p w14:paraId="7ED026BE">
            <w:pPr>
              <w:pStyle w:val="35"/>
              <w:keepNext w:val="0"/>
              <w:keepLines w:val="0"/>
              <w:pageBreakBefore w:val="0"/>
              <w:kinsoku/>
              <w:wordWrap/>
              <w:overflowPunct/>
              <w:topLinePunct w:val="0"/>
              <w:bidi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22</w:t>
            </w:r>
          </w:p>
        </w:tc>
        <w:tc>
          <w:tcPr>
            <w:tcW w:w="2160" w:type="dxa"/>
            <w:tcBorders>
              <w:top w:val="single" w:color="auto" w:sz="8" w:space="0"/>
              <w:left w:val="single" w:color="auto" w:sz="8" w:space="0"/>
              <w:bottom w:val="single" w:color="auto" w:sz="8" w:space="0"/>
              <w:right w:val="single" w:color="auto" w:sz="8" w:space="0"/>
            </w:tcBorders>
            <w:noWrap w:val="0"/>
            <w:vAlign w:val="center"/>
          </w:tcPr>
          <w:p w14:paraId="688DA10B">
            <w:pPr>
              <w:pStyle w:val="35"/>
              <w:keepNext w:val="0"/>
              <w:keepLines w:val="0"/>
              <w:pageBreakBefore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投标人对招标文件</w:t>
            </w:r>
          </w:p>
          <w:p w14:paraId="4B849974">
            <w:pPr>
              <w:pStyle w:val="35"/>
              <w:keepNext w:val="0"/>
              <w:keepLines w:val="0"/>
              <w:pageBreakBefore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提出质疑的时间、形式</w:t>
            </w:r>
          </w:p>
        </w:tc>
        <w:tc>
          <w:tcPr>
            <w:tcW w:w="6530" w:type="dxa"/>
            <w:tcBorders>
              <w:top w:val="single" w:color="auto" w:sz="8" w:space="0"/>
              <w:left w:val="single" w:color="auto" w:sz="8" w:space="0"/>
              <w:bottom w:val="single" w:color="auto" w:sz="8" w:space="0"/>
            </w:tcBorders>
            <w:noWrap w:val="0"/>
            <w:vAlign w:val="center"/>
          </w:tcPr>
          <w:p w14:paraId="1A331011">
            <w:pPr>
              <w:pStyle w:val="35"/>
              <w:keepNext w:val="0"/>
              <w:keepLines w:val="0"/>
              <w:pageBreakBefore w:val="0"/>
              <w:widowControl w:val="0"/>
              <w:kinsoku/>
              <w:wordWrap/>
              <w:overflowPunct/>
              <w:topLinePunct w:val="0"/>
              <w:autoSpaceDE w:val="0"/>
              <w:autoSpaceDN w:val="0"/>
              <w:bidi w:val="0"/>
              <w:adjustRightInd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时间：自投标人收到招标文件之日起7个工作日内，超过期限的采购人或采购代理机构不再受理</w:t>
            </w:r>
          </w:p>
          <w:p w14:paraId="65C74631">
            <w:pPr>
              <w:pStyle w:val="35"/>
              <w:keepNext w:val="0"/>
              <w:keepLines w:val="0"/>
              <w:pageBreakBefore w:val="0"/>
              <w:widowControl w:val="0"/>
              <w:kinsoku/>
              <w:wordWrap/>
              <w:overflowPunct/>
              <w:topLinePunct w:val="0"/>
              <w:autoSpaceDE w:val="0"/>
              <w:autoSpaceDN w:val="0"/>
              <w:bidi w:val="0"/>
              <w:adjustRightInd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形式：书面形式（详见</w:t>
            </w:r>
            <w:r>
              <w:rPr>
                <w:rFonts w:hint="eastAsia" w:asciiTheme="minorEastAsia" w:hAnsiTheme="minorEastAsia" w:eastAsiaTheme="minorEastAsia" w:cstheme="minorEastAsia"/>
                <w:color w:val="auto"/>
                <w:sz w:val="24"/>
                <w:szCs w:val="24"/>
                <w:highlight w:val="none"/>
              </w:rPr>
              <w:t>投标人须知第13.1.2条款</w:t>
            </w:r>
            <w:r>
              <w:rPr>
                <w:rFonts w:hint="eastAsia" w:asciiTheme="minorEastAsia" w:hAnsiTheme="minorEastAsia" w:eastAsiaTheme="minorEastAsia" w:cstheme="minorEastAsia"/>
                <w:color w:val="auto"/>
                <w:sz w:val="24"/>
                <w:szCs w:val="24"/>
                <w:highlight w:val="none"/>
                <w:lang w:val="zh-CN"/>
              </w:rPr>
              <w:t>）</w:t>
            </w:r>
          </w:p>
        </w:tc>
      </w:tr>
      <w:tr w14:paraId="3DFA9DFF">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816" w:hRule="exact"/>
          <w:jc w:val="center"/>
        </w:trPr>
        <w:tc>
          <w:tcPr>
            <w:tcW w:w="811" w:type="dxa"/>
            <w:tcBorders>
              <w:top w:val="single" w:color="auto" w:sz="8" w:space="0"/>
              <w:bottom w:val="single" w:color="auto" w:sz="8" w:space="0"/>
              <w:right w:val="single" w:color="auto" w:sz="8" w:space="0"/>
            </w:tcBorders>
            <w:noWrap w:val="0"/>
            <w:vAlign w:val="center"/>
          </w:tcPr>
          <w:p w14:paraId="53E8C827">
            <w:pPr>
              <w:pStyle w:val="35"/>
              <w:keepNext w:val="0"/>
              <w:keepLines w:val="0"/>
              <w:pageBreakBefore w:val="0"/>
              <w:kinsoku/>
              <w:wordWrap/>
              <w:overflowPunct/>
              <w:topLinePunct w:val="0"/>
              <w:bidi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23</w:t>
            </w:r>
          </w:p>
        </w:tc>
        <w:tc>
          <w:tcPr>
            <w:tcW w:w="2160" w:type="dxa"/>
            <w:tcBorders>
              <w:top w:val="single" w:color="auto" w:sz="8" w:space="0"/>
              <w:left w:val="single" w:color="auto" w:sz="8" w:space="0"/>
              <w:bottom w:val="single" w:color="auto" w:sz="8" w:space="0"/>
              <w:right w:val="single" w:color="auto" w:sz="8" w:space="0"/>
            </w:tcBorders>
            <w:noWrap w:val="0"/>
            <w:vAlign w:val="center"/>
          </w:tcPr>
          <w:p w14:paraId="110FA832">
            <w:pPr>
              <w:pStyle w:val="35"/>
              <w:keepNext w:val="0"/>
              <w:keepLines w:val="0"/>
              <w:pageBreakBefore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对投标人提出质疑</w:t>
            </w:r>
          </w:p>
          <w:p w14:paraId="3EA5C8B0">
            <w:pPr>
              <w:pStyle w:val="35"/>
              <w:keepNext w:val="0"/>
              <w:keepLines w:val="0"/>
              <w:pageBreakBefore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答复时间、形式</w:t>
            </w:r>
          </w:p>
        </w:tc>
        <w:tc>
          <w:tcPr>
            <w:tcW w:w="6530" w:type="dxa"/>
            <w:tcBorders>
              <w:top w:val="single" w:color="auto" w:sz="8" w:space="0"/>
              <w:left w:val="single" w:color="auto" w:sz="8" w:space="0"/>
              <w:bottom w:val="single" w:color="auto" w:sz="8" w:space="0"/>
            </w:tcBorders>
            <w:noWrap w:val="0"/>
            <w:vAlign w:val="center"/>
          </w:tcPr>
          <w:p w14:paraId="076771DD">
            <w:pPr>
              <w:pStyle w:val="35"/>
              <w:keepNext w:val="0"/>
              <w:keepLines w:val="0"/>
              <w:pageBreakBefore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时间：自收到投标人质疑函之日起7个工作日内</w:t>
            </w:r>
          </w:p>
          <w:p w14:paraId="3547B4A3">
            <w:pPr>
              <w:pStyle w:val="35"/>
              <w:keepNext w:val="0"/>
              <w:keepLines w:val="0"/>
              <w:pageBreakBefore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zh-CN"/>
              </w:rPr>
              <w:t>形式：书面形式</w:t>
            </w:r>
          </w:p>
        </w:tc>
      </w:tr>
      <w:tr w14:paraId="7469E464">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465" w:hRule="exact"/>
          <w:jc w:val="center"/>
        </w:trPr>
        <w:tc>
          <w:tcPr>
            <w:tcW w:w="811" w:type="dxa"/>
            <w:tcBorders>
              <w:top w:val="single" w:color="auto" w:sz="8" w:space="0"/>
              <w:bottom w:val="single" w:color="auto" w:sz="8" w:space="0"/>
              <w:right w:val="single" w:color="auto" w:sz="8" w:space="0"/>
            </w:tcBorders>
            <w:noWrap w:val="0"/>
            <w:vAlign w:val="center"/>
          </w:tcPr>
          <w:p w14:paraId="3C30FAD9">
            <w:pPr>
              <w:pStyle w:val="35"/>
              <w:keepNext w:val="0"/>
              <w:keepLines w:val="0"/>
              <w:pageBreakBefore w:val="0"/>
              <w:kinsoku/>
              <w:wordWrap/>
              <w:overflowPunct/>
              <w:topLinePunct w:val="0"/>
              <w:bidi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24</w:t>
            </w:r>
          </w:p>
        </w:tc>
        <w:tc>
          <w:tcPr>
            <w:tcW w:w="2160" w:type="dxa"/>
            <w:tcBorders>
              <w:top w:val="single" w:color="auto" w:sz="8" w:space="0"/>
              <w:left w:val="single" w:color="auto" w:sz="8" w:space="0"/>
              <w:bottom w:val="single" w:color="auto" w:sz="8" w:space="0"/>
              <w:right w:val="single" w:color="auto" w:sz="8" w:space="0"/>
            </w:tcBorders>
            <w:noWrap w:val="0"/>
            <w:vAlign w:val="center"/>
          </w:tcPr>
          <w:p w14:paraId="1D69D1B2">
            <w:pPr>
              <w:pStyle w:val="35"/>
              <w:keepNext w:val="0"/>
              <w:keepLines w:val="0"/>
              <w:pageBreakBefore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投标有效期</w:t>
            </w:r>
          </w:p>
        </w:tc>
        <w:tc>
          <w:tcPr>
            <w:tcW w:w="6530" w:type="dxa"/>
            <w:tcBorders>
              <w:top w:val="single" w:color="auto" w:sz="8" w:space="0"/>
              <w:left w:val="single" w:color="auto" w:sz="8" w:space="0"/>
              <w:bottom w:val="single" w:color="auto" w:sz="8" w:space="0"/>
            </w:tcBorders>
            <w:noWrap w:val="0"/>
            <w:vAlign w:val="center"/>
          </w:tcPr>
          <w:p w14:paraId="1EC22F80">
            <w:pPr>
              <w:pStyle w:val="35"/>
              <w:keepNext w:val="0"/>
              <w:keepLines w:val="0"/>
              <w:pageBreakBefore w:val="0"/>
              <w:kinsoku/>
              <w:wordWrap/>
              <w:overflowPunct/>
              <w:topLinePunct w:val="0"/>
              <w:bidi w:val="0"/>
              <w:snapToGrid/>
              <w:spacing w:line="390" w:lineRule="exact"/>
              <w:ind w:right="0" w:rightChars="0"/>
              <w:jc w:val="both"/>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zh-CN"/>
              </w:rPr>
              <w:t>从投标截止日起90</w:t>
            </w:r>
            <w:r>
              <w:rPr>
                <w:rFonts w:hint="eastAsia" w:asciiTheme="minorEastAsia" w:hAnsiTheme="minorEastAsia" w:eastAsiaTheme="minorEastAsia" w:cstheme="minorEastAsia"/>
                <w:color w:val="auto"/>
                <w:sz w:val="24"/>
                <w:szCs w:val="24"/>
                <w:highlight w:val="none"/>
              </w:rPr>
              <w:t>日历</w:t>
            </w:r>
            <w:r>
              <w:rPr>
                <w:rFonts w:hint="eastAsia" w:asciiTheme="minorEastAsia" w:hAnsiTheme="minorEastAsia" w:eastAsiaTheme="minorEastAsia" w:cstheme="minorEastAsia"/>
                <w:color w:val="auto"/>
                <w:sz w:val="24"/>
                <w:szCs w:val="24"/>
                <w:highlight w:val="none"/>
                <w:lang w:val="zh-CN"/>
              </w:rPr>
              <w:t>日</w:t>
            </w:r>
          </w:p>
        </w:tc>
      </w:tr>
      <w:tr w14:paraId="383733CD">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866" w:hRule="exact"/>
          <w:jc w:val="center"/>
        </w:trPr>
        <w:tc>
          <w:tcPr>
            <w:tcW w:w="811" w:type="dxa"/>
            <w:tcBorders>
              <w:top w:val="single" w:color="auto" w:sz="8" w:space="0"/>
              <w:bottom w:val="single" w:color="auto" w:sz="8" w:space="0"/>
              <w:right w:val="single" w:color="auto" w:sz="8" w:space="0"/>
            </w:tcBorders>
            <w:noWrap w:val="0"/>
            <w:vAlign w:val="center"/>
          </w:tcPr>
          <w:p w14:paraId="5AF5D881">
            <w:pPr>
              <w:pStyle w:val="35"/>
              <w:keepNext w:val="0"/>
              <w:keepLines w:val="0"/>
              <w:pageBreakBefore w:val="0"/>
              <w:kinsoku/>
              <w:wordWrap/>
              <w:overflowPunct/>
              <w:topLinePunct w:val="0"/>
              <w:bidi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25</w:t>
            </w:r>
          </w:p>
        </w:tc>
        <w:tc>
          <w:tcPr>
            <w:tcW w:w="2160" w:type="dxa"/>
            <w:tcBorders>
              <w:top w:val="single" w:color="auto" w:sz="8" w:space="0"/>
              <w:left w:val="single" w:color="auto" w:sz="8" w:space="0"/>
              <w:bottom w:val="single" w:color="auto" w:sz="8" w:space="0"/>
              <w:right w:val="single" w:color="auto" w:sz="8" w:space="0"/>
            </w:tcBorders>
            <w:noWrap w:val="0"/>
            <w:vAlign w:val="center"/>
          </w:tcPr>
          <w:p w14:paraId="4DB54B71">
            <w:pPr>
              <w:pStyle w:val="35"/>
              <w:keepNext w:val="0"/>
              <w:keepLines w:val="0"/>
              <w:pageBreakBefore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是否允许递交多个</w:t>
            </w:r>
          </w:p>
          <w:p w14:paraId="642E00DC">
            <w:pPr>
              <w:pStyle w:val="35"/>
              <w:keepNext w:val="0"/>
              <w:keepLines w:val="0"/>
              <w:pageBreakBefore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备选投标方案</w:t>
            </w:r>
          </w:p>
        </w:tc>
        <w:tc>
          <w:tcPr>
            <w:tcW w:w="6530" w:type="dxa"/>
            <w:tcBorders>
              <w:top w:val="single" w:color="auto" w:sz="8" w:space="0"/>
              <w:left w:val="single" w:color="auto" w:sz="8" w:space="0"/>
              <w:bottom w:val="single" w:color="auto" w:sz="8" w:space="0"/>
            </w:tcBorders>
            <w:noWrap w:val="0"/>
            <w:vAlign w:val="center"/>
          </w:tcPr>
          <w:p w14:paraId="16E7D2CF">
            <w:pPr>
              <w:pStyle w:val="35"/>
              <w:keepNext w:val="0"/>
              <w:keepLines w:val="0"/>
              <w:pageBreakBefore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不允许</w:t>
            </w:r>
          </w:p>
        </w:tc>
      </w:tr>
      <w:tr w14:paraId="7A673AF5">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424" w:hRule="atLeast"/>
          <w:jc w:val="center"/>
        </w:trPr>
        <w:tc>
          <w:tcPr>
            <w:tcW w:w="811" w:type="dxa"/>
            <w:tcBorders>
              <w:top w:val="single" w:color="auto" w:sz="8" w:space="0"/>
              <w:bottom w:val="single" w:color="auto" w:sz="8" w:space="0"/>
              <w:right w:val="single" w:color="auto" w:sz="8" w:space="0"/>
            </w:tcBorders>
            <w:noWrap w:val="0"/>
            <w:vAlign w:val="center"/>
          </w:tcPr>
          <w:p w14:paraId="76B28435">
            <w:pPr>
              <w:pStyle w:val="35"/>
              <w:keepNext w:val="0"/>
              <w:keepLines w:val="0"/>
              <w:pageBreakBefore w:val="0"/>
              <w:kinsoku/>
              <w:wordWrap/>
              <w:overflowPunct/>
              <w:topLinePunct w:val="0"/>
              <w:bidi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26</w:t>
            </w:r>
          </w:p>
        </w:tc>
        <w:tc>
          <w:tcPr>
            <w:tcW w:w="2160" w:type="dxa"/>
            <w:tcBorders>
              <w:top w:val="single" w:color="auto" w:sz="8" w:space="0"/>
              <w:left w:val="single" w:color="auto" w:sz="8" w:space="0"/>
              <w:bottom w:val="single" w:color="auto" w:sz="8" w:space="0"/>
              <w:right w:val="single" w:color="auto" w:sz="8" w:space="0"/>
            </w:tcBorders>
            <w:noWrap w:val="0"/>
            <w:vAlign w:val="center"/>
          </w:tcPr>
          <w:p w14:paraId="7D272A97">
            <w:pPr>
              <w:pStyle w:val="35"/>
              <w:keepNext w:val="0"/>
              <w:keepLines w:val="0"/>
              <w:pageBreakBefore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投标保证金</w:t>
            </w:r>
          </w:p>
        </w:tc>
        <w:tc>
          <w:tcPr>
            <w:tcW w:w="6530" w:type="dxa"/>
            <w:tcBorders>
              <w:top w:val="single" w:color="auto" w:sz="8" w:space="0"/>
              <w:left w:val="single" w:color="auto" w:sz="8" w:space="0"/>
              <w:bottom w:val="single" w:color="auto" w:sz="8" w:space="0"/>
            </w:tcBorders>
            <w:noWrap w:val="0"/>
            <w:vAlign w:val="center"/>
          </w:tcPr>
          <w:p w14:paraId="4CBA0C10">
            <w:pPr>
              <w:keepNext w:val="0"/>
              <w:keepLines w:val="0"/>
              <w:pageBreakBefore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是否要求投标人递交投标保证金：要求</w:t>
            </w:r>
          </w:p>
          <w:p w14:paraId="4EE48783">
            <w:pPr>
              <w:keepNext w:val="0"/>
              <w:keepLines w:val="0"/>
              <w:pageBreakBefore w:val="0"/>
              <w:widowControl/>
              <w:kinsoku/>
              <w:wordWrap/>
              <w:overflowPunct/>
              <w:topLinePunct w:val="0"/>
              <w:bidi w:val="0"/>
              <w:snapToGrid/>
              <w:spacing w:line="390" w:lineRule="exact"/>
              <w:ind w:right="0" w:rightChars="0"/>
              <w:jc w:val="left"/>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rPr>
              <w:t>保证金数额（按照预算金额2%以内的整数计算）：</w:t>
            </w:r>
            <w:r>
              <w:rPr>
                <w:rFonts w:hint="eastAsia" w:asciiTheme="minorEastAsia" w:hAnsiTheme="minorEastAsia" w:eastAsiaTheme="minorEastAsia" w:cstheme="minorEastAsia"/>
                <w:color w:val="auto"/>
                <w:sz w:val="24"/>
                <w:szCs w:val="24"/>
                <w:highlight w:val="none"/>
                <w:lang w:val="en-US" w:eastAsia="zh-CN"/>
              </w:rPr>
              <w:t>六标段：100000元</w:t>
            </w:r>
          </w:p>
          <w:p w14:paraId="73907C8E">
            <w:pPr>
              <w:keepNext w:val="0"/>
              <w:keepLines w:val="0"/>
              <w:pageBreakBefore w:val="0"/>
              <w:widowControl/>
              <w:kinsoku/>
              <w:wordWrap/>
              <w:overflowPunct/>
              <w:topLinePunct w:val="0"/>
              <w:bidi w:val="0"/>
              <w:snapToGrid/>
              <w:spacing w:line="390" w:lineRule="exact"/>
              <w:ind w:right="0" w:rightChars="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交款方式：投标保证金应使用人民币，以银行转账或者金融机构、担保机构出具的保函等非现金形式提交。银行转账可以采取支票、电汇、网银、汇票、本票等方式，均应从基本账户转出。</w:t>
            </w:r>
          </w:p>
          <w:p w14:paraId="35EB24AA">
            <w:pPr>
              <w:keepNext w:val="0"/>
              <w:keepLines w:val="0"/>
              <w:pageBreakBefore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单位名称：伊宁县政府采购中心</w:t>
            </w:r>
          </w:p>
          <w:p w14:paraId="29529CBE">
            <w:pPr>
              <w:keepNext w:val="0"/>
              <w:keepLines w:val="0"/>
              <w:pageBreakBefore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开户银行：新疆伊宁农村商业银行股份有限公司吉里于孜支行</w:t>
            </w:r>
          </w:p>
          <w:p w14:paraId="2D8A60E3">
            <w:pPr>
              <w:keepNext w:val="0"/>
              <w:keepLines w:val="0"/>
              <w:pageBreakBefore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 xml:space="preserve">账    号：813010012010101187070 </w:t>
            </w:r>
          </w:p>
          <w:p w14:paraId="24471A8A">
            <w:pPr>
              <w:keepNext w:val="0"/>
              <w:keepLines w:val="0"/>
              <w:pageBreakBefore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行    号：402899200012</w:t>
            </w:r>
          </w:p>
          <w:p w14:paraId="510201FE">
            <w:pPr>
              <w:keepNext w:val="0"/>
              <w:keepLines w:val="0"/>
              <w:pageBreakBefore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rPr>
              <w:t>在递交的投标保证金转账单附注说明中写清：项目名称（有标段号的需注明标段号）</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rPr>
              <w:t>投标保证金递交截止时间：</w:t>
            </w:r>
            <w:r>
              <w:rPr>
                <w:rFonts w:hint="eastAsia" w:asciiTheme="minorEastAsia" w:hAnsiTheme="minorEastAsia" w:eastAsiaTheme="minorEastAsia" w:cstheme="minorEastAsia"/>
                <w:b/>
                <w:bCs/>
                <w:color w:val="auto"/>
                <w:sz w:val="24"/>
                <w:szCs w:val="24"/>
                <w:highlight w:val="none"/>
              </w:rPr>
              <w:t>同提交响应文件截止时间</w:t>
            </w:r>
            <w:r>
              <w:rPr>
                <w:rFonts w:hint="eastAsia" w:asciiTheme="minorEastAsia" w:hAnsiTheme="minorEastAsia" w:eastAsiaTheme="minorEastAsia" w:cstheme="minorEastAsia"/>
                <w:color w:val="auto"/>
                <w:sz w:val="24"/>
                <w:szCs w:val="24"/>
                <w:highlight w:val="none"/>
              </w:rPr>
              <w:t>（以银行到账时间为准），逾期未交或逾期到账视为放弃投标</w:t>
            </w:r>
            <w:r>
              <w:rPr>
                <w:rFonts w:hint="eastAsia" w:asciiTheme="minorEastAsia" w:hAnsiTheme="minorEastAsia" w:eastAsiaTheme="minorEastAsia" w:cstheme="minorEastAsia"/>
                <w:color w:val="auto"/>
                <w:sz w:val="24"/>
                <w:szCs w:val="24"/>
                <w:highlight w:val="none"/>
                <w:lang w:eastAsia="zh-CN"/>
              </w:rPr>
              <w:t>。</w:t>
            </w:r>
          </w:p>
          <w:p w14:paraId="49F600D0">
            <w:pPr>
              <w:keepNext w:val="0"/>
              <w:keepLines w:val="0"/>
              <w:pageBreakBefore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新疆政府采购电子保函操作流程：登录新疆政府采购网,进入“政采贷/电子保函”模块，即可在线完成电子保函的申请。若有任何问题，可以联系政采云金融服务专属客服，电话：400-903-9583。</w:t>
            </w:r>
          </w:p>
          <w:p w14:paraId="4ED2A214">
            <w:pPr>
              <w:keepNext w:val="0"/>
              <w:keepLines w:val="0"/>
              <w:pageBreakBefore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val="en-US" w:eastAsia="zh-CN"/>
              </w:rPr>
              <w:t>潜在供应商可以自主选择以上任一种递交方式提交保证金。</w:t>
            </w:r>
          </w:p>
        </w:tc>
      </w:tr>
      <w:tr w14:paraId="7607252D">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867" w:hRule="exact"/>
          <w:jc w:val="center"/>
        </w:trPr>
        <w:tc>
          <w:tcPr>
            <w:tcW w:w="811" w:type="dxa"/>
            <w:tcBorders>
              <w:top w:val="single" w:color="auto" w:sz="8" w:space="0"/>
              <w:bottom w:val="single" w:color="auto" w:sz="8" w:space="0"/>
              <w:right w:val="single" w:color="auto" w:sz="8" w:space="0"/>
            </w:tcBorders>
            <w:noWrap w:val="0"/>
            <w:vAlign w:val="center"/>
          </w:tcPr>
          <w:p w14:paraId="768B4CCA">
            <w:pPr>
              <w:pStyle w:val="35"/>
              <w:keepNext w:val="0"/>
              <w:keepLines w:val="0"/>
              <w:pageBreakBefore w:val="0"/>
              <w:kinsoku/>
              <w:wordWrap/>
              <w:overflowPunct/>
              <w:topLinePunct w:val="0"/>
              <w:bidi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27</w:t>
            </w:r>
          </w:p>
        </w:tc>
        <w:tc>
          <w:tcPr>
            <w:tcW w:w="2160" w:type="dxa"/>
            <w:tcBorders>
              <w:top w:val="single" w:color="auto" w:sz="8" w:space="0"/>
              <w:left w:val="single" w:color="auto" w:sz="8" w:space="0"/>
              <w:bottom w:val="single" w:color="auto" w:sz="8" w:space="0"/>
              <w:right w:val="single" w:color="auto" w:sz="8" w:space="0"/>
            </w:tcBorders>
            <w:noWrap w:val="0"/>
            <w:vAlign w:val="center"/>
          </w:tcPr>
          <w:p w14:paraId="6F58A491">
            <w:pPr>
              <w:pStyle w:val="35"/>
              <w:keepNext w:val="0"/>
              <w:keepLines w:val="0"/>
              <w:pageBreakBefore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不予退还投标</w:t>
            </w:r>
          </w:p>
          <w:p w14:paraId="7889426A">
            <w:pPr>
              <w:pStyle w:val="35"/>
              <w:keepNext w:val="0"/>
              <w:keepLines w:val="0"/>
              <w:pageBreakBefore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保证金的情形</w:t>
            </w:r>
          </w:p>
        </w:tc>
        <w:tc>
          <w:tcPr>
            <w:tcW w:w="6530" w:type="dxa"/>
            <w:tcBorders>
              <w:top w:val="single" w:color="auto" w:sz="8" w:space="0"/>
              <w:left w:val="single" w:color="auto" w:sz="8" w:space="0"/>
              <w:bottom w:val="single" w:color="auto" w:sz="8" w:space="0"/>
            </w:tcBorders>
            <w:noWrap w:val="0"/>
            <w:vAlign w:val="center"/>
          </w:tcPr>
          <w:p w14:paraId="2645F164">
            <w:pPr>
              <w:pStyle w:val="35"/>
              <w:keepNext w:val="0"/>
              <w:keepLines w:val="0"/>
              <w:pageBreakBefore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详见</w:t>
            </w:r>
            <w:r>
              <w:rPr>
                <w:rFonts w:hint="eastAsia" w:asciiTheme="minorEastAsia" w:hAnsiTheme="minorEastAsia" w:eastAsiaTheme="minorEastAsia" w:cstheme="minorEastAsia"/>
                <w:color w:val="auto"/>
                <w:sz w:val="24"/>
                <w:szCs w:val="24"/>
                <w:highlight w:val="none"/>
              </w:rPr>
              <w:t>投标人须知第4.5.2.2条款</w:t>
            </w:r>
          </w:p>
        </w:tc>
      </w:tr>
      <w:tr w14:paraId="63B961BF">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981" w:hRule="exact"/>
          <w:jc w:val="center"/>
        </w:trPr>
        <w:tc>
          <w:tcPr>
            <w:tcW w:w="811" w:type="dxa"/>
            <w:tcBorders>
              <w:top w:val="single" w:color="auto" w:sz="8" w:space="0"/>
              <w:bottom w:val="single" w:color="auto" w:sz="8" w:space="0"/>
              <w:right w:val="single" w:color="auto" w:sz="8" w:space="0"/>
            </w:tcBorders>
            <w:noWrap w:val="0"/>
            <w:vAlign w:val="center"/>
          </w:tcPr>
          <w:p w14:paraId="5FBD2A7F">
            <w:pPr>
              <w:pStyle w:val="35"/>
              <w:keepNext w:val="0"/>
              <w:keepLines w:val="0"/>
              <w:pageBreakBefore w:val="0"/>
              <w:kinsoku/>
              <w:wordWrap/>
              <w:overflowPunct/>
              <w:topLinePunct w:val="0"/>
              <w:bidi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28</w:t>
            </w:r>
          </w:p>
        </w:tc>
        <w:tc>
          <w:tcPr>
            <w:tcW w:w="2160" w:type="dxa"/>
            <w:tcBorders>
              <w:top w:val="single" w:color="auto" w:sz="8" w:space="0"/>
              <w:left w:val="single" w:color="auto" w:sz="8" w:space="0"/>
              <w:bottom w:val="single" w:color="auto" w:sz="8" w:space="0"/>
              <w:right w:val="single" w:color="auto" w:sz="8" w:space="0"/>
            </w:tcBorders>
            <w:noWrap w:val="0"/>
            <w:vAlign w:val="center"/>
          </w:tcPr>
          <w:p w14:paraId="4F336A00">
            <w:pPr>
              <w:pStyle w:val="35"/>
              <w:keepNext w:val="0"/>
              <w:keepLines w:val="0"/>
              <w:pageBreakBefore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解密响应文件现场</w:t>
            </w:r>
          </w:p>
          <w:p w14:paraId="561C85F3">
            <w:pPr>
              <w:pStyle w:val="35"/>
              <w:keepNext w:val="0"/>
              <w:keepLines w:val="0"/>
              <w:pageBreakBefore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是否提供样品</w:t>
            </w:r>
          </w:p>
        </w:tc>
        <w:tc>
          <w:tcPr>
            <w:tcW w:w="6530" w:type="dxa"/>
            <w:tcBorders>
              <w:top w:val="single" w:color="auto" w:sz="8" w:space="0"/>
              <w:left w:val="single" w:color="auto" w:sz="8" w:space="0"/>
              <w:bottom w:val="single" w:color="auto" w:sz="8" w:space="0"/>
            </w:tcBorders>
            <w:noWrap w:val="0"/>
            <w:vAlign w:val="center"/>
          </w:tcPr>
          <w:p w14:paraId="25B35273">
            <w:pPr>
              <w:spacing w:line="320" w:lineRule="exact"/>
              <w:ind w:right="105" w:rightChars="50"/>
              <w:rPr>
                <w:rFonts w:hint="eastAsia" w:asciiTheme="minorEastAsia" w:hAnsiTheme="minorEastAsia" w:eastAsiaTheme="minorEastAsia" w:cstheme="minorEastAsia"/>
                <w:color w:val="auto"/>
                <w:kern w:val="0"/>
                <w:sz w:val="24"/>
                <w:szCs w:val="24"/>
                <w:highlight w:val="none"/>
                <w:lang w:val="zh-CN" w:eastAsia="zh-CN" w:bidi="ar-SA"/>
              </w:rPr>
            </w:pPr>
            <w:r>
              <w:rPr>
                <w:rFonts w:hint="eastAsia" w:asciiTheme="minorEastAsia" w:hAnsiTheme="minorEastAsia" w:eastAsiaTheme="minorEastAsia" w:cstheme="minorEastAsia"/>
                <w:color w:val="auto"/>
                <w:kern w:val="0"/>
                <w:sz w:val="24"/>
                <w:szCs w:val="24"/>
                <w:highlight w:val="none"/>
                <w:lang w:val="zh-CN" w:eastAsia="zh-CN" w:bidi="ar-SA"/>
              </w:rPr>
              <w:sym w:font="Wingdings 2" w:char="0052"/>
            </w:r>
            <w:r>
              <w:rPr>
                <w:rFonts w:hint="eastAsia" w:asciiTheme="minorEastAsia" w:hAnsiTheme="minorEastAsia" w:eastAsiaTheme="minorEastAsia" w:cstheme="minorEastAsia"/>
                <w:color w:val="auto"/>
                <w:kern w:val="0"/>
                <w:sz w:val="24"/>
                <w:szCs w:val="24"/>
                <w:highlight w:val="none"/>
                <w:lang w:val="zh-CN" w:eastAsia="zh-CN" w:bidi="ar-SA"/>
              </w:rPr>
              <w:t xml:space="preserve">  不需要</w:t>
            </w:r>
          </w:p>
          <w:p w14:paraId="28F5D843">
            <w:pPr>
              <w:spacing w:line="340" w:lineRule="exact"/>
              <w:ind w:right="105" w:rightChars="50"/>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kern w:val="0"/>
                <w:sz w:val="24"/>
                <w:szCs w:val="24"/>
                <w:highlight w:val="none"/>
                <w:lang w:val="zh-CN" w:eastAsia="zh-CN" w:bidi="ar-SA"/>
              </w:rPr>
              <w:t>□  需要，样品要求：</w:t>
            </w:r>
          </w:p>
        </w:tc>
      </w:tr>
      <w:tr w14:paraId="031EA821">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839" w:hRule="exact"/>
          <w:jc w:val="center"/>
        </w:trPr>
        <w:tc>
          <w:tcPr>
            <w:tcW w:w="811" w:type="dxa"/>
            <w:tcBorders>
              <w:top w:val="single" w:color="auto" w:sz="8" w:space="0"/>
              <w:bottom w:val="single" w:color="auto" w:sz="8" w:space="0"/>
              <w:right w:val="single" w:color="auto" w:sz="8" w:space="0"/>
            </w:tcBorders>
            <w:noWrap w:val="0"/>
            <w:vAlign w:val="center"/>
          </w:tcPr>
          <w:p w14:paraId="57816409">
            <w:pPr>
              <w:pStyle w:val="35"/>
              <w:keepNext w:val="0"/>
              <w:keepLines w:val="0"/>
              <w:pageBreakBefore w:val="0"/>
              <w:kinsoku/>
              <w:wordWrap/>
              <w:overflowPunct/>
              <w:topLinePunct w:val="0"/>
              <w:bidi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29</w:t>
            </w:r>
          </w:p>
        </w:tc>
        <w:tc>
          <w:tcPr>
            <w:tcW w:w="2160" w:type="dxa"/>
            <w:tcBorders>
              <w:top w:val="single" w:color="auto" w:sz="8" w:space="0"/>
              <w:left w:val="single" w:color="auto" w:sz="8" w:space="0"/>
              <w:bottom w:val="single" w:color="auto" w:sz="8" w:space="0"/>
              <w:right w:val="single" w:color="auto" w:sz="8" w:space="0"/>
            </w:tcBorders>
            <w:noWrap w:val="0"/>
            <w:vAlign w:val="center"/>
          </w:tcPr>
          <w:p w14:paraId="37F40067">
            <w:pPr>
              <w:pStyle w:val="35"/>
              <w:keepNext w:val="0"/>
              <w:keepLines w:val="0"/>
              <w:pageBreakBefore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投标文件签字</w:t>
            </w:r>
          </w:p>
          <w:p w14:paraId="1E757A4E">
            <w:pPr>
              <w:pStyle w:val="35"/>
              <w:keepNext w:val="0"/>
              <w:keepLines w:val="0"/>
              <w:pageBreakBefore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或盖章要求</w:t>
            </w:r>
          </w:p>
        </w:tc>
        <w:tc>
          <w:tcPr>
            <w:tcW w:w="6530" w:type="dxa"/>
            <w:tcBorders>
              <w:top w:val="single" w:color="auto" w:sz="8" w:space="0"/>
              <w:left w:val="single" w:color="auto" w:sz="8" w:space="0"/>
              <w:bottom w:val="single" w:color="auto" w:sz="8" w:space="0"/>
            </w:tcBorders>
            <w:noWrap w:val="0"/>
            <w:vAlign w:val="center"/>
          </w:tcPr>
          <w:p w14:paraId="250E1B47">
            <w:pPr>
              <w:pStyle w:val="35"/>
              <w:keepNext w:val="0"/>
              <w:keepLines w:val="0"/>
              <w:pageBreakBefore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投标人必须按照招标文件的规定和要求签字、盖章</w:t>
            </w:r>
          </w:p>
        </w:tc>
      </w:tr>
      <w:tr w14:paraId="5960340E">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7401" w:hRule="exact"/>
          <w:jc w:val="center"/>
        </w:trPr>
        <w:tc>
          <w:tcPr>
            <w:tcW w:w="811" w:type="dxa"/>
            <w:tcBorders>
              <w:top w:val="single" w:color="auto" w:sz="8" w:space="0"/>
              <w:bottom w:val="single" w:color="auto" w:sz="8" w:space="0"/>
              <w:right w:val="single" w:color="auto" w:sz="8" w:space="0"/>
            </w:tcBorders>
            <w:noWrap w:val="0"/>
            <w:vAlign w:val="center"/>
          </w:tcPr>
          <w:p w14:paraId="580323CA">
            <w:pPr>
              <w:pStyle w:val="35"/>
              <w:keepNext w:val="0"/>
              <w:keepLines w:val="0"/>
              <w:pageBreakBefore w:val="0"/>
              <w:kinsoku/>
              <w:wordWrap/>
              <w:overflowPunct/>
              <w:topLinePunct w:val="0"/>
              <w:bidi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30</w:t>
            </w:r>
          </w:p>
        </w:tc>
        <w:tc>
          <w:tcPr>
            <w:tcW w:w="2160" w:type="dxa"/>
            <w:tcBorders>
              <w:top w:val="single" w:color="auto" w:sz="8" w:space="0"/>
              <w:left w:val="single" w:color="auto" w:sz="8" w:space="0"/>
              <w:bottom w:val="single" w:color="auto" w:sz="8" w:space="0"/>
              <w:right w:val="single" w:color="auto" w:sz="8" w:space="0"/>
            </w:tcBorders>
            <w:noWrap w:val="0"/>
            <w:vAlign w:val="center"/>
          </w:tcPr>
          <w:p w14:paraId="2D331E2A">
            <w:pPr>
              <w:pStyle w:val="35"/>
              <w:keepNext w:val="0"/>
              <w:keepLines w:val="0"/>
              <w:pageBreakBefore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投标文件</w:t>
            </w:r>
          </w:p>
        </w:tc>
        <w:tc>
          <w:tcPr>
            <w:tcW w:w="6530" w:type="dxa"/>
            <w:tcBorders>
              <w:top w:val="single" w:color="auto" w:sz="8" w:space="0"/>
              <w:left w:val="single" w:color="auto" w:sz="8" w:space="0"/>
              <w:bottom w:val="single" w:color="auto" w:sz="8" w:space="0"/>
            </w:tcBorders>
            <w:noWrap w:val="0"/>
            <w:vAlign w:val="center"/>
          </w:tcPr>
          <w:p w14:paraId="1F10B81A">
            <w:pPr>
              <w:pStyle w:val="35"/>
              <w:keepNext w:val="0"/>
              <w:keepLines w:val="0"/>
              <w:pageBreakBefore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采用不见面开标：</w:t>
            </w:r>
          </w:p>
          <w:p w14:paraId="763C8920">
            <w:pPr>
              <w:pStyle w:val="35"/>
              <w:keepNext w:val="0"/>
              <w:keepLines w:val="0"/>
              <w:pageBreakBefore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1．本项目采用不见面开标、投标人需要递交电子投标文件，加密的电子投标文件，在投标截止时间前通过新疆政府采购网政采云平台上传到指定位置。无需递交纸质文件。</w:t>
            </w:r>
          </w:p>
          <w:p w14:paraId="77F6D660">
            <w:pPr>
              <w:pStyle w:val="35"/>
              <w:keepNext w:val="0"/>
              <w:keepLines w:val="0"/>
              <w:pageBreakBefore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2.本项目采用远程不见面交易的模式。开标当日，投标人无需到达开标现场，仅需在任意地点通过新疆政府采购网政采云平台不见面开标系统（登录地址详见网站操作手册）完成远程解密、提疑澄清、开标唱标、结果公布等交互环节。投标人必须使用能正确解密投标文件的“CA锁”在规定的时间内完成远程解密，因投标人原因未能解密、解密失败或解密超时，视为投标人撤销其投标文件，系统内投标文件将被退回；因采购人原因或网上招投标平台发生故障，导致无法按时完成投标文件解密或开、评标工作无法进行的，可根据实际情况相应延迟解密时间或调整开、评标时间（友情提示：若投标人已领取副锁（含多把副锁）请注意正副锁的使用差别，务必使用生成投标文件的那把锁解密）。</w:t>
            </w:r>
          </w:p>
          <w:p w14:paraId="6553958B">
            <w:pPr>
              <w:pStyle w:val="35"/>
              <w:keepNext w:val="0"/>
              <w:keepLines w:val="0"/>
              <w:pageBreakBefore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3.远程开标前，投标人务必在新疆政府采购网政采云平台（http://ccgp-bingtuan.gov.cn）投标文件上传模块中使用“模拟解密”功能，验证本机远程自助解密环境。</w:t>
            </w:r>
          </w:p>
        </w:tc>
      </w:tr>
      <w:tr w14:paraId="18020B26">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405" w:hRule="atLeast"/>
          <w:jc w:val="center"/>
        </w:trPr>
        <w:tc>
          <w:tcPr>
            <w:tcW w:w="811" w:type="dxa"/>
            <w:tcBorders>
              <w:top w:val="single" w:color="auto" w:sz="8" w:space="0"/>
              <w:bottom w:val="single" w:color="auto" w:sz="8" w:space="0"/>
              <w:right w:val="single" w:color="auto" w:sz="8" w:space="0"/>
            </w:tcBorders>
            <w:noWrap w:val="0"/>
            <w:vAlign w:val="center"/>
          </w:tcPr>
          <w:p w14:paraId="59343AFF">
            <w:pPr>
              <w:pStyle w:val="35"/>
              <w:keepNext w:val="0"/>
              <w:keepLines w:val="0"/>
              <w:pageBreakBefore w:val="0"/>
              <w:kinsoku/>
              <w:wordWrap/>
              <w:overflowPunct/>
              <w:topLinePunct w:val="0"/>
              <w:bidi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31</w:t>
            </w:r>
          </w:p>
        </w:tc>
        <w:tc>
          <w:tcPr>
            <w:tcW w:w="2160" w:type="dxa"/>
            <w:tcBorders>
              <w:top w:val="single" w:color="auto" w:sz="8" w:space="0"/>
              <w:left w:val="single" w:color="auto" w:sz="8" w:space="0"/>
              <w:bottom w:val="single" w:color="auto" w:sz="8" w:space="0"/>
              <w:right w:val="single" w:color="auto" w:sz="8" w:space="0"/>
            </w:tcBorders>
            <w:noWrap w:val="0"/>
            <w:vAlign w:val="center"/>
          </w:tcPr>
          <w:p w14:paraId="43D77ACB">
            <w:pPr>
              <w:pStyle w:val="35"/>
              <w:keepNext w:val="0"/>
              <w:keepLines w:val="0"/>
              <w:pageBreakBefore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提交投标文件地点</w:t>
            </w:r>
          </w:p>
        </w:tc>
        <w:tc>
          <w:tcPr>
            <w:tcW w:w="6530" w:type="dxa"/>
            <w:tcBorders>
              <w:top w:val="single" w:color="auto" w:sz="8" w:space="0"/>
              <w:left w:val="single" w:color="auto" w:sz="8" w:space="0"/>
              <w:bottom w:val="single" w:color="auto" w:sz="8" w:space="0"/>
            </w:tcBorders>
            <w:noWrap w:val="0"/>
            <w:vAlign w:val="center"/>
          </w:tcPr>
          <w:p w14:paraId="3F642D66">
            <w:pPr>
              <w:pStyle w:val="35"/>
              <w:keepNext w:val="0"/>
              <w:keepLines w:val="0"/>
              <w:pageBreakBefore w:val="0"/>
              <w:kinsoku/>
              <w:wordWrap/>
              <w:overflowPunct/>
              <w:topLinePunct w:val="0"/>
              <w:bidi w:val="0"/>
              <w:snapToGrid/>
              <w:spacing w:line="390" w:lineRule="exact"/>
              <w:ind w:right="0" w:rightChars="0"/>
              <w:jc w:val="both"/>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请登录政采云投标客户端，在截止时间前将加密的电子投标文件（.jmbs）上传到新疆政府采购网对应的位置（逾期上传或者未上传指定地点的响应文件，采购人不予受理）。</w:t>
            </w:r>
          </w:p>
          <w:p w14:paraId="36A45BD7">
            <w:pPr>
              <w:pStyle w:val="35"/>
              <w:keepNext w:val="0"/>
              <w:keepLines w:val="0"/>
              <w:pageBreakBefore w:val="0"/>
              <w:kinsoku/>
              <w:wordWrap/>
              <w:overflowPunct/>
              <w:topLinePunct w:val="0"/>
              <w:bidi w:val="0"/>
              <w:snapToGrid/>
              <w:spacing w:line="390" w:lineRule="exact"/>
              <w:ind w:right="0" w:rightChars="0"/>
              <w:jc w:val="both"/>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采用不见面开标：</w:t>
            </w:r>
          </w:p>
          <w:p w14:paraId="58E80CA7">
            <w:pPr>
              <w:pStyle w:val="35"/>
              <w:keepNext w:val="0"/>
              <w:keepLines w:val="0"/>
              <w:pageBreakBefore w:val="0"/>
              <w:kinsoku/>
              <w:wordWrap/>
              <w:overflowPunct/>
              <w:topLinePunct w:val="0"/>
              <w:bidi w:val="0"/>
              <w:snapToGrid/>
              <w:spacing w:line="390" w:lineRule="exact"/>
              <w:ind w:right="0" w:rightChars="0"/>
              <w:jc w:val="both"/>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投标地点：政采云远程不见面开标大厅</w:t>
            </w:r>
          </w:p>
          <w:p w14:paraId="460F48B4">
            <w:pPr>
              <w:pStyle w:val="35"/>
              <w:keepNext w:val="0"/>
              <w:keepLines w:val="0"/>
              <w:pageBreakBefore w:val="0"/>
              <w:kinsoku/>
              <w:wordWrap/>
              <w:overflowPunct/>
              <w:topLinePunct w:val="0"/>
              <w:bidi w:val="0"/>
              <w:snapToGrid/>
              <w:spacing w:line="390" w:lineRule="exact"/>
              <w:ind w:right="0" w:rightChars="0"/>
              <w:jc w:val="both"/>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不见面开标默认解密时长：</w:t>
            </w:r>
            <w:r>
              <w:rPr>
                <w:rFonts w:hint="eastAsia" w:asciiTheme="minorEastAsia" w:hAnsiTheme="minorEastAsia" w:eastAsiaTheme="minorEastAsia" w:cstheme="minorEastAsia"/>
                <w:color w:val="auto"/>
                <w:sz w:val="24"/>
                <w:szCs w:val="24"/>
                <w:highlight w:val="none"/>
                <w:lang w:val="en-US" w:eastAsia="zh-CN"/>
              </w:rPr>
              <w:t>30</w:t>
            </w:r>
            <w:r>
              <w:rPr>
                <w:rFonts w:hint="eastAsia" w:asciiTheme="minorEastAsia" w:hAnsiTheme="minorEastAsia" w:eastAsiaTheme="minorEastAsia" w:cstheme="minorEastAsia"/>
                <w:color w:val="auto"/>
                <w:sz w:val="24"/>
                <w:szCs w:val="24"/>
                <w:highlight w:val="none"/>
                <w:lang w:val="zh-CN"/>
              </w:rPr>
              <w:t>分钟</w:t>
            </w:r>
          </w:p>
          <w:p w14:paraId="51CD6B81">
            <w:pPr>
              <w:pStyle w:val="35"/>
              <w:keepNext w:val="0"/>
              <w:keepLines w:val="0"/>
              <w:pageBreakBefore w:val="0"/>
              <w:kinsoku/>
              <w:wordWrap/>
              <w:overflowPunct/>
              <w:topLinePunct w:val="0"/>
              <w:bidi w:val="0"/>
              <w:snapToGrid/>
              <w:spacing w:line="390" w:lineRule="exact"/>
              <w:ind w:right="0" w:rightChars="0"/>
              <w:jc w:val="both"/>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关于能否延长解密时间的约定：开标现场若发现默认解密时长不足，由采购人决定是否延长解密时长。</w:t>
            </w:r>
          </w:p>
        </w:tc>
      </w:tr>
      <w:tr w14:paraId="09D9DD8A">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556" w:hRule="exact"/>
          <w:jc w:val="center"/>
        </w:trPr>
        <w:tc>
          <w:tcPr>
            <w:tcW w:w="811" w:type="dxa"/>
            <w:tcBorders>
              <w:top w:val="single" w:color="auto" w:sz="8" w:space="0"/>
              <w:bottom w:val="single" w:color="auto" w:sz="8" w:space="0"/>
              <w:right w:val="single" w:color="auto" w:sz="8" w:space="0"/>
            </w:tcBorders>
            <w:noWrap w:val="0"/>
            <w:vAlign w:val="center"/>
          </w:tcPr>
          <w:p w14:paraId="0E91057F">
            <w:pPr>
              <w:pStyle w:val="35"/>
              <w:keepNext w:val="0"/>
              <w:keepLines w:val="0"/>
              <w:pageBreakBefore w:val="0"/>
              <w:kinsoku/>
              <w:wordWrap/>
              <w:overflowPunct/>
              <w:topLinePunct w:val="0"/>
              <w:bidi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32</w:t>
            </w:r>
          </w:p>
        </w:tc>
        <w:tc>
          <w:tcPr>
            <w:tcW w:w="2160" w:type="dxa"/>
            <w:tcBorders>
              <w:top w:val="single" w:color="auto" w:sz="8" w:space="0"/>
              <w:left w:val="single" w:color="auto" w:sz="8" w:space="0"/>
              <w:bottom w:val="single" w:color="auto" w:sz="8" w:space="0"/>
              <w:right w:val="single" w:color="auto" w:sz="8" w:space="0"/>
            </w:tcBorders>
            <w:noWrap w:val="0"/>
            <w:vAlign w:val="center"/>
          </w:tcPr>
          <w:p w14:paraId="05ED27B4">
            <w:pPr>
              <w:pStyle w:val="35"/>
              <w:keepNext w:val="0"/>
              <w:keepLines w:val="0"/>
              <w:pageBreakBefore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投标截止时间</w:t>
            </w:r>
          </w:p>
        </w:tc>
        <w:tc>
          <w:tcPr>
            <w:tcW w:w="6530" w:type="dxa"/>
            <w:tcBorders>
              <w:top w:val="single" w:color="auto" w:sz="8" w:space="0"/>
              <w:left w:val="single" w:color="auto" w:sz="8" w:space="0"/>
              <w:bottom w:val="single" w:color="auto" w:sz="8" w:space="0"/>
            </w:tcBorders>
            <w:noWrap w:val="0"/>
            <w:vAlign w:val="center"/>
          </w:tcPr>
          <w:p w14:paraId="7F8FD5DD">
            <w:pPr>
              <w:pStyle w:val="35"/>
              <w:keepNext w:val="0"/>
              <w:keepLines w:val="0"/>
              <w:pageBreakBefore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b w:val="0"/>
                <w:bCs w:val="0"/>
                <w:i w:val="0"/>
                <w:iCs w:val="0"/>
                <w:color w:val="auto"/>
                <w:sz w:val="24"/>
                <w:szCs w:val="24"/>
                <w:highlight w:val="none"/>
                <w:u w:val="single"/>
                <w:lang w:val="en-US" w:eastAsia="zh-CN"/>
              </w:rPr>
              <w:t>2024</w:t>
            </w:r>
            <w:r>
              <w:rPr>
                <w:rFonts w:hint="eastAsia" w:asciiTheme="minorEastAsia" w:hAnsiTheme="minorEastAsia" w:eastAsiaTheme="minorEastAsia" w:cstheme="minorEastAsia"/>
                <w:b w:val="0"/>
                <w:bCs w:val="0"/>
                <w:i w:val="0"/>
                <w:iCs w:val="0"/>
                <w:color w:val="auto"/>
                <w:sz w:val="24"/>
                <w:szCs w:val="24"/>
                <w:highlight w:val="none"/>
                <w:u w:val="single"/>
              </w:rPr>
              <w:t>年</w:t>
            </w:r>
            <w:r>
              <w:rPr>
                <w:rFonts w:hint="eastAsia" w:asciiTheme="minorEastAsia" w:hAnsiTheme="minorEastAsia" w:eastAsiaTheme="minorEastAsia" w:cstheme="minorEastAsia"/>
                <w:b w:val="0"/>
                <w:bCs w:val="0"/>
                <w:i w:val="0"/>
                <w:iCs w:val="0"/>
                <w:color w:val="auto"/>
                <w:sz w:val="24"/>
                <w:szCs w:val="24"/>
                <w:highlight w:val="none"/>
                <w:u w:val="single"/>
                <w:lang w:val="en-US" w:eastAsia="zh-CN"/>
              </w:rPr>
              <w:t>12月05日</w:t>
            </w:r>
            <w:r>
              <w:rPr>
                <w:rFonts w:hint="eastAsia" w:asciiTheme="minorEastAsia" w:hAnsiTheme="minorEastAsia" w:eastAsiaTheme="minorEastAsia" w:cstheme="minorEastAsia"/>
                <w:b w:val="0"/>
                <w:bCs w:val="0"/>
                <w:color w:val="auto"/>
                <w:kern w:val="2"/>
                <w:sz w:val="24"/>
                <w:szCs w:val="24"/>
                <w:highlight w:val="none"/>
                <w:u w:val="single"/>
                <w:lang w:val="en-US" w:eastAsia="zh-CN" w:bidi="ar-SA"/>
              </w:rPr>
              <w:t>10点</w:t>
            </w:r>
            <w:r>
              <w:rPr>
                <w:rFonts w:hint="eastAsia" w:asciiTheme="minorEastAsia" w:hAnsiTheme="minorEastAsia" w:eastAsiaTheme="minorEastAsia" w:cstheme="minorEastAsia"/>
                <w:b w:val="0"/>
                <w:bCs w:val="0"/>
                <w:i w:val="0"/>
                <w:iCs w:val="0"/>
                <w:color w:val="auto"/>
                <w:sz w:val="24"/>
                <w:szCs w:val="24"/>
                <w:highlight w:val="none"/>
                <w:u w:val="single"/>
                <w:lang w:val="en-US" w:eastAsia="zh-CN"/>
              </w:rPr>
              <w:t>3</w:t>
            </w:r>
            <w:r>
              <w:rPr>
                <w:rFonts w:hint="eastAsia" w:asciiTheme="minorEastAsia" w:hAnsiTheme="minorEastAsia" w:eastAsiaTheme="minorEastAsia" w:cstheme="minorEastAsia"/>
                <w:b w:val="0"/>
                <w:bCs w:val="0"/>
                <w:color w:val="auto"/>
                <w:kern w:val="2"/>
                <w:sz w:val="24"/>
                <w:szCs w:val="24"/>
                <w:highlight w:val="none"/>
                <w:u w:val="single"/>
                <w:lang w:val="en-US" w:eastAsia="zh-CN" w:bidi="ar-SA"/>
              </w:rPr>
              <w:t>0</w:t>
            </w:r>
            <w:r>
              <w:rPr>
                <w:rFonts w:hint="eastAsia" w:asciiTheme="minorEastAsia" w:hAnsiTheme="minorEastAsia" w:eastAsiaTheme="minorEastAsia" w:cstheme="minorEastAsia"/>
                <w:b w:val="0"/>
                <w:bCs w:val="0"/>
                <w:i w:val="0"/>
                <w:iCs w:val="0"/>
                <w:color w:val="auto"/>
                <w:sz w:val="24"/>
                <w:szCs w:val="24"/>
                <w:highlight w:val="none"/>
                <w:u w:val="single"/>
              </w:rPr>
              <w:t>分</w:t>
            </w:r>
            <w:r>
              <w:rPr>
                <w:rFonts w:hint="eastAsia" w:asciiTheme="minorEastAsia" w:hAnsiTheme="minorEastAsia" w:eastAsiaTheme="minorEastAsia" w:cstheme="minorEastAsia"/>
                <w:b w:val="0"/>
                <w:bCs w:val="0"/>
                <w:i w:val="0"/>
                <w:iCs w:val="0"/>
                <w:color w:val="auto"/>
                <w:sz w:val="24"/>
                <w:szCs w:val="24"/>
                <w:highlight w:val="none"/>
                <w:u w:val="none"/>
              </w:rPr>
              <w:t>（北京时间）</w:t>
            </w:r>
            <w:r>
              <w:rPr>
                <w:rFonts w:hint="eastAsia" w:asciiTheme="minorEastAsia" w:hAnsiTheme="minorEastAsia" w:eastAsiaTheme="minorEastAsia" w:cstheme="minorEastAsia"/>
                <w:color w:val="auto"/>
                <w:sz w:val="24"/>
                <w:szCs w:val="24"/>
                <w:highlight w:val="none"/>
              </w:rPr>
              <w:t>（如有变动另行通知）</w:t>
            </w:r>
          </w:p>
        </w:tc>
      </w:tr>
      <w:tr w14:paraId="064FEEC0">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1363" w:hRule="exact"/>
          <w:jc w:val="center"/>
        </w:trPr>
        <w:tc>
          <w:tcPr>
            <w:tcW w:w="811" w:type="dxa"/>
            <w:tcBorders>
              <w:top w:val="single" w:color="auto" w:sz="8" w:space="0"/>
              <w:bottom w:val="single" w:color="auto" w:sz="8" w:space="0"/>
              <w:right w:val="single" w:color="auto" w:sz="8" w:space="0"/>
            </w:tcBorders>
            <w:noWrap w:val="0"/>
            <w:vAlign w:val="center"/>
          </w:tcPr>
          <w:p w14:paraId="4C511545">
            <w:pPr>
              <w:pStyle w:val="35"/>
              <w:keepNext w:val="0"/>
              <w:keepLines w:val="0"/>
              <w:pageBreakBefore w:val="0"/>
              <w:widowControl w:val="0"/>
              <w:kinsoku/>
              <w:wordWrap/>
              <w:overflowPunct/>
              <w:topLinePunct w:val="0"/>
              <w:autoSpaceDE w:val="0"/>
              <w:autoSpaceDN w:val="0"/>
              <w:bidi w:val="0"/>
              <w:adjustRightInd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33</w:t>
            </w:r>
          </w:p>
        </w:tc>
        <w:tc>
          <w:tcPr>
            <w:tcW w:w="2160" w:type="dxa"/>
            <w:tcBorders>
              <w:top w:val="single" w:color="auto" w:sz="8" w:space="0"/>
              <w:left w:val="single" w:color="auto" w:sz="8" w:space="0"/>
              <w:bottom w:val="single" w:color="auto" w:sz="8" w:space="0"/>
              <w:right w:val="single" w:color="auto" w:sz="8" w:space="0"/>
            </w:tcBorders>
            <w:noWrap w:val="0"/>
            <w:vAlign w:val="center"/>
          </w:tcPr>
          <w:p w14:paraId="467ADF0C">
            <w:pPr>
              <w:pStyle w:val="35"/>
              <w:keepNext w:val="0"/>
              <w:keepLines w:val="0"/>
              <w:pageBreakBefore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递交投标文件地点</w:t>
            </w:r>
          </w:p>
        </w:tc>
        <w:tc>
          <w:tcPr>
            <w:tcW w:w="6530" w:type="dxa"/>
            <w:tcBorders>
              <w:top w:val="single" w:color="auto" w:sz="8" w:space="0"/>
              <w:left w:val="single" w:color="auto" w:sz="8" w:space="0"/>
              <w:bottom w:val="single" w:color="auto" w:sz="8" w:space="0"/>
            </w:tcBorders>
            <w:noWrap w:val="0"/>
            <w:vAlign w:val="center"/>
          </w:tcPr>
          <w:p w14:paraId="608959D9">
            <w:pPr>
              <w:pStyle w:val="35"/>
              <w:keepNext w:val="0"/>
              <w:keepLines w:val="0"/>
              <w:pageBreakBefore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请登录政采云投标客户端，在截止时间前将加密的电子投标文件（.jmbs）上传到新疆政府采购网对应的位置（逾期上传或者未上传指定地点的投标文件，采购人不予受理）</w:t>
            </w:r>
          </w:p>
        </w:tc>
      </w:tr>
      <w:tr w14:paraId="7F8241BD">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726" w:hRule="exact"/>
          <w:jc w:val="center"/>
        </w:trPr>
        <w:tc>
          <w:tcPr>
            <w:tcW w:w="811" w:type="dxa"/>
            <w:tcBorders>
              <w:top w:val="single" w:color="auto" w:sz="8" w:space="0"/>
              <w:bottom w:val="single" w:color="auto" w:sz="8" w:space="0"/>
              <w:right w:val="single" w:color="auto" w:sz="8" w:space="0"/>
            </w:tcBorders>
            <w:noWrap w:val="0"/>
            <w:vAlign w:val="center"/>
          </w:tcPr>
          <w:p w14:paraId="3D331C64">
            <w:pPr>
              <w:pStyle w:val="35"/>
              <w:keepNext w:val="0"/>
              <w:keepLines w:val="0"/>
              <w:pageBreakBefore w:val="0"/>
              <w:widowControl w:val="0"/>
              <w:kinsoku/>
              <w:wordWrap/>
              <w:overflowPunct/>
              <w:topLinePunct w:val="0"/>
              <w:autoSpaceDE w:val="0"/>
              <w:autoSpaceDN w:val="0"/>
              <w:bidi w:val="0"/>
              <w:adjustRightInd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34</w:t>
            </w:r>
          </w:p>
        </w:tc>
        <w:tc>
          <w:tcPr>
            <w:tcW w:w="2160" w:type="dxa"/>
            <w:tcBorders>
              <w:top w:val="single" w:color="auto" w:sz="8" w:space="0"/>
              <w:left w:val="single" w:color="auto" w:sz="8" w:space="0"/>
              <w:bottom w:val="single" w:color="auto" w:sz="8" w:space="0"/>
              <w:right w:val="single" w:color="auto" w:sz="8" w:space="0"/>
            </w:tcBorders>
            <w:noWrap w:val="0"/>
            <w:vAlign w:val="center"/>
          </w:tcPr>
          <w:p w14:paraId="34CE1842">
            <w:pPr>
              <w:pStyle w:val="35"/>
              <w:keepNext w:val="0"/>
              <w:keepLines w:val="0"/>
              <w:pageBreakBefore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投标文件是否退还</w:t>
            </w:r>
          </w:p>
        </w:tc>
        <w:tc>
          <w:tcPr>
            <w:tcW w:w="6530" w:type="dxa"/>
            <w:tcBorders>
              <w:top w:val="single" w:color="auto" w:sz="8" w:space="0"/>
              <w:left w:val="single" w:color="auto" w:sz="8" w:space="0"/>
              <w:bottom w:val="single" w:color="auto" w:sz="8" w:space="0"/>
            </w:tcBorders>
            <w:noWrap w:val="0"/>
            <w:vAlign w:val="center"/>
          </w:tcPr>
          <w:p w14:paraId="0CC95191">
            <w:pPr>
              <w:pStyle w:val="35"/>
              <w:keepNext w:val="0"/>
              <w:keepLines w:val="0"/>
              <w:pageBreakBefore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否</w:t>
            </w:r>
          </w:p>
        </w:tc>
      </w:tr>
      <w:tr w14:paraId="70F4ED01">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770" w:hRule="atLeast"/>
          <w:jc w:val="center"/>
        </w:trPr>
        <w:tc>
          <w:tcPr>
            <w:tcW w:w="811" w:type="dxa"/>
            <w:tcBorders>
              <w:top w:val="single" w:color="auto" w:sz="8" w:space="0"/>
              <w:bottom w:val="single" w:color="auto" w:sz="8" w:space="0"/>
              <w:right w:val="single" w:color="auto" w:sz="8" w:space="0"/>
            </w:tcBorders>
            <w:noWrap w:val="0"/>
            <w:vAlign w:val="center"/>
          </w:tcPr>
          <w:p w14:paraId="68C20757">
            <w:pPr>
              <w:pStyle w:val="35"/>
              <w:keepNext w:val="0"/>
              <w:keepLines w:val="0"/>
              <w:pageBreakBefore w:val="0"/>
              <w:widowControl w:val="0"/>
              <w:kinsoku/>
              <w:wordWrap/>
              <w:overflowPunct/>
              <w:topLinePunct w:val="0"/>
              <w:autoSpaceDE w:val="0"/>
              <w:autoSpaceDN w:val="0"/>
              <w:bidi w:val="0"/>
              <w:adjustRightInd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35</w:t>
            </w:r>
          </w:p>
        </w:tc>
        <w:tc>
          <w:tcPr>
            <w:tcW w:w="2160" w:type="dxa"/>
            <w:tcBorders>
              <w:top w:val="single" w:color="auto" w:sz="8" w:space="0"/>
              <w:left w:val="single" w:color="auto" w:sz="8" w:space="0"/>
              <w:bottom w:val="single" w:color="auto" w:sz="8" w:space="0"/>
              <w:right w:val="single" w:color="auto" w:sz="8" w:space="0"/>
            </w:tcBorders>
            <w:noWrap w:val="0"/>
            <w:vAlign w:val="center"/>
          </w:tcPr>
          <w:p w14:paraId="5437D589">
            <w:pPr>
              <w:pStyle w:val="35"/>
              <w:keepNext w:val="0"/>
              <w:keepLines w:val="0"/>
              <w:pageBreakBefore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开标时间和地点</w:t>
            </w:r>
          </w:p>
        </w:tc>
        <w:tc>
          <w:tcPr>
            <w:tcW w:w="6530" w:type="dxa"/>
            <w:tcBorders>
              <w:top w:val="single" w:color="auto" w:sz="8" w:space="0"/>
              <w:left w:val="single" w:color="auto" w:sz="8" w:space="0"/>
              <w:bottom w:val="single" w:color="auto" w:sz="8" w:space="0"/>
            </w:tcBorders>
            <w:noWrap w:val="0"/>
            <w:vAlign w:val="center"/>
          </w:tcPr>
          <w:p w14:paraId="038BA8D3">
            <w:pPr>
              <w:pStyle w:val="35"/>
              <w:keepNext w:val="0"/>
              <w:keepLines w:val="0"/>
              <w:pageBreakBefore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开标时间（解密）：同投标截止时间</w:t>
            </w:r>
          </w:p>
          <w:p w14:paraId="3BA06AA6">
            <w:pPr>
              <w:pStyle w:val="35"/>
              <w:keepNext w:val="0"/>
              <w:keepLines w:val="0"/>
              <w:pageBreakBefore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开标地点：政采云电子开标大厅</w:t>
            </w:r>
          </w:p>
        </w:tc>
      </w:tr>
      <w:tr w14:paraId="072FD4A1">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432" w:hRule="atLeast"/>
          <w:jc w:val="center"/>
        </w:trPr>
        <w:tc>
          <w:tcPr>
            <w:tcW w:w="811" w:type="dxa"/>
            <w:tcBorders>
              <w:top w:val="single" w:color="auto" w:sz="8" w:space="0"/>
              <w:bottom w:val="single" w:color="auto" w:sz="8" w:space="0"/>
              <w:right w:val="single" w:color="auto" w:sz="8" w:space="0"/>
            </w:tcBorders>
            <w:noWrap w:val="0"/>
            <w:vAlign w:val="center"/>
          </w:tcPr>
          <w:p w14:paraId="48746718">
            <w:pPr>
              <w:pStyle w:val="35"/>
              <w:keepNext w:val="0"/>
              <w:keepLines w:val="0"/>
              <w:pageBreakBefore w:val="0"/>
              <w:widowControl w:val="0"/>
              <w:kinsoku/>
              <w:wordWrap/>
              <w:overflowPunct/>
              <w:topLinePunct w:val="0"/>
              <w:autoSpaceDE w:val="0"/>
              <w:autoSpaceDN w:val="0"/>
              <w:bidi w:val="0"/>
              <w:adjustRightInd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36</w:t>
            </w:r>
          </w:p>
        </w:tc>
        <w:tc>
          <w:tcPr>
            <w:tcW w:w="2160" w:type="dxa"/>
            <w:tcBorders>
              <w:top w:val="single" w:color="auto" w:sz="8" w:space="0"/>
              <w:left w:val="single" w:color="auto" w:sz="8" w:space="0"/>
              <w:bottom w:val="single" w:color="auto" w:sz="8" w:space="0"/>
              <w:right w:val="single" w:color="auto" w:sz="8" w:space="0"/>
            </w:tcBorders>
            <w:noWrap w:val="0"/>
            <w:vAlign w:val="center"/>
          </w:tcPr>
          <w:p w14:paraId="0635606A">
            <w:pPr>
              <w:pStyle w:val="35"/>
              <w:keepNext w:val="0"/>
              <w:keepLines w:val="0"/>
              <w:pageBreakBefore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评标委员会的组建</w:t>
            </w:r>
          </w:p>
        </w:tc>
        <w:tc>
          <w:tcPr>
            <w:tcW w:w="6530" w:type="dxa"/>
            <w:tcBorders>
              <w:top w:val="single" w:color="auto" w:sz="8" w:space="0"/>
              <w:left w:val="single" w:color="auto" w:sz="8" w:space="0"/>
              <w:bottom w:val="single" w:color="auto" w:sz="8" w:space="0"/>
            </w:tcBorders>
            <w:noWrap w:val="0"/>
            <w:vAlign w:val="center"/>
          </w:tcPr>
          <w:p w14:paraId="4B1C48CD">
            <w:pPr>
              <w:pStyle w:val="35"/>
              <w:keepNext w:val="0"/>
              <w:keepLines w:val="0"/>
              <w:pageBreakBefore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评标委员会构成形式、人数，评标专家确定方式：</w:t>
            </w:r>
          </w:p>
          <w:p w14:paraId="5BB81B0B">
            <w:pPr>
              <w:pStyle w:val="35"/>
              <w:keepNext w:val="0"/>
              <w:keepLines w:val="0"/>
              <w:pageBreakBefore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详见投标人须知第8.1.1条款</w:t>
            </w:r>
          </w:p>
        </w:tc>
      </w:tr>
      <w:tr w14:paraId="11D94D11">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432" w:hRule="atLeast"/>
          <w:jc w:val="center"/>
        </w:trPr>
        <w:tc>
          <w:tcPr>
            <w:tcW w:w="811" w:type="dxa"/>
            <w:tcBorders>
              <w:top w:val="single" w:color="auto" w:sz="8" w:space="0"/>
              <w:bottom w:val="single" w:color="auto" w:sz="8" w:space="0"/>
              <w:right w:val="single" w:color="auto" w:sz="8" w:space="0"/>
            </w:tcBorders>
            <w:noWrap w:val="0"/>
            <w:vAlign w:val="center"/>
          </w:tcPr>
          <w:p w14:paraId="5CDB7242">
            <w:pPr>
              <w:pStyle w:val="35"/>
              <w:keepNext w:val="0"/>
              <w:keepLines w:val="0"/>
              <w:pageBreakBefore w:val="0"/>
              <w:widowControl w:val="0"/>
              <w:kinsoku/>
              <w:wordWrap/>
              <w:overflowPunct/>
              <w:topLinePunct w:val="0"/>
              <w:autoSpaceDE w:val="0"/>
              <w:autoSpaceDN w:val="0"/>
              <w:bidi w:val="0"/>
              <w:adjustRightInd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37</w:t>
            </w:r>
          </w:p>
        </w:tc>
        <w:tc>
          <w:tcPr>
            <w:tcW w:w="2160" w:type="dxa"/>
            <w:tcBorders>
              <w:top w:val="single" w:color="auto" w:sz="8" w:space="0"/>
              <w:left w:val="single" w:color="auto" w:sz="8" w:space="0"/>
              <w:bottom w:val="single" w:color="auto" w:sz="8" w:space="0"/>
              <w:right w:val="single" w:color="auto" w:sz="8" w:space="0"/>
            </w:tcBorders>
            <w:noWrap w:val="0"/>
            <w:vAlign w:val="center"/>
          </w:tcPr>
          <w:p w14:paraId="138C40C7">
            <w:pPr>
              <w:pStyle w:val="35"/>
              <w:keepNext w:val="0"/>
              <w:keepLines w:val="0"/>
              <w:pageBreakBefore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评标方法及标准</w:t>
            </w:r>
          </w:p>
        </w:tc>
        <w:tc>
          <w:tcPr>
            <w:tcW w:w="6530" w:type="dxa"/>
            <w:tcBorders>
              <w:top w:val="single" w:color="auto" w:sz="8" w:space="0"/>
              <w:left w:val="single" w:color="auto" w:sz="8" w:space="0"/>
              <w:bottom w:val="single" w:color="auto" w:sz="8" w:space="0"/>
            </w:tcBorders>
            <w:noWrap w:val="0"/>
            <w:vAlign w:val="center"/>
          </w:tcPr>
          <w:p w14:paraId="2F30D7AE">
            <w:pPr>
              <w:pStyle w:val="35"/>
              <w:keepNext w:val="0"/>
              <w:keepLines w:val="0"/>
              <w:pageBreakBefore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详见第三章评标方法</w:t>
            </w:r>
          </w:p>
        </w:tc>
      </w:tr>
      <w:tr w14:paraId="325D49BA">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585" w:hRule="atLeast"/>
          <w:jc w:val="center"/>
        </w:trPr>
        <w:tc>
          <w:tcPr>
            <w:tcW w:w="811" w:type="dxa"/>
            <w:tcBorders>
              <w:top w:val="single" w:color="auto" w:sz="8" w:space="0"/>
              <w:bottom w:val="single" w:color="auto" w:sz="8" w:space="0"/>
              <w:right w:val="single" w:color="auto" w:sz="8" w:space="0"/>
            </w:tcBorders>
            <w:noWrap w:val="0"/>
            <w:vAlign w:val="center"/>
          </w:tcPr>
          <w:p w14:paraId="7EE91A3E">
            <w:pPr>
              <w:pStyle w:val="35"/>
              <w:keepNext w:val="0"/>
              <w:keepLines w:val="0"/>
              <w:pageBreakBefore w:val="0"/>
              <w:widowControl w:val="0"/>
              <w:kinsoku/>
              <w:wordWrap/>
              <w:overflowPunct/>
              <w:topLinePunct w:val="0"/>
              <w:autoSpaceDE w:val="0"/>
              <w:autoSpaceDN w:val="0"/>
              <w:bidi w:val="0"/>
              <w:adjustRightInd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38</w:t>
            </w:r>
          </w:p>
        </w:tc>
        <w:tc>
          <w:tcPr>
            <w:tcW w:w="2160" w:type="dxa"/>
            <w:tcBorders>
              <w:top w:val="single" w:color="auto" w:sz="8" w:space="0"/>
              <w:left w:val="single" w:color="auto" w:sz="8" w:space="0"/>
              <w:bottom w:val="single" w:color="auto" w:sz="8" w:space="0"/>
              <w:right w:val="single" w:color="auto" w:sz="8" w:space="0"/>
            </w:tcBorders>
            <w:noWrap w:val="0"/>
            <w:vAlign w:val="center"/>
          </w:tcPr>
          <w:p w14:paraId="1E1A467A">
            <w:pPr>
              <w:pStyle w:val="35"/>
              <w:keepNext w:val="0"/>
              <w:keepLines w:val="0"/>
              <w:pageBreakBefore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评标委员会推荐中标候选人的人数</w:t>
            </w:r>
          </w:p>
        </w:tc>
        <w:tc>
          <w:tcPr>
            <w:tcW w:w="6530" w:type="dxa"/>
            <w:tcBorders>
              <w:top w:val="single" w:color="auto" w:sz="8" w:space="0"/>
              <w:left w:val="single" w:color="auto" w:sz="8" w:space="0"/>
              <w:bottom w:val="single" w:color="auto" w:sz="8" w:space="0"/>
            </w:tcBorders>
            <w:noWrap w:val="0"/>
            <w:vAlign w:val="center"/>
          </w:tcPr>
          <w:p w14:paraId="11415D28">
            <w:pPr>
              <w:pStyle w:val="35"/>
              <w:keepNext w:val="0"/>
              <w:keepLines w:val="0"/>
              <w:pageBreakBefore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3</w:t>
            </w:r>
          </w:p>
        </w:tc>
      </w:tr>
      <w:tr w14:paraId="2FD31D1E">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639" w:hRule="atLeast"/>
          <w:jc w:val="center"/>
        </w:trPr>
        <w:tc>
          <w:tcPr>
            <w:tcW w:w="811" w:type="dxa"/>
            <w:tcBorders>
              <w:top w:val="single" w:color="auto" w:sz="8" w:space="0"/>
              <w:bottom w:val="single" w:color="auto" w:sz="8" w:space="0"/>
              <w:right w:val="single" w:color="auto" w:sz="8" w:space="0"/>
            </w:tcBorders>
            <w:noWrap w:val="0"/>
            <w:vAlign w:val="center"/>
          </w:tcPr>
          <w:p w14:paraId="637A07FE">
            <w:pPr>
              <w:pStyle w:val="35"/>
              <w:keepNext w:val="0"/>
              <w:keepLines w:val="0"/>
              <w:pageBreakBefore w:val="0"/>
              <w:widowControl w:val="0"/>
              <w:kinsoku/>
              <w:wordWrap/>
              <w:overflowPunct/>
              <w:topLinePunct w:val="0"/>
              <w:autoSpaceDE w:val="0"/>
              <w:autoSpaceDN w:val="0"/>
              <w:bidi w:val="0"/>
              <w:adjustRightInd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39</w:t>
            </w:r>
          </w:p>
        </w:tc>
        <w:tc>
          <w:tcPr>
            <w:tcW w:w="2160" w:type="dxa"/>
            <w:tcBorders>
              <w:top w:val="single" w:color="auto" w:sz="8" w:space="0"/>
              <w:left w:val="single" w:color="auto" w:sz="8" w:space="0"/>
              <w:bottom w:val="single" w:color="auto" w:sz="8" w:space="0"/>
              <w:right w:val="single" w:color="auto" w:sz="8" w:space="0"/>
            </w:tcBorders>
            <w:noWrap w:val="0"/>
            <w:vAlign w:val="center"/>
          </w:tcPr>
          <w:p w14:paraId="2A57C44B">
            <w:pPr>
              <w:pStyle w:val="35"/>
              <w:keepNext w:val="0"/>
              <w:keepLines w:val="0"/>
              <w:pageBreakBefore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是否授权评标委员会确定中标人</w:t>
            </w:r>
          </w:p>
        </w:tc>
        <w:tc>
          <w:tcPr>
            <w:tcW w:w="6530" w:type="dxa"/>
            <w:tcBorders>
              <w:top w:val="single" w:color="auto" w:sz="8" w:space="0"/>
              <w:left w:val="single" w:color="auto" w:sz="8" w:space="0"/>
              <w:bottom w:val="single" w:color="auto" w:sz="8" w:space="0"/>
            </w:tcBorders>
            <w:noWrap w:val="0"/>
            <w:vAlign w:val="center"/>
          </w:tcPr>
          <w:p w14:paraId="6FF5E3A8">
            <w:pPr>
              <w:pStyle w:val="35"/>
              <w:keepNext w:val="0"/>
              <w:keepLines w:val="0"/>
              <w:pageBreakBefore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否</w:t>
            </w:r>
          </w:p>
        </w:tc>
      </w:tr>
      <w:tr w14:paraId="2674785E">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951" w:hRule="atLeast"/>
          <w:jc w:val="center"/>
        </w:trPr>
        <w:tc>
          <w:tcPr>
            <w:tcW w:w="811" w:type="dxa"/>
            <w:tcBorders>
              <w:top w:val="single" w:color="auto" w:sz="8" w:space="0"/>
              <w:bottom w:val="single" w:color="auto" w:sz="8" w:space="0"/>
              <w:right w:val="single" w:color="auto" w:sz="8" w:space="0"/>
            </w:tcBorders>
            <w:noWrap w:val="0"/>
            <w:vAlign w:val="center"/>
          </w:tcPr>
          <w:p w14:paraId="57163085">
            <w:pPr>
              <w:pStyle w:val="35"/>
              <w:keepNext w:val="0"/>
              <w:keepLines w:val="0"/>
              <w:pageBreakBefore w:val="0"/>
              <w:widowControl w:val="0"/>
              <w:kinsoku/>
              <w:wordWrap/>
              <w:overflowPunct/>
              <w:topLinePunct w:val="0"/>
              <w:autoSpaceDE w:val="0"/>
              <w:autoSpaceDN w:val="0"/>
              <w:bidi w:val="0"/>
              <w:adjustRightInd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40</w:t>
            </w:r>
          </w:p>
        </w:tc>
        <w:tc>
          <w:tcPr>
            <w:tcW w:w="2160" w:type="dxa"/>
            <w:tcBorders>
              <w:top w:val="single" w:color="auto" w:sz="8" w:space="0"/>
              <w:left w:val="single" w:color="auto" w:sz="8" w:space="0"/>
              <w:bottom w:val="single" w:color="auto" w:sz="8" w:space="0"/>
              <w:right w:val="single" w:color="auto" w:sz="8" w:space="0"/>
            </w:tcBorders>
            <w:noWrap w:val="0"/>
            <w:vAlign w:val="center"/>
          </w:tcPr>
          <w:p w14:paraId="7B99404A">
            <w:pPr>
              <w:pStyle w:val="35"/>
              <w:keepNext w:val="0"/>
              <w:keepLines w:val="0"/>
              <w:pageBreakBefore w:val="0"/>
              <w:widowControl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中标公告的时间、</w:t>
            </w:r>
          </w:p>
          <w:p w14:paraId="0845FFB4">
            <w:pPr>
              <w:pStyle w:val="35"/>
              <w:keepNext w:val="0"/>
              <w:keepLines w:val="0"/>
              <w:pageBreakBefore w:val="0"/>
              <w:widowControl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媒介和期限</w:t>
            </w:r>
          </w:p>
        </w:tc>
        <w:tc>
          <w:tcPr>
            <w:tcW w:w="6530" w:type="dxa"/>
            <w:tcBorders>
              <w:top w:val="single" w:color="auto" w:sz="8" w:space="0"/>
              <w:left w:val="single" w:color="auto" w:sz="8" w:space="0"/>
              <w:bottom w:val="single" w:color="auto" w:sz="8" w:space="0"/>
            </w:tcBorders>
            <w:noWrap w:val="0"/>
            <w:vAlign w:val="center"/>
          </w:tcPr>
          <w:p w14:paraId="6ACEAD7E">
            <w:pPr>
              <w:pStyle w:val="4"/>
              <w:keepNext w:val="0"/>
              <w:keepLines w:val="0"/>
              <w:pageBreakBefore w:val="0"/>
              <w:widowControl w:val="0"/>
              <w:kinsoku/>
              <w:wordWrap w:val="0"/>
              <w:overflowPunct/>
              <w:topLinePunct w:val="0"/>
              <w:autoSpaceDE/>
              <w:autoSpaceDN/>
              <w:bidi w:val="0"/>
              <w:adjustRightInd/>
              <w:snapToGrid/>
              <w:spacing w:line="390" w:lineRule="exact"/>
              <w:ind w:left="0" w:leftChars="0" w:right="0" w:rightChars="0" w:firstLine="0" w:firstLineChars="0"/>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公告时间：</w:t>
            </w:r>
            <w:r>
              <w:rPr>
                <w:rFonts w:hint="eastAsia" w:asciiTheme="minorEastAsia" w:hAnsiTheme="minorEastAsia" w:eastAsiaTheme="minorEastAsia" w:cstheme="minorEastAsia"/>
                <w:color w:val="auto"/>
                <w:sz w:val="24"/>
                <w:szCs w:val="24"/>
                <w:highlight w:val="none"/>
              </w:rPr>
              <w:t>在确定中标人之日起2个工作日内</w:t>
            </w:r>
          </w:p>
          <w:p w14:paraId="611E75FD">
            <w:pPr>
              <w:pStyle w:val="4"/>
              <w:keepNext w:val="0"/>
              <w:keepLines w:val="0"/>
              <w:pageBreakBefore w:val="0"/>
              <w:widowControl w:val="0"/>
              <w:kinsoku/>
              <w:wordWrap w:val="0"/>
              <w:overflowPunct/>
              <w:topLinePunct w:val="0"/>
              <w:autoSpaceDE/>
              <w:autoSpaceDN/>
              <w:bidi w:val="0"/>
              <w:adjustRightInd/>
              <w:snapToGrid/>
              <w:spacing w:line="390" w:lineRule="exact"/>
              <w:ind w:left="0" w:leftChars="0" w:right="0" w:rightChars="0" w:firstLine="0" w:firstLineChars="0"/>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公告媒介：</w:t>
            </w:r>
            <w:r>
              <w:rPr>
                <w:rFonts w:hint="eastAsia" w:asciiTheme="minorEastAsia" w:hAnsiTheme="minorEastAsia" w:eastAsiaTheme="minorEastAsia" w:cstheme="minorEastAsia"/>
                <w:color w:val="auto"/>
                <w:sz w:val="24"/>
                <w:szCs w:val="24"/>
                <w:highlight w:val="none"/>
              </w:rPr>
              <w:t>《</w:t>
            </w:r>
            <w:r>
              <w:rPr>
                <w:rFonts w:hint="eastAsia" w:asciiTheme="minorEastAsia" w:hAnsiTheme="minorEastAsia" w:eastAsiaTheme="minorEastAsia" w:cstheme="minorEastAsia"/>
                <w:color w:val="auto"/>
                <w:sz w:val="24"/>
                <w:szCs w:val="24"/>
                <w:highlight w:val="none"/>
                <w:lang w:val="zh-CN" w:eastAsia="zh-CN"/>
              </w:rPr>
              <w:t>新疆政府采购网》(http://www.ccgp-xinjiang.gov.cn/)</w:t>
            </w:r>
          </w:p>
          <w:p w14:paraId="687E7973">
            <w:pPr>
              <w:pStyle w:val="4"/>
              <w:keepNext w:val="0"/>
              <w:keepLines w:val="0"/>
              <w:pageBreakBefore w:val="0"/>
              <w:widowControl w:val="0"/>
              <w:kinsoku/>
              <w:wordWrap w:val="0"/>
              <w:overflowPunct/>
              <w:topLinePunct w:val="0"/>
              <w:autoSpaceDE/>
              <w:autoSpaceDN/>
              <w:bidi w:val="0"/>
              <w:adjustRightInd/>
              <w:snapToGrid/>
              <w:spacing w:line="390" w:lineRule="exact"/>
              <w:ind w:left="0" w:leftChars="0" w:right="0" w:rightChars="0" w:firstLine="0" w:firstLineChars="0"/>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公告期限：1个工作日</w:t>
            </w:r>
          </w:p>
        </w:tc>
      </w:tr>
      <w:tr w14:paraId="71250DFE">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466" w:hRule="atLeast"/>
          <w:jc w:val="center"/>
        </w:trPr>
        <w:tc>
          <w:tcPr>
            <w:tcW w:w="811" w:type="dxa"/>
            <w:tcBorders>
              <w:top w:val="single" w:color="auto" w:sz="8" w:space="0"/>
              <w:bottom w:val="single" w:color="auto" w:sz="8" w:space="0"/>
              <w:right w:val="single" w:color="auto" w:sz="8" w:space="0"/>
            </w:tcBorders>
            <w:noWrap w:val="0"/>
            <w:vAlign w:val="center"/>
          </w:tcPr>
          <w:p w14:paraId="038F6353">
            <w:pPr>
              <w:pStyle w:val="35"/>
              <w:keepNext w:val="0"/>
              <w:keepLines w:val="0"/>
              <w:pageBreakBefore w:val="0"/>
              <w:widowControl w:val="0"/>
              <w:kinsoku/>
              <w:wordWrap/>
              <w:overflowPunct/>
              <w:topLinePunct w:val="0"/>
              <w:autoSpaceDE w:val="0"/>
              <w:autoSpaceDN w:val="0"/>
              <w:bidi w:val="0"/>
              <w:adjustRightInd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41</w:t>
            </w:r>
          </w:p>
        </w:tc>
        <w:tc>
          <w:tcPr>
            <w:tcW w:w="2160" w:type="dxa"/>
            <w:tcBorders>
              <w:top w:val="single" w:color="auto" w:sz="8" w:space="0"/>
              <w:left w:val="single" w:color="auto" w:sz="8" w:space="0"/>
              <w:bottom w:val="single" w:color="auto" w:sz="8" w:space="0"/>
              <w:right w:val="single" w:color="auto" w:sz="8" w:space="0"/>
            </w:tcBorders>
            <w:noWrap w:val="0"/>
            <w:vAlign w:val="center"/>
          </w:tcPr>
          <w:p w14:paraId="6256937F">
            <w:pPr>
              <w:pStyle w:val="35"/>
              <w:keepNext w:val="0"/>
              <w:keepLines w:val="0"/>
              <w:pageBreakBefore w:val="0"/>
              <w:widowControl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履约保证金</w:t>
            </w:r>
          </w:p>
        </w:tc>
        <w:tc>
          <w:tcPr>
            <w:tcW w:w="6530" w:type="dxa"/>
            <w:tcBorders>
              <w:top w:val="single" w:color="auto" w:sz="8" w:space="0"/>
              <w:left w:val="single" w:color="auto" w:sz="8" w:space="0"/>
              <w:bottom w:val="single" w:color="auto" w:sz="8" w:space="0"/>
            </w:tcBorders>
            <w:noWrap w:val="0"/>
            <w:vAlign w:val="center"/>
          </w:tcPr>
          <w:p w14:paraId="380C2842">
            <w:pPr>
              <w:pStyle w:val="35"/>
              <w:keepNext w:val="0"/>
              <w:keepLines w:val="0"/>
              <w:pageBreakBefore w:val="0"/>
              <w:widowControl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rPr>
              <w:sym w:font="Wingdings 2" w:char="0052"/>
            </w:r>
            <w:r>
              <w:rPr>
                <w:rFonts w:hint="eastAsia" w:asciiTheme="minorEastAsia" w:hAnsiTheme="minorEastAsia" w:eastAsiaTheme="minorEastAsia" w:cstheme="minorEastAsia"/>
                <w:color w:val="auto"/>
                <w:sz w:val="24"/>
                <w:szCs w:val="24"/>
                <w:highlight w:val="none"/>
                <w:lang w:val="zh-CN"/>
              </w:rPr>
              <w:t xml:space="preserve"> 需要   </w:t>
            </w:r>
            <w:r>
              <w:rPr>
                <w:rFonts w:hint="eastAsia" w:asciiTheme="minorEastAsia" w:hAnsiTheme="minorEastAsia" w:eastAsiaTheme="minorEastAsia" w:cstheme="minorEastAsia"/>
                <w:color w:val="auto"/>
                <w:sz w:val="24"/>
                <w:szCs w:val="24"/>
                <w:highlight w:val="none"/>
              </w:rPr>
              <w:sym w:font="Wingdings 2" w:char="00A3"/>
            </w:r>
            <w:r>
              <w:rPr>
                <w:rFonts w:hint="eastAsia" w:asciiTheme="minorEastAsia" w:hAnsiTheme="minorEastAsia" w:eastAsiaTheme="minorEastAsia" w:cstheme="minorEastAsia"/>
                <w:color w:val="auto"/>
                <w:sz w:val="24"/>
                <w:szCs w:val="24"/>
                <w:highlight w:val="none"/>
                <w:lang w:val="zh-CN"/>
              </w:rPr>
              <w:t>不需要</w:t>
            </w:r>
          </w:p>
          <w:p w14:paraId="0F769E75">
            <w:pPr>
              <w:pStyle w:val="35"/>
              <w:keepNext w:val="0"/>
              <w:keepLines w:val="0"/>
              <w:pageBreakBefore w:val="0"/>
              <w:widowControl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履约保证金的形式：履约保证金（现金转账、支票或银行汇票</w:t>
            </w:r>
            <w:r>
              <w:rPr>
                <w:rFonts w:hint="eastAsia" w:asciiTheme="minorEastAsia" w:hAnsiTheme="minorEastAsia" w:eastAsiaTheme="minorEastAsia" w:cstheme="minorEastAsia"/>
                <w:color w:val="auto"/>
                <w:sz w:val="24"/>
                <w:szCs w:val="24"/>
                <w:highlight w:val="none"/>
                <w:lang w:val="en-US" w:eastAsia="zh-CN"/>
              </w:rPr>
              <w:t>或保函</w:t>
            </w:r>
            <w:r>
              <w:rPr>
                <w:rFonts w:hint="eastAsia" w:asciiTheme="minorEastAsia" w:hAnsiTheme="minorEastAsia" w:eastAsiaTheme="minorEastAsia" w:cstheme="minorEastAsia"/>
                <w:color w:val="auto"/>
                <w:sz w:val="24"/>
                <w:szCs w:val="24"/>
                <w:highlight w:val="none"/>
                <w:lang w:val="zh-CN"/>
              </w:rPr>
              <w:t>等）</w:t>
            </w:r>
          </w:p>
          <w:p w14:paraId="00E74FC3">
            <w:pPr>
              <w:pStyle w:val="35"/>
              <w:keepNext w:val="0"/>
              <w:keepLines w:val="0"/>
              <w:pageBreakBefore w:val="0"/>
              <w:widowControl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履约保证金的金额：签约合同价款的</w:t>
            </w:r>
            <w:r>
              <w:rPr>
                <w:rFonts w:hint="eastAsia" w:asciiTheme="minorEastAsia" w:hAnsiTheme="minorEastAsia" w:eastAsiaTheme="minorEastAsia" w:cstheme="minorEastAsia"/>
                <w:color w:val="auto"/>
                <w:sz w:val="24"/>
                <w:szCs w:val="24"/>
                <w:highlight w:val="none"/>
                <w:u w:val="single"/>
                <w:lang w:val="en-US" w:eastAsia="zh-CN"/>
              </w:rPr>
              <w:t>5</w:t>
            </w:r>
            <w:r>
              <w:rPr>
                <w:rFonts w:hint="eastAsia" w:asciiTheme="minorEastAsia" w:hAnsiTheme="minorEastAsia" w:eastAsiaTheme="minorEastAsia" w:cstheme="minorEastAsia"/>
                <w:color w:val="auto"/>
                <w:sz w:val="24"/>
                <w:szCs w:val="24"/>
                <w:highlight w:val="none"/>
                <w:lang w:val="zh-CN"/>
              </w:rPr>
              <w:t>% ；现金转账</w:t>
            </w:r>
            <w:r>
              <w:rPr>
                <w:rFonts w:hint="eastAsia" w:asciiTheme="minorEastAsia" w:hAnsiTheme="minorEastAsia" w:eastAsiaTheme="minorEastAsia" w:cstheme="minorEastAsia"/>
                <w:color w:val="auto"/>
                <w:sz w:val="24"/>
                <w:szCs w:val="24"/>
                <w:highlight w:val="none"/>
                <w:lang w:val="en-US" w:eastAsia="zh-CN"/>
              </w:rPr>
              <w:t>的中标</w:t>
            </w:r>
            <w:r>
              <w:rPr>
                <w:rFonts w:hint="eastAsia" w:asciiTheme="minorEastAsia" w:hAnsiTheme="minorEastAsia" w:eastAsiaTheme="minorEastAsia" w:cstheme="minorEastAsia"/>
                <w:color w:val="auto"/>
                <w:sz w:val="24"/>
                <w:szCs w:val="24"/>
                <w:highlight w:val="none"/>
                <w:lang w:val="zh-CN"/>
              </w:rPr>
              <w:t>人必须在收到中标通知书</w:t>
            </w:r>
            <w:r>
              <w:rPr>
                <w:rFonts w:hint="eastAsia" w:asciiTheme="minorEastAsia" w:hAnsiTheme="minorEastAsia" w:eastAsiaTheme="minorEastAsia" w:cstheme="minorEastAsia"/>
                <w:color w:val="auto"/>
                <w:sz w:val="24"/>
                <w:szCs w:val="24"/>
                <w:highlight w:val="none"/>
                <w:lang w:val="en-US" w:eastAsia="zh-CN"/>
              </w:rPr>
              <w:t>10</w:t>
            </w:r>
            <w:r>
              <w:rPr>
                <w:rFonts w:hint="eastAsia" w:asciiTheme="minorEastAsia" w:hAnsiTheme="minorEastAsia" w:eastAsiaTheme="minorEastAsia" w:cstheme="minorEastAsia"/>
                <w:color w:val="auto"/>
                <w:sz w:val="24"/>
                <w:szCs w:val="24"/>
                <w:highlight w:val="none"/>
                <w:lang w:val="zh-CN"/>
              </w:rPr>
              <w:t>日内（签订合同之前）汇入采购人指定账户；如中标后不能按规定缴纳履约保证金，招标人将有充分的理由解除中标人的中标资格并没收其投标保证金。</w:t>
            </w:r>
          </w:p>
          <w:p w14:paraId="5E08E0E5">
            <w:pPr>
              <w:pStyle w:val="35"/>
              <w:keepNext w:val="0"/>
              <w:keepLines w:val="0"/>
              <w:pageBreakBefore w:val="0"/>
              <w:widowControl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履约保证金退还时间：验收完成后，资料齐全、遗留问题全部解决后退还（不计利息）</w:t>
            </w:r>
          </w:p>
        </w:tc>
      </w:tr>
      <w:tr w14:paraId="44E637F1">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935" w:hRule="atLeast"/>
          <w:jc w:val="center"/>
        </w:trPr>
        <w:tc>
          <w:tcPr>
            <w:tcW w:w="811" w:type="dxa"/>
            <w:tcBorders>
              <w:top w:val="single" w:color="auto" w:sz="8" w:space="0"/>
              <w:bottom w:val="single" w:color="auto" w:sz="8" w:space="0"/>
              <w:right w:val="single" w:color="auto" w:sz="8" w:space="0"/>
            </w:tcBorders>
            <w:noWrap w:val="0"/>
            <w:vAlign w:val="center"/>
          </w:tcPr>
          <w:p w14:paraId="7FE092BE">
            <w:pPr>
              <w:pStyle w:val="35"/>
              <w:keepNext w:val="0"/>
              <w:keepLines w:val="0"/>
              <w:pageBreakBefore w:val="0"/>
              <w:widowControl w:val="0"/>
              <w:kinsoku/>
              <w:wordWrap/>
              <w:overflowPunct/>
              <w:topLinePunct w:val="0"/>
              <w:autoSpaceDE w:val="0"/>
              <w:autoSpaceDN w:val="0"/>
              <w:bidi w:val="0"/>
              <w:adjustRightInd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42</w:t>
            </w:r>
          </w:p>
        </w:tc>
        <w:tc>
          <w:tcPr>
            <w:tcW w:w="2160" w:type="dxa"/>
            <w:tcBorders>
              <w:top w:val="single" w:color="auto" w:sz="8" w:space="0"/>
              <w:left w:val="single" w:color="auto" w:sz="8" w:space="0"/>
              <w:bottom w:val="single" w:color="auto" w:sz="8" w:space="0"/>
              <w:right w:val="single" w:color="auto" w:sz="8" w:space="0"/>
            </w:tcBorders>
            <w:noWrap w:val="0"/>
            <w:vAlign w:val="center"/>
          </w:tcPr>
          <w:p w14:paraId="18EF9A26">
            <w:pPr>
              <w:pStyle w:val="35"/>
              <w:keepNext w:val="0"/>
              <w:keepLines w:val="0"/>
              <w:pageBreakBefore w:val="0"/>
              <w:widowControl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投标人信用信息</w:t>
            </w:r>
          </w:p>
          <w:p w14:paraId="036724C5">
            <w:pPr>
              <w:pStyle w:val="35"/>
              <w:keepNext w:val="0"/>
              <w:keepLines w:val="0"/>
              <w:pageBreakBefore w:val="0"/>
              <w:widowControl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查询截止时点</w:t>
            </w:r>
          </w:p>
        </w:tc>
        <w:tc>
          <w:tcPr>
            <w:tcW w:w="6530" w:type="dxa"/>
            <w:tcBorders>
              <w:top w:val="single" w:color="auto" w:sz="8" w:space="0"/>
              <w:left w:val="single" w:color="auto" w:sz="8" w:space="0"/>
              <w:bottom w:val="single" w:color="auto" w:sz="8" w:space="0"/>
            </w:tcBorders>
            <w:noWrap w:val="0"/>
            <w:vAlign w:val="center"/>
          </w:tcPr>
          <w:p w14:paraId="7256B6FE">
            <w:pPr>
              <w:keepNext w:val="0"/>
              <w:keepLines w:val="0"/>
              <w:pageBreakBefore w:val="0"/>
              <w:widowControl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投标文件递交截止时间当日</w:t>
            </w:r>
          </w:p>
        </w:tc>
      </w:tr>
      <w:tr w14:paraId="2CD79EAE">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668" w:hRule="atLeast"/>
          <w:jc w:val="center"/>
        </w:trPr>
        <w:tc>
          <w:tcPr>
            <w:tcW w:w="811" w:type="dxa"/>
            <w:tcBorders>
              <w:top w:val="single" w:color="auto" w:sz="8" w:space="0"/>
              <w:bottom w:val="single" w:color="auto" w:sz="8" w:space="0"/>
              <w:right w:val="single" w:color="auto" w:sz="8" w:space="0"/>
            </w:tcBorders>
            <w:noWrap w:val="0"/>
            <w:vAlign w:val="center"/>
          </w:tcPr>
          <w:p w14:paraId="369EC278">
            <w:pPr>
              <w:pStyle w:val="35"/>
              <w:keepNext w:val="0"/>
              <w:keepLines w:val="0"/>
              <w:pageBreakBefore w:val="0"/>
              <w:widowControl w:val="0"/>
              <w:kinsoku/>
              <w:wordWrap/>
              <w:overflowPunct/>
              <w:topLinePunct w:val="0"/>
              <w:autoSpaceDE w:val="0"/>
              <w:autoSpaceDN w:val="0"/>
              <w:bidi w:val="0"/>
              <w:adjustRightInd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43</w:t>
            </w:r>
          </w:p>
        </w:tc>
        <w:tc>
          <w:tcPr>
            <w:tcW w:w="2160" w:type="dxa"/>
            <w:tcBorders>
              <w:top w:val="single" w:color="auto" w:sz="8" w:space="0"/>
              <w:left w:val="single" w:color="auto" w:sz="8" w:space="0"/>
              <w:bottom w:val="single" w:color="auto" w:sz="8" w:space="0"/>
              <w:right w:val="single" w:color="auto" w:sz="8" w:space="0"/>
            </w:tcBorders>
            <w:noWrap w:val="0"/>
            <w:vAlign w:val="center"/>
          </w:tcPr>
          <w:p w14:paraId="4A10041A">
            <w:pPr>
              <w:pStyle w:val="35"/>
              <w:keepNext w:val="0"/>
              <w:keepLines w:val="0"/>
              <w:pageBreakBefore w:val="0"/>
              <w:widowControl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资格审查时是否</w:t>
            </w:r>
          </w:p>
          <w:p w14:paraId="70FEC63D">
            <w:pPr>
              <w:pStyle w:val="35"/>
              <w:keepNext w:val="0"/>
              <w:keepLines w:val="0"/>
              <w:pageBreakBefore w:val="0"/>
              <w:widowControl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核验证件</w:t>
            </w:r>
          </w:p>
        </w:tc>
        <w:tc>
          <w:tcPr>
            <w:tcW w:w="6530" w:type="dxa"/>
            <w:tcBorders>
              <w:top w:val="single" w:color="auto" w:sz="8" w:space="0"/>
              <w:left w:val="single" w:color="auto" w:sz="8" w:space="0"/>
              <w:bottom w:val="single" w:color="auto" w:sz="8" w:space="0"/>
            </w:tcBorders>
            <w:noWrap w:val="0"/>
            <w:vAlign w:val="center"/>
          </w:tcPr>
          <w:p w14:paraId="4980F251">
            <w:pPr>
              <w:pStyle w:val="35"/>
              <w:keepNext w:val="0"/>
              <w:keepLines w:val="0"/>
              <w:pageBreakBefore w:val="0"/>
              <w:widowControl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kern w:val="2"/>
                <w:sz w:val="24"/>
                <w:szCs w:val="24"/>
                <w:highlight w:val="none"/>
              </w:rPr>
            </w:pPr>
            <w:r>
              <w:rPr>
                <w:rFonts w:hint="eastAsia" w:asciiTheme="minorEastAsia" w:hAnsiTheme="minorEastAsia" w:eastAsiaTheme="minorEastAsia" w:cstheme="minorEastAsia"/>
                <w:color w:val="auto"/>
                <w:sz w:val="24"/>
                <w:szCs w:val="24"/>
                <w:highlight w:val="none"/>
              </w:rPr>
              <w:sym w:font="Wingdings 2" w:char="0052"/>
            </w:r>
            <w:r>
              <w:rPr>
                <w:rFonts w:hint="eastAsia" w:asciiTheme="minorEastAsia" w:hAnsiTheme="minorEastAsia" w:eastAsiaTheme="minorEastAsia" w:cstheme="minorEastAsia"/>
                <w:color w:val="auto"/>
                <w:sz w:val="24"/>
                <w:szCs w:val="24"/>
                <w:highlight w:val="none"/>
              </w:rPr>
              <w:t xml:space="preserve"> 需要  </w:t>
            </w:r>
            <w:r>
              <w:rPr>
                <w:rFonts w:hint="eastAsia" w:asciiTheme="minorEastAsia" w:hAnsiTheme="minorEastAsia" w:eastAsiaTheme="minorEastAsia" w:cstheme="minorEastAsia"/>
                <w:color w:val="auto"/>
                <w:sz w:val="24"/>
                <w:szCs w:val="24"/>
                <w:highlight w:val="none"/>
              </w:rPr>
              <w:sym w:font="Wingdings 2" w:char="00A3"/>
            </w:r>
            <w:r>
              <w:rPr>
                <w:rFonts w:hint="eastAsia" w:asciiTheme="minorEastAsia" w:hAnsiTheme="minorEastAsia" w:eastAsiaTheme="minorEastAsia" w:cstheme="minorEastAsia"/>
                <w:color w:val="auto"/>
                <w:sz w:val="24"/>
                <w:szCs w:val="24"/>
                <w:highlight w:val="none"/>
              </w:rPr>
              <w:t xml:space="preserve"> 不需要</w:t>
            </w:r>
          </w:p>
        </w:tc>
      </w:tr>
      <w:tr w14:paraId="4A0BE77E">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667" w:hRule="atLeast"/>
          <w:jc w:val="center"/>
        </w:trPr>
        <w:tc>
          <w:tcPr>
            <w:tcW w:w="811" w:type="dxa"/>
            <w:tcBorders>
              <w:top w:val="single" w:color="auto" w:sz="8" w:space="0"/>
              <w:bottom w:val="single" w:color="auto" w:sz="8" w:space="0"/>
              <w:right w:val="single" w:color="auto" w:sz="8" w:space="0"/>
            </w:tcBorders>
            <w:noWrap w:val="0"/>
            <w:vAlign w:val="center"/>
          </w:tcPr>
          <w:p w14:paraId="6B6046A6">
            <w:pPr>
              <w:pStyle w:val="35"/>
              <w:keepNext w:val="0"/>
              <w:keepLines w:val="0"/>
              <w:pageBreakBefore w:val="0"/>
              <w:widowControl w:val="0"/>
              <w:kinsoku/>
              <w:wordWrap/>
              <w:overflowPunct/>
              <w:topLinePunct w:val="0"/>
              <w:autoSpaceDE w:val="0"/>
              <w:autoSpaceDN w:val="0"/>
              <w:bidi w:val="0"/>
              <w:adjustRightInd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44</w:t>
            </w:r>
          </w:p>
        </w:tc>
        <w:tc>
          <w:tcPr>
            <w:tcW w:w="2160" w:type="dxa"/>
            <w:tcBorders>
              <w:top w:val="single" w:color="auto" w:sz="8" w:space="0"/>
              <w:left w:val="single" w:color="auto" w:sz="8" w:space="0"/>
              <w:bottom w:val="single" w:color="auto" w:sz="8" w:space="0"/>
              <w:right w:val="single" w:color="auto" w:sz="8" w:space="0"/>
            </w:tcBorders>
            <w:noWrap w:val="0"/>
            <w:vAlign w:val="center"/>
          </w:tcPr>
          <w:p w14:paraId="73B12CCC">
            <w:pPr>
              <w:pStyle w:val="35"/>
              <w:keepNext w:val="0"/>
              <w:keepLines w:val="0"/>
              <w:pageBreakBefore w:val="0"/>
              <w:widowControl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开标现场是否</w:t>
            </w:r>
          </w:p>
          <w:p w14:paraId="2CC76E1E">
            <w:pPr>
              <w:pStyle w:val="35"/>
              <w:keepNext w:val="0"/>
              <w:keepLines w:val="0"/>
              <w:pageBreakBefore w:val="0"/>
              <w:widowControl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演示与述标</w:t>
            </w:r>
          </w:p>
        </w:tc>
        <w:tc>
          <w:tcPr>
            <w:tcW w:w="6530" w:type="dxa"/>
            <w:tcBorders>
              <w:top w:val="single" w:color="auto" w:sz="8" w:space="0"/>
              <w:left w:val="single" w:color="auto" w:sz="8" w:space="0"/>
              <w:bottom w:val="single" w:color="auto" w:sz="8" w:space="0"/>
            </w:tcBorders>
            <w:noWrap w:val="0"/>
            <w:vAlign w:val="center"/>
          </w:tcPr>
          <w:p w14:paraId="60A1F304">
            <w:pPr>
              <w:keepNext w:val="0"/>
              <w:keepLines w:val="0"/>
              <w:pageBreakBefore w:val="0"/>
              <w:widowControl w:val="0"/>
              <w:tabs>
                <w:tab w:val="left" w:pos="279"/>
              </w:tabs>
              <w:kinsoku/>
              <w:wordWrap/>
              <w:overflowPunct/>
              <w:topLinePunct w:val="0"/>
              <w:bidi w:val="0"/>
              <w:adjustRightInd/>
              <w:snapToGrid/>
              <w:spacing w:line="360" w:lineRule="exact"/>
              <w:ind w:right="0" w:rightChars="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sym w:font="Wingdings 2" w:char="00A3"/>
            </w:r>
            <w:r>
              <w:rPr>
                <w:rFonts w:hint="eastAsia" w:asciiTheme="minorEastAsia" w:hAnsiTheme="minorEastAsia" w:eastAsiaTheme="minorEastAsia" w:cstheme="minorEastAsia"/>
                <w:color w:val="auto"/>
                <w:sz w:val="24"/>
                <w:szCs w:val="24"/>
                <w:highlight w:val="none"/>
              </w:rPr>
              <w:t xml:space="preserve"> 需要  </w:t>
            </w:r>
            <w:r>
              <w:rPr>
                <w:rFonts w:hint="eastAsia" w:asciiTheme="minorEastAsia" w:hAnsiTheme="minorEastAsia" w:eastAsiaTheme="minorEastAsia" w:cstheme="minorEastAsia"/>
                <w:color w:val="auto"/>
                <w:sz w:val="24"/>
                <w:szCs w:val="24"/>
                <w:highlight w:val="none"/>
              </w:rPr>
              <w:sym w:font="Wingdings 2" w:char="0052"/>
            </w:r>
            <w:r>
              <w:rPr>
                <w:rFonts w:hint="eastAsia" w:asciiTheme="minorEastAsia" w:hAnsiTheme="minorEastAsia" w:eastAsiaTheme="minorEastAsia" w:cstheme="minorEastAsia"/>
                <w:color w:val="auto"/>
                <w:sz w:val="24"/>
                <w:szCs w:val="24"/>
                <w:highlight w:val="none"/>
              </w:rPr>
              <w:t xml:space="preserve"> 不需要</w:t>
            </w:r>
          </w:p>
        </w:tc>
      </w:tr>
      <w:tr w14:paraId="6CB0C5F7">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756" w:hRule="atLeast"/>
          <w:jc w:val="center"/>
        </w:trPr>
        <w:tc>
          <w:tcPr>
            <w:tcW w:w="811" w:type="dxa"/>
            <w:tcBorders>
              <w:top w:val="single" w:color="auto" w:sz="8" w:space="0"/>
              <w:bottom w:val="single" w:color="auto" w:sz="8" w:space="0"/>
              <w:right w:val="single" w:color="auto" w:sz="8" w:space="0"/>
            </w:tcBorders>
            <w:noWrap w:val="0"/>
            <w:vAlign w:val="center"/>
          </w:tcPr>
          <w:p w14:paraId="556441AD">
            <w:pPr>
              <w:pStyle w:val="35"/>
              <w:keepNext w:val="0"/>
              <w:keepLines w:val="0"/>
              <w:pageBreakBefore w:val="0"/>
              <w:widowControl w:val="0"/>
              <w:kinsoku/>
              <w:wordWrap/>
              <w:overflowPunct/>
              <w:topLinePunct w:val="0"/>
              <w:autoSpaceDE w:val="0"/>
              <w:autoSpaceDN w:val="0"/>
              <w:bidi w:val="0"/>
              <w:adjustRightInd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45</w:t>
            </w:r>
          </w:p>
        </w:tc>
        <w:tc>
          <w:tcPr>
            <w:tcW w:w="2160" w:type="dxa"/>
            <w:tcBorders>
              <w:top w:val="single" w:color="auto" w:sz="8" w:space="0"/>
              <w:left w:val="single" w:color="auto" w:sz="8" w:space="0"/>
              <w:bottom w:val="single" w:color="auto" w:sz="8" w:space="0"/>
              <w:right w:val="single" w:color="auto" w:sz="8" w:space="0"/>
            </w:tcBorders>
            <w:noWrap w:val="0"/>
            <w:vAlign w:val="center"/>
          </w:tcPr>
          <w:p w14:paraId="1C969D82">
            <w:pPr>
              <w:pStyle w:val="35"/>
              <w:keepNext w:val="0"/>
              <w:keepLines w:val="0"/>
              <w:pageBreakBefore w:val="0"/>
              <w:widowControl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开标现场是否</w:t>
            </w:r>
          </w:p>
          <w:p w14:paraId="3147E5F3">
            <w:pPr>
              <w:pStyle w:val="35"/>
              <w:keepNext w:val="0"/>
              <w:keepLines w:val="0"/>
              <w:pageBreakBefore w:val="0"/>
              <w:widowControl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提供样品</w:t>
            </w:r>
          </w:p>
        </w:tc>
        <w:tc>
          <w:tcPr>
            <w:tcW w:w="6530" w:type="dxa"/>
            <w:tcBorders>
              <w:top w:val="single" w:color="auto" w:sz="8" w:space="0"/>
              <w:left w:val="single" w:color="auto" w:sz="8" w:space="0"/>
              <w:bottom w:val="single" w:color="auto" w:sz="8" w:space="0"/>
            </w:tcBorders>
            <w:noWrap w:val="0"/>
            <w:vAlign w:val="center"/>
          </w:tcPr>
          <w:p w14:paraId="6B548C70">
            <w:pPr>
              <w:keepNext w:val="0"/>
              <w:keepLines w:val="0"/>
              <w:pageBreakBefore w:val="0"/>
              <w:widowControl w:val="0"/>
              <w:kinsoku/>
              <w:wordWrap/>
              <w:overflowPunct/>
              <w:topLinePunct w:val="0"/>
              <w:bidi w:val="0"/>
              <w:adjustRightInd/>
              <w:snapToGrid/>
              <w:spacing w:line="360" w:lineRule="exact"/>
              <w:ind w:right="0" w:rightChars="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sym w:font="Wingdings 2" w:char="0052"/>
            </w:r>
            <w:r>
              <w:rPr>
                <w:rFonts w:hint="eastAsia" w:asciiTheme="minorEastAsia" w:hAnsiTheme="minorEastAsia" w:eastAsiaTheme="minorEastAsia" w:cstheme="minorEastAsia"/>
                <w:color w:val="auto"/>
                <w:sz w:val="24"/>
                <w:szCs w:val="24"/>
                <w:highlight w:val="none"/>
              </w:rPr>
              <w:t xml:space="preserve"> 不需要</w:t>
            </w:r>
          </w:p>
        </w:tc>
      </w:tr>
      <w:tr w14:paraId="7CA22B41">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756" w:hRule="atLeast"/>
          <w:jc w:val="center"/>
        </w:trPr>
        <w:tc>
          <w:tcPr>
            <w:tcW w:w="811" w:type="dxa"/>
            <w:tcBorders>
              <w:top w:val="single" w:color="auto" w:sz="8" w:space="0"/>
              <w:bottom w:val="single" w:color="auto" w:sz="8" w:space="0"/>
              <w:right w:val="single" w:color="auto" w:sz="8" w:space="0"/>
            </w:tcBorders>
            <w:noWrap w:val="0"/>
            <w:vAlign w:val="center"/>
          </w:tcPr>
          <w:p w14:paraId="09366C88">
            <w:pPr>
              <w:pStyle w:val="35"/>
              <w:keepNext w:val="0"/>
              <w:keepLines w:val="0"/>
              <w:pageBreakBefore w:val="0"/>
              <w:widowControl w:val="0"/>
              <w:kinsoku/>
              <w:wordWrap/>
              <w:overflowPunct/>
              <w:topLinePunct w:val="0"/>
              <w:autoSpaceDE w:val="0"/>
              <w:autoSpaceDN w:val="0"/>
              <w:bidi w:val="0"/>
              <w:adjustRightInd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46</w:t>
            </w:r>
          </w:p>
        </w:tc>
        <w:tc>
          <w:tcPr>
            <w:tcW w:w="2160" w:type="dxa"/>
            <w:tcBorders>
              <w:top w:val="single" w:color="auto" w:sz="8" w:space="0"/>
              <w:left w:val="single" w:color="auto" w:sz="8" w:space="0"/>
              <w:bottom w:val="single" w:color="auto" w:sz="8" w:space="0"/>
              <w:right w:val="single" w:color="auto" w:sz="8" w:space="0"/>
            </w:tcBorders>
            <w:noWrap w:val="0"/>
            <w:vAlign w:val="center"/>
          </w:tcPr>
          <w:p w14:paraId="7621AF0D">
            <w:pPr>
              <w:pStyle w:val="35"/>
              <w:keepNext w:val="0"/>
              <w:keepLines w:val="0"/>
              <w:pageBreakBefore w:val="0"/>
              <w:widowControl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资格要求</w:t>
            </w:r>
          </w:p>
        </w:tc>
        <w:tc>
          <w:tcPr>
            <w:tcW w:w="6530" w:type="dxa"/>
            <w:tcBorders>
              <w:top w:val="single" w:color="auto" w:sz="8" w:space="0"/>
              <w:left w:val="single" w:color="auto" w:sz="8" w:space="0"/>
              <w:bottom w:val="single" w:color="auto" w:sz="8" w:space="0"/>
            </w:tcBorders>
            <w:noWrap w:val="0"/>
            <w:vAlign w:val="center"/>
          </w:tcPr>
          <w:p w14:paraId="1DA8949E">
            <w:pPr>
              <w:keepNext w:val="0"/>
              <w:keepLines w:val="0"/>
              <w:pageBreakBefore w:val="0"/>
              <w:widowControl w:val="0"/>
              <w:kinsoku/>
              <w:wordWrap/>
              <w:overflowPunct/>
              <w:topLinePunct w:val="0"/>
              <w:bidi w:val="0"/>
              <w:adjustRightInd/>
              <w:snapToGrid/>
              <w:spacing w:line="360" w:lineRule="exact"/>
              <w:ind w:right="0" w:rightChars="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1.满足《中华人民共和国政府采购法》第二十二条规定；</w:t>
            </w:r>
          </w:p>
          <w:p w14:paraId="40B19E78">
            <w:pPr>
              <w:keepNext w:val="0"/>
              <w:keepLines w:val="0"/>
              <w:pageBreakBefore w:val="0"/>
              <w:widowControl w:val="0"/>
              <w:kinsoku/>
              <w:wordWrap/>
              <w:overflowPunct/>
              <w:topLinePunct w:val="0"/>
              <w:bidi w:val="0"/>
              <w:adjustRightInd/>
              <w:snapToGrid/>
              <w:spacing w:line="360" w:lineRule="exact"/>
              <w:ind w:right="0" w:rightChars="0"/>
              <w:textAlignment w:val="auto"/>
              <w:rPr>
                <w:rFonts w:hint="default"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rPr>
              <w:t>2.落实政府采购政策需满足的资格要求</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lang w:val="en-US" w:eastAsia="zh-CN"/>
              </w:rPr>
              <w:t>/；</w:t>
            </w:r>
          </w:p>
          <w:p w14:paraId="5BE3128E">
            <w:pPr>
              <w:keepNext w:val="0"/>
              <w:keepLines w:val="0"/>
              <w:pageBreakBefore w:val="0"/>
              <w:widowControl w:val="0"/>
              <w:kinsoku/>
              <w:wordWrap/>
              <w:overflowPunct/>
              <w:topLinePunct w:val="0"/>
              <w:bidi w:val="0"/>
              <w:adjustRightInd/>
              <w:snapToGrid/>
              <w:spacing w:line="360" w:lineRule="exact"/>
              <w:ind w:right="0" w:rightChars="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3.本项目的特定资格要求：</w:t>
            </w:r>
          </w:p>
          <w:p w14:paraId="6CDC5D0D">
            <w:pPr>
              <w:keepNext w:val="0"/>
              <w:keepLines w:val="0"/>
              <w:pageBreakBefore w:val="0"/>
              <w:widowControl w:val="0"/>
              <w:kinsoku/>
              <w:wordWrap/>
              <w:overflowPunct/>
              <w:topLinePunct w:val="0"/>
              <w:bidi w:val="0"/>
              <w:adjustRightInd/>
              <w:snapToGrid/>
              <w:spacing w:line="360" w:lineRule="exact"/>
              <w:ind w:right="0" w:rightChars="0"/>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rPr>
              <w:t>（</w:t>
            </w:r>
            <w:r>
              <w:rPr>
                <w:rFonts w:hint="eastAsia" w:asciiTheme="minorEastAsia" w:hAnsiTheme="minorEastAsia" w:eastAsiaTheme="minorEastAsia" w:cstheme="minorEastAsia"/>
                <w:color w:val="auto"/>
                <w:sz w:val="24"/>
                <w:szCs w:val="24"/>
                <w:highlight w:val="none"/>
                <w:lang w:val="en-US" w:eastAsia="zh-CN"/>
              </w:rPr>
              <w:t>1</w:t>
            </w:r>
            <w:r>
              <w:rPr>
                <w:rFonts w:hint="eastAsia" w:asciiTheme="minorEastAsia" w:hAnsiTheme="minorEastAsia" w:eastAsiaTheme="minorEastAsia" w:cstheme="minorEastAsia"/>
                <w:color w:val="auto"/>
                <w:sz w:val="24"/>
                <w:szCs w:val="24"/>
                <w:highlight w:val="none"/>
              </w:rPr>
              <w:t>）</w:t>
            </w:r>
            <w:r>
              <w:rPr>
                <w:rFonts w:hint="eastAsia" w:asciiTheme="minorEastAsia" w:hAnsiTheme="minorEastAsia" w:eastAsiaTheme="minorEastAsia" w:cstheme="minorEastAsia"/>
                <w:color w:val="auto"/>
                <w:sz w:val="24"/>
                <w:szCs w:val="24"/>
                <w:highlight w:val="none"/>
                <w:lang w:val="en-US" w:eastAsia="zh-CN"/>
              </w:rPr>
              <w:t>投标人</w:t>
            </w:r>
            <w:r>
              <w:rPr>
                <w:rFonts w:hint="eastAsia" w:asciiTheme="minorEastAsia" w:hAnsiTheme="minorEastAsia" w:eastAsiaTheme="minorEastAsia" w:cstheme="minorEastAsia"/>
                <w:color w:val="auto"/>
                <w:sz w:val="24"/>
                <w:szCs w:val="24"/>
                <w:highlight w:val="none"/>
              </w:rPr>
              <w:t>须在“信用中国”（www.creditchina.gov.cn）和中国政府采购网（www.ccgp.gov.cn）上未被列入失信被执行人、重大税收违法失信主体、政府采购严重违法失信行为记录名单（网页打印件须自</w:t>
            </w:r>
            <w:r>
              <w:rPr>
                <w:rFonts w:hint="eastAsia" w:asciiTheme="minorEastAsia" w:hAnsiTheme="minorEastAsia" w:eastAsiaTheme="minorEastAsia" w:cstheme="minorEastAsia"/>
                <w:color w:val="auto"/>
                <w:sz w:val="24"/>
                <w:szCs w:val="24"/>
                <w:highlight w:val="none"/>
                <w:lang w:eastAsia="zh-CN"/>
              </w:rPr>
              <w:t>招标文件</w:t>
            </w:r>
            <w:r>
              <w:rPr>
                <w:rFonts w:hint="eastAsia" w:asciiTheme="minorEastAsia" w:hAnsiTheme="minorEastAsia" w:eastAsiaTheme="minorEastAsia" w:cstheme="minorEastAsia"/>
                <w:color w:val="auto"/>
                <w:sz w:val="24"/>
                <w:szCs w:val="24"/>
                <w:highlight w:val="none"/>
              </w:rPr>
              <w:t>发布之日起至投标截止时间从上述网站中打印）</w:t>
            </w:r>
            <w:r>
              <w:rPr>
                <w:rFonts w:hint="eastAsia" w:asciiTheme="minorEastAsia" w:hAnsiTheme="minorEastAsia" w:eastAsiaTheme="minorEastAsia" w:cstheme="minorEastAsia"/>
                <w:color w:val="auto"/>
                <w:sz w:val="24"/>
                <w:szCs w:val="24"/>
                <w:highlight w:val="none"/>
                <w:lang w:val="en-US" w:eastAsia="zh-CN"/>
              </w:rPr>
              <w:t>；</w:t>
            </w:r>
          </w:p>
          <w:p w14:paraId="71FE78A8">
            <w:pPr>
              <w:keepNext w:val="0"/>
              <w:keepLines w:val="0"/>
              <w:pageBreakBefore w:val="0"/>
              <w:widowControl w:val="0"/>
              <w:kinsoku/>
              <w:wordWrap/>
              <w:overflowPunct/>
              <w:topLinePunct w:val="0"/>
              <w:bidi w:val="0"/>
              <w:adjustRightInd/>
              <w:snapToGrid/>
              <w:spacing w:line="360" w:lineRule="exact"/>
              <w:ind w:right="0" w:rightChars="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w:t>
            </w:r>
            <w:r>
              <w:rPr>
                <w:rFonts w:hint="eastAsia" w:asciiTheme="minorEastAsia" w:hAnsiTheme="minorEastAsia" w:eastAsiaTheme="minorEastAsia" w:cstheme="minorEastAsia"/>
                <w:color w:val="auto"/>
                <w:sz w:val="24"/>
                <w:szCs w:val="24"/>
                <w:highlight w:val="none"/>
                <w:lang w:val="en-US" w:eastAsia="zh-CN"/>
              </w:rPr>
              <w:t>2</w:t>
            </w:r>
            <w:r>
              <w:rPr>
                <w:rFonts w:hint="eastAsia" w:asciiTheme="minorEastAsia" w:hAnsiTheme="minorEastAsia" w:eastAsiaTheme="minorEastAsia" w:cstheme="minorEastAsia"/>
                <w:color w:val="auto"/>
                <w:sz w:val="24"/>
                <w:szCs w:val="24"/>
                <w:highlight w:val="none"/>
              </w:rPr>
              <w:t>）单位负责人为同一人或者存在直接控股、管理关系的不同</w:t>
            </w:r>
            <w:r>
              <w:rPr>
                <w:rFonts w:hint="eastAsia" w:asciiTheme="minorEastAsia" w:hAnsiTheme="minorEastAsia" w:eastAsiaTheme="minorEastAsia" w:cstheme="minorEastAsia"/>
                <w:color w:val="auto"/>
                <w:sz w:val="24"/>
                <w:szCs w:val="24"/>
                <w:highlight w:val="none"/>
                <w:lang w:val="en-US" w:eastAsia="zh-CN"/>
              </w:rPr>
              <w:t>投标人</w:t>
            </w:r>
            <w:r>
              <w:rPr>
                <w:rFonts w:hint="eastAsia" w:asciiTheme="minorEastAsia" w:hAnsiTheme="minorEastAsia" w:eastAsiaTheme="minorEastAsia" w:cstheme="minorEastAsia"/>
                <w:color w:val="auto"/>
                <w:sz w:val="24"/>
                <w:szCs w:val="24"/>
                <w:highlight w:val="none"/>
              </w:rPr>
              <w:t>，不得参</w:t>
            </w:r>
            <w:r>
              <w:rPr>
                <w:rFonts w:hint="eastAsia" w:asciiTheme="minorEastAsia" w:hAnsiTheme="minorEastAsia" w:eastAsiaTheme="minorEastAsia" w:cstheme="minorEastAsia"/>
                <w:color w:val="auto"/>
                <w:sz w:val="24"/>
                <w:szCs w:val="24"/>
                <w:highlight w:val="none"/>
                <w:lang w:val="en-US" w:eastAsia="zh-CN"/>
              </w:rPr>
              <w:t>加同一合同项下的政府采购活动。除单一来源采购项目外，为采购项目提供整体设计、规范编制或者项目管理、监理、检测等服务的投标人，不得再参加该采购项目的其他采购活动。</w:t>
            </w:r>
          </w:p>
        </w:tc>
      </w:tr>
      <w:tr w14:paraId="3CBCAE20">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756" w:hRule="atLeast"/>
          <w:jc w:val="center"/>
        </w:trPr>
        <w:tc>
          <w:tcPr>
            <w:tcW w:w="811" w:type="dxa"/>
            <w:tcBorders>
              <w:top w:val="single" w:color="auto" w:sz="8" w:space="0"/>
              <w:bottom w:val="single" w:color="auto" w:sz="8" w:space="0"/>
              <w:right w:val="single" w:color="auto" w:sz="8" w:space="0"/>
            </w:tcBorders>
            <w:noWrap w:val="0"/>
            <w:vAlign w:val="center"/>
          </w:tcPr>
          <w:p w14:paraId="1F40EDAE">
            <w:pPr>
              <w:pStyle w:val="35"/>
              <w:keepNext w:val="0"/>
              <w:keepLines w:val="0"/>
              <w:pageBreakBefore w:val="0"/>
              <w:widowControl w:val="0"/>
              <w:kinsoku/>
              <w:wordWrap/>
              <w:overflowPunct/>
              <w:topLinePunct w:val="0"/>
              <w:autoSpaceDE w:val="0"/>
              <w:autoSpaceDN w:val="0"/>
              <w:bidi w:val="0"/>
              <w:adjustRightInd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47</w:t>
            </w:r>
          </w:p>
        </w:tc>
        <w:tc>
          <w:tcPr>
            <w:tcW w:w="2160" w:type="dxa"/>
            <w:tcBorders>
              <w:top w:val="single" w:color="auto" w:sz="8" w:space="0"/>
              <w:left w:val="single" w:color="auto" w:sz="8" w:space="0"/>
              <w:bottom w:val="single" w:color="auto" w:sz="8" w:space="0"/>
              <w:right w:val="single" w:color="auto" w:sz="8" w:space="0"/>
            </w:tcBorders>
            <w:noWrap w:val="0"/>
            <w:vAlign w:val="center"/>
          </w:tcPr>
          <w:p w14:paraId="0F5FE8F1">
            <w:pPr>
              <w:pStyle w:val="35"/>
              <w:keepNext w:val="0"/>
              <w:keepLines w:val="0"/>
              <w:pageBreakBefore w:val="0"/>
              <w:widowControl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所属行业</w:t>
            </w:r>
          </w:p>
        </w:tc>
        <w:tc>
          <w:tcPr>
            <w:tcW w:w="6530" w:type="dxa"/>
            <w:tcBorders>
              <w:top w:val="single" w:color="auto" w:sz="8" w:space="0"/>
              <w:left w:val="single" w:color="auto" w:sz="8" w:space="0"/>
              <w:bottom w:val="single" w:color="auto" w:sz="8" w:space="0"/>
            </w:tcBorders>
            <w:noWrap w:val="0"/>
            <w:vAlign w:val="center"/>
          </w:tcPr>
          <w:p w14:paraId="5E7C2406">
            <w:pPr>
              <w:keepNext w:val="0"/>
              <w:keepLines w:val="0"/>
              <w:pageBreakBefore w:val="0"/>
              <w:widowControl w:val="0"/>
              <w:kinsoku/>
              <w:wordWrap/>
              <w:overflowPunct/>
              <w:topLinePunct w:val="0"/>
              <w:bidi w:val="0"/>
              <w:adjustRightInd/>
              <w:snapToGrid/>
              <w:spacing w:line="360" w:lineRule="exact"/>
              <w:ind w:right="0" w:rightChars="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采购标的对应的中小企业划分标准所属行业为</w:t>
            </w:r>
            <w:r>
              <w:rPr>
                <w:rFonts w:hint="eastAsia" w:asciiTheme="minorEastAsia" w:hAnsiTheme="minorEastAsia" w:eastAsiaTheme="minorEastAsia" w:cstheme="minorEastAsia"/>
                <w:color w:val="auto"/>
                <w:sz w:val="24"/>
                <w:szCs w:val="24"/>
                <w:highlight w:val="none"/>
                <w:u w:val="single"/>
              </w:rPr>
              <w:t>工业</w:t>
            </w:r>
            <w:r>
              <w:rPr>
                <w:rFonts w:hint="eastAsia" w:asciiTheme="minorEastAsia" w:hAnsiTheme="minorEastAsia" w:eastAsiaTheme="minorEastAsia" w:cstheme="minorEastAsia"/>
                <w:color w:val="auto"/>
                <w:sz w:val="24"/>
                <w:szCs w:val="24"/>
                <w:highlight w:val="none"/>
              </w:rPr>
              <w:t>。</w:t>
            </w:r>
          </w:p>
          <w:p w14:paraId="5CB64322">
            <w:pPr>
              <w:keepNext w:val="0"/>
              <w:keepLines w:val="0"/>
              <w:pageBreakBefore w:val="0"/>
              <w:widowControl w:val="0"/>
              <w:kinsoku/>
              <w:wordWrap/>
              <w:overflowPunct/>
              <w:topLinePunct w:val="0"/>
              <w:bidi w:val="0"/>
              <w:adjustRightInd/>
              <w:snapToGrid/>
              <w:spacing w:line="360" w:lineRule="exact"/>
              <w:ind w:right="0" w:rightChars="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工业（包括采矿业，制造业，电力、热力、燃气及水生产和供应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tc>
      </w:tr>
      <w:tr w14:paraId="60DD1EEC">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756" w:hRule="atLeast"/>
          <w:jc w:val="center"/>
        </w:trPr>
        <w:tc>
          <w:tcPr>
            <w:tcW w:w="811" w:type="dxa"/>
            <w:tcBorders>
              <w:top w:val="single" w:color="auto" w:sz="8" w:space="0"/>
              <w:bottom w:val="single" w:color="auto" w:sz="8" w:space="0"/>
              <w:right w:val="single" w:color="auto" w:sz="8" w:space="0"/>
            </w:tcBorders>
            <w:noWrap w:val="0"/>
            <w:vAlign w:val="center"/>
          </w:tcPr>
          <w:p w14:paraId="12311A17">
            <w:pPr>
              <w:pStyle w:val="35"/>
              <w:keepNext w:val="0"/>
              <w:keepLines w:val="0"/>
              <w:pageBreakBefore w:val="0"/>
              <w:widowControl w:val="0"/>
              <w:kinsoku/>
              <w:wordWrap/>
              <w:overflowPunct/>
              <w:topLinePunct w:val="0"/>
              <w:autoSpaceDE w:val="0"/>
              <w:autoSpaceDN w:val="0"/>
              <w:bidi w:val="0"/>
              <w:adjustRightInd w:val="0"/>
              <w:snapToGrid/>
              <w:spacing w:line="400" w:lineRule="exact"/>
              <w:ind w:left="0" w:leftChars="0" w:right="0" w:rightChars="0" w:firstLine="0" w:firstLineChars="0"/>
              <w:jc w:val="center"/>
              <w:textAlignment w:val="auto"/>
              <w:rPr>
                <w:rFonts w:hint="default"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48</w:t>
            </w:r>
          </w:p>
        </w:tc>
        <w:tc>
          <w:tcPr>
            <w:tcW w:w="2160" w:type="dxa"/>
            <w:tcBorders>
              <w:top w:val="single" w:color="auto" w:sz="8" w:space="0"/>
              <w:left w:val="single" w:color="auto" w:sz="8" w:space="0"/>
              <w:bottom w:val="single" w:color="auto" w:sz="8" w:space="0"/>
              <w:right w:val="single" w:color="auto" w:sz="8" w:space="0"/>
            </w:tcBorders>
            <w:noWrap w:val="0"/>
            <w:vAlign w:val="center"/>
          </w:tcPr>
          <w:p w14:paraId="66AEB5F3">
            <w:pPr>
              <w:pStyle w:val="35"/>
              <w:keepNext w:val="0"/>
              <w:keepLines w:val="0"/>
              <w:pageBreakBefore w:val="0"/>
              <w:widowControl w:val="0"/>
              <w:kinsoku/>
              <w:wordWrap/>
              <w:overflowPunct/>
              <w:topLinePunct w:val="0"/>
              <w:bidi w:val="0"/>
              <w:snapToGrid/>
              <w:spacing w:line="390" w:lineRule="exact"/>
              <w:ind w:left="0" w:leftChars="0" w:right="0" w:rightChars="0" w:firstLine="0" w:firstLineChars="0"/>
              <w:jc w:val="center"/>
              <w:textAlignment w:val="auto"/>
              <w:rPr>
                <w:rFonts w:hint="eastAsia" w:ascii="宋体" w:hAnsi="宋体" w:eastAsia="宋体" w:cs="宋体"/>
                <w:color w:val="auto"/>
                <w:sz w:val="21"/>
                <w:szCs w:val="21"/>
                <w:highlight w:val="none"/>
                <w:lang w:val="en-US" w:eastAsia="zh-CN" w:bidi="ar-SA"/>
              </w:rPr>
            </w:pPr>
            <w:r>
              <w:rPr>
                <w:rFonts w:hint="eastAsia" w:asciiTheme="minorEastAsia" w:hAnsiTheme="minorEastAsia" w:eastAsiaTheme="minorEastAsia" w:cstheme="minorEastAsia"/>
                <w:color w:val="auto"/>
                <w:sz w:val="24"/>
                <w:szCs w:val="24"/>
                <w:highlight w:val="none"/>
                <w:lang w:val="en-US" w:eastAsia="zh-CN"/>
              </w:rPr>
              <w:t>核心产品</w:t>
            </w:r>
          </w:p>
        </w:tc>
        <w:tc>
          <w:tcPr>
            <w:tcW w:w="6530" w:type="dxa"/>
            <w:tcBorders>
              <w:top w:val="single" w:color="auto" w:sz="8" w:space="0"/>
              <w:left w:val="single" w:color="auto" w:sz="8" w:space="0"/>
              <w:bottom w:val="single" w:color="auto" w:sz="8" w:space="0"/>
            </w:tcBorders>
            <w:noWrap w:val="0"/>
            <w:vAlign w:val="center"/>
          </w:tcPr>
          <w:p w14:paraId="2915BB3B">
            <w:pPr>
              <w:keepNext w:val="0"/>
              <w:keepLines w:val="0"/>
              <w:pageBreakBefore w:val="0"/>
              <w:widowControl w:val="0"/>
              <w:kinsoku/>
              <w:wordWrap/>
              <w:overflowPunct/>
              <w:topLinePunct w:val="0"/>
              <w:bidi w:val="0"/>
              <w:adjustRightInd/>
              <w:snapToGrid/>
              <w:spacing w:line="360" w:lineRule="exact"/>
              <w:ind w:right="0" w:rightChars="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1、本项目核心产品为</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u w:val="single"/>
                <w:lang w:val="en-US" w:eastAsia="zh-CN"/>
              </w:rPr>
              <w:t xml:space="preserve"> 教师办公桌、礼堂椅、学生四人连体床</w:t>
            </w:r>
            <w:r>
              <w:rPr>
                <w:rFonts w:hint="eastAsia" w:asciiTheme="minorEastAsia" w:hAnsiTheme="minorEastAsia" w:eastAsiaTheme="minorEastAsia" w:cstheme="minorEastAsia"/>
                <w:color w:val="auto"/>
                <w:sz w:val="24"/>
                <w:szCs w:val="24"/>
                <w:highlight w:val="none"/>
              </w:rPr>
              <w:t>；核心产品相同品牌且通过资格审查、符合性审查的不同投标人参加同一合同项下投标的，按一家投标人计算，评审后得分最高的同品牌投标人获得中标人推荐资格；评审得分相同的，按照以下方式确定一个投标人获得中标人推荐资格，其他同品牌投标人不作为中标候选人。</w:t>
            </w:r>
          </w:p>
          <w:p w14:paraId="4B4A431B">
            <w:pPr>
              <w:keepNext w:val="0"/>
              <w:keepLines w:val="0"/>
              <w:pageBreakBefore w:val="0"/>
              <w:widowControl w:val="0"/>
              <w:kinsoku/>
              <w:wordWrap/>
              <w:overflowPunct/>
              <w:topLinePunct w:val="0"/>
              <w:bidi w:val="0"/>
              <w:adjustRightInd/>
              <w:snapToGrid/>
              <w:spacing w:line="360" w:lineRule="exact"/>
              <w:ind w:right="0" w:rightChars="0"/>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rPr>
              <w:t>其他：得分相同的，按投标报价由低到高顺序排列。得分且投标报价相同的，投标文件满足招标文件全部实质性要求且按评审因素的量化指标评审得分最高的投标人为排名第一的中标候选人</w:t>
            </w:r>
            <w:r>
              <w:rPr>
                <w:rFonts w:hint="eastAsia" w:asciiTheme="minorEastAsia" w:hAnsiTheme="minorEastAsia" w:eastAsiaTheme="minorEastAsia" w:cstheme="minorEastAsia"/>
                <w:color w:val="auto"/>
                <w:sz w:val="24"/>
                <w:szCs w:val="24"/>
                <w:highlight w:val="none"/>
                <w:lang w:eastAsia="zh-CN"/>
              </w:rPr>
              <w:t>。</w:t>
            </w:r>
          </w:p>
          <w:p w14:paraId="7EBF43D1">
            <w:pPr>
              <w:keepNext w:val="0"/>
              <w:keepLines w:val="0"/>
              <w:pageBreakBefore w:val="0"/>
              <w:widowControl w:val="0"/>
              <w:kinsoku/>
              <w:wordWrap/>
              <w:overflowPunct/>
              <w:topLinePunct w:val="0"/>
              <w:bidi w:val="0"/>
              <w:adjustRightInd/>
              <w:snapToGrid/>
              <w:spacing w:line="360" w:lineRule="exact"/>
              <w:ind w:right="0" w:rightChars="0"/>
              <w:textAlignment w:val="auto"/>
              <w:rPr>
                <w:rFonts w:hint="eastAsia" w:ascii="宋体" w:hAnsi="宋体" w:eastAsia="宋体" w:cs="宋体"/>
                <w:color w:val="auto"/>
                <w:kern w:val="2"/>
                <w:sz w:val="21"/>
                <w:szCs w:val="21"/>
                <w:highlight w:val="none"/>
                <w:lang w:val="en-US" w:eastAsia="zh-CN" w:bidi="ar-SA"/>
              </w:rPr>
            </w:pPr>
            <w:r>
              <w:rPr>
                <w:rFonts w:hint="eastAsia" w:asciiTheme="minorEastAsia" w:hAnsiTheme="minorEastAsia" w:eastAsiaTheme="minorEastAsia" w:cstheme="minorEastAsia"/>
                <w:color w:val="auto"/>
                <w:sz w:val="24"/>
                <w:szCs w:val="24"/>
                <w:highlight w:val="none"/>
                <w:lang w:val="en-US" w:eastAsia="zh-CN"/>
              </w:rPr>
              <w:t>2、</w:t>
            </w:r>
            <w:r>
              <w:rPr>
                <w:rFonts w:hint="eastAsia" w:asciiTheme="minorEastAsia" w:hAnsiTheme="minorEastAsia" w:eastAsiaTheme="minorEastAsia" w:cstheme="minorEastAsia"/>
                <w:color w:val="auto"/>
                <w:sz w:val="24"/>
                <w:szCs w:val="24"/>
                <w:highlight w:val="none"/>
              </w:rPr>
              <w:t>产品中标后安装验收过程中如果发现有不满足招标要求的、篡改参数，投标产品与交货产品不一致的，用户可以拒绝付款，并列入黑名单。</w:t>
            </w:r>
          </w:p>
        </w:tc>
      </w:tr>
      <w:tr w14:paraId="6D97380C">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90" w:hRule="atLeast"/>
          <w:jc w:val="center"/>
        </w:trPr>
        <w:tc>
          <w:tcPr>
            <w:tcW w:w="811" w:type="dxa"/>
            <w:tcBorders>
              <w:top w:val="single" w:color="auto" w:sz="8" w:space="0"/>
              <w:right w:val="single" w:color="auto" w:sz="8" w:space="0"/>
            </w:tcBorders>
            <w:noWrap w:val="0"/>
            <w:vAlign w:val="center"/>
          </w:tcPr>
          <w:p w14:paraId="7A9351A7">
            <w:pPr>
              <w:pStyle w:val="35"/>
              <w:keepNext w:val="0"/>
              <w:keepLines w:val="0"/>
              <w:pageBreakBefore w:val="0"/>
              <w:widowControl w:val="0"/>
              <w:kinsoku/>
              <w:wordWrap/>
              <w:overflowPunct/>
              <w:topLinePunct w:val="0"/>
              <w:autoSpaceDE w:val="0"/>
              <w:autoSpaceDN w:val="0"/>
              <w:bidi w:val="0"/>
              <w:adjustRightInd w:val="0"/>
              <w:snapToGrid/>
              <w:spacing w:line="400" w:lineRule="exact"/>
              <w:ind w:left="0" w:leftChars="0" w:right="0" w:rightChars="0" w:firstLine="0" w:firstLineChars="0"/>
              <w:jc w:val="center"/>
              <w:textAlignment w:val="auto"/>
              <w:rPr>
                <w:rFonts w:hint="default"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49</w:t>
            </w:r>
          </w:p>
        </w:tc>
        <w:tc>
          <w:tcPr>
            <w:tcW w:w="2160" w:type="dxa"/>
            <w:tcBorders>
              <w:top w:val="single" w:color="auto" w:sz="8" w:space="0"/>
              <w:left w:val="single" w:color="auto" w:sz="8" w:space="0"/>
              <w:right w:val="single" w:color="auto" w:sz="8" w:space="0"/>
            </w:tcBorders>
            <w:noWrap w:val="0"/>
            <w:vAlign w:val="center"/>
          </w:tcPr>
          <w:p w14:paraId="66EC30F6">
            <w:pPr>
              <w:pStyle w:val="35"/>
              <w:keepNext w:val="0"/>
              <w:keepLines w:val="0"/>
              <w:pageBreakBefore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其他</w:t>
            </w:r>
          </w:p>
        </w:tc>
        <w:tc>
          <w:tcPr>
            <w:tcW w:w="6530" w:type="dxa"/>
            <w:tcBorders>
              <w:top w:val="single" w:color="auto" w:sz="8" w:space="0"/>
              <w:left w:val="single" w:color="auto" w:sz="8" w:space="0"/>
            </w:tcBorders>
            <w:noWrap w:val="0"/>
            <w:vAlign w:val="center"/>
          </w:tcPr>
          <w:p w14:paraId="1B9D53F4">
            <w:pPr>
              <w:keepNext w:val="0"/>
              <w:keepLines w:val="0"/>
              <w:pageBreakBefore w:val="0"/>
              <w:widowControl w:val="0"/>
              <w:kinsoku/>
              <w:wordWrap/>
              <w:overflowPunct/>
              <w:topLinePunct w:val="0"/>
              <w:bidi w:val="0"/>
              <w:adjustRightInd/>
              <w:snapToGrid/>
              <w:spacing w:line="360" w:lineRule="exact"/>
              <w:ind w:right="0" w:rightChars="0"/>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1）低于成本价不正当竞争预防措施：在评审过程中，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供应商提交相关证明材料后，评标委员会应当结合采购项目采购需求、专业实际情况与其他供应商比较情况等就供应商提交相关证明材料进行审查评价。供应商拒绝或者变相拒绝提供有效相关证明材料或者相关证明材料不能证明其报价合理性的，评标委员会将投标文件作为无效处理。</w:t>
            </w:r>
          </w:p>
          <w:p w14:paraId="732865B0">
            <w:pPr>
              <w:keepNext w:val="0"/>
              <w:keepLines w:val="0"/>
              <w:pageBreakBefore w:val="0"/>
              <w:widowControl w:val="0"/>
              <w:kinsoku/>
              <w:wordWrap/>
              <w:overflowPunct/>
              <w:topLinePunct w:val="0"/>
              <w:bidi w:val="0"/>
              <w:adjustRightInd/>
              <w:snapToGrid/>
              <w:spacing w:line="360" w:lineRule="exact"/>
              <w:ind w:right="0" w:rightChars="0"/>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（2）投标文件制作工具，请在新疆政府采购网政采云平台首页--下载专区--电子招投标客户端下载中进行下载。</w:t>
            </w:r>
          </w:p>
          <w:p w14:paraId="4798FD3A">
            <w:pPr>
              <w:keepNext w:val="0"/>
              <w:keepLines w:val="0"/>
              <w:pageBreakBefore w:val="0"/>
              <w:widowControl w:val="0"/>
              <w:kinsoku/>
              <w:wordWrap/>
              <w:overflowPunct/>
              <w:topLinePunct w:val="0"/>
              <w:bidi w:val="0"/>
              <w:adjustRightInd/>
              <w:snapToGrid/>
              <w:spacing w:line="360" w:lineRule="exact"/>
              <w:ind w:right="0" w:rightChars="0"/>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（3）“电子投标文件”指利用新疆政府采购网政采云平台提供的“电子投标文件制作工具”编制加密的投标文件。</w:t>
            </w:r>
          </w:p>
          <w:p w14:paraId="5FD92BEF">
            <w:pPr>
              <w:keepNext w:val="0"/>
              <w:keepLines w:val="0"/>
              <w:pageBreakBefore w:val="0"/>
              <w:widowControl w:val="0"/>
              <w:kinsoku/>
              <w:wordWrap/>
              <w:overflowPunct/>
              <w:topLinePunct w:val="0"/>
              <w:bidi w:val="0"/>
              <w:adjustRightInd/>
              <w:snapToGrid/>
              <w:spacing w:line="360" w:lineRule="exact"/>
              <w:ind w:right="0" w:rightChars="0"/>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4）投标人应保证在本项目使用的任何产品和服务（包括部分使用）时，不会产生因第三方提出侵犯其专利权、商标权或其它知识产权而引起的法律和经济纠纷，如因专利权、商标权或其它知识产权而引起法律和经济纠纷，由投标人承担所有相关责任的同时不得耽误本项目供货。</w:t>
            </w:r>
          </w:p>
          <w:p w14:paraId="74EBFDD9">
            <w:pPr>
              <w:keepNext w:val="0"/>
              <w:keepLines w:val="0"/>
              <w:pageBreakBefore w:val="0"/>
              <w:widowControl w:val="0"/>
              <w:kinsoku/>
              <w:wordWrap/>
              <w:overflowPunct/>
              <w:topLinePunct w:val="0"/>
              <w:bidi w:val="0"/>
              <w:adjustRightInd/>
              <w:snapToGrid/>
              <w:spacing w:line="360" w:lineRule="exact"/>
              <w:ind w:right="0" w:rightChars="0"/>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5）文件解释权：本招标文件的解释权归伊宁县政府采购中心所有，当对一个问题有多种解释时以采购代理机构解释为准。采购文件未作须知明示，而又有法律法规规定的，采购代理机构将依据法律法规的规定进行解释。</w:t>
            </w:r>
          </w:p>
          <w:p w14:paraId="145FE74E">
            <w:pPr>
              <w:keepNext w:val="0"/>
              <w:keepLines w:val="0"/>
              <w:pageBreakBefore w:val="0"/>
              <w:widowControl w:val="0"/>
              <w:kinsoku/>
              <w:wordWrap/>
              <w:overflowPunct/>
              <w:topLinePunct w:val="0"/>
              <w:bidi w:val="0"/>
              <w:adjustRightInd/>
              <w:snapToGrid/>
              <w:spacing w:line="360" w:lineRule="exact"/>
              <w:ind w:right="0" w:rightChars="0"/>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（6）录音录像：采购代理机构对开标、投标人资格审查和评标过程进行全程录音录像，并存档备查。</w:t>
            </w:r>
          </w:p>
          <w:p w14:paraId="244631CD">
            <w:pPr>
              <w:keepNext w:val="0"/>
              <w:keepLines w:val="0"/>
              <w:pageBreakBefore w:val="0"/>
              <w:widowControl w:val="0"/>
              <w:kinsoku/>
              <w:wordWrap/>
              <w:overflowPunct/>
              <w:topLinePunct w:val="0"/>
              <w:bidi w:val="0"/>
              <w:adjustRightInd/>
              <w:snapToGrid/>
              <w:spacing w:line="360" w:lineRule="exact"/>
              <w:ind w:right="0" w:rightChars="0"/>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（7）合格投标人不足3家的，不得评标，不合格的投标人，不得进入评标环节。</w:t>
            </w:r>
          </w:p>
          <w:p w14:paraId="1AD8FD6C">
            <w:pPr>
              <w:keepNext w:val="0"/>
              <w:keepLines w:val="0"/>
              <w:pageBreakBefore w:val="0"/>
              <w:widowControl w:val="0"/>
              <w:kinsoku/>
              <w:wordWrap/>
              <w:overflowPunct/>
              <w:topLinePunct w:val="0"/>
              <w:bidi w:val="0"/>
              <w:adjustRightInd/>
              <w:snapToGrid/>
              <w:spacing w:line="360" w:lineRule="exact"/>
              <w:ind w:right="0" w:rightChars="0"/>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（8）所有投标单位对招标文件中所有条款如有疑问或异议请在收到招标文件时间7个工作日内以书面形式（加盖公章）递交至伊宁县政府采购中心，否则不予受理。</w:t>
            </w:r>
          </w:p>
          <w:p w14:paraId="70C4CE27">
            <w:pPr>
              <w:keepNext w:val="0"/>
              <w:keepLines w:val="0"/>
              <w:pageBreakBefore w:val="0"/>
              <w:widowControl w:val="0"/>
              <w:kinsoku/>
              <w:wordWrap/>
              <w:overflowPunct/>
              <w:topLinePunct w:val="0"/>
              <w:bidi w:val="0"/>
              <w:adjustRightInd/>
              <w:snapToGrid/>
              <w:spacing w:line="360" w:lineRule="exact"/>
              <w:ind w:right="0" w:rightChars="0"/>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（9）请各投标单位认真阅读并充分响应招标文件要求，以免造成投标失败。</w:t>
            </w:r>
          </w:p>
          <w:p w14:paraId="071690EE">
            <w:pPr>
              <w:keepNext w:val="0"/>
              <w:keepLines w:val="0"/>
              <w:pageBreakBefore w:val="0"/>
              <w:widowControl w:val="0"/>
              <w:kinsoku/>
              <w:wordWrap/>
              <w:overflowPunct/>
              <w:topLinePunct w:val="0"/>
              <w:bidi w:val="0"/>
              <w:adjustRightInd/>
              <w:snapToGrid/>
              <w:spacing w:line="360" w:lineRule="exact"/>
              <w:ind w:right="0" w:rightChars="0"/>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（10）为保证本项目产品质量及良好的服务，最低报价不作为中标的唯一依据。</w:t>
            </w:r>
          </w:p>
          <w:p w14:paraId="0E676B7B">
            <w:pPr>
              <w:keepNext w:val="0"/>
              <w:keepLines w:val="0"/>
              <w:pageBreakBefore w:val="0"/>
              <w:widowControl w:val="0"/>
              <w:kinsoku/>
              <w:wordWrap/>
              <w:overflowPunct/>
              <w:topLinePunct w:val="0"/>
              <w:bidi w:val="0"/>
              <w:adjustRightInd/>
              <w:snapToGrid/>
              <w:spacing w:line="360" w:lineRule="exact"/>
              <w:ind w:right="0" w:rightChars="0"/>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11）投标文件中有弄虚作假的内容，其投标文件作废。（如假证书、假业绩、隐瞒不良行为记录、夸大荣誉、使用非本单位在职员工的相关证件及不符合招标文件规定的条款等）；在签订合同之前，采购人如发现投标人的投标文件有弄虚作假内容，招标人可拒绝与其签订合同。并将其列入政府采购黑名单库。</w:t>
            </w:r>
          </w:p>
          <w:p w14:paraId="0B73991E">
            <w:pPr>
              <w:keepNext w:val="0"/>
              <w:keepLines w:val="0"/>
              <w:pageBreakBefore w:val="0"/>
              <w:widowControl w:val="0"/>
              <w:kinsoku/>
              <w:wordWrap/>
              <w:overflowPunct/>
              <w:topLinePunct w:val="0"/>
              <w:bidi w:val="0"/>
              <w:adjustRightInd/>
              <w:snapToGrid/>
              <w:spacing w:line="360" w:lineRule="exact"/>
              <w:ind w:right="0" w:rightChars="0"/>
              <w:textAlignment w:val="auto"/>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val="en-US" w:eastAsia="zh-CN"/>
              </w:rPr>
              <w:t>（12）若招标文件有前后不一致的地方，以投标须知前附表为准。</w:t>
            </w:r>
          </w:p>
        </w:tc>
      </w:tr>
    </w:tbl>
    <w:p w14:paraId="2B98091E">
      <w:pPr>
        <w:pStyle w:val="3"/>
        <w:pageBreakBefore w:val="0"/>
        <w:kinsoku/>
        <w:wordWrap/>
        <w:overflowPunct/>
        <w:topLinePunct w:val="0"/>
        <w:bidi w:val="0"/>
        <w:spacing w:before="0" w:after="120" w:afterLines="50" w:line="480" w:lineRule="exact"/>
        <w:jc w:val="center"/>
        <w:textAlignment w:val="auto"/>
        <w:rPr>
          <w:rFonts w:hint="eastAsia" w:asciiTheme="minorEastAsia" w:hAnsiTheme="minorEastAsia" w:eastAsiaTheme="minorEastAsia" w:cstheme="minorEastAsia"/>
          <w:bCs/>
          <w:color w:val="auto"/>
          <w:sz w:val="36"/>
          <w:szCs w:val="36"/>
          <w:highlight w:val="none"/>
        </w:rPr>
      </w:pPr>
      <w:r>
        <w:rPr>
          <w:color w:val="auto"/>
          <w:highlight w:val="none"/>
        </w:rPr>
        <w:br w:type="page"/>
      </w:r>
      <w:bookmarkEnd w:id="12"/>
      <w:bookmarkEnd w:id="13"/>
      <w:bookmarkEnd w:id="14"/>
      <w:bookmarkEnd w:id="15"/>
      <w:bookmarkStart w:id="63" w:name="_Toc12116"/>
      <w:bookmarkStart w:id="64" w:name="_Toc89075873"/>
      <w:bookmarkStart w:id="65" w:name="_Toc183682341"/>
      <w:bookmarkStart w:id="66" w:name="_Toc77400778"/>
      <w:bookmarkStart w:id="67" w:name="_Toc183582204"/>
      <w:bookmarkStart w:id="68" w:name="_Toc217446033"/>
      <w:r>
        <w:rPr>
          <w:rFonts w:hint="eastAsia" w:asciiTheme="minorEastAsia" w:hAnsiTheme="minorEastAsia" w:eastAsiaTheme="minorEastAsia" w:cstheme="minorEastAsia"/>
          <w:bCs/>
          <w:color w:val="auto"/>
          <w:sz w:val="36"/>
          <w:szCs w:val="36"/>
          <w:highlight w:val="none"/>
        </w:rPr>
        <w:t>1.总  则</w:t>
      </w:r>
      <w:bookmarkEnd w:id="63"/>
      <w:bookmarkEnd w:id="64"/>
      <w:bookmarkEnd w:id="65"/>
      <w:bookmarkEnd w:id="66"/>
      <w:bookmarkEnd w:id="67"/>
      <w:bookmarkEnd w:id="68"/>
      <w:bookmarkStart w:id="69" w:name="_Toc183582205"/>
      <w:bookmarkStart w:id="70" w:name="_Toc183682342"/>
      <w:bookmarkStart w:id="71" w:name="_Toc217446034"/>
    </w:p>
    <w:p w14:paraId="49AF1A34">
      <w:pPr>
        <w:pStyle w:val="3"/>
        <w:pageBreakBefore w:val="0"/>
        <w:kinsoku/>
        <w:wordWrap/>
        <w:overflowPunct/>
        <w:topLinePunct w:val="0"/>
        <w:bidi w:val="0"/>
        <w:spacing w:before="0" w:after="0" w:line="480" w:lineRule="exact"/>
        <w:textAlignment w:val="auto"/>
        <w:rPr>
          <w:rFonts w:hint="eastAsia" w:asciiTheme="minorEastAsia" w:hAnsiTheme="minorEastAsia" w:eastAsiaTheme="minorEastAsia" w:cstheme="minorEastAsia"/>
          <w:bCs/>
          <w:color w:val="auto"/>
          <w:sz w:val="30"/>
          <w:szCs w:val="30"/>
          <w:highlight w:val="none"/>
        </w:rPr>
      </w:pPr>
      <w:bookmarkStart w:id="72" w:name="_Toc25043"/>
      <w:r>
        <w:rPr>
          <w:rFonts w:hint="eastAsia" w:asciiTheme="minorEastAsia" w:hAnsiTheme="minorEastAsia" w:eastAsiaTheme="minorEastAsia" w:cstheme="minorEastAsia"/>
          <w:color w:val="auto"/>
          <w:sz w:val="30"/>
          <w:szCs w:val="30"/>
          <w:highlight w:val="none"/>
        </w:rPr>
        <w:t>1.</w:t>
      </w:r>
      <w:bookmarkEnd w:id="69"/>
      <w:bookmarkEnd w:id="70"/>
      <w:r>
        <w:rPr>
          <w:rFonts w:hint="eastAsia" w:asciiTheme="minorEastAsia" w:hAnsiTheme="minorEastAsia" w:eastAsiaTheme="minorEastAsia" w:cstheme="minorEastAsia"/>
          <w:color w:val="auto"/>
          <w:sz w:val="30"/>
          <w:szCs w:val="30"/>
          <w:highlight w:val="none"/>
        </w:rPr>
        <w:t>1适用范围</w:t>
      </w:r>
      <w:bookmarkEnd w:id="71"/>
      <w:bookmarkEnd w:id="72"/>
    </w:p>
    <w:p w14:paraId="3937BB4A">
      <w:pPr>
        <w:pageBreakBefore w:val="0"/>
        <w:tabs>
          <w:tab w:val="left" w:pos="7665"/>
        </w:tabs>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本招标文件仅适用于本次公开招标所叙述的货物（产品）项目采购活动。</w:t>
      </w:r>
      <w:bookmarkStart w:id="73" w:name="_Toc217446035"/>
      <w:bookmarkStart w:id="74" w:name="_Toc183582206"/>
      <w:bookmarkStart w:id="75" w:name="_Toc183682343"/>
    </w:p>
    <w:p w14:paraId="697B5BA1">
      <w:pPr>
        <w:pStyle w:val="3"/>
        <w:pageBreakBefore w:val="0"/>
        <w:kinsoku/>
        <w:wordWrap/>
        <w:overflowPunct/>
        <w:topLinePunct w:val="0"/>
        <w:bidi w:val="0"/>
        <w:spacing w:before="0" w:after="0" w:line="480" w:lineRule="exact"/>
        <w:textAlignment w:val="auto"/>
        <w:rPr>
          <w:rFonts w:hint="eastAsia" w:asciiTheme="minorEastAsia" w:hAnsiTheme="minorEastAsia" w:eastAsiaTheme="minorEastAsia" w:cstheme="minorEastAsia"/>
          <w:color w:val="auto"/>
          <w:sz w:val="30"/>
          <w:szCs w:val="30"/>
          <w:highlight w:val="none"/>
        </w:rPr>
      </w:pPr>
      <w:bookmarkStart w:id="76" w:name="_Toc6321"/>
      <w:r>
        <w:rPr>
          <w:rFonts w:hint="eastAsia" w:asciiTheme="minorEastAsia" w:hAnsiTheme="minorEastAsia" w:eastAsiaTheme="minorEastAsia" w:cstheme="minorEastAsia"/>
          <w:color w:val="auto"/>
          <w:sz w:val="30"/>
          <w:szCs w:val="30"/>
          <w:highlight w:val="none"/>
        </w:rPr>
        <w:t>1.2</w:t>
      </w:r>
      <w:bookmarkEnd w:id="73"/>
      <w:bookmarkEnd w:id="74"/>
      <w:bookmarkEnd w:id="75"/>
      <w:r>
        <w:rPr>
          <w:rFonts w:hint="eastAsia" w:asciiTheme="minorEastAsia" w:hAnsiTheme="minorEastAsia" w:eastAsiaTheme="minorEastAsia" w:cstheme="minorEastAsia"/>
          <w:color w:val="auto"/>
          <w:sz w:val="30"/>
          <w:szCs w:val="30"/>
          <w:highlight w:val="none"/>
        </w:rPr>
        <w:t>名词解释</w:t>
      </w:r>
      <w:bookmarkEnd w:id="76"/>
    </w:p>
    <w:p w14:paraId="1D2F8913">
      <w:pPr>
        <w:pageBreakBefore w:val="0"/>
        <w:kinsoku/>
        <w:wordWrap/>
        <w:overflowPunct/>
        <w:topLinePunct w:val="0"/>
        <w:bidi w:val="0"/>
        <w:adjustRightInd w:val="0"/>
        <w:snapToGrid w:val="0"/>
        <w:spacing w:before="120" w:beforeLines="50" w:line="480" w:lineRule="exact"/>
        <w:ind w:firstLine="420" w:firstLineChars="200"/>
        <w:textAlignment w:val="auto"/>
        <w:rPr>
          <w:rFonts w:hint="eastAsia" w:asciiTheme="minorEastAsia" w:hAnsiTheme="minorEastAsia" w:eastAsiaTheme="minorEastAsia" w:cstheme="minorEastAsia"/>
          <w:b/>
          <w:color w:val="auto"/>
          <w:szCs w:val="21"/>
          <w:highlight w:val="none"/>
        </w:rPr>
      </w:pPr>
      <w:bookmarkStart w:id="77" w:name="_Toc217390843"/>
      <w:bookmarkStart w:id="78" w:name="_Toc217446036"/>
      <w:bookmarkStart w:id="79" w:name="_Toc183582207"/>
      <w:bookmarkStart w:id="80" w:name="_Toc183682344"/>
      <w:r>
        <w:rPr>
          <w:rFonts w:hint="eastAsia" w:asciiTheme="minorEastAsia" w:hAnsiTheme="minorEastAsia" w:eastAsiaTheme="minorEastAsia" w:cstheme="minorEastAsia"/>
          <w:color w:val="auto"/>
          <w:szCs w:val="21"/>
          <w:highlight w:val="none"/>
        </w:rPr>
        <w:t>1.2.1</w:t>
      </w:r>
      <w:r>
        <w:rPr>
          <w:rFonts w:hint="eastAsia" w:asciiTheme="minorEastAsia" w:hAnsiTheme="minorEastAsia" w:eastAsiaTheme="minorEastAsia" w:cstheme="minorEastAsia"/>
          <w:color w:val="auto"/>
          <w:szCs w:val="21"/>
          <w:highlight w:val="none"/>
          <w:lang w:val="en-US" w:eastAsia="zh-CN"/>
        </w:rPr>
        <w:t xml:space="preserve"> </w:t>
      </w:r>
      <w:r>
        <w:rPr>
          <w:rFonts w:hint="eastAsia" w:asciiTheme="minorEastAsia" w:hAnsiTheme="minorEastAsia" w:eastAsiaTheme="minorEastAsia" w:cstheme="minorEastAsia"/>
          <w:b/>
          <w:color w:val="auto"/>
          <w:szCs w:val="21"/>
          <w:highlight w:val="none"/>
        </w:rPr>
        <w:t>采购人</w:t>
      </w:r>
      <w:r>
        <w:rPr>
          <w:rFonts w:hint="eastAsia" w:asciiTheme="minorEastAsia" w:hAnsiTheme="minorEastAsia" w:eastAsiaTheme="minorEastAsia" w:cstheme="minorEastAsia"/>
          <w:color w:val="auto"/>
          <w:szCs w:val="21"/>
          <w:highlight w:val="none"/>
        </w:rPr>
        <w:t>系指依法进行采购的国家机关、事业单位、团体组织。本次采购的采购人名称、地址、电话、联系人见投标人须知前附表。</w:t>
      </w:r>
    </w:p>
    <w:p w14:paraId="0D5D9591">
      <w:pPr>
        <w:pageBreakBefore w:val="0"/>
        <w:kinsoku/>
        <w:wordWrap/>
        <w:overflowPunct/>
        <w:topLinePunct w:val="0"/>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u w:val="single"/>
        </w:rPr>
      </w:pPr>
      <w:r>
        <w:rPr>
          <w:rFonts w:hint="eastAsia" w:asciiTheme="minorEastAsia" w:hAnsiTheme="minorEastAsia" w:eastAsiaTheme="minorEastAsia" w:cstheme="minorEastAsia"/>
          <w:color w:val="auto"/>
          <w:szCs w:val="21"/>
          <w:highlight w:val="none"/>
        </w:rPr>
        <w:t>1.2.2</w:t>
      </w:r>
      <w:r>
        <w:rPr>
          <w:rFonts w:hint="eastAsia" w:asciiTheme="minorEastAsia" w:hAnsiTheme="minorEastAsia" w:eastAsiaTheme="minorEastAsia" w:cstheme="minorEastAsia"/>
          <w:color w:val="auto"/>
          <w:szCs w:val="21"/>
          <w:highlight w:val="none"/>
          <w:lang w:val="en-US" w:eastAsia="zh-CN"/>
        </w:rPr>
        <w:t xml:space="preserve"> </w:t>
      </w:r>
      <w:r>
        <w:rPr>
          <w:rFonts w:hint="eastAsia" w:asciiTheme="minorEastAsia" w:hAnsiTheme="minorEastAsia" w:eastAsiaTheme="minorEastAsia" w:cstheme="minorEastAsia"/>
          <w:b/>
          <w:color w:val="auto"/>
          <w:szCs w:val="21"/>
          <w:highlight w:val="none"/>
        </w:rPr>
        <w:t>监督机构</w:t>
      </w:r>
      <w:r>
        <w:rPr>
          <w:rFonts w:hint="eastAsia" w:asciiTheme="minorEastAsia" w:hAnsiTheme="minorEastAsia" w:eastAsiaTheme="minorEastAsia" w:cstheme="minorEastAsia"/>
          <w:color w:val="auto"/>
          <w:szCs w:val="21"/>
          <w:highlight w:val="none"/>
        </w:rPr>
        <w:t>系指监督管理部门。</w:t>
      </w:r>
    </w:p>
    <w:p w14:paraId="6E5DE3AE">
      <w:pPr>
        <w:pageBreakBefore w:val="0"/>
        <w:kinsoku/>
        <w:wordWrap/>
        <w:overflowPunct/>
        <w:topLinePunct w:val="0"/>
        <w:bidi w:val="0"/>
        <w:adjustRightInd w:val="0"/>
        <w:snapToGrid w:val="0"/>
        <w:spacing w:line="480" w:lineRule="exact"/>
        <w:ind w:firstLine="420" w:firstLineChars="200"/>
        <w:textAlignment w:val="auto"/>
        <w:rPr>
          <w:rFonts w:hint="eastAsia" w:asciiTheme="minorEastAsia" w:hAnsiTheme="minorEastAsia" w:eastAsiaTheme="minorEastAsia" w:cstheme="minorEastAsia"/>
          <w:b/>
          <w:color w:val="auto"/>
          <w:szCs w:val="21"/>
          <w:highlight w:val="none"/>
        </w:rPr>
      </w:pPr>
      <w:r>
        <w:rPr>
          <w:rFonts w:hint="eastAsia" w:asciiTheme="minorEastAsia" w:hAnsiTheme="minorEastAsia" w:eastAsiaTheme="minorEastAsia" w:cstheme="minorEastAsia"/>
          <w:color w:val="auto"/>
          <w:szCs w:val="21"/>
          <w:highlight w:val="none"/>
        </w:rPr>
        <w:t>1.2.3</w:t>
      </w:r>
      <w:r>
        <w:rPr>
          <w:rFonts w:hint="eastAsia" w:asciiTheme="minorEastAsia" w:hAnsiTheme="minorEastAsia" w:eastAsiaTheme="minorEastAsia" w:cstheme="minorEastAsia"/>
          <w:color w:val="auto"/>
          <w:szCs w:val="21"/>
          <w:highlight w:val="none"/>
          <w:lang w:val="en-US" w:eastAsia="zh-CN"/>
        </w:rPr>
        <w:t xml:space="preserve"> </w:t>
      </w:r>
      <w:r>
        <w:rPr>
          <w:rFonts w:hint="eastAsia" w:asciiTheme="minorEastAsia" w:hAnsiTheme="minorEastAsia" w:eastAsiaTheme="minorEastAsia" w:cstheme="minorEastAsia"/>
          <w:b/>
          <w:color w:val="auto"/>
          <w:szCs w:val="21"/>
          <w:highlight w:val="none"/>
        </w:rPr>
        <w:t>采购代理机构</w:t>
      </w:r>
      <w:r>
        <w:rPr>
          <w:rFonts w:hint="eastAsia" w:asciiTheme="minorEastAsia" w:hAnsiTheme="minorEastAsia" w:eastAsiaTheme="minorEastAsia" w:cstheme="minorEastAsia"/>
          <w:color w:val="auto"/>
          <w:szCs w:val="21"/>
          <w:highlight w:val="none"/>
        </w:rPr>
        <w:t>系指接受采购人委托，代理采购项目的依法经</w:t>
      </w:r>
      <w:r>
        <w:rPr>
          <w:rFonts w:hint="eastAsia" w:asciiTheme="minorEastAsia" w:hAnsiTheme="minorEastAsia" w:eastAsiaTheme="minorEastAsia" w:cstheme="minorEastAsia"/>
          <w:color w:val="auto"/>
          <w:szCs w:val="21"/>
          <w:highlight w:val="none"/>
          <w:lang w:val="en-US" w:eastAsia="zh-CN"/>
        </w:rPr>
        <w:t>有关</w:t>
      </w:r>
      <w:r>
        <w:rPr>
          <w:rFonts w:hint="eastAsia" w:asciiTheme="minorEastAsia" w:hAnsiTheme="minorEastAsia" w:eastAsiaTheme="minorEastAsia" w:cstheme="minorEastAsia"/>
          <w:color w:val="auto"/>
          <w:szCs w:val="21"/>
          <w:highlight w:val="none"/>
        </w:rPr>
        <w:t>部门认定资格的采购代理机构。本次采购的采购代理机构名称、地址、电话、联系人见投标人须知前附表。</w:t>
      </w:r>
    </w:p>
    <w:p w14:paraId="09599845">
      <w:pPr>
        <w:pageBreakBefore w:val="0"/>
        <w:tabs>
          <w:tab w:val="left" w:pos="7665"/>
        </w:tabs>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1.2.4 </w:t>
      </w:r>
      <w:r>
        <w:rPr>
          <w:rFonts w:hint="eastAsia" w:asciiTheme="minorEastAsia" w:hAnsiTheme="minorEastAsia" w:eastAsiaTheme="minorEastAsia" w:cstheme="minorEastAsia"/>
          <w:b/>
          <w:color w:val="auto"/>
          <w:szCs w:val="21"/>
          <w:highlight w:val="none"/>
        </w:rPr>
        <w:t>投标人</w:t>
      </w:r>
      <w:r>
        <w:rPr>
          <w:rFonts w:hint="eastAsia" w:asciiTheme="minorEastAsia" w:hAnsiTheme="minorEastAsia" w:eastAsiaTheme="minorEastAsia" w:cstheme="minorEastAsia"/>
          <w:color w:val="auto"/>
          <w:szCs w:val="21"/>
          <w:highlight w:val="none"/>
        </w:rPr>
        <w:t>是指响应招标，参加投标竞争的法人或其他组织或个人。</w:t>
      </w:r>
    </w:p>
    <w:p w14:paraId="47F4E0CB">
      <w:pPr>
        <w:pageBreakBefore w:val="0"/>
        <w:kinsoku/>
        <w:wordWrap/>
        <w:overflowPunct/>
        <w:topLinePunct w:val="0"/>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1.2.5 </w:t>
      </w:r>
      <w:r>
        <w:rPr>
          <w:rFonts w:hint="eastAsia" w:asciiTheme="minorEastAsia" w:hAnsiTheme="minorEastAsia" w:eastAsiaTheme="minorEastAsia" w:cstheme="minorEastAsia"/>
          <w:b/>
          <w:color w:val="auto"/>
          <w:szCs w:val="21"/>
          <w:highlight w:val="none"/>
        </w:rPr>
        <w:t>货物</w:t>
      </w:r>
      <w:r>
        <w:rPr>
          <w:rFonts w:hint="eastAsia" w:asciiTheme="minorEastAsia" w:hAnsiTheme="minorEastAsia" w:eastAsiaTheme="minorEastAsia" w:cstheme="minorEastAsia"/>
          <w:color w:val="auto"/>
          <w:szCs w:val="21"/>
          <w:highlight w:val="none"/>
        </w:rPr>
        <w:t>是指本招标文件中第四章所述所有货物。</w:t>
      </w:r>
    </w:p>
    <w:p w14:paraId="49E9E37A">
      <w:pPr>
        <w:pageBreakBefore w:val="0"/>
        <w:kinsoku/>
        <w:wordWrap/>
        <w:overflowPunct/>
        <w:topLinePunct w:val="0"/>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1.2.6 </w:t>
      </w:r>
      <w:r>
        <w:rPr>
          <w:rFonts w:hint="eastAsia" w:asciiTheme="minorEastAsia" w:hAnsiTheme="minorEastAsia" w:eastAsiaTheme="minorEastAsia" w:cstheme="minorEastAsia"/>
          <w:b/>
          <w:color w:val="auto"/>
          <w:szCs w:val="21"/>
          <w:highlight w:val="none"/>
        </w:rPr>
        <w:t>服务</w:t>
      </w:r>
      <w:r>
        <w:rPr>
          <w:rFonts w:hint="eastAsia" w:asciiTheme="minorEastAsia" w:hAnsiTheme="minorEastAsia" w:eastAsiaTheme="minorEastAsia" w:cstheme="minorEastAsia"/>
          <w:color w:val="auto"/>
          <w:szCs w:val="21"/>
          <w:highlight w:val="none"/>
        </w:rPr>
        <w:t>是指人为满足招标文件要求而提供的服务。</w:t>
      </w:r>
    </w:p>
    <w:p w14:paraId="78307D06">
      <w:pPr>
        <w:pageBreakBefore w:val="0"/>
        <w:kinsoku/>
        <w:wordWrap/>
        <w:overflowPunct/>
        <w:topLinePunct w:val="0"/>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1.2.7 </w:t>
      </w:r>
      <w:r>
        <w:rPr>
          <w:rFonts w:hint="eastAsia" w:asciiTheme="minorEastAsia" w:hAnsiTheme="minorEastAsia" w:eastAsiaTheme="minorEastAsia" w:cstheme="minorEastAsia"/>
          <w:b/>
          <w:color w:val="auto"/>
          <w:szCs w:val="21"/>
          <w:highlight w:val="none"/>
        </w:rPr>
        <w:t>节能产品</w:t>
      </w:r>
      <w:r>
        <w:rPr>
          <w:rFonts w:hint="eastAsia" w:asciiTheme="minorEastAsia" w:hAnsiTheme="minorEastAsia" w:eastAsiaTheme="minorEastAsia" w:cstheme="minorEastAsia"/>
          <w:color w:val="auto"/>
          <w:szCs w:val="21"/>
          <w:highlight w:val="none"/>
        </w:rPr>
        <w:t>指财政部、发展改革委、生态环境部等部门发布的《节能产品品目清单》中的产品。</w:t>
      </w:r>
    </w:p>
    <w:p w14:paraId="2C07FF20">
      <w:pPr>
        <w:pageBreakBefore w:val="0"/>
        <w:kinsoku/>
        <w:wordWrap/>
        <w:overflowPunct/>
        <w:topLinePunct w:val="0"/>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1.2.8 </w:t>
      </w:r>
      <w:r>
        <w:rPr>
          <w:rFonts w:hint="eastAsia" w:asciiTheme="minorEastAsia" w:hAnsiTheme="minorEastAsia" w:eastAsiaTheme="minorEastAsia" w:cstheme="minorEastAsia"/>
          <w:b/>
          <w:color w:val="auto"/>
          <w:szCs w:val="21"/>
          <w:highlight w:val="none"/>
        </w:rPr>
        <w:t>环境标志产品</w:t>
      </w:r>
      <w:r>
        <w:rPr>
          <w:rFonts w:hint="eastAsia" w:asciiTheme="minorEastAsia" w:hAnsiTheme="minorEastAsia" w:eastAsiaTheme="minorEastAsia" w:cstheme="minorEastAsia"/>
          <w:color w:val="auto"/>
          <w:szCs w:val="21"/>
          <w:highlight w:val="none"/>
        </w:rPr>
        <w:t>是指财政部、发展改革委、生态环境部等部门发布的《环境标志产品品目清单》中的产品。</w:t>
      </w:r>
    </w:p>
    <w:p w14:paraId="7E284B5C">
      <w:pPr>
        <w:pageBreakBefore w:val="0"/>
        <w:kinsoku/>
        <w:wordWrap/>
        <w:overflowPunct/>
        <w:topLinePunct w:val="0"/>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 xml:space="preserve">1.2.9 </w:t>
      </w:r>
      <w:r>
        <w:rPr>
          <w:rFonts w:hint="eastAsia" w:asciiTheme="minorEastAsia" w:hAnsiTheme="minorEastAsia" w:eastAsiaTheme="minorEastAsia" w:cstheme="minorEastAsia"/>
          <w:b/>
          <w:color w:val="auto"/>
          <w:kern w:val="0"/>
          <w:szCs w:val="21"/>
          <w:highlight w:val="none"/>
        </w:rPr>
        <w:t>进口产品</w:t>
      </w:r>
      <w:r>
        <w:rPr>
          <w:rFonts w:hint="eastAsia" w:asciiTheme="minorEastAsia" w:hAnsiTheme="minorEastAsia" w:eastAsiaTheme="minorEastAsia" w:cstheme="minorEastAsia"/>
          <w:color w:val="auto"/>
          <w:kern w:val="0"/>
          <w:szCs w:val="21"/>
          <w:highlight w:val="none"/>
        </w:rPr>
        <w:t>是指通过中国海关报关验放进入中国境内且产自关境外的产品，详见《关于政府采购进口产品管理有关问题的通知》(财库[2007]119号)。</w:t>
      </w:r>
    </w:p>
    <w:p w14:paraId="05554F09">
      <w:pPr>
        <w:pageBreakBefore w:val="0"/>
        <w:kinsoku/>
        <w:wordWrap/>
        <w:overflowPunct/>
        <w:topLinePunct w:val="0"/>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kern w:val="0"/>
          <w:szCs w:val="21"/>
          <w:highlight w:val="none"/>
        </w:rPr>
        <w:t>1.2.10</w:t>
      </w:r>
      <w:r>
        <w:rPr>
          <w:rFonts w:hint="eastAsia" w:asciiTheme="minorEastAsia" w:hAnsiTheme="minorEastAsia" w:eastAsiaTheme="minorEastAsia" w:cstheme="minorEastAsia"/>
          <w:color w:val="auto"/>
          <w:kern w:val="0"/>
          <w:szCs w:val="21"/>
          <w:highlight w:val="none"/>
          <w:lang w:val="en-US" w:eastAsia="zh-CN"/>
        </w:rPr>
        <w:t xml:space="preserve"> </w:t>
      </w:r>
      <w:r>
        <w:rPr>
          <w:rFonts w:hint="eastAsia" w:asciiTheme="minorEastAsia" w:hAnsiTheme="minorEastAsia" w:eastAsiaTheme="minorEastAsia" w:cstheme="minorEastAsia"/>
          <w:b/>
          <w:color w:val="auto"/>
          <w:szCs w:val="21"/>
          <w:highlight w:val="none"/>
        </w:rPr>
        <w:t>中小企业</w:t>
      </w:r>
      <w:r>
        <w:rPr>
          <w:rFonts w:hint="eastAsia" w:asciiTheme="minorEastAsia" w:hAnsiTheme="minorEastAsia" w:eastAsiaTheme="minorEastAsia" w:cstheme="minorEastAsia"/>
          <w:color w:val="auto"/>
          <w:szCs w:val="21"/>
          <w:highlight w:val="none"/>
        </w:rPr>
        <w:t>是指符合《工业和信息化部、国家统计局、国家发展和改革委员会、财政部关于印发中小企业划型标准规定的通知》（工信部联企业[2011]300号）规定的对中小企业的划分标准的企业。</w:t>
      </w:r>
    </w:p>
    <w:p w14:paraId="7930B579">
      <w:pPr>
        <w:pageBreakBefore w:val="0"/>
        <w:kinsoku/>
        <w:wordWrap/>
        <w:overflowPunct/>
        <w:topLinePunct w:val="0"/>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1.2.11 </w:t>
      </w:r>
      <w:r>
        <w:rPr>
          <w:rFonts w:hint="eastAsia" w:asciiTheme="minorEastAsia" w:hAnsiTheme="minorEastAsia" w:eastAsiaTheme="minorEastAsia" w:cstheme="minorEastAsia"/>
          <w:b/>
          <w:color w:val="auto"/>
          <w:szCs w:val="21"/>
          <w:highlight w:val="none"/>
        </w:rPr>
        <w:t>监狱企业</w:t>
      </w:r>
      <w:r>
        <w:rPr>
          <w:rFonts w:hint="eastAsia" w:asciiTheme="minorEastAsia" w:hAnsiTheme="minorEastAsia" w:eastAsiaTheme="minorEastAsia" w:cstheme="minorEastAsia"/>
          <w:color w:val="auto"/>
          <w:szCs w:val="21"/>
          <w:highlight w:val="none"/>
        </w:rPr>
        <w:t>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监狱管理局、戒毒管理局的企业。</w:t>
      </w:r>
    </w:p>
    <w:p w14:paraId="699978BF">
      <w:pPr>
        <w:pageBreakBefore w:val="0"/>
        <w:kinsoku/>
        <w:wordWrap/>
        <w:overflowPunct/>
        <w:topLinePunct w:val="0"/>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1.2.12 </w:t>
      </w:r>
      <w:r>
        <w:rPr>
          <w:rFonts w:hint="eastAsia" w:asciiTheme="minorEastAsia" w:hAnsiTheme="minorEastAsia" w:eastAsiaTheme="minorEastAsia" w:cstheme="minorEastAsia"/>
          <w:b/>
          <w:color w:val="auto"/>
          <w:kern w:val="0"/>
          <w:szCs w:val="21"/>
          <w:highlight w:val="none"/>
        </w:rPr>
        <w:t>残疾人福利性单位</w:t>
      </w:r>
      <w:r>
        <w:rPr>
          <w:rFonts w:hint="eastAsia" w:asciiTheme="minorEastAsia" w:hAnsiTheme="minorEastAsia" w:eastAsiaTheme="minorEastAsia" w:cstheme="minorEastAsia"/>
          <w:color w:val="auto"/>
          <w:kern w:val="0"/>
          <w:szCs w:val="21"/>
          <w:highlight w:val="none"/>
        </w:rPr>
        <w:t>是指符合</w:t>
      </w:r>
      <w:r>
        <w:rPr>
          <w:rFonts w:hint="eastAsia" w:asciiTheme="minorEastAsia" w:hAnsiTheme="minorEastAsia" w:eastAsiaTheme="minorEastAsia" w:cstheme="minorEastAsia"/>
          <w:color w:val="auto"/>
          <w:spacing w:val="6"/>
          <w:szCs w:val="21"/>
          <w:highlight w:val="none"/>
        </w:rPr>
        <w:t>《财政部、民政部、中国残疾人联合会关于促进残疾人就业政府采购政策的通知》（财库</w:t>
      </w:r>
      <w:r>
        <w:rPr>
          <w:rFonts w:hint="eastAsia" w:asciiTheme="minorEastAsia" w:hAnsiTheme="minorEastAsia" w:eastAsiaTheme="minorEastAsia" w:cstheme="minorEastAsia"/>
          <w:color w:val="auto"/>
          <w:szCs w:val="21"/>
          <w:highlight w:val="none"/>
        </w:rPr>
        <w:t>〔2017〕141</w:t>
      </w:r>
      <w:r>
        <w:rPr>
          <w:rFonts w:hint="eastAsia" w:asciiTheme="minorEastAsia" w:hAnsiTheme="minorEastAsia" w:eastAsiaTheme="minorEastAsia" w:cstheme="minorEastAsia"/>
          <w:color w:val="auto"/>
          <w:spacing w:val="6"/>
          <w:szCs w:val="21"/>
          <w:highlight w:val="none"/>
        </w:rPr>
        <w:t>号）规定条件的单位。</w:t>
      </w:r>
    </w:p>
    <w:p w14:paraId="5976F889">
      <w:pPr>
        <w:pStyle w:val="3"/>
        <w:pageBreakBefore w:val="0"/>
        <w:kinsoku/>
        <w:wordWrap/>
        <w:overflowPunct/>
        <w:topLinePunct w:val="0"/>
        <w:bidi w:val="0"/>
        <w:spacing w:before="0" w:after="0" w:line="480" w:lineRule="exact"/>
        <w:textAlignment w:val="auto"/>
        <w:rPr>
          <w:rFonts w:hint="eastAsia" w:asciiTheme="minorEastAsia" w:hAnsiTheme="minorEastAsia" w:eastAsiaTheme="minorEastAsia" w:cstheme="minorEastAsia"/>
          <w:color w:val="auto"/>
          <w:sz w:val="30"/>
          <w:szCs w:val="30"/>
          <w:highlight w:val="none"/>
        </w:rPr>
      </w:pPr>
      <w:bookmarkStart w:id="81" w:name="_Toc30965"/>
      <w:r>
        <w:rPr>
          <w:rFonts w:hint="eastAsia" w:asciiTheme="minorEastAsia" w:hAnsiTheme="minorEastAsia" w:eastAsiaTheme="minorEastAsia" w:cstheme="minorEastAsia"/>
          <w:color w:val="auto"/>
          <w:sz w:val="30"/>
          <w:szCs w:val="30"/>
          <w:highlight w:val="none"/>
        </w:rPr>
        <w:t>1.3 合格的投标</w:t>
      </w:r>
      <w:bookmarkEnd w:id="77"/>
      <w:bookmarkEnd w:id="78"/>
      <w:bookmarkEnd w:id="79"/>
      <w:bookmarkEnd w:id="80"/>
      <w:r>
        <w:rPr>
          <w:rFonts w:hint="eastAsia" w:asciiTheme="minorEastAsia" w:hAnsiTheme="minorEastAsia" w:eastAsiaTheme="minorEastAsia" w:cstheme="minorEastAsia"/>
          <w:color w:val="auto"/>
          <w:sz w:val="30"/>
          <w:szCs w:val="30"/>
          <w:highlight w:val="none"/>
        </w:rPr>
        <w:t>人</w:t>
      </w:r>
      <w:bookmarkEnd w:id="81"/>
    </w:p>
    <w:p w14:paraId="028F4A1F">
      <w:pPr>
        <w:pageBreakBefore w:val="0"/>
        <w:tabs>
          <w:tab w:val="left" w:pos="7665"/>
        </w:tabs>
        <w:kinsoku/>
        <w:wordWrap/>
        <w:overflowPunct/>
        <w:topLinePunct w:val="0"/>
        <w:bidi w:val="0"/>
        <w:spacing w:line="480" w:lineRule="exact"/>
        <w:ind w:firstLine="411" w:firstLineChars="196"/>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1.3.1 合格的投标人应具备以下条件：</w:t>
      </w:r>
    </w:p>
    <w:p w14:paraId="7872F21D">
      <w:pPr>
        <w:pageBreakBefore w:val="0"/>
        <w:tabs>
          <w:tab w:val="left" w:pos="7665"/>
        </w:tabs>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pacing w:val="-4"/>
          <w:szCs w:val="21"/>
          <w:highlight w:val="none"/>
        </w:rPr>
      </w:pPr>
      <w:r>
        <w:rPr>
          <w:rFonts w:hint="eastAsia" w:asciiTheme="minorEastAsia" w:hAnsiTheme="minorEastAsia" w:eastAsiaTheme="minorEastAsia" w:cstheme="minorEastAsia"/>
          <w:color w:val="auto"/>
          <w:szCs w:val="21"/>
          <w:highlight w:val="none"/>
        </w:rPr>
        <w:t>（1）具备且满足“招标公告”要求的</w:t>
      </w:r>
      <w:r>
        <w:rPr>
          <w:rFonts w:hint="eastAsia" w:asciiTheme="minorEastAsia" w:hAnsiTheme="minorEastAsia" w:eastAsiaTheme="minorEastAsia" w:cstheme="minorEastAsia"/>
          <w:color w:val="auto"/>
          <w:spacing w:val="-4"/>
          <w:szCs w:val="21"/>
          <w:highlight w:val="none"/>
        </w:rPr>
        <w:t>；</w:t>
      </w:r>
    </w:p>
    <w:p w14:paraId="5C7F929F">
      <w:pPr>
        <w:pageBreakBefore w:val="0"/>
        <w:tabs>
          <w:tab w:val="left" w:pos="7665"/>
        </w:tabs>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w:t>
      </w:r>
      <w:r>
        <w:rPr>
          <w:rFonts w:hint="eastAsia" w:asciiTheme="minorEastAsia" w:hAnsiTheme="minorEastAsia" w:eastAsiaTheme="minorEastAsia" w:cstheme="minorEastAsia"/>
          <w:color w:val="auto"/>
          <w:szCs w:val="21"/>
          <w:highlight w:val="none"/>
          <w:lang w:val="en-US" w:eastAsia="zh-CN"/>
        </w:rPr>
        <w:t>在新疆政府采购网免费获取了</w:t>
      </w:r>
      <w:r>
        <w:rPr>
          <w:rFonts w:hint="eastAsia" w:asciiTheme="minorEastAsia" w:hAnsiTheme="minorEastAsia" w:eastAsiaTheme="minorEastAsia" w:cstheme="minorEastAsia"/>
          <w:color w:val="auto"/>
          <w:szCs w:val="21"/>
          <w:highlight w:val="none"/>
        </w:rPr>
        <w:t>招标文件并</w:t>
      </w:r>
      <w:r>
        <w:rPr>
          <w:rFonts w:hint="eastAsia" w:asciiTheme="minorEastAsia" w:hAnsiTheme="minorEastAsia" w:eastAsiaTheme="minorEastAsia" w:cstheme="minorEastAsia"/>
          <w:color w:val="auto"/>
          <w:szCs w:val="21"/>
          <w:highlight w:val="none"/>
          <w:lang w:val="en-US" w:eastAsia="zh-CN"/>
        </w:rPr>
        <w:t>注册为正式供应商</w:t>
      </w:r>
      <w:r>
        <w:rPr>
          <w:rFonts w:hint="eastAsia" w:asciiTheme="minorEastAsia" w:hAnsiTheme="minorEastAsia" w:eastAsiaTheme="minorEastAsia" w:cstheme="minorEastAsia"/>
          <w:color w:val="auto"/>
          <w:szCs w:val="21"/>
          <w:highlight w:val="none"/>
        </w:rPr>
        <w:t>；</w:t>
      </w:r>
    </w:p>
    <w:p w14:paraId="570DE14C">
      <w:pPr>
        <w:pageBreakBefore w:val="0"/>
        <w:tabs>
          <w:tab w:val="left" w:pos="7665"/>
        </w:tabs>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（3）交纳了投标保证金；</w:t>
      </w:r>
    </w:p>
    <w:p w14:paraId="6FB278CE">
      <w:pPr>
        <w:pageBreakBefore w:val="0"/>
        <w:tabs>
          <w:tab w:val="left" w:pos="7665"/>
        </w:tabs>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（4）遵守国家、新疆维吾尔自治区有关的法律法规、规章和规范性文件要求；</w:t>
      </w:r>
    </w:p>
    <w:p w14:paraId="7C450E0C">
      <w:pPr>
        <w:pageBreakBefore w:val="0"/>
        <w:tabs>
          <w:tab w:val="left" w:pos="7665"/>
        </w:tabs>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（5）招标文件和法律、行政法规规定的其他条件。</w:t>
      </w:r>
    </w:p>
    <w:p w14:paraId="31B07D8E">
      <w:pPr>
        <w:pageBreakBefore w:val="0"/>
        <w:kinsoku/>
        <w:wordWrap/>
        <w:overflowPunct/>
        <w:topLinePunct w:val="0"/>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1.3.2 投标人不得存在下列情形之一：</w:t>
      </w:r>
    </w:p>
    <w:p w14:paraId="105C9EC8">
      <w:pPr>
        <w:pageBreakBefore w:val="0"/>
        <w:kinsoku/>
        <w:wordWrap/>
        <w:overflowPunct/>
        <w:topLinePunct w:val="0"/>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（l）与采购人、采购代理机构存在</w:t>
      </w:r>
      <w:r>
        <w:rPr>
          <w:rFonts w:hint="eastAsia" w:asciiTheme="minorEastAsia" w:hAnsiTheme="minorEastAsia" w:eastAsiaTheme="minorEastAsia" w:cstheme="minorEastAsia"/>
          <w:bCs/>
          <w:color w:val="auto"/>
          <w:szCs w:val="21"/>
          <w:highlight w:val="none"/>
        </w:rPr>
        <w:t>隶属关系或者其他利害关系，且可能影响招标公正性；</w:t>
      </w:r>
    </w:p>
    <w:p w14:paraId="06C88064">
      <w:pPr>
        <w:pageBreakBefore w:val="0"/>
        <w:kinsoku/>
        <w:wordWrap/>
        <w:overflowPunct/>
        <w:topLinePunct w:val="0"/>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（2）与本采购项目其他投标人的法定代表人（或者负责人）为同一人；</w:t>
      </w:r>
    </w:p>
    <w:p w14:paraId="754CCB67">
      <w:pPr>
        <w:pageBreakBefore w:val="0"/>
        <w:kinsoku/>
        <w:wordWrap/>
        <w:overflowPunct/>
        <w:topLinePunct w:val="0"/>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（3）与本采购项目其他投标人存在控股、管理关系；</w:t>
      </w:r>
    </w:p>
    <w:p w14:paraId="7A2BD987">
      <w:pPr>
        <w:pageBreakBefore w:val="0"/>
        <w:kinsoku/>
        <w:wordWrap/>
        <w:overflowPunct/>
        <w:topLinePunct w:val="0"/>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（4）为本项目采购代理机构；</w:t>
      </w:r>
    </w:p>
    <w:p w14:paraId="4A775957">
      <w:pPr>
        <w:pageBreakBefore w:val="0"/>
        <w:kinsoku/>
        <w:wordWrap/>
        <w:overflowPunct/>
        <w:topLinePunct w:val="0"/>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（5）为本项目代理投标的为其采购代理机构；</w:t>
      </w:r>
    </w:p>
    <w:p w14:paraId="24510682">
      <w:pPr>
        <w:pageBreakBefore w:val="0"/>
        <w:kinsoku/>
        <w:wordWrap/>
        <w:overflowPunct/>
        <w:topLinePunct w:val="0"/>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（6）为本项目提供整体设计、规范编制或者项目管理、监理、检测、咨询服务；</w:t>
      </w:r>
    </w:p>
    <w:p w14:paraId="691B6E7D">
      <w:pPr>
        <w:pageBreakBefore w:val="0"/>
        <w:kinsoku/>
        <w:wordWrap/>
        <w:overflowPunct/>
        <w:topLinePunct w:val="0"/>
        <w:bidi w:val="0"/>
        <w:adjustRightInd w:val="0"/>
        <w:snapToGrid w:val="0"/>
        <w:spacing w:line="480" w:lineRule="exact"/>
        <w:ind w:firstLine="420" w:firstLineChars="200"/>
        <w:textAlignment w:val="auto"/>
        <w:rPr>
          <w:rFonts w:hint="eastAsia" w:asciiTheme="minorEastAsia" w:hAnsiTheme="minorEastAsia" w:eastAsiaTheme="minorEastAsia" w:cstheme="minorEastAsia"/>
          <w:bCs/>
          <w:color w:val="auto"/>
          <w:szCs w:val="21"/>
          <w:highlight w:val="none"/>
        </w:rPr>
      </w:pPr>
      <w:r>
        <w:rPr>
          <w:rFonts w:hint="eastAsia" w:asciiTheme="minorEastAsia" w:hAnsiTheme="minorEastAsia" w:eastAsiaTheme="minorEastAsia" w:cstheme="minorEastAsia"/>
          <w:color w:val="auto"/>
          <w:szCs w:val="21"/>
          <w:highlight w:val="none"/>
        </w:rPr>
        <w:t>（7）</w:t>
      </w:r>
      <w:r>
        <w:rPr>
          <w:rFonts w:hint="eastAsia" w:asciiTheme="minorEastAsia" w:hAnsiTheme="minorEastAsia" w:eastAsiaTheme="minorEastAsia" w:cstheme="minorEastAsia"/>
          <w:bCs/>
          <w:color w:val="auto"/>
          <w:szCs w:val="21"/>
          <w:highlight w:val="none"/>
        </w:rPr>
        <w:t>受到刑事处罚；</w:t>
      </w:r>
    </w:p>
    <w:p w14:paraId="23D1C082">
      <w:pPr>
        <w:pageBreakBefore w:val="0"/>
        <w:kinsoku/>
        <w:wordWrap/>
        <w:overflowPunct/>
        <w:topLinePunct w:val="0"/>
        <w:bidi w:val="0"/>
        <w:adjustRightInd w:val="0"/>
        <w:snapToGrid w:val="0"/>
        <w:spacing w:line="480" w:lineRule="exact"/>
        <w:ind w:firstLine="420" w:firstLineChars="200"/>
        <w:textAlignment w:val="auto"/>
        <w:rPr>
          <w:rFonts w:hint="eastAsia" w:asciiTheme="minorEastAsia" w:hAnsiTheme="minorEastAsia" w:eastAsiaTheme="minorEastAsia" w:cstheme="minorEastAsia"/>
          <w:bCs/>
          <w:color w:val="auto"/>
          <w:szCs w:val="21"/>
          <w:highlight w:val="none"/>
        </w:rPr>
      </w:pPr>
      <w:r>
        <w:rPr>
          <w:rFonts w:hint="eastAsia" w:asciiTheme="minorEastAsia" w:hAnsiTheme="minorEastAsia" w:eastAsiaTheme="minorEastAsia" w:cstheme="minorEastAsia"/>
          <w:bCs/>
          <w:color w:val="auto"/>
          <w:szCs w:val="21"/>
          <w:highlight w:val="none"/>
        </w:rPr>
        <w:t>（8）受到财政部门3万元以上数额罚款的行政处罚或其他行政部门较大数额罚款的行政处罚（举行听证会的）；</w:t>
      </w:r>
    </w:p>
    <w:p w14:paraId="22A8BC44">
      <w:pPr>
        <w:pageBreakBefore w:val="0"/>
        <w:kinsoku/>
        <w:wordWrap/>
        <w:overflowPunct/>
        <w:topLinePunct w:val="0"/>
        <w:bidi w:val="0"/>
        <w:adjustRightInd w:val="0"/>
        <w:snapToGrid w:val="0"/>
        <w:spacing w:line="480" w:lineRule="exact"/>
        <w:ind w:firstLine="420" w:firstLineChars="200"/>
        <w:textAlignment w:val="auto"/>
        <w:rPr>
          <w:rFonts w:hint="eastAsia" w:asciiTheme="minorEastAsia" w:hAnsiTheme="minorEastAsia" w:eastAsiaTheme="minorEastAsia" w:cstheme="minorEastAsia"/>
          <w:bCs/>
          <w:color w:val="auto"/>
          <w:szCs w:val="21"/>
          <w:highlight w:val="none"/>
        </w:rPr>
      </w:pPr>
      <w:r>
        <w:rPr>
          <w:rFonts w:hint="eastAsia" w:asciiTheme="minorEastAsia" w:hAnsiTheme="minorEastAsia" w:eastAsiaTheme="minorEastAsia" w:cstheme="minorEastAsia"/>
          <w:bCs/>
          <w:color w:val="auto"/>
          <w:szCs w:val="21"/>
          <w:highlight w:val="none"/>
        </w:rPr>
        <w:t>（</w:t>
      </w:r>
      <w:r>
        <w:rPr>
          <w:rFonts w:hint="eastAsia" w:asciiTheme="minorEastAsia" w:hAnsiTheme="minorEastAsia" w:eastAsiaTheme="minorEastAsia" w:cstheme="minorEastAsia"/>
          <w:bCs/>
          <w:color w:val="auto"/>
          <w:szCs w:val="21"/>
          <w:highlight w:val="none"/>
          <w:lang w:val="en-US" w:eastAsia="zh-CN"/>
        </w:rPr>
        <w:t>9</w:t>
      </w:r>
      <w:r>
        <w:rPr>
          <w:rFonts w:hint="eastAsia" w:asciiTheme="minorEastAsia" w:hAnsiTheme="minorEastAsia" w:eastAsiaTheme="minorEastAsia" w:cstheme="minorEastAsia"/>
          <w:bCs/>
          <w:color w:val="auto"/>
          <w:szCs w:val="21"/>
          <w:highlight w:val="none"/>
        </w:rPr>
        <w:t>）被责令停产停业、暂扣或者吊销许可证、暂扣或者吊销执照的行政处罚；</w:t>
      </w:r>
    </w:p>
    <w:p w14:paraId="25AF207C">
      <w:pPr>
        <w:pageBreakBefore w:val="0"/>
        <w:kinsoku/>
        <w:wordWrap/>
        <w:overflowPunct/>
        <w:topLinePunct w:val="0"/>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bCs/>
          <w:color w:val="auto"/>
          <w:szCs w:val="21"/>
          <w:highlight w:val="none"/>
        </w:rPr>
        <w:t>（10）</w:t>
      </w:r>
      <w:r>
        <w:rPr>
          <w:rFonts w:hint="eastAsia" w:asciiTheme="minorEastAsia" w:hAnsiTheme="minorEastAsia" w:eastAsiaTheme="minorEastAsia" w:cstheme="minorEastAsia"/>
          <w:color w:val="auto"/>
          <w:szCs w:val="21"/>
          <w:highlight w:val="none"/>
        </w:rPr>
        <w:t>被列入失信被执行人名单；</w:t>
      </w:r>
    </w:p>
    <w:p w14:paraId="64122E4B">
      <w:pPr>
        <w:pageBreakBefore w:val="0"/>
        <w:kinsoku/>
        <w:wordWrap/>
        <w:overflowPunct/>
        <w:topLinePunct w:val="0"/>
        <w:bidi w:val="0"/>
        <w:adjustRightInd w:val="0"/>
        <w:snapToGrid w:val="0"/>
        <w:spacing w:line="480" w:lineRule="exact"/>
        <w:ind w:firstLine="420" w:firstLineChars="200"/>
        <w:textAlignment w:val="auto"/>
        <w:rPr>
          <w:rFonts w:hint="eastAsia" w:asciiTheme="minorEastAsia" w:hAnsiTheme="minorEastAsia" w:eastAsiaTheme="minorEastAsia" w:cstheme="minorEastAsia"/>
          <w:bCs/>
          <w:color w:val="auto"/>
          <w:szCs w:val="21"/>
          <w:highlight w:val="none"/>
        </w:rPr>
      </w:pPr>
      <w:r>
        <w:rPr>
          <w:rFonts w:hint="eastAsia" w:asciiTheme="minorEastAsia" w:hAnsiTheme="minorEastAsia" w:eastAsiaTheme="minorEastAsia" w:cstheme="minorEastAsia"/>
          <w:color w:val="auto"/>
          <w:szCs w:val="21"/>
          <w:highlight w:val="none"/>
        </w:rPr>
        <w:t>（11）被列入</w:t>
      </w:r>
      <w:r>
        <w:rPr>
          <w:rFonts w:hint="eastAsia" w:asciiTheme="minorEastAsia" w:hAnsiTheme="minorEastAsia" w:eastAsiaTheme="minorEastAsia" w:cstheme="minorEastAsia"/>
          <w:color w:val="auto"/>
          <w:szCs w:val="21"/>
          <w:highlight w:val="none"/>
          <w:lang w:eastAsia="zh-CN"/>
        </w:rPr>
        <w:t>重大税收违法失信主体</w:t>
      </w:r>
      <w:r>
        <w:rPr>
          <w:rFonts w:hint="eastAsia" w:asciiTheme="minorEastAsia" w:hAnsiTheme="minorEastAsia" w:eastAsiaTheme="minorEastAsia" w:cstheme="minorEastAsia"/>
          <w:color w:val="auto"/>
          <w:szCs w:val="21"/>
          <w:highlight w:val="none"/>
        </w:rPr>
        <w:t>；</w:t>
      </w:r>
    </w:p>
    <w:p w14:paraId="6B118AD3">
      <w:pPr>
        <w:pageBreakBefore w:val="0"/>
        <w:kinsoku/>
        <w:wordWrap/>
        <w:overflowPunct/>
        <w:topLinePunct w:val="0"/>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bCs/>
          <w:color w:val="auto"/>
          <w:szCs w:val="21"/>
          <w:highlight w:val="none"/>
        </w:rPr>
        <w:t>（12）被禁止在一至三年内参加政府采购活动或存在</w:t>
      </w:r>
      <w:r>
        <w:rPr>
          <w:rFonts w:hint="eastAsia" w:asciiTheme="minorEastAsia" w:hAnsiTheme="minorEastAsia" w:eastAsiaTheme="minorEastAsia" w:cstheme="minorEastAsia"/>
          <w:color w:val="auto"/>
          <w:szCs w:val="21"/>
          <w:highlight w:val="none"/>
        </w:rPr>
        <w:t>财政部门认定的其他重大违法记录。</w:t>
      </w:r>
    </w:p>
    <w:p w14:paraId="28CE4CD2">
      <w:pPr>
        <w:pStyle w:val="3"/>
        <w:pageBreakBefore w:val="0"/>
        <w:kinsoku/>
        <w:wordWrap/>
        <w:overflowPunct/>
        <w:topLinePunct w:val="0"/>
        <w:bidi w:val="0"/>
        <w:spacing w:before="0" w:after="0" w:line="480" w:lineRule="exact"/>
        <w:textAlignment w:val="auto"/>
        <w:rPr>
          <w:rFonts w:hint="eastAsia" w:asciiTheme="minorEastAsia" w:hAnsiTheme="minorEastAsia" w:eastAsiaTheme="minorEastAsia" w:cstheme="minorEastAsia"/>
          <w:color w:val="auto"/>
          <w:sz w:val="30"/>
          <w:szCs w:val="30"/>
          <w:highlight w:val="none"/>
        </w:rPr>
      </w:pPr>
      <w:bookmarkStart w:id="82" w:name="_Toc14783"/>
      <w:bookmarkStart w:id="83" w:name="_Toc183682345"/>
      <w:bookmarkStart w:id="84" w:name="_Toc183582208"/>
      <w:bookmarkStart w:id="85" w:name="_Toc217446037"/>
      <w:r>
        <w:rPr>
          <w:rFonts w:hint="eastAsia" w:asciiTheme="minorEastAsia" w:hAnsiTheme="minorEastAsia" w:eastAsiaTheme="minorEastAsia" w:cstheme="minorEastAsia"/>
          <w:color w:val="auto"/>
          <w:sz w:val="30"/>
          <w:szCs w:val="30"/>
          <w:highlight w:val="none"/>
        </w:rPr>
        <w:t>1.4</w:t>
      </w:r>
      <w:r>
        <w:rPr>
          <w:rFonts w:hint="eastAsia" w:asciiTheme="minorEastAsia" w:hAnsiTheme="minorEastAsia" w:eastAsiaTheme="minorEastAsia" w:cstheme="minorEastAsia"/>
          <w:color w:val="auto"/>
          <w:sz w:val="30"/>
          <w:szCs w:val="30"/>
          <w:highlight w:val="none"/>
          <w:lang w:val="en-US" w:eastAsia="zh-CN"/>
        </w:rPr>
        <w:t xml:space="preserve"> </w:t>
      </w:r>
      <w:r>
        <w:rPr>
          <w:rFonts w:hint="eastAsia" w:asciiTheme="minorEastAsia" w:hAnsiTheme="minorEastAsia" w:eastAsiaTheme="minorEastAsia" w:cstheme="minorEastAsia"/>
          <w:color w:val="auto"/>
          <w:sz w:val="30"/>
          <w:szCs w:val="30"/>
          <w:highlight w:val="none"/>
        </w:rPr>
        <w:t>合格的货物（产品）和服务</w:t>
      </w:r>
      <w:bookmarkEnd w:id="82"/>
    </w:p>
    <w:p w14:paraId="49D29FFC">
      <w:pPr>
        <w:pageBreakBefore w:val="0"/>
        <w:tabs>
          <w:tab w:val="left" w:pos="747"/>
        </w:tabs>
        <w:kinsoku/>
        <w:wordWrap/>
        <w:overflowPunct/>
        <w:topLinePunct w:val="0"/>
        <w:bidi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1.4.1 投标人提供的所有货物和服务，必须是合法生产、合法来源，符合国家有关标准要求，并满足招标文件规定的规格、参数、质量、价格、有效期、售后服务及投标人须承担的运输、安装、技术支持、培训和招标文件规定的其它伴随服务等要求。</w:t>
      </w:r>
    </w:p>
    <w:p w14:paraId="0AE219F8">
      <w:pPr>
        <w:pageBreakBefore w:val="0"/>
        <w:tabs>
          <w:tab w:val="left" w:pos="747"/>
        </w:tabs>
        <w:kinsoku/>
        <w:wordWrap/>
        <w:overflowPunct/>
        <w:topLinePunct w:val="0"/>
        <w:bidi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1.4.2 采购人有权拒绝接受任何不合格的货物和服务，由此产生的费用及相关后果均由投标人自行承担。</w:t>
      </w:r>
    </w:p>
    <w:p w14:paraId="397D8C28">
      <w:pPr>
        <w:pStyle w:val="3"/>
        <w:pageBreakBefore w:val="0"/>
        <w:kinsoku/>
        <w:wordWrap/>
        <w:overflowPunct/>
        <w:topLinePunct w:val="0"/>
        <w:bidi w:val="0"/>
        <w:spacing w:before="0" w:after="0" w:line="480" w:lineRule="exact"/>
        <w:textAlignment w:val="auto"/>
        <w:rPr>
          <w:rFonts w:hint="eastAsia" w:asciiTheme="minorEastAsia" w:hAnsiTheme="minorEastAsia" w:eastAsiaTheme="minorEastAsia" w:cstheme="minorEastAsia"/>
          <w:color w:val="auto"/>
          <w:sz w:val="30"/>
          <w:szCs w:val="30"/>
          <w:highlight w:val="none"/>
        </w:rPr>
      </w:pPr>
      <w:bookmarkStart w:id="86" w:name="_Toc16914"/>
      <w:bookmarkStart w:id="87" w:name="_Toc217446047"/>
      <w:r>
        <w:rPr>
          <w:rFonts w:hint="eastAsia" w:asciiTheme="minorEastAsia" w:hAnsiTheme="minorEastAsia" w:eastAsiaTheme="minorEastAsia" w:cstheme="minorEastAsia"/>
          <w:color w:val="auto"/>
          <w:sz w:val="30"/>
          <w:szCs w:val="30"/>
          <w:highlight w:val="none"/>
        </w:rPr>
        <w:t>1.5</w:t>
      </w:r>
      <w:r>
        <w:rPr>
          <w:rFonts w:hint="eastAsia" w:asciiTheme="minorEastAsia" w:hAnsiTheme="minorEastAsia" w:eastAsiaTheme="minorEastAsia" w:cstheme="minorEastAsia"/>
          <w:color w:val="auto"/>
          <w:sz w:val="30"/>
          <w:szCs w:val="30"/>
          <w:highlight w:val="none"/>
          <w:lang w:val="en-US" w:eastAsia="zh-CN"/>
        </w:rPr>
        <w:t xml:space="preserve"> </w:t>
      </w:r>
      <w:r>
        <w:rPr>
          <w:rFonts w:hint="eastAsia" w:asciiTheme="minorEastAsia" w:hAnsiTheme="minorEastAsia" w:eastAsiaTheme="minorEastAsia" w:cstheme="minorEastAsia"/>
          <w:color w:val="auto"/>
          <w:sz w:val="30"/>
          <w:szCs w:val="30"/>
          <w:highlight w:val="none"/>
        </w:rPr>
        <w:t>知识产权</w:t>
      </w:r>
      <w:bookmarkEnd w:id="86"/>
      <w:bookmarkEnd w:id="87"/>
    </w:p>
    <w:p w14:paraId="08CEDCB7">
      <w:pPr>
        <w:pStyle w:val="11"/>
        <w:pageBreakBefore w:val="0"/>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1.5.1 投标人应保证在本项目使用的任何产品和服务（包括部分使用）时，不会产生因第三方提出侵犯其专利权、商标权或其它知识产权而引起的法律和经济纠纷，如因专利权、商标权或其它知识产权而引起法律和经济纠纷，由投标人承担所有相关责任。</w:t>
      </w:r>
    </w:p>
    <w:p w14:paraId="0EB544A8">
      <w:pPr>
        <w:pStyle w:val="11"/>
        <w:pageBreakBefore w:val="0"/>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1.5.2 采购人享有本项目实施过程中产生的知识成果及知识产权。</w:t>
      </w:r>
    </w:p>
    <w:p w14:paraId="2B197580">
      <w:pPr>
        <w:pageBreakBefore w:val="0"/>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1.5.3 投标人如欲在项目实施过程中采用自有知识成果，需在投标文件中声明，并提供相关知识产权证明文件。使用该知识成果后，投标人需提供开发接口和开发手册等技术文档，并承诺提供无限期技术支持，采购人享有永久使用权。</w:t>
      </w:r>
    </w:p>
    <w:p w14:paraId="6E3848E8">
      <w:pPr>
        <w:pageBreakBefore w:val="0"/>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1.5.4 如采用投标人所不拥有的知识产权，则在投标报价中必须包括合法获取该知识产权的相关费用。</w:t>
      </w:r>
    </w:p>
    <w:p w14:paraId="697D9537">
      <w:pPr>
        <w:pStyle w:val="3"/>
        <w:pageBreakBefore w:val="0"/>
        <w:kinsoku/>
        <w:wordWrap/>
        <w:overflowPunct/>
        <w:topLinePunct w:val="0"/>
        <w:bidi w:val="0"/>
        <w:spacing w:before="0" w:after="0" w:line="480" w:lineRule="exact"/>
        <w:textAlignment w:val="auto"/>
        <w:rPr>
          <w:rFonts w:hint="eastAsia" w:asciiTheme="minorEastAsia" w:hAnsiTheme="minorEastAsia" w:eastAsiaTheme="minorEastAsia" w:cstheme="minorEastAsia"/>
          <w:color w:val="auto"/>
          <w:sz w:val="30"/>
          <w:szCs w:val="30"/>
          <w:highlight w:val="none"/>
        </w:rPr>
      </w:pPr>
      <w:bookmarkStart w:id="88" w:name="_Toc15030"/>
      <w:r>
        <w:rPr>
          <w:rFonts w:hint="eastAsia" w:asciiTheme="minorEastAsia" w:hAnsiTheme="minorEastAsia" w:eastAsiaTheme="minorEastAsia" w:cstheme="minorEastAsia"/>
          <w:color w:val="auto"/>
          <w:sz w:val="30"/>
          <w:szCs w:val="30"/>
          <w:highlight w:val="none"/>
        </w:rPr>
        <w:t>1.6</w:t>
      </w:r>
      <w:r>
        <w:rPr>
          <w:rFonts w:hint="eastAsia" w:asciiTheme="minorEastAsia" w:hAnsiTheme="minorEastAsia" w:eastAsiaTheme="minorEastAsia" w:cstheme="minorEastAsia"/>
          <w:color w:val="auto"/>
          <w:sz w:val="30"/>
          <w:szCs w:val="30"/>
          <w:highlight w:val="none"/>
          <w:lang w:val="en-US" w:eastAsia="zh-CN"/>
        </w:rPr>
        <w:t xml:space="preserve"> </w:t>
      </w:r>
      <w:r>
        <w:rPr>
          <w:rFonts w:hint="eastAsia" w:asciiTheme="minorEastAsia" w:hAnsiTheme="minorEastAsia" w:eastAsiaTheme="minorEastAsia" w:cstheme="minorEastAsia"/>
          <w:color w:val="auto"/>
          <w:sz w:val="30"/>
          <w:szCs w:val="30"/>
          <w:highlight w:val="none"/>
        </w:rPr>
        <w:t>投标费用</w:t>
      </w:r>
      <w:bookmarkEnd w:id="83"/>
      <w:bookmarkEnd w:id="84"/>
      <w:bookmarkEnd w:id="85"/>
      <w:bookmarkEnd w:id="88"/>
    </w:p>
    <w:p w14:paraId="6BCE12EA">
      <w:pPr>
        <w:pageBreakBefore w:val="0"/>
        <w:tabs>
          <w:tab w:val="left" w:pos="7665"/>
        </w:tabs>
        <w:kinsoku/>
        <w:wordWrap/>
        <w:overflowPunct/>
        <w:topLinePunct w:val="0"/>
        <w:bidi w:val="0"/>
        <w:spacing w:line="480" w:lineRule="exact"/>
        <w:ind w:firstLine="430" w:firstLineChars="205"/>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不论投标结果如何，投标人准备和参加投标活动发生的费用自理。</w:t>
      </w:r>
      <w:bookmarkStart w:id="89" w:name="_Toc183582209"/>
      <w:bookmarkStart w:id="90" w:name="_Toc89075875"/>
      <w:bookmarkStart w:id="91" w:name="_Toc217446038"/>
      <w:bookmarkStart w:id="92" w:name="_Toc77400779"/>
      <w:bookmarkStart w:id="93" w:name="_Toc183682346"/>
    </w:p>
    <w:p w14:paraId="585CB807">
      <w:pPr>
        <w:pStyle w:val="3"/>
        <w:pageBreakBefore w:val="0"/>
        <w:kinsoku/>
        <w:wordWrap/>
        <w:overflowPunct/>
        <w:topLinePunct w:val="0"/>
        <w:bidi w:val="0"/>
        <w:spacing w:before="0" w:after="0" w:line="480" w:lineRule="exact"/>
        <w:textAlignment w:val="auto"/>
        <w:rPr>
          <w:rFonts w:hint="eastAsia" w:asciiTheme="minorEastAsia" w:hAnsiTheme="minorEastAsia" w:eastAsiaTheme="minorEastAsia" w:cstheme="minorEastAsia"/>
          <w:color w:val="auto"/>
          <w:sz w:val="30"/>
          <w:szCs w:val="30"/>
          <w:highlight w:val="none"/>
          <w:lang w:val="zh-CN"/>
        </w:rPr>
      </w:pPr>
      <w:bookmarkStart w:id="94" w:name="_Toc1761"/>
      <w:r>
        <w:rPr>
          <w:rFonts w:hint="eastAsia" w:asciiTheme="minorEastAsia" w:hAnsiTheme="minorEastAsia" w:eastAsiaTheme="minorEastAsia" w:cstheme="minorEastAsia"/>
          <w:color w:val="auto"/>
          <w:sz w:val="30"/>
          <w:szCs w:val="30"/>
          <w:highlight w:val="none"/>
          <w:lang w:val="zh-CN"/>
        </w:rPr>
        <w:t>1.7 保密</w:t>
      </w:r>
      <w:bookmarkEnd w:id="94"/>
    </w:p>
    <w:p w14:paraId="0B0BCEA3">
      <w:pPr>
        <w:pageBreakBefore w:val="0"/>
        <w:kinsoku/>
        <w:wordWrap/>
        <w:overflowPunct/>
        <w:topLinePunct w:val="0"/>
        <w:autoSpaceDE w:val="0"/>
        <w:autoSpaceDN w:val="0"/>
        <w:bidi w:val="0"/>
        <w:spacing w:line="480" w:lineRule="exact"/>
        <w:ind w:firstLine="420" w:firstLineChars="200"/>
        <w:textAlignment w:val="auto"/>
        <w:rPr>
          <w:rFonts w:hint="eastAsia" w:asciiTheme="minorEastAsia" w:hAnsiTheme="minorEastAsia" w:eastAsiaTheme="minorEastAsia" w:cstheme="minorEastAsia"/>
          <w:b/>
          <w:color w:val="auto"/>
          <w:sz w:val="30"/>
          <w:szCs w:val="30"/>
          <w:highlight w:val="none"/>
        </w:rPr>
      </w:pPr>
      <w:r>
        <w:rPr>
          <w:rFonts w:hint="eastAsia" w:asciiTheme="minorEastAsia" w:hAnsiTheme="minorEastAsia" w:eastAsiaTheme="minorEastAsia" w:cstheme="minorEastAsia"/>
          <w:color w:val="auto"/>
          <w:szCs w:val="21"/>
          <w:highlight w:val="none"/>
          <w:lang w:val="zh-CN"/>
        </w:rPr>
        <w:t>参与采购活动的当事人应对招标文件和响应文件中的商业秘密、技术秘密和个人隐私等保密，违者应对由此造成的后果承担法律责任。</w:t>
      </w:r>
    </w:p>
    <w:p w14:paraId="02B38B40">
      <w:pPr>
        <w:pStyle w:val="3"/>
        <w:pageBreakBefore w:val="0"/>
        <w:kinsoku/>
        <w:wordWrap/>
        <w:overflowPunct/>
        <w:topLinePunct w:val="0"/>
        <w:bidi w:val="0"/>
        <w:spacing w:before="0" w:after="0" w:line="480" w:lineRule="exact"/>
        <w:textAlignment w:val="auto"/>
        <w:rPr>
          <w:rFonts w:hint="eastAsia" w:asciiTheme="minorEastAsia" w:hAnsiTheme="minorEastAsia" w:eastAsiaTheme="minorEastAsia" w:cstheme="minorEastAsia"/>
          <w:color w:val="auto"/>
          <w:sz w:val="30"/>
          <w:szCs w:val="30"/>
          <w:highlight w:val="none"/>
          <w:lang w:val="zh-CN"/>
        </w:rPr>
      </w:pPr>
      <w:bookmarkStart w:id="95" w:name="_Toc32589"/>
      <w:r>
        <w:rPr>
          <w:rFonts w:hint="eastAsia" w:asciiTheme="minorEastAsia" w:hAnsiTheme="minorEastAsia" w:eastAsiaTheme="minorEastAsia" w:cstheme="minorEastAsia"/>
          <w:color w:val="auto"/>
          <w:sz w:val="30"/>
          <w:szCs w:val="30"/>
          <w:highlight w:val="none"/>
          <w:lang w:val="zh-CN"/>
        </w:rPr>
        <w:t>1.8</w:t>
      </w:r>
      <w:r>
        <w:rPr>
          <w:rFonts w:hint="eastAsia" w:asciiTheme="minorEastAsia" w:hAnsiTheme="minorEastAsia" w:eastAsiaTheme="minorEastAsia" w:cstheme="minorEastAsia"/>
          <w:color w:val="auto"/>
          <w:sz w:val="30"/>
          <w:szCs w:val="30"/>
          <w:highlight w:val="none"/>
          <w:lang w:val="en-US" w:eastAsia="zh-CN"/>
        </w:rPr>
        <w:t xml:space="preserve"> </w:t>
      </w:r>
      <w:r>
        <w:rPr>
          <w:rFonts w:hint="eastAsia" w:asciiTheme="minorEastAsia" w:hAnsiTheme="minorEastAsia" w:eastAsiaTheme="minorEastAsia" w:cstheme="minorEastAsia"/>
          <w:color w:val="auto"/>
          <w:sz w:val="30"/>
          <w:szCs w:val="30"/>
          <w:highlight w:val="none"/>
          <w:lang w:val="zh-CN"/>
        </w:rPr>
        <w:t>语言文字</w:t>
      </w:r>
      <w:bookmarkEnd w:id="95"/>
    </w:p>
    <w:p w14:paraId="6858B66A">
      <w:pPr>
        <w:pageBreakBefore w:val="0"/>
        <w:tabs>
          <w:tab w:val="left" w:pos="7665"/>
        </w:tabs>
        <w:kinsoku/>
        <w:wordWrap/>
        <w:overflowPunct/>
        <w:topLinePunct w:val="0"/>
        <w:bidi w:val="0"/>
        <w:spacing w:line="480" w:lineRule="exact"/>
        <w:ind w:firstLine="405"/>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1.8.1 招标投标文件使用的语言为中文。专用术语使用外文的，应附有中文注释。</w:t>
      </w:r>
    </w:p>
    <w:p w14:paraId="1E3A7E30">
      <w:pPr>
        <w:pageBreakBefore w:val="0"/>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1.8.2 投标文件中如附有外文资料，必须逐一对应翻译成中文并加盖投标人单位章后附在相关外文资料后面，否则，投标人的投标文件将作为无效投标处理。</w:t>
      </w:r>
    </w:p>
    <w:p w14:paraId="0FDADAE0">
      <w:pPr>
        <w:pStyle w:val="12"/>
        <w:pageBreakBefore w:val="0"/>
        <w:kinsoku/>
        <w:wordWrap/>
        <w:overflowPunct/>
        <w:topLinePunct w:val="0"/>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1.8.3 投标文件中翻译的中文资料与外文资料如果出现差异和矛盾时，以中文为准。但不能故意错误翻译，否则，投标人的投标文件将作为无效投标处理。</w:t>
      </w:r>
      <w:r>
        <w:rPr>
          <w:rFonts w:hint="eastAsia" w:asciiTheme="minorEastAsia" w:hAnsiTheme="minorEastAsia" w:eastAsiaTheme="minorEastAsia" w:cstheme="minorEastAsia"/>
          <w:color w:val="auto"/>
          <w:kern w:val="0"/>
          <w:highlight w:val="none"/>
        </w:rPr>
        <w:t>必要时采购人可以要求投标人提供附有公证书的中文翻译文件或者与原版文件签章相一致的中文翻译文件。</w:t>
      </w:r>
    </w:p>
    <w:p w14:paraId="59D3E8F4">
      <w:pPr>
        <w:pStyle w:val="3"/>
        <w:pageBreakBefore w:val="0"/>
        <w:kinsoku/>
        <w:wordWrap/>
        <w:overflowPunct/>
        <w:topLinePunct w:val="0"/>
        <w:bidi w:val="0"/>
        <w:spacing w:before="0" w:after="0" w:line="480" w:lineRule="exact"/>
        <w:textAlignment w:val="auto"/>
        <w:rPr>
          <w:rFonts w:hint="eastAsia" w:asciiTheme="minorEastAsia" w:hAnsiTheme="minorEastAsia" w:eastAsiaTheme="minorEastAsia" w:cstheme="minorEastAsia"/>
          <w:color w:val="auto"/>
          <w:sz w:val="30"/>
          <w:szCs w:val="30"/>
          <w:highlight w:val="none"/>
        </w:rPr>
      </w:pPr>
      <w:bookmarkStart w:id="96" w:name="_Toc16815"/>
      <w:r>
        <w:rPr>
          <w:rFonts w:hint="eastAsia" w:asciiTheme="minorEastAsia" w:hAnsiTheme="minorEastAsia" w:eastAsiaTheme="minorEastAsia" w:cstheme="minorEastAsia"/>
          <w:color w:val="auto"/>
          <w:sz w:val="30"/>
          <w:szCs w:val="30"/>
          <w:highlight w:val="none"/>
        </w:rPr>
        <w:t>1.9</w:t>
      </w:r>
      <w:r>
        <w:rPr>
          <w:rFonts w:hint="eastAsia" w:asciiTheme="minorEastAsia" w:hAnsiTheme="minorEastAsia" w:eastAsiaTheme="minorEastAsia" w:cstheme="minorEastAsia"/>
          <w:color w:val="auto"/>
          <w:sz w:val="30"/>
          <w:szCs w:val="30"/>
          <w:highlight w:val="none"/>
          <w:lang w:val="en-US" w:eastAsia="zh-CN"/>
        </w:rPr>
        <w:t xml:space="preserve"> </w:t>
      </w:r>
      <w:r>
        <w:rPr>
          <w:rFonts w:hint="eastAsia" w:asciiTheme="minorEastAsia" w:hAnsiTheme="minorEastAsia" w:eastAsiaTheme="minorEastAsia" w:cstheme="minorEastAsia"/>
          <w:color w:val="auto"/>
          <w:sz w:val="30"/>
          <w:szCs w:val="30"/>
          <w:highlight w:val="none"/>
        </w:rPr>
        <w:t>计量单位</w:t>
      </w:r>
      <w:bookmarkEnd w:id="96"/>
    </w:p>
    <w:p w14:paraId="32E3426B">
      <w:pPr>
        <w:pageBreakBefore w:val="0"/>
        <w:tabs>
          <w:tab w:val="left" w:pos="7665"/>
        </w:tabs>
        <w:kinsoku/>
        <w:wordWrap/>
        <w:overflowPunct/>
        <w:topLinePunct w:val="0"/>
        <w:bidi w:val="0"/>
        <w:spacing w:line="480" w:lineRule="exact"/>
        <w:ind w:firstLine="405"/>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所有计量单位均采用中华人民共和国法定计量单位。</w:t>
      </w:r>
    </w:p>
    <w:p w14:paraId="0D506C3C">
      <w:pPr>
        <w:pStyle w:val="3"/>
        <w:pageBreakBefore w:val="0"/>
        <w:kinsoku/>
        <w:wordWrap/>
        <w:overflowPunct/>
        <w:topLinePunct w:val="0"/>
        <w:bidi w:val="0"/>
        <w:spacing w:before="0" w:after="0" w:line="480" w:lineRule="exact"/>
        <w:textAlignment w:val="auto"/>
        <w:rPr>
          <w:rFonts w:hint="eastAsia" w:asciiTheme="minorEastAsia" w:hAnsiTheme="minorEastAsia" w:eastAsiaTheme="minorEastAsia" w:cstheme="minorEastAsia"/>
          <w:color w:val="auto"/>
          <w:sz w:val="30"/>
          <w:szCs w:val="30"/>
          <w:highlight w:val="none"/>
        </w:rPr>
      </w:pPr>
      <w:bookmarkStart w:id="97" w:name="_Toc28741"/>
      <w:r>
        <w:rPr>
          <w:rFonts w:hint="eastAsia" w:asciiTheme="minorEastAsia" w:hAnsiTheme="minorEastAsia" w:eastAsiaTheme="minorEastAsia" w:cstheme="minorEastAsia"/>
          <w:color w:val="auto"/>
          <w:sz w:val="30"/>
          <w:szCs w:val="30"/>
          <w:highlight w:val="none"/>
        </w:rPr>
        <w:t>1.10 答疑会或现场考察</w:t>
      </w:r>
      <w:bookmarkEnd w:id="97"/>
    </w:p>
    <w:p w14:paraId="6836758F">
      <w:pPr>
        <w:pageBreakBefore w:val="0"/>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1.10.1 根据本采购项目的具体情况，采购代理机构认为有必要，可以组织召开标前答疑会或组织投标人对项目现场进行考察，澄清投标人提出的问题。答疑会或进行现场考察的时间与地点，采购代理机构将以书面形式</w:t>
      </w:r>
      <w:r>
        <w:rPr>
          <w:rFonts w:hint="eastAsia" w:asciiTheme="minorEastAsia" w:hAnsiTheme="minorEastAsia" w:eastAsiaTheme="minorEastAsia" w:cstheme="minorEastAsia"/>
          <w:color w:val="auto"/>
          <w:sz w:val="21"/>
          <w:szCs w:val="21"/>
          <w:highlight w:val="none"/>
          <w:lang w:val="zh-CN"/>
        </w:rPr>
        <w:t>或政采云平台</w:t>
      </w:r>
      <w:r>
        <w:rPr>
          <w:rFonts w:hint="eastAsia" w:asciiTheme="minorEastAsia" w:hAnsiTheme="minorEastAsia" w:eastAsiaTheme="minorEastAsia" w:cstheme="minorEastAsia"/>
          <w:color w:val="auto"/>
          <w:szCs w:val="21"/>
          <w:highlight w:val="none"/>
        </w:rPr>
        <w:t>通知所有获取了招标文件的投标人。</w:t>
      </w:r>
    </w:p>
    <w:p w14:paraId="32C536AE">
      <w:pPr>
        <w:pageBreakBefore w:val="0"/>
        <w:kinsoku/>
        <w:wordWrap/>
        <w:overflowPunct/>
        <w:topLinePunct w:val="0"/>
        <w:bidi w:val="0"/>
        <w:adjustRightInd w:val="0"/>
        <w:snapToGrid w:val="0"/>
        <w:spacing w:line="480" w:lineRule="exact"/>
        <w:ind w:firstLine="367" w:firstLineChars="175"/>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1.10.2 答疑会或现场考察后，采购人或采购代理机构对投标人所提问题的澄清，以书面形式</w:t>
      </w:r>
      <w:r>
        <w:rPr>
          <w:rFonts w:hint="eastAsia" w:asciiTheme="minorEastAsia" w:hAnsiTheme="minorEastAsia" w:eastAsiaTheme="minorEastAsia" w:cstheme="minorEastAsia"/>
          <w:color w:val="auto"/>
          <w:sz w:val="21"/>
          <w:szCs w:val="21"/>
          <w:highlight w:val="none"/>
          <w:lang w:val="zh-CN"/>
        </w:rPr>
        <w:t>或政采云平台</w:t>
      </w:r>
      <w:r>
        <w:rPr>
          <w:rFonts w:hint="eastAsia" w:asciiTheme="minorEastAsia" w:hAnsiTheme="minorEastAsia" w:eastAsiaTheme="minorEastAsia" w:cstheme="minorEastAsia"/>
          <w:color w:val="auto"/>
          <w:szCs w:val="21"/>
          <w:highlight w:val="none"/>
        </w:rPr>
        <w:t>通知所有获取了招标文件的投标人。该澄清内容为招标文件的组成部分。</w:t>
      </w:r>
    </w:p>
    <w:p w14:paraId="0D6BC3EB">
      <w:pPr>
        <w:pageBreakBefore w:val="0"/>
        <w:kinsoku/>
        <w:wordWrap/>
        <w:overflowPunct/>
        <w:topLinePunct w:val="0"/>
        <w:bidi w:val="0"/>
        <w:adjustRightInd w:val="0"/>
        <w:snapToGrid w:val="0"/>
        <w:spacing w:line="480" w:lineRule="exact"/>
        <w:ind w:firstLine="367" w:firstLineChars="175"/>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1.10.3 采购人不对投标人现场考察而做出的推论、理解和结论负责。一旦成交，中标人不得以任何借口，提出额外补偿，或延长合同期限的要求。</w:t>
      </w:r>
    </w:p>
    <w:p w14:paraId="7F73C366">
      <w:pPr>
        <w:pageBreakBefore w:val="0"/>
        <w:tabs>
          <w:tab w:val="left" w:pos="7665"/>
        </w:tabs>
        <w:kinsoku/>
        <w:wordWrap/>
        <w:overflowPunct/>
        <w:topLinePunct w:val="0"/>
        <w:bidi w:val="0"/>
        <w:spacing w:before="120" w:beforeLines="50" w:after="120" w:afterLines="50" w:line="480" w:lineRule="exact"/>
        <w:jc w:val="center"/>
        <w:textAlignment w:val="auto"/>
        <w:outlineLvl w:val="1"/>
        <w:rPr>
          <w:rFonts w:hint="eastAsia" w:asciiTheme="minorEastAsia" w:hAnsiTheme="minorEastAsia" w:eastAsiaTheme="minorEastAsia" w:cstheme="minorEastAsia"/>
          <w:b/>
          <w:bCs/>
          <w:color w:val="auto"/>
          <w:kern w:val="2"/>
          <w:sz w:val="36"/>
          <w:szCs w:val="36"/>
          <w:highlight w:val="none"/>
          <w:lang w:val="en-US" w:eastAsia="zh-CN" w:bidi="ar-SA"/>
        </w:rPr>
      </w:pPr>
      <w:bookmarkStart w:id="98" w:name="_Toc22846"/>
      <w:r>
        <w:rPr>
          <w:rFonts w:hint="eastAsia" w:asciiTheme="minorEastAsia" w:hAnsiTheme="minorEastAsia" w:eastAsiaTheme="minorEastAsia" w:cstheme="minorEastAsia"/>
          <w:b/>
          <w:bCs/>
          <w:color w:val="auto"/>
          <w:kern w:val="2"/>
          <w:sz w:val="36"/>
          <w:szCs w:val="36"/>
          <w:highlight w:val="none"/>
          <w:lang w:val="en-US" w:eastAsia="zh-CN" w:bidi="ar-SA"/>
        </w:rPr>
        <w:t>2.招标文件</w:t>
      </w:r>
      <w:bookmarkEnd w:id="89"/>
      <w:bookmarkEnd w:id="90"/>
      <w:bookmarkEnd w:id="91"/>
      <w:bookmarkEnd w:id="92"/>
      <w:bookmarkEnd w:id="93"/>
      <w:bookmarkEnd w:id="98"/>
      <w:bookmarkStart w:id="99" w:name="_Toc217446039"/>
      <w:bookmarkStart w:id="100" w:name="_Toc183682347"/>
      <w:bookmarkStart w:id="101" w:name="_Toc183582210"/>
    </w:p>
    <w:p w14:paraId="4F975A2C">
      <w:pPr>
        <w:pStyle w:val="3"/>
        <w:pageBreakBefore w:val="0"/>
        <w:kinsoku/>
        <w:wordWrap/>
        <w:overflowPunct/>
        <w:topLinePunct w:val="0"/>
        <w:bidi w:val="0"/>
        <w:spacing w:before="0" w:after="0" w:line="480" w:lineRule="exact"/>
        <w:textAlignment w:val="auto"/>
        <w:rPr>
          <w:rFonts w:hint="eastAsia" w:asciiTheme="minorEastAsia" w:hAnsiTheme="minorEastAsia" w:eastAsiaTheme="minorEastAsia" w:cstheme="minorEastAsia"/>
          <w:color w:val="auto"/>
          <w:sz w:val="30"/>
          <w:szCs w:val="30"/>
          <w:highlight w:val="none"/>
        </w:rPr>
      </w:pPr>
      <w:bookmarkStart w:id="102" w:name="_Toc32340"/>
      <w:r>
        <w:rPr>
          <w:rFonts w:hint="eastAsia" w:asciiTheme="minorEastAsia" w:hAnsiTheme="minorEastAsia" w:eastAsiaTheme="minorEastAsia" w:cstheme="minorEastAsia"/>
          <w:color w:val="auto"/>
          <w:sz w:val="30"/>
          <w:szCs w:val="30"/>
          <w:highlight w:val="none"/>
        </w:rPr>
        <w:t>2.1招标文件的</w:t>
      </w:r>
      <w:bookmarkEnd w:id="99"/>
      <w:bookmarkEnd w:id="100"/>
      <w:bookmarkEnd w:id="101"/>
      <w:r>
        <w:rPr>
          <w:rFonts w:hint="eastAsia" w:asciiTheme="minorEastAsia" w:hAnsiTheme="minorEastAsia" w:eastAsiaTheme="minorEastAsia" w:cstheme="minorEastAsia"/>
          <w:color w:val="auto"/>
          <w:sz w:val="30"/>
          <w:szCs w:val="30"/>
          <w:highlight w:val="none"/>
        </w:rPr>
        <w:t>组成</w:t>
      </w:r>
      <w:bookmarkEnd w:id="102"/>
    </w:p>
    <w:p w14:paraId="32A2E966">
      <w:pPr>
        <w:pageBreakBefore w:val="0"/>
        <w:tabs>
          <w:tab w:val="left" w:pos="7665"/>
        </w:tabs>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本招标文件包括以下内容：</w:t>
      </w:r>
    </w:p>
    <w:p w14:paraId="7A6F8B53">
      <w:pPr>
        <w:pageBreakBefore w:val="0"/>
        <w:tabs>
          <w:tab w:val="left" w:pos="7665"/>
        </w:tabs>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（1）招标公告；</w:t>
      </w:r>
    </w:p>
    <w:p w14:paraId="33694D10">
      <w:pPr>
        <w:pageBreakBefore w:val="0"/>
        <w:tabs>
          <w:tab w:val="left" w:pos="7665"/>
        </w:tabs>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（2）投标人须知；</w:t>
      </w:r>
    </w:p>
    <w:p w14:paraId="6CF0631B">
      <w:pPr>
        <w:pageBreakBefore w:val="0"/>
        <w:tabs>
          <w:tab w:val="left" w:pos="7665"/>
        </w:tabs>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（3）评标办法；</w:t>
      </w:r>
    </w:p>
    <w:p w14:paraId="603D0018">
      <w:pPr>
        <w:pageBreakBefore w:val="0"/>
        <w:tabs>
          <w:tab w:val="left" w:pos="7665"/>
        </w:tabs>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（4）采购内容及要求；</w:t>
      </w:r>
    </w:p>
    <w:p w14:paraId="38B84BC5">
      <w:pPr>
        <w:pageBreakBefore w:val="0"/>
        <w:tabs>
          <w:tab w:val="left" w:pos="7665"/>
        </w:tabs>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（5）</w:t>
      </w:r>
      <w:r>
        <w:rPr>
          <w:rFonts w:hint="eastAsia" w:asciiTheme="minorEastAsia" w:hAnsiTheme="minorEastAsia" w:eastAsiaTheme="minorEastAsia" w:cstheme="minorEastAsia"/>
          <w:color w:val="auto"/>
          <w:szCs w:val="21"/>
          <w:highlight w:val="none"/>
          <w:lang w:val="en-US" w:eastAsia="zh-CN"/>
        </w:rPr>
        <w:t>采购合同格式（仅供参考）</w:t>
      </w:r>
      <w:r>
        <w:rPr>
          <w:rFonts w:hint="eastAsia" w:asciiTheme="minorEastAsia" w:hAnsiTheme="minorEastAsia" w:eastAsiaTheme="minorEastAsia" w:cstheme="minorEastAsia"/>
          <w:color w:val="auto"/>
          <w:szCs w:val="21"/>
          <w:highlight w:val="none"/>
        </w:rPr>
        <w:t>；</w:t>
      </w:r>
    </w:p>
    <w:p w14:paraId="71314A3D">
      <w:pPr>
        <w:pageBreakBefore w:val="0"/>
        <w:tabs>
          <w:tab w:val="left" w:pos="7665"/>
        </w:tabs>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（6）</w:t>
      </w:r>
      <w:r>
        <w:rPr>
          <w:rFonts w:hint="eastAsia" w:asciiTheme="minorEastAsia" w:hAnsiTheme="minorEastAsia" w:eastAsiaTheme="minorEastAsia" w:cstheme="minorEastAsia"/>
          <w:color w:val="auto"/>
          <w:szCs w:val="21"/>
          <w:highlight w:val="none"/>
          <w:lang w:val="en-US" w:eastAsia="zh-CN"/>
        </w:rPr>
        <w:t>投标文件格式</w:t>
      </w:r>
      <w:r>
        <w:rPr>
          <w:rFonts w:hint="eastAsia" w:asciiTheme="minorEastAsia" w:hAnsiTheme="minorEastAsia" w:eastAsiaTheme="minorEastAsia" w:cstheme="minorEastAsia"/>
          <w:color w:val="auto"/>
          <w:szCs w:val="21"/>
          <w:highlight w:val="none"/>
        </w:rPr>
        <w:t>。</w:t>
      </w:r>
      <w:bookmarkStart w:id="103" w:name="_Toc183582211"/>
      <w:bookmarkStart w:id="104" w:name="_Toc183682348"/>
      <w:bookmarkStart w:id="105" w:name="_Toc217446040"/>
    </w:p>
    <w:p w14:paraId="22AD33B1">
      <w:pPr>
        <w:pageBreakBefore w:val="0"/>
        <w:tabs>
          <w:tab w:val="left" w:pos="7665"/>
        </w:tabs>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根据本章第1.10款第2.2款对招标文件所作的澄清、修改，构成招标文件组成部分。</w:t>
      </w:r>
    </w:p>
    <w:p w14:paraId="2E09AB26">
      <w:pPr>
        <w:pStyle w:val="3"/>
        <w:pageBreakBefore w:val="0"/>
        <w:kinsoku/>
        <w:wordWrap/>
        <w:overflowPunct/>
        <w:topLinePunct w:val="0"/>
        <w:bidi w:val="0"/>
        <w:spacing w:before="0" w:after="0" w:line="480" w:lineRule="exact"/>
        <w:textAlignment w:val="auto"/>
        <w:rPr>
          <w:rFonts w:hint="eastAsia" w:asciiTheme="minorEastAsia" w:hAnsiTheme="minorEastAsia" w:eastAsiaTheme="minorEastAsia" w:cstheme="minorEastAsia"/>
          <w:color w:val="auto"/>
          <w:sz w:val="30"/>
          <w:szCs w:val="30"/>
          <w:highlight w:val="none"/>
        </w:rPr>
      </w:pPr>
      <w:bookmarkStart w:id="106" w:name="_Toc29819"/>
      <w:r>
        <w:rPr>
          <w:rFonts w:hint="eastAsia" w:asciiTheme="minorEastAsia" w:hAnsiTheme="minorEastAsia" w:eastAsiaTheme="minorEastAsia" w:cstheme="minorEastAsia"/>
          <w:color w:val="auto"/>
          <w:sz w:val="30"/>
          <w:szCs w:val="30"/>
          <w:highlight w:val="none"/>
        </w:rPr>
        <w:t>2.2</w:t>
      </w:r>
      <w:r>
        <w:rPr>
          <w:rFonts w:hint="eastAsia" w:asciiTheme="minorEastAsia" w:hAnsiTheme="minorEastAsia" w:eastAsiaTheme="minorEastAsia" w:cstheme="minorEastAsia"/>
          <w:color w:val="auto"/>
          <w:sz w:val="30"/>
          <w:szCs w:val="30"/>
          <w:highlight w:val="none"/>
          <w:lang w:val="en-US" w:eastAsia="zh-CN"/>
        </w:rPr>
        <w:t xml:space="preserve"> </w:t>
      </w:r>
      <w:r>
        <w:rPr>
          <w:rFonts w:hint="eastAsia" w:asciiTheme="minorEastAsia" w:hAnsiTheme="minorEastAsia" w:eastAsiaTheme="minorEastAsia" w:cstheme="minorEastAsia"/>
          <w:color w:val="auto"/>
          <w:sz w:val="30"/>
          <w:szCs w:val="30"/>
          <w:highlight w:val="none"/>
        </w:rPr>
        <w:t>招标文件的澄清</w:t>
      </w:r>
      <w:bookmarkEnd w:id="103"/>
      <w:bookmarkEnd w:id="104"/>
      <w:r>
        <w:rPr>
          <w:rFonts w:hint="eastAsia" w:asciiTheme="minorEastAsia" w:hAnsiTheme="minorEastAsia" w:eastAsiaTheme="minorEastAsia" w:cstheme="minorEastAsia"/>
          <w:color w:val="auto"/>
          <w:sz w:val="30"/>
          <w:szCs w:val="30"/>
          <w:highlight w:val="none"/>
        </w:rPr>
        <w:t>或修改</w:t>
      </w:r>
      <w:bookmarkEnd w:id="105"/>
      <w:bookmarkEnd w:id="106"/>
    </w:p>
    <w:p w14:paraId="7C74F012">
      <w:pPr>
        <w:pageBreakBefore w:val="0"/>
        <w:tabs>
          <w:tab w:val="left" w:pos="720"/>
        </w:tabs>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2.2.1 在投标截止时间前，采购代理机构无论出于何种原因，可以对已发出的招标文件进行必要的澄清或者修改，但不得修改采购标的和资格条件。</w:t>
      </w:r>
    </w:p>
    <w:p w14:paraId="39034963">
      <w:pPr>
        <w:pageBreakBefore w:val="0"/>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2.2.2 采购人或采购代理机构对已发出的招标文件进行必要的澄清或者修改，澄清或修改的内容可能影响投标文件编制的，应当在投标文件截止时间</w:t>
      </w:r>
      <w:r>
        <w:rPr>
          <w:rFonts w:hint="eastAsia" w:asciiTheme="minorEastAsia" w:hAnsiTheme="minorEastAsia" w:eastAsiaTheme="minorEastAsia" w:cstheme="minorEastAsia"/>
          <w:b/>
          <w:color w:val="auto"/>
          <w:szCs w:val="21"/>
          <w:highlight w:val="none"/>
        </w:rPr>
        <w:t>15</w:t>
      </w:r>
      <w:r>
        <w:rPr>
          <w:rFonts w:hint="eastAsia" w:asciiTheme="minorEastAsia" w:hAnsiTheme="minorEastAsia" w:eastAsiaTheme="minorEastAsia" w:cstheme="minorEastAsia"/>
          <w:color w:val="auto"/>
          <w:szCs w:val="21"/>
          <w:highlight w:val="none"/>
        </w:rPr>
        <w:t>日前，以书面形式</w:t>
      </w:r>
      <w:r>
        <w:rPr>
          <w:rFonts w:hint="eastAsia" w:asciiTheme="minorEastAsia" w:hAnsiTheme="minorEastAsia" w:eastAsiaTheme="minorEastAsia" w:cstheme="minorEastAsia"/>
          <w:color w:val="auto"/>
          <w:sz w:val="21"/>
          <w:szCs w:val="21"/>
          <w:highlight w:val="none"/>
          <w:lang w:val="zh-CN"/>
        </w:rPr>
        <w:t>或政采云平台</w:t>
      </w:r>
      <w:r>
        <w:rPr>
          <w:rFonts w:hint="eastAsia" w:asciiTheme="minorEastAsia" w:hAnsiTheme="minorEastAsia" w:eastAsiaTheme="minorEastAsia" w:cstheme="minorEastAsia"/>
          <w:color w:val="auto"/>
          <w:szCs w:val="21"/>
          <w:highlight w:val="none"/>
        </w:rPr>
        <w:t>将澄清或者修改的内容通知所有获取招标文件的投标人。投标人在收到上述通知后，应立即以书面形式</w:t>
      </w:r>
      <w:r>
        <w:rPr>
          <w:rFonts w:hint="eastAsia" w:asciiTheme="minorEastAsia" w:hAnsiTheme="minorEastAsia" w:eastAsiaTheme="minorEastAsia" w:cstheme="minorEastAsia"/>
          <w:color w:val="auto"/>
          <w:sz w:val="21"/>
          <w:szCs w:val="21"/>
          <w:highlight w:val="none"/>
          <w:lang w:val="zh-CN"/>
        </w:rPr>
        <w:t>或政采云平台</w:t>
      </w:r>
      <w:r>
        <w:rPr>
          <w:rFonts w:hint="eastAsia" w:asciiTheme="minorEastAsia" w:hAnsiTheme="minorEastAsia" w:eastAsiaTheme="minorEastAsia" w:cstheme="minorEastAsia"/>
          <w:color w:val="auto"/>
          <w:szCs w:val="21"/>
          <w:highlight w:val="none"/>
        </w:rPr>
        <w:t>向采购代理机构确认。如果澄清或者修改发出的时间距规定的投标截止时间不足</w:t>
      </w:r>
      <w:r>
        <w:rPr>
          <w:rFonts w:hint="eastAsia" w:asciiTheme="minorEastAsia" w:hAnsiTheme="minorEastAsia" w:eastAsiaTheme="minorEastAsia" w:cstheme="minorEastAsia"/>
          <w:b/>
          <w:color w:val="auto"/>
          <w:szCs w:val="21"/>
          <w:highlight w:val="none"/>
        </w:rPr>
        <w:t>15</w:t>
      </w:r>
      <w:r>
        <w:rPr>
          <w:rFonts w:hint="eastAsia" w:asciiTheme="minorEastAsia" w:hAnsiTheme="minorEastAsia" w:eastAsiaTheme="minorEastAsia" w:cstheme="minorEastAsia"/>
          <w:color w:val="auto"/>
          <w:szCs w:val="21"/>
          <w:highlight w:val="none"/>
        </w:rPr>
        <w:t>日，将相应顺延投标截止时间。</w:t>
      </w:r>
    </w:p>
    <w:p w14:paraId="36E36EFA">
      <w:pPr>
        <w:pageBreakBefore w:val="0"/>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2.2</w:t>
      </w:r>
      <w:r>
        <w:rPr>
          <w:rFonts w:hint="eastAsia" w:asciiTheme="minorEastAsia" w:hAnsiTheme="minorEastAsia" w:eastAsiaTheme="minorEastAsia" w:cstheme="minorEastAsia"/>
          <w:b/>
          <w:bCs/>
          <w:color w:val="auto"/>
          <w:szCs w:val="21"/>
          <w:highlight w:val="none"/>
        </w:rPr>
        <w:t>.</w:t>
      </w:r>
      <w:r>
        <w:rPr>
          <w:rFonts w:hint="eastAsia" w:asciiTheme="minorEastAsia" w:hAnsiTheme="minorEastAsia" w:eastAsiaTheme="minorEastAsia" w:cstheme="minorEastAsia"/>
          <w:color w:val="auto"/>
          <w:szCs w:val="21"/>
          <w:highlight w:val="none"/>
        </w:rPr>
        <w:t>3 投标人应仔细阅读和检查招标文件的全部内容。如发现缺页或附件不全，应及时向采购代理机构提出，以便补齐。如需要询问或澄清的（除质疑外），或认为有必要与采购代理机构进行技术交流的，均应在投标截止时间</w:t>
      </w:r>
      <w:r>
        <w:rPr>
          <w:rFonts w:hint="eastAsia" w:asciiTheme="minorEastAsia" w:hAnsiTheme="minorEastAsia" w:eastAsiaTheme="minorEastAsia" w:cstheme="minorEastAsia"/>
          <w:b/>
          <w:color w:val="auto"/>
          <w:szCs w:val="21"/>
          <w:highlight w:val="none"/>
        </w:rPr>
        <w:t>10</w:t>
      </w:r>
      <w:r>
        <w:rPr>
          <w:rFonts w:hint="eastAsia" w:asciiTheme="minorEastAsia" w:hAnsiTheme="minorEastAsia" w:eastAsiaTheme="minorEastAsia" w:cstheme="minorEastAsia"/>
          <w:color w:val="auto"/>
          <w:szCs w:val="21"/>
          <w:highlight w:val="none"/>
        </w:rPr>
        <w:t>日前按招标文件中的联系方式，以书面形式向采购代理机构提出，采购代理机构应当在</w:t>
      </w:r>
      <w:r>
        <w:rPr>
          <w:rFonts w:hint="eastAsia" w:asciiTheme="minorEastAsia" w:hAnsiTheme="minorEastAsia" w:eastAsiaTheme="minorEastAsia" w:cstheme="minorEastAsia"/>
          <w:b/>
          <w:color w:val="auto"/>
          <w:szCs w:val="21"/>
          <w:highlight w:val="none"/>
        </w:rPr>
        <w:t>3</w:t>
      </w:r>
      <w:r>
        <w:rPr>
          <w:rFonts w:hint="eastAsia" w:asciiTheme="minorEastAsia" w:hAnsiTheme="minorEastAsia" w:eastAsiaTheme="minorEastAsia" w:cstheme="minorEastAsia"/>
          <w:color w:val="auto"/>
          <w:szCs w:val="21"/>
          <w:highlight w:val="none"/>
        </w:rPr>
        <w:t>个工作日内，以书面形式</w:t>
      </w:r>
      <w:r>
        <w:rPr>
          <w:rFonts w:hint="eastAsia" w:asciiTheme="minorEastAsia" w:hAnsiTheme="minorEastAsia" w:eastAsiaTheme="minorEastAsia" w:cstheme="minorEastAsia"/>
          <w:color w:val="auto"/>
          <w:sz w:val="21"/>
          <w:szCs w:val="21"/>
          <w:highlight w:val="none"/>
          <w:lang w:val="zh-CN"/>
        </w:rPr>
        <w:t>或政采云平台</w:t>
      </w:r>
      <w:r>
        <w:rPr>
          <w:rFonts w:hint="eastAsia" w:asciiTheme="minorEastAsia" w:hAnsiTheme="minorEastAsia" w:eastAsiaTheme="minorEastAsia" w:cstheme="minorEastAsia"/>
          <w:color w:val="auto"/>
          <w:szCs w:val="21"/>
          <w:highlight w:val="none"/>
        </w:rPr>
        <w:t>予以答复，或认为有必要召开答疑会。超过该时间收到的需要询问或澄清的内容，采购代理机构有权不予答复。</w:t>
      </w:r>
    </w:p>
    <w:p w14:paraId="5860D3A3">
      <w:pPr>
        <w:pageBreakBefore w:val="0"/>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2.2.4 在投标截止时间前，采购代理机构可以视采购具体情况，延长投标截止时间和开标时间，并在招标文件要求提交投标文件的截止时间前，将变更时间以书面形式</w:t>
      </w:r>
      <w:r>
        <w:rPr>
          <w:rFonts w:hint="eastAsia" w:asciiTheme="minorEastAsia" w:hAnsiTheme="minorEastAsia" w:eastAsiaTheme="minorEastAsia" w:cstheme="minorEastAsia"/>
          <w:color w:val="auto"/>
          <w:sz w:val="21"/>
          <w:szCs w:val="21"/>
          <w:highlight w:val="none"/>
          <w:lang w:val="zh-CN"/>
        </w:rPr>
        <w:t>或政采云平台</w:t>
      </w:r>
      <w:r>
        <w:rPr>
          <w:rFonts w:hint="eastAsia" w:asciiTheme="minorEastAsia" w:hAnsiTheme="minorEastAsia" w:eastAsiaTheme="minorEastAsia" w:cstheme="minorEastAsia"/>
          <w:color w:val="auto"/>
          <w:szCs w:val="21"/>
          <w:highlight w:val="none"/>
        </w:rPr>
        <w:t>通知所有获取招标文件的投标人，同时在原信息发布媒体上发布变更公告。</w:t>
      </w:r>
      <w:bookmarkStart w:id="107" w:name="_Toc183682350"/>
      <w:bookmarkStart w:id="108" w:name="_Toc217446041"/>
      <w:bookmarkStart w:id="109" w:name="_Toc208848971"/>
      <w:bookmarkStart w:id="110" w:name="_Toc183582213"/>
    </w:p>
    <w:p w14:paraId="2A5A4DCF">
      <w:pPr>
        <w:pageBreakBefore w:val="0"/>
        <w:kinsoku/>
        <w:wordWrap/>
        <w:overflowPunct/>
        <w:topLinePunct w:val="0"/>
        <w:bidi w:val="0"/>
        <w:spacing w:line="480" w:lineRule="exact"/>
        <w:ind w:firstLine="42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2.2.5 当招标文件澄清、答复、修改或补充通知与招标文件就同一内容表述不一致时，以最后发出的书面文件内容为准。</w:t>
      </w:r>
    </w:p>
    <w:bookmarkEnd w:id="107"/>
    <w:bookmarkEnd w:id="108"/>
    <w:bookmarkEnd w:id="109"/>
    <w:bookmarkEnd w:id="110"/>
    <w:p w14:paraId="4A1B4884">
      <w:pPr>
        <w:pStyle w:val="3"/>
        <w:pageBreakBefore w:val="0"/>
        <w:kinsoku/>
        <w:wordWrap/>
        <w:overflowPunct/>
        <w:topLinePunct w:val="0"/>
        <w:bidi w:val="0"/>
        <w:spacing w:before="0" w:after="0" w:line="480" w:lineRule="exact"/>
        <w:textAlignment w:val="auto"/>
        <w:rPr>
          <w:rFonts w:hint="eastAsia" w:asciiTheme="minorEastAsia" w:hAnsiTheme="minorEastAsia" w:eastAsiaTheme="minorEastAsia" w:cstheme="minorEastAsia"/>
          <w:color w:val="auto"/>
          <w:sz w:val="30"/>
          <w:szCs w:val="30"/>
          <w:highlight w:val="none"/>
        </w:rPr>
      </w:pPr>
      <w:bookmarkStart w:id="111" w:name="_Toc4480"/>
      <w:r>
        <w:rPr>
          <w:rFonts w:hint="eastAsia" w:asciiTheme="minorEastAsia" w:hAnsiTheme="minorEastAsia" w:eastAsiaTheme="minorEastAsia" w:cstheme="minorEastAsia"/>
          <w:color w:val="auto"/>
          <w:sz w:val="30"/>
          <w:szCs w:val="30"/>
          <w:highlight w:val="none"/>
        </w:rPr>
        <w:t>2.3</w:t>
      </w:r>
      <w:r>
        <w:rPr>
          <w:rFonts w:hint="eastAsia" w:asciiTheme="minorEastAsia" w:hAnsiTheme="minorEastAsia" w:eastAsiaTheme="minorEastAsia" w:cstheme="minorEastAsia"/>
          <w:color w:val="auto"/>
          <w:sz w:val="30"/>
          <w:szCs w:val="30"/>
          <w:highlight w:val="none"/>
          <w:lang w:val="en-US" w:eastAsia="zh-CN"/>
        </w:rPr>
        <w:t xml:space="preserve"> </w:t>
      </w:r>
      <w:r>
        <w:rPr>
          <w:rFonts w:hint="eastAsia" w:asciiTheme="minorEastAsia" w:hAnsiTheme="minorEastAsia" w:eastAsiaTheme="minorEastAsia" w:cstheme="minorEastAsia"/>
          <w:color w:val="auto"/>
          <w:sz w:val="30"/>
          <w:szCs w:val="30"/>
          <w:highlight w:val="none"/>
        </w:rPr>
        <w:t>招标文件的解释权</w:t>
      </w:r>
      <w:bookmarkEnd w:id="111"/>
    </w:p>
    <w:p w14:paraId="304A4D85">
      <w:pPr>
        <w:pStyle w:val="4"/>
        <w:pageBreakBefore w:val="0"/>
        <w:kinsoku/>
        <w:wordWrap/>
        <w:overflowPunct/>
        <w:topLinePunct w:val="0"/>
        <w:bidi w:val="0"/>
        <w:spacing w:line="480" w:lineRule="exact"/>
        <w:ind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招标文件的解释权归采购代理机构，如发现招标文件内容与现行法律法规不相符的情况，以现行法律法规为准。</w:t>
      </w:r>
      <w:bookmarkStart w:id="112" w:name="_Toc89075876"/>
      <w:bookmarkStart w:id="113" w:name="_Toc77400780"/>
      <w:bookmarkStart w:id="114" w:name="_Toc183682351"/>
      <w:bookmarkStart w:id="115" w:name="_Toc183582214"/>
      <w:bookmarkStart w:id="116" w:name="_Toc217446042"/>
    </w:p>
    <w:p w14:paraId="6C7D4D4E">
      <w:pPr>
        <w:pStyle w:val="4"/>
        <w:pageBreakBefore w:val="0"/>
        <w:kinsoku/>
        <w:wordWrap/>
        <w:overflowPunct/>
        <w:topLinePunct w:val="0"/>
        <w:bidi w:val="0"/>
        <w:spacing w:before="120" w:beforeLines="50" w:after="120" w:afterLines="50" w:line="480" w:lineRule="exact"/>
        <w:ind w:firstLine="0"/>
        <w:jc w:val="center"/>
        <w:textAlignment w:val="auto"/>
        <w:outlineLvl w:val="1"/>
        <w:rPr>
          <w:rFonts w:hint="eastAsia" w:asciiTheme="minorEastAsia" w:hAnsiTheme="minorEastAsia" w:eastAsiaTheme="minorEastAsia" w:cstheme="minorEastAsia"/>
          <w:b/>
          <w:color w:val="auto"/>
          <w:sz w:val="36"/>
          <w:szCs w:val="36"/>
          <w:highlight w:val="none"/>
        </w:rPr>
      </w:pPr>
      <w:bookmarkStart w:id="117" w:name="_Toc27898"/>
      <w:r>
        <w:rPr>
          <w:rFonts w:hint="eastAsia" w:asciiTheme="minorEastAsia" w:hAnsiTheme="minorEastAsia" w:eastAsiaTheme="minorEastAsia" w:cstheme="minorEastAsia"/>
          <w:b/>
          <w:bCs/>
          <w:color w:val="auto"/>
          <w:sz w:val="36"/>
          <w:szCs w:val="36"/>
          <w:highlight w:val="none"/>
        </w:rPr>
        <w:t>3.投标人</w:t>
      </w:r>
      <w:bookmarkEnd w:id="117"/>
    </w:p>
    <w:p w14:paraId="0A1FFAFD">
      <w:pPr>
        <w:pStyle w:val="3"/>
        <w:pageBreakBefore w:val="0"/>
        <w:kinsoku/>
        <w:wordWrap/>
        <w:overflowPunct/>
        <w:topLinePunct w:val="0"/>
        <w:bidi w:val="0"/>
        <w:spacing w:before="0" w:after="0" w:line="480" w:lineRule="exact"/>
        <w:textAlignment w:val="auto"/>
        <w:rPr>
          <w:rFonts w:hint="eastAsia" w:asciiTheme="minorEastAsia" w:hAnsiTheme="minorEastAsia" w:eastAsiaTheme="minorEastAsia" w:cstheme="minorEastAsia"/>
          <w:color w:val="auto"/>
          <w:sz w:val="30"/>
          <w:szCs w:val="30"/>
          <w:highlight w:val="none"/>
        </w:rPr>
      </w:pPr>
      <w:bookmarkStart w:id="118" w:name="_Toc28703"/>
      <w:r>
        <w:rPr>
          <w:rFonts w:hint="eastAsia" w:asciiTheme="minorEastAsia" w:hAnsiTheme="minorEastAsia" w:eastAsiaTheme="minorEastAsia" w:cstheme="minorEastAsia"/>
          <w:color w:val="auto"/>
          <w:sz w:val="30"/>
          <w:szCs w:val="30"/>
          <w:highlight w:val="none"/>
        </w:rPr>
        <w:t>3.</w:t>
      </w:r>
      <w:bookmarkEnd w:id="112"/>
      <w:bookmarkEnd w:id="113"/>
      <w:bookmarkEnd w:id="114"/>
      <w:bookmarkEnd w:id="115"/>
      <w:bookmarkEnd w:id="116"/>
      <w:bookmarkStart w:id="119" w:name="_Toc183582215"/>
      <w:bookmarkStart w:id="120" w:name="_Toc183682352"/>
      <w:bookmarkStart w:id="121" w:name="_Toc217446043"/>
      <w:r>
        <w:rPr>
          <w:rFonts w:hint="eastAsia" w:asciiTheme="minorEastAsia" w:hAnsiTheme="minorEastAsia" w:eastAsiaTheme="minorEastAsia" w:cstheme="minorEastAsia"/>
          <w:color w:val="auto"/>
          <w:sz w:val="30"/>
          <w:szCs w:val="30"/>
          <w:highlight w:val="none"/>
          <w:lang w:val="en-US" w:eastAsia="zh-CN"/>
        </w:rPr>
        <w:t xml:space="preserve">1 </w:t>
      </w:r>
      <w:r>
        <w:rPr>
          <w:rFonts w:hint="eastAsia" w:asciiTheme="minorEastAsia" w:hAnsiTheme="minorEastAsia" w:eastAsiaTheme="minorEastAsia" w:cstheme="minorEastAsia"/>
          <w:color w:val="auto"/>
          <w:sz w:val="30"/>
          <w:szCs w:val="30"/>
          <w:highlight w:val="none"/>
        </w:rPr>
        <w:t>投标人资格要求</w:t>
      </w:r>
      <w:bookmarkEnd w:id="118"/>
    </w:p>
    <w:p w14:paraId="308E5305">
      <w:pPr>
        <w:pageBreakBefore w:val="0"/>
        <w:widowControl/>
        <w:kinsoku/>
        <w:wordWrap/>
        <w:overflowPunct/>
        <w:topLinePunct w:val="0"/>
        <w:bidi w:val="0"/>
        <w:adjustRightInd w:val="0"/>
        <w:snapToGrid w:val="0"/>
        <w:spacing w:line="480" w:lineRule="exact"/>
        <w:ind w:firstLine="422" w:firstLineChars="200"/>
        <w:jc w:val="left"/>
        <w:textAlignment w:val="auto"/>
        <w:rPr>
          <w:rFonts w:hint="eastAsia" w:asciiTheme="minorEastAsia" w:hAnsiTheme="minorEastAsia" w:eastAsiaTheme="minorEastAsia" w:cstheme="minorEastAsia"/>
          <w:b/>
          <w:bCs/>
          <w:color w:val="auto"/>
          <w:kern w:val="0"/>
          <w:szCs w:val="21"/>
          <w:highlight w:val="none"/>
          <w:lang w:val="zh-CN"/>
        </w:rPr>
      </w:pPr>
      <w:r>
        <w:rPr>
          <w:rFonts w:hint="eastAsia" w:asciiTheme="minorEastAsia" w:hAnsiTheme="minorEastAsia" w:eastAsiaTheme="minorEastAsia" w:cstheme="minorEastAsia"/>
          <w:b/>
          <w:bCs/>
          <w:color w:val="auto"/>
          <w:szCs w:val="21"/>
          <w:highlight w:val="none"/>
        </w:rPr>
        <w:t xml:space="preserve">3.1.1 </w:t>
      </w:r>
      <w:r>
        <w:rPr>
          <w:rFonts w:hint="eastAsia" w:asciiTheme="minorEastAsia" w:hAnsiTheme="minorEastAsia" w:eastAsiaTheme="minorEastAsia" w:cstheme="minorEastAsia"/>
          <w:b/>
          <w:bCs/>
          <w:color w:val="auto"/>
          <w:kern w:val="0"/>
          <w:szCs w:val="21"/>
          <w:highlight w:val="none"/>
        </w:rPr>
        <w:t>投标人应符合资格要求规定的条件，</w:t>
      </w:r>
      <w:r>
        <w:rPr>
          <w:rFonts w:hint="eastAsia" w:asciiTheme="minorEastAsia" w:hAnsiTheme="minorEastAsia" w:eastAsiaTheme="minorEastAsia" w:cstheme="minorEastAsia"/>
          <w:b/>
          <w:bCs/>
          <w:color w:val="auto"/>
          <w:kern w:val="0"/>
          <w:szCs w:val="21"/>
          <w:highlight w:val="none"/>
          <w:lang w:val="zh-CN"/>
        </w:rPr>
        <w:t>并根据</w:t>
      </w:r>
      <w:r>
        <w:rPr>
          <w:rFonts w:hint="eastAsia" w:asciiTheme="minorEastAsia" w:hAnsiTheme="minorEastAsia" w:eastAsiaTheme="minorEastAsia" w:cstheme="minorEastAsia"/>
          <w:b/>
          <w:bCs/>
          <w:color w:val="auto"/>
          <w:highlight w:val="none"/>
        </w:rPr>
        <w:t>资格要求</w:t>
      </w:r>
      <w:r>
        <w:rPr>
          <w:rFonts w:hint="eastAsia" w:asciiTheme="minorEastAsia" w:hAnsiTheme="minorEastAsia" w:eastAsiaTheme="minorEastAsia" w:cstheme="minorEastAsia"/>
          <w:b/>
          <w:bCs/>
          <w:color w:val="auto"/>
          <w:kern w:val="0"/>
          <w:szCs w:val="21"/>
          <w:highlight w:val="none"/>
          <w:lang w:val="zh-CN"/>
        </w:rPr>
        <w:t>规定提供下列材料：</w:t>
      </w:r>
    </w:p>
    <w:p w14:paraId="45ED379C">
      <w:pPr>
        <w:pageBreakBefore w:val="0"/>
        <w:kinsoku/>
        <w:wordWrap/>
        <w:overflowPunct/>
        <w:topLinePunct w:val="0"/>
        <w:bidi w:val="0"/>
        <w:spacing w:line="480" w:lineRule="exact"/>
        <w:ind w:firstLine="422" w:firstLineChars="200"/>
        <w:textAlignment w:val="auto"/>
        <w:rPr>
          <w:rFonts w:hint="eastAsia" w:asciiTheme="minorEastAsia" w:hAnsiTheme="minorEastAsia" w:eastAsiaTheme="minorEastAsia" w:cstheme="minorEastAsia"/>
          <w:b/>
          <w:color w:val="auto"/>
          <w:szCs w:val="21"/>
          <w:highlight w:val="none"/>
        </w:rPr>
      </w:pPr>
      <w:r>
        <w:rPr>
          <w:rFonts w:hint="eastAsia" w:asciiTheme="minorEastAsia" w:hAnsiTheme="minorEastAsia" w:eastAsiaTheme="minorEastAsia" w:cstheme="minorEastAsia"/>
          <w:b/>
          <w:color w:val="auto"/>
          <w:szCs w:val="21"/>
          <w:highlight w:val="none"/>
        </w:rPr>
        <w:t>（1）投标人为企业法人应提供合法有效的标识有统一社会信用代码的营业执照；事业法人应提供事业单位法人证书；其他组织应提供合法登记证明文件；</w:t>
      </w:r>
    </w:p>
    <w:p w14:paraId="54E08260">
      <w:pPr>
        <w:pageBreakBefore w:val="0"/>
        <w:kinsoku/>
        <w:wordWrap/>
        <w:overflowPunct/>
        <w:topLinePunct w:val="0"/>
        <w:bidi w:val="0"/>
        <w:spacing w:line="480" w:lineRule="exact"/>
        <w:ind w:firstLine="422" w:firstLineChars="200"/>
        <w:textAlignment w:val="auto"/>
        <w:rPr>
          <w:rFonts w:hint="eastAsia" w:asciiTheme="minorEastAsia" w:hAnsiTheme="minorEastAsia" w:eastAsiaTheme="minorEastAsia" w:cstheme="minorEastAsia"/>
          <w:b/>
          <w:color w:val="auto"/>
          <w:szCs w:val="21"/>
          <w:highlight w:val="none"/>
        </w:rPr>
      </w:pPr>
      <w:r>
        <w:rPr>
          <w:rFonts w:hint="eastAsia" w:asciiTheme="minorEastAsia" w:hAnsiTheme="minorEastAsia" w:eastAsiaTheme="minorEastAsia" w:cstheme="minorEastAsia"/>
          <w:b/>
          <w:color w:val="auto"/>
          <w:szCs w:val="21"/>
          <w:highlight w:val="none"/>
        </w:rPr>
        <w:t>（2）法定代表人身份证或法定代表人授权委托书和委托代理人的身份证。法定代表人授权委托书应当与响应文件中所提供的相一致；</w:t>
      </w:r>
    </w:p>
    <w:p w14:paraId="0E589116">
      <w:pPr>
        <w:pageBreakBefore w:val="0"/>
        <w:kinsoku/>
        <w:wordWrap/>
        <w:overflowPunct/>
        <w:topLinePunct w:val="0"/>
        <w:bidi w:val="0"/>
        <w:spacing w:line="480" w:lineRule="exact"/>
        <w:ind w:firstLine="422" w:firstLineChars="200"/>
        <w:textAlignment w:val="auto"/>
        <w:rPr>
          <w:rFonts w:hint="eastAsia" w:asciiTheme="minorEastAsia" w:hAnsiTheme="minorEastAsia" w:eastAsiaTheme="minorEastAsia" w:cstheme="minorEastAsia"/>
          <w:b/>
          <w:color w:val="auto"/>
          <w:szCs w:val="21"/>
          <w:highlight w:val="none"/>
        </w:rPr>
      </w:pPr>
      <w:r>
        <w:rPr>
          <w:rFonts w:hint="eastAsia" w:asciiTheme="minorEastAsia" w:hAnsiTheme="minorEastAsia" w:eastAsiaTheme="minorEastAsia" w:cstheme="minorEastAsia"/>
          <w:b/>
          <w:color w:val="auto"/>
          <w:szCs w:val="21"/>
          <w:highlight w:val="none"/>
          <w:lang w:val="en-US" w:eastAsia="zh-CN"/>
        </w:rPr>
        <w:t>（3）投标人</w:t>
      </w:r>
      <w:r>
        <w:rPr>
          <w:rFonts w:hint="eastAsia" w:asciiTheme="minorEastAsia" w:hAnsiTheme="minorEastAsia" w:eastAsiaTheme="minorEastAsia" w:cstheme="minorEastAsia"/>
          <w:b/>
          <w:color w:val="auto"/>
          <w:szCs w:val="21"/>
          <w:highlight w:val="none"/>
        </w:rPr>
        <w:t>须在“信用中国”（www.creditchina.gov.cn）和中国政府采购网（www.ccgp.gov.cn）上未被列入失信被执行人、重大税收违法失信主体、政府采购严重违法失信行为记录名单（网页打印件须自</w:t>
      </w:r>
      <w:r>
        <w:rPr>
          <w:rFonts w:hint="eastAsia" w:asciiTheme="minorEastAsia" w:hAnsiTheme="minorEastAsia" w:eastAsiaTheme="minorEastAsia" w:cstheme="minorEastAsia"/>
          <w:b/>
          <w:color w:val="auto"/>
          <w:szCs w:val="21"/>
          <w:highlight w:val="none"/>
          <w:lang w:eastAsia="zh-CN"/>
        </w:rPr>
        <w:t>招标文件</w:t>
      </w:r>
      <w:r>
        <w:rPr>
          <w:rFonts w:hint="eastAsia" w:asciiTheme="minorEastAsia" w:hAnsiTheme="minorEastAsia" w:eastAsiaTheme="minorEastAsia" w:cstheme="minorEastAsia"/>
          <w:b/>
          <w:color w:val="auto"/>
          <w:szCs w:val="21"/>
          <w:highlight w:val="none"/>
        </w:rPr>
        <w:t>发布之日起至投标截止时间从上述网站中打印）</w:t>
      </w:r>
      <w:r>
        <w:rPr>
          <w:rFonts w:hint="eastAsia" w:asciiTheme="minorEastAsia" w:hAnsiTheme="minorEastAsia" w:eastAsiaTheme="minorEastAsia" w:cstheme="minorEastAsia"/>
          <w:b/>
          <w:color w:val="auto"/>
          <w:szCs w:val="21"/>
          <w:highlight w:val="none"/>
          <w:lang w:val="en-US" w:eastAsia="zh-CN"/>
        </w:rPr>
        <w:t>；</w:t>
      </w:r>
    </w:p>
    <w:p w14:paraId="5090FCBE">
      <w:pPr>
        <w:pageBreakBefore w:val="0"/>
        <w:kinsoku/>
        <w:wordWrap/>
        <w:overflowPunct/>
        <w:topLinePunct w:val="0"/>
        <w:bidi w:val="0"/>
        <w:spacing w:line="480" w:lineRule="exact"/>
        <w:ind w:firstLine="422" w:firstLineChars="200"/>
        <w:textAlignment w:val="auto"/>
        <w:rPr>
          <w:rFonts w:hint="eastAsia" w:asciiTheme="minorEastAsia" w:hAnsiTheme="minorEastAsia" w:eastAsiaTheme="minorEastAsia" w:cstheme="minorEastAsia"/>
          <w:b/>
          <w:color w:val="auto"/>
          <w:szCs w:val="21"/>
          <w:highlight w:val="none"/>
        </w:rPr>
      </w:pPr>
      <w:r>
        <w:rPr>
          <w:rFonts w:hint="eastAsia" w:asciiTheme="minorEastAsia" w:hAnsiTheme="minorEastAsia" w:eastAsiaTheme="minorEastAsia" w:cstheme="minorEastAsia"/>
          <w:b/>
          <w:color w:val="auto"/>
          <w:szCs w:val="21"/>
          <w:highlight w:val="none"/>
        </w:rPr>
        <w:t>（</w:t>
      </w:r>
      <w:r>
        <w:rPr>
          <w:rFonts w:hint="eastAsia" w:asciiTheme="minorEastAsia" w:hAnsiTheme="minorEastAsia" w:eastAsiaTheme="minorEastAsia" w:cstheme="minorEastAsia"/>
          <w:b/>
          <w:color w:val="auto"/>
          <w:szCs w:val="21"/>
          <w:highlight w:val="none"/>
          <w:lang w:val="en-US" w:eastAsia="zh-CN"/>
        </w:rPr>
        <w:t>4</w:t>
      </w:r>
      <w:r>
        <w:rPr>
          <w:rFonts w:hint="eastAsia" w:asciiTheme="minorEastAsia" w:hAnsiTheme="minorEastAsia" w:eastAsiaTheme="minorEastAsia" w:cstheme="minorEastAsia"/>
          <w:b/>
          <w:color w:val="auto"/>
          <w:szCs w:val="21"/>
          <w:highlight w:val="none"/>
        </w:rPr>
        <w:t>）投标人</w:t>
      </w:r>
      <w:r>
        <w:rPr>
          <w:rFonts w:hint="eastAsia" w:asciiTheme="minorEastAsia" w:hAnsiTheme="minorEastAsia" w:eastAsiaTheme="minorEastAsia" w:cstheme="minorEastAsia"/>
          <w:b/>
          <w:color w:val="auto"/>
          <w:szCs w:val="21"/>
          <w:highlight w:val="none"/>
          <w:lang w:eastAsia="zh-CN"/>
        </w:rPr>
        <w:t>提供近半年内已缴存的至少一个月的社会保障资金缴存单据或社保机构开具的社会保险参保缴费情况证明，依法不需要缴纳社会保障资金的投标人应提供相关文件证明或投标人提供承诺书</w:t>
      </w:r>
      <w:r>
        <w:rPr>
          <w:rFonts w:hint="eastAsia" w:asciiTheme="minorEastAsia" w:hAnsiTheme="minorEastAsia" w:eastAsiaTheme="minorEastAsia" w:cstheme="minorEastAsia"/>
          <w:b/>
          <w:color w:val="auto"/>
          <w:szCs w:val="21"/>
          <w:highlight w:val="none"/>
        </w:rPr>
        <w:t>；</w:t>
      </w:r>
    </w:p>
    <w:p w14:paraId="1468BBAA">
      <w:pPr>
        <w:pageBreakBefore w:val="0"/>
        <w:kinsoku/>
        <w:wordWrap/>
        <w:overflowPunct/>
        <w:topLinePunct w:val="0"/>
        <w:bidi w:val="0"/>
        <w:spacing w:line="480" w:lineRule="exact"/>
        <w:ind w:firstLine="422" w:firstLineChars="200"/>
        <w:textAlignment w:val="auto"/>
        <w:rPr>
          <w:rFonts w:hint="eastAsia" w:asciiTheme="minorEastAsia" w:hAnsiTheme="minorEastAsia" w:eastAsiaTheme="minorEastAsia" w:cstheme="minorEastAsia"/>
          <w:b/>
          <w:color w:val="auto"/>
          <w:szCs w:val="21"/>
          <w:highlight w:val="none"/>
        </w:rPr>
      </w:pPr>
      <w:r>
        <w:rPr>
          <w:rFonts w:hint="eastAsia" w:asciiTheme="minorEastAsia" w:hAnsiTheme="minorEastAsia" w:eastAsiaTheme="minorEastAsia" w:cstheme="minorEastAsia"/>
          <w:b/>
          <w:color w:val="auto"/>
          <w:szCs w:val="21"/>
          <w:highlight w:val="none"/>
        </w:rPr>
        <w:t>（</w:t>
      </w:r>
      <w:r>
        <w:rPr>
          <w:rFonts w:hint="eastAsia" w:asciiTheme="minorEastAsia" w:hAnsiTheme="minorEastAsia" w:eastAsiaTheme="minorEastAsia" w:cstheme="minorEastAsia"/>
          <w:b/>
          <w:color w:val="auto"/>
          <w:szCs w:val="21"/>
          <w:highlight w:val="none"/>
          <w:lang w:val="en-US" w:eastAsia="zh-CN"/>
        </w:rPr>
        <w:t>5</w:t>
      </w:r>
      <w:r>
        <w:rPr>
          <w:rFonts w:hint="eastAsia" w:asciiTheme="minorEastAsia" w:hAnsiTheme="minorEastAsia" w:eastAsiaTheme="minorEastAsia" w:cstheme="minorEastAsia"/>
          <w:b/>
          <w:color w:val="auto"/>
          <w:szCs w:val="21"/>
          <w:highlight w:val="none"/>
        </w:rPr>
        <w:t>）投标人提供202</w:t>
      </w:r>
      <w:r>
        <w:rPr>
          <w:rFonts w:hint="eastAsia" w:asciiTheme="minorEastAsia" w:hAnsiTheme="minorEastAsia" w:eastAsiaTheme="minorEastAsia" w:cstheme="minorEastAsia"/>
          <w:b/>
          <w:color w:val="auto"/>
          <w:szCs w:val="21"/>
          <w:highlight w:val="none"/>
          <w:lang w:val="en-US" w:eastAsia="zh-CN"/>
        </w:rPr>
        <w:t>2（或2023）</w:t>
      </w:r>
      <w:r>
        <w:rPr>
          <w:rFonts w:hint="eastAsia" w:asciiTheme="minorEastAsia" w:hAnsiTheme="minorEastAsia" w:eastAsiaTheme="minorEastAsia" w:cstheme="minorEastAsia"/>
          <w:b/>
          <w:color w:val="auto"/>
          <w:szCs w:val="21"/>
          <w:highlight w:val="none"/>
        </w:rPr>
        <w:t>年的财务审计报告（成立时间至提交投标文件截止时间不足一年的可提供成立后任意时段的资产负债表），或其开标前三个月内基本存款账户开户银行出具的资信证明及基本存款账户开户许可证；</w:t>
      </w:r>
    </w:p>
    <w:p w14:paraId="0F7D5A15">
      <w:pPr>
        <w:pageBreakBefore w:val="0"/>
        <w:kinsoku/>
        <w:wordWrap/>
        <w:overflowPunct/>
        <w:topLinePunct w:val="0"/>
        <w:bidi w:val="0"/>
        <w:spacing w:line="480" w:lineRule="exact"/>
        <w:ind w:firstLine="422" w:firstLineChars="200"/>
        <w:textAlignment w:val="auto"/>
        <w:rPr>
          <w:rFonts w:hint="eastAsia" w:asciiTheme="minorEastAsia" w:hAnsiTheme="minorEastAsia" w:eastAsiaTheme="minorEastAsia" w:cstheme="minorEastAsia"/>
          <w:b/>
          <w:color w:val="auto"/>
          <w:szCs w:val="21"/>
          <w:highlight w:val="none"/>
        </w:rPr>
      </w:pPr>
      <w:r>
        <w:rPr>
          <w:rFonts w:hint="eastAsia" w:asciiTheme="minorEastAsia" w:hAnsiTheme="minorEastAsia" w:eastAsiaTheme="minorEastAsia" w:cstheme="minorEastAsia"/>
          <w:b/>
          <w:color w:val="auto"/>
          <w:szCs w:val="21"/>
          <w:highlight w:val="none"/>
        </w:rPr>
        <w:t>（</w:t>
      </w:r>
      <w:r>
        <w:rPr>
          <w:rFonts w:hint="eastAsia" w:asciiTheme="minorEastAsia" w:hAnsiTheme="minorEastAsia" w:eastAsiaTheme="minorEastAsia" w:cstheme="minorEastAsia"/>
          <w:b/>
          <w:color w:val="auto"/>
          <w:szCs w:val="21"/>
          <w:highlight w:val="none"/>
          <w:lang w:val="en-US" w:eastAsia="zh-CN"/>
        </w:rPr>
        <w:t>6</w:t>
      </w:r>
      <w:r>
        <w:rPr>
          <w:rFonts w:hint="eastAsia" w:asciiTheme="minorEastAsia" w:hAnsiTheme="minorEastAsia" w:eastAsiaTheme="minorEastAsia" w:cstheme="minorEastAsia"/>
          <w:b/>
          <w:color w:val="auto"/>
          <w:szCs w:val="21"/>
          <w:highlight w:val="none"/>
        </w:rPr>
        <w:t>）投标人提供近半年内已缴纳的至少一个月的纳税证明或完税证明，纳税证明或完税证明上应有代收机构或税务机关的公章，依法免税的投标人应提供相关文件证明；</w:t>
      </w:r>
    </w:p>
    <w:p w14:paraId="55D055AB">
      <w:pPr>
        <w:pageBreakBefore w:val="0"/>
        <w:kinsoku/>
        <w:wordWrap/>
        <w:overflowPunct/>
        <w:topLinePunct w:val="0"/>
        <w:bidi w:val="0"/>
        <w:spacing w:line="480" w:lineRule="exact"/>
        <w:ind w:firstLine="422" w:firstLineChars="200"/>
        <w:textAlignment w:val="auto"/>
        <w:rPr>
          <w:rFonts w:hint="eastAsia" w:asciiTheme="minorEastAsia" w:hAnsiTheme="minorEastAsia" w:eastAsiaTheme="minorEastAsia" w:cstheme="minorEastAsia"/>
          <w:b/>
          <w:color w:val="auto"/>
          <w:szCs w:val="21"/>
          <w:highlight w:val="none"/>
        </w:rPr>
      </w:pPr>
      <w:r>
        <w:rPr>
          <w:rFonts w:hint="eastAsia" w:asciiTheme="minorEastAsia" w:hAnsiTheme="minorEastAsia" w:eastAsiaTheme="minorEastAsia" w:cstheme="minorEastAsia"/>
          <w:b/>
          <w:color w:val="auto"/>
          <w:szCs w:val="21"/>
          <w:highlight w:val="none"/>
        </w:rPr>
        <w:t>（</w:t>
      </w:r>
      <w:r>
        <w:rPr>
          <w:rFonts w:hint="eastAsia" w:asciiTheme="minorEastAsia" w:hAnsiTheme="minorEastAsia" w:eastAsiaTheme="minorEastAsia" w:cstheme="minorEastAsia"/>
          <w:b/>
          <w:color w:val="auto"/>
          <w:szCs w:val="21"/>
          <w:highlight w:val="none"/>
          <w:lang w:val="en-US" w:eastAsia="zh-CN"/>
        </w:rPr>
        <w:t>7</w:t>
      </w:r>
      <w:r>
        <w:rPr>
          <w:rFonts w:hint="eastAsia" w:asciiTheme="minorEastAsia" w:hAnsiTheme="minorEastAsia" w:eastAsiaTheme="minorEastAsia" w:cstheme="minorEastAsia"/>
          <w:b/>
          <w:color w:val="auto"/>
          <w:szCs w:val="21"/>
          <w:highlight w:val="none"/>
        </w:rPr>
        <w:t>）投标人应具备良好的商业信誉，提供参加政府采购活动前3年内在经营活动中没有重大违法记录的书面声明；</w:t>
      </w:r>
    </w:p>
    <w:p w14:paraId="5F98E90D">
      <w:pPr>
        <w:pageBreakBefore w:val="0"/>
        <w:kinsoku/>
        <w:wordWrap/>
        <w:overflowPunct/>
        <w:topLinePunct w:val="0"/>
        <w:bidi w:val="0"/>
        <w:spacing w:line="480" w:lineRule="exact"/>
        <w:ind w:firstLine="422" w:firstLineChars="200"/>
        <w:textAlignment w:val="auto"/>
        <w:rPr>
          <w:rFonts w:hint="eastAsia" w:asciiTheme="minorEastAsia" w:hAnsiTheme="minorEastAsia" w:eastAsiaTheme="minorEastAsia" w:cstheme="minorEastAsia"/>
          <w:b/>
          <w:color w:val="auto"/>
          <w:szCs w:val="21"/>
          <w:highlight w:val="none"/>
          <w:lang w:val="en-US" w:eastAsia="zh-CN"/>
        </w:rPr>
      </w:pPr>
      <w:r>
        <w:rPr>
          <w:rFonts w:hint="eastAsia" w:asciiTheme="minorEastAsia" w:hAnsiTheme="minorEastAsia" w:eastAsiaTheme="minorEastAsia" w:cstheme="minorEastAsia"/>
          <w:b/>
          <w:color w:val="auto"/>
          <w:szCs w:val="21"/>
          <w:highlight w:val="none"/>
          <w:lang w:val="en-US" w:eastAsia="zh-CN"/>
        </w:rPr>
        <w:t>（8）投标人提供投标保证金足额缴纳凭证。</w:t>
      </w:r>
    </w:p>
    <w:p w14:paraId="02D21D47">
      <w:pPr>
        <w:pageBreakBefore w:val="0"/>
        <w:kinsoku/>
        <w:wordWrap/>
        <w:overflowPunct/>
        <w:topLinePunct w:val="0"/>
        <w:bidi w:val="0"/>
        <w:spacing w:line="480" w:lineRule="exact"/>
        <w:ind w:firstLine="422" w:firstLineChars="200"/>
        <w:textAlignment w:val="auto"/>
        <w:rPr>
          <w:rFonts w:hint="eastAsia" w:asciiTheme="minorEastAsia" w:hAnsiTheme="minorEastAsia" w:eastAsiaTheme="minorEastAsia" w:cstheme="minorEastAsia"/>
          <w:b/>
          <w:color w:val="auto"/>
          <w:szCs w:val="21"/>
          <w:highlight w:val="none"/>
        </w:rPr>
      </w:pPr>
      <w:r>
        <w:rPr>
          <w:rFonts w:hint="eastAsia" w:asciiTheme="minorEastAsia" w:hAnsiTheme="minorEastAsia" w:eastAsiaTheme="minorEastAsia" w:cstheme="minorEastAsia"/>
          <w:b/>
          <w:color w:val="auto"/>
          <w:szCs w:val="21"/>
          <w:highlight w:val="none"/>
        </w:rPr>
        <w:t>注：以上资格证明材料为必备材料，缺少一项或某项达不到招标文件要求的按无效投标文件处理。在投标文件中应附一套以上完整的资格证明材料，复印件加盖投标人单位公章。单位负责人为同一人或者存在直接控股、管理关系的不同投标人，不得参加同一合同项下的政府采购活动。除单一来源采购项目外，为采购项目提供整体设计、规范编制或者项目管理、监理、检测等服务的投标人，不得再参加该采购项目的其他采购活动。</w:t>
      </w:r>
    </w:p>
    <w:p w14:paraId="728335AD">
      <w:pPr>
        <w:pageBreakBefore w:val="0"/>
        <w:kinsoku/>
        <w:wordWrap/>
        <w:overflowPunct/>
        <w:topLinePunct w:val="0"/>
        <w:autoSpaceDE w:val="0"/>
        <w:autoSpaceDN w:val="0"/>
        <w:bidi w:val="0"/>
        <w:spacing w:line="48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3.1.2 资格审查小组</w:t>
      </w:r>
      <w:r>
        <w:rPr>
          <w:rFonts w:hint="eastAsia" w:asciiTheme="minorEastAsia" w:hAnsiTheme="minorEastAsia" w:eastAsiaTheme="minorEastAsia" w:cstheme="minorEastAsia"/>
          <w:color w:val="auto"/>
          <w:szCs w:val="21"/>
          <w:highlight w:val="none"/>
        </w:rPr>
        <w:t>将通过“信用中国”网站（www.creditchina.gov.cn）和中国政府采购网站（www.ccgp.gov.cn）查询投标人信用记录，被列入失信被执行人、</w:t>
      </w:r>
      <w:r>
        <w:rPr>
          <w:rFonts w:hint="eastAsia" w:asciiTheme="minorEastAsia" w:hAnsiTheme="minorEastAsia" w:eastAsiaTheme="minorEastAsia" w:cstheme="minorEastAsia"/>
          <w:color w:val="auto"/>
          <w:szCs w:val="21"/>
          <w:highlight w:val="none"/>
          <w:lang w:eastAsia="zh-CN"/>
        </w:rPr>
        <w:t>重大税收违法失信主体</w:t>
      </w:r>
      <w:r>
        <w:rPr>
          <w:rFonts w:hint="eastAsia" w:asciiTheme="minorEastAsia" w:hAnsiTheme="minorEastAsia" w:eastAsiaTheme="minorEastAsia" w:cstheme="minorEastAsia"/>
          <w:color w:val="auto"/>
          <w:szCs w:val="21"/>
          <w:highlight w:val="none"/>
        </w:rPr>
        <w:t>、政府采购严重违法失信行为记录名单的单位将被拒绝参与本项目投标。</w:t>
      </w:r>
    </w:p>
    <w:p w14:paraId="0144FD7C">
      <w:pPr>
        <w:pageBreakBefore w:val="0"/>
        <w:tabs>
          <w:tab w:val="left" w:pos="720"/>
        </w:tabs>
        <w:kinsoku/>
        <w:wordWrap/>
        <w:overflowPunct/>
        <w:topLinePunct w:val="0"/>
        <w:bidi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bCs/>
          <w:color w:val="auto"/>
          <w:szCs w:val="21"/>
          <w:highlight w:val="none"/>
        </w:rPr>
        <w:t xml:space="preserve">3.1.3 </w:t>
      </w:r>
      <w:r>
        <w:rPr>
          <w:rFonts w:hint="eastAsia" w:asciiTheme="minorEastAsia" w:hAnsiTheme="minorEastAsia" w:eastAsiaTheme="minorEastAsia" w:cstheme="minorEastAsia"/>
          <w:color w:val="auto"/>
          <w:szCs w:val="21"/>
          <w:highlight w:val="none"/>
        </w:rPr>
        <w:t>投标人应保证所提供的全部证明材料的真实性，并保证愿意接受由采购人对其所提供材料的真实性的调查和考证。</w:t>
      </w:r>
    </w:p>
    <w:p w14:paraId="4C7BC0F7">
      <w:pPr>
        <w:pStyle w:val="3"/>
        <w:pageBreakBefore w:val="0"/>
        <w:kinsoku/>
        <w:wordWrap/>
        <w:overflowPunct/>
        <w:topLinePunct w:val="0"/>
        <w:bidi w:val="0"/>
        <w:spacing w:before="0" w:after="0" w:line="480" w:lineRule="exact"/>
        <w:textAlignment w:val="auto"/>
        <w:rPr>
          <w:rFonts w:hint="eastAsia" w:asciiTheme="minorEastAsia" w:hAnsiTheme="minorEastAsia" w:eastAsiaTheme="minorEastAsia" w:cstheme="minorEastAsia"/>
          <w:color w:val="auto"/>
          <w:sz w:val="30"/>
          <w:szCs w:val="30"/>
          <w:highlight w:val="none"/>
        </w:rPr>
      </w:pPr>
      <w:bookmarkStart w:id="122" w:name="_Toc24166"/>
      <w:r>
        <w:rPr>
          <w:rFonts w:hint="eastAsia" w:asciiTheme="minorEastAsia" w:hAnsiTheme="minorEastAsia" w:eastAsiaTheme="minorEastAsia" w:cstheme="minorEastAsia"/>
          <w:color w:val="auto"/>
          <w:sz w:val="30"/>
          <w:szCs w:val="30"/>
          <w:highlight w:val="none"/>
        </w:rPr>
        <w:t>3.2</w:t>
      </w:r>
      <w:r>
        <w:rPr>
          <w:rFonts w:hint="eastAsia" w:asciiTheme="minorEastAsia" w:hAnsiTheme="minorEastAsia" w:eastAsiaTheme="minorEastAsia" w:cstheme="minorEastAsia"/>
          <w:color w:val="auto"/>
          <w:sz w:val="30"/>
          <w:szCs w:val="30"/>
          <w:highlight w:val="none"/>
          <w:lang w:val="en-US" w:eastAsia="zh-CN"/>
        </w:rPr>
        <w:t xml:space="preserve"> </w:t>
      </w:r>
      <w:r>
        <w:rPr>
          <w:rFonts w:hint="eastAsia" w:asciiTheme="minorEastAsia" w:hAnsiTheme="minorEastAsia" w:eastAsiaTheme="minorEastAsia" w:cstheme="minorEastAsia"/>
          <w:color w:val="auto"/>
          <w:sz w:val="30"/>
          <w:szCs w:val="30"/>
          <w:highlight w:val="none"/>
        </w:rPr>
        <w:t>授权委托</w:t>
      </w:r>
      <w:bookmarkEnd w:id="122"/>
    </w:p>
    <w:p w14:paraId="4B1015B6">
      <w:pPr>
        <w:pStyle w:val="12"/>
        <w:pageBreakBefore w:val="0"/>
        <w:kinsoku/>
        <w:wordWrap/>
        <w:overflowPunct/>
        <w:topLinePunct w:val="0"/>
        <w:bidi w:val="0"/>
        <w:adjustRightInd w:val="0"/>
        <w:snapToGrid w:val="0"/>
        <w:spacing w:line="480" w:lineRule="exact"/>
        <w:ind w:firstLine="525" w:firstLineChars="250"/>
        <w:textAlignment w:val="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3.2.1投标人代表为法定代表人（单位负责人）的，应持有法定代表人（单位负责人）身份证明。投标人代表不是法定代表人（单位负责人）的，应持有法定代表人（单位负责人）授权委托书。</w:t>
      </w:r>
    </w:p>
    <w:p w14:paraId="0DDA0C35">
      <w:pPr>
        <w:pStyle w:val="12"/>
        <w:pageBreakBefore w:val="0"/>
        <w:kinsoku/>
        <w:wordWrap/>
        <w:overflowPunct/>
        <w:topLinePunct w:val="0"/>
        <w:bidi w:val="0"/>
        <w:adjustRightInd w:val="0"/>
        <w:snapToGrid w:val="0"/>
        <w:spacing w:line="480" w:lineRule="exact"/>
        <w:ind w:firstLine="525" w:firstLineChars="250"/>
        <w:textAlignment w:val="auto"/>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highlight w:val="none"/>
        </w:rPr>
        <w:t>3.2</w:t>
      </w:r>
      <w:r>
        <w:rPr>
          <w:rFonts w:hint="eastAsia" w:asciiTheme="minorEastAsia" w:hAnsiTheme="minorEastAsia" w:eastAsiaTheme="minorEastAsia" w:cstheme="minorEastAsia"/>
          <w:color w:val="auto"/>
          <w:kern w:val="0"/>
          <w:highlight w:val="none"/>
        </w:rPr>
        <w:t>.2投标人应当委托本单位正式员工作为投标人代表，且投标人代表只能接受一个投标人的委托参加投标。</w:t>
      </w:r>
    </w:p>
    <w:p w14:paraId="59A849BF">
      <w:pPr>
        <w:pStyle w:val="3"/>
        <w:pageBreakBefore w:val="0"/>
        <w:kinsoku/>
        <w:wordWrap/>
        <w:overflowPunct/>
        <w:topLinePunct w:val="0"/>
        <w:bidi w:val="0"/>
        <w:spacing w:before="0" w:after="0" w:line="480" w:lineRule="exact"/>
        <w:textAlignment w:val="auto"/>
        <w:rPr>
          <w:rFonts w:hint="eastAsia" w:asciiTheme="minorEastAsia" w:hAnsiTheme="minorEastAsia" w:eastAsiaTheme="minorEastAsia" w:cstheme="minorEastAsia"/>
          <w:color w:val="auto"/>
          <w:sz w:val="30"/>
          <w:szCs w:val="30"/>
          <w:highlight w:val="none"/>
          <w:lang w:eastAsia="zh-CN"/>
        </w:rPr>
      </w:pPr>
      <w:bookmarkStart w:id="123" w:name="_Toc17181"/>
      <w:r>
        <w:rPr>
          <w:rFonts w:hint="eastAsia" w:asciiTheme="minorEastAsia" w:hAnsiTheme="minorEastAsia" w:eastAsiaTheme="minorEastAsia" w:cstheme="minorEastAsia"/>
          <w:color w:val="auto"/>
          <w:sz w:val="30"/>
          <w:szCs w:val="30"/>
          <w:highlight w:val="none"/>
        </w:rPr>
        <w:t>3.3</w:t>
      </w:r>
      <w:r>
        <w:rPr>
          <w:rFonts w:hint="eastAsia" w:asciiTheme="minorEastAsia" w:hAnsiTheme="minorEastAsia" w:eastAsiaTheme="minorEastAsia" w:cstheme="minorEastAsia"/>
          <w:color w:val="auto"/>
          <w:sz w:val="30"/>
          <w:szCs w:val="30"/>
          <w:highlight w:val="none"/>
          <w:lang w:val="en-US" w:eastAsia="zh-CN"/>
        </w:rPr>
        <w:t xml:space="preserve"> </w:t>
      </w:r>
      <w:r>
        <w:rPr>
          <w:rFonts w:hint="eastAsia" w:asciiTheme="minorEastAsia" w:hAnsiTheme="minorEastAsia" w:eastAsiaTheme="minorEastAsia" w:cstheme="minorEastAsia"/>
          <w:color w:val="auto"/>
          <w:sz w:val="30"/>
          <w:szCs w:val="30"/>
          <w:highlight w:val="none"/>
        </w:rPr>
        <w:t>联合投标</w:t>
      </w:r>
      <w:bookmarkEnd w:id="123"/>
      <w:r>
        <w:rPr>
          <w:rFonts w:hint="eastAsia" w:asciiTheme="minorEastAsia" w:hAnsiTheme="minorEastAsia" w:eastAsiaTheme="minorEastAsia" w:cstheme="minorEastAsia"/>
          <w:color w:val="auto"/>
          <w:sz w:val="30"/>
          <w:szCs w:val="30"/>
          <w:highlight w:val="none"/>
          <w:lang w:eastAsia="zh-CN"/>
        </w:rPr>
        <w:t>（</w:t>
      </w:r>
      <w:r>
        <w:rPr>
          <w:rFonts w:hint="eastAsia" w:asciiTheme="minorEastAsia" w:hAnsiTheme="minorEastAsia" w:eastAsiaTheme="minorEastAsia" w:cstheme="minorEastAsia"/>
          <w:color w:val="auto"/>
          <w:sz w:val="30"/>
          <w:szCs w:val="30"/>
          <w:highlight w:val="none"/>
          <w:lang w:val="en-US" w:eastAsia="zh-CN"/>
        </w:rPr>
        <w:t>本项目不允许联合体投标</w:t>
      </w:r>
      <w:r>
        <w:rPr>
          <w:rFonts w:hint="eastAsia" w:asciiTheme="minorEastAsia" w:hAnsiTheme="minorEastAsia" w:eastAsiaTheme="minorEastAsia" w:cstheme="minorEastAsia"/>
          <w:color w:val="auto"/>
          <w:sz w:val="30"/>
          <w:szCs w:val="30"/>
          <w:highlight w:val="none"/>
          <w:lang w:eastAsia="zh-CN"/>
        </w:rPr>
        <w:t>）</w:t>
      </w:r>
    </w:p>
    <w:p w14:paraId="73352C41">
      <w:pPr>
        <w:pageBreakBefore w:val="0"/>
        <w:tabs>
          <w:tab w:val="left" w:pos="7665"/>
        </w:tabs>
        <w:kinsoku/>
        <w:wordWrap/>
        <w:overflowPunct/>
        <w:topLinePunct w:val="0"/>
        <w:bidi w:val="0"/>
        <w:spacing w:line="480" w:lineRule="exact"/>
        <w:ind w:left="13" w:leftChars="6" w:firstLine="411" w:firstLineChars="196"/>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3.3.1本项目允许联合投标的，适用本条款。</w:t>
      </w:r>
    </w:p>
    <w:p w14:paraId="7EBDC17E">
      <w:pPr>
        <w:pageBreakBefore w:val="0"/>
        <w:kinsoku/>
        <w:wordWrap/>
        <w:overflowPunct/>
        <w:topLinePunct w:val="0"/>
        <w:bidi w:val="0"/>
        <w:spacing w:line="480" w:lineRule="exact"/>
        <w:ind w:firstLine="409" w:firstLineChars="195"/>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3.3.2 两个以上投标人可以组成一个投标联合体，以一个投标人的身份投标。以联合体形式参加投标的，联合体各方均应当符合《中华人民共和国政府采购法》规定的资格条件：</w:t>
      </w:r>
    </w:p>
    <w:p w14:paraId="741B2F59">
      <w:pPr>
        <w:pageBreakBefore w:val="0"/>
        <w:kinsoku/>
        <w:wordWrap/>
        <w:overflowPunct/>
        <w:topLinePunct w:val="0"/>
        <w:bidi w:val="0"/>
        <w:spacing w:line="480" w:lineRule="exact"/>
        <w:ind w:firstLine="409" w:firstLineChars="195"/>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（1）联合体各方均应当符合本章第3.1.1条规定的投标人基本资格条件；</w:t>
      </w:r>
    </w:p>
    <w:p w14:paraId="73828843">
      <w:pPr>
        <w:pageBreakBefore w:val="0"/>
        <w:kinsoku/>
        <w:wordWrap/>
        <w:overflowPunct/>
        <w:topLinePunct w:val="0"/>
        <w:bidi w:val="0"/>
        <w:adjustRightInd w:val="0"/>
        <w:snapToGrid w:val="0"/>
        <w:spacing w:line="480" w:lineRule="exact"/>
        <w:ind w:firstLine="420" w:firstLineChars="200"/>
        <w:jc w:val="left"/>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（2）联合体各方中至少应当有一方符合本章第3.1.1（7）条款规定的投标人强制资格条件。</w:t>
      </w:r>
    </w:p>
    <w:p w14:paraId="4E06AD02">
      <w:pPr>
        <w:pageBreakBefore w:val="0"/>
        <w:kinsoku/>
        <w:wordWrap/>
        <w:overflowPunct/>
        <w:topLinePunct w:val="0"/>
        <w:bidi w:val="0"/>
        <w:spacing w:line="480" w:lineRule="exact"/>
        <w:ind w:firstLine="409" w:firstLineChars="195"/>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3.3.3联合体各方之间应当签订共同投标协议，明确约定联合体各方承担的合同工作量比例和相应的责任，并将共同投标协议连同投标文件一并提交采购代理机构。联合体各方签订共同投标协议后，不得再以自己名义单独在同一项目中投标，也不得组成新的联合体参加同一项目投标。</w:t>
      </w:r>
    </w:p>
    <w:p w14:paraId="218F4694">
      <w:pPr>
        <w:pageBreakBefore w:val="0"/>
        <w:kinsoku/>
        <w:wordWrap/>
        <w:overflowPunct/>
        <w:topLinePunct w:val="0"/>
        <w:bidi w:val="0"/>
        <w:spacing w:line="480" w:lineRule="exact"/>
        <w:ind w:firstLine="411" w:firstLineChars="196"/>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3.3.4联合体应当确定其中一个单位为投标的全权代表，负责参加投标的一切事务，并承担投标及履约中应承担的全部责任与义务。</w:t>
      </w:r>
    </w:p>
    <w:p w14:paraId="560A7E9C">
      <w:pPr>
        <w:pStyle w:val="11"/>
        <w:pageBreakBefore w:val="0"/>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3.3.5联合体各方应当共同与采购人签订采购合同，就采购合同约定的事项对采购人承担连带责任。</w:t>
      </w:r>
    </w:p>
    <w:p w14:paraId="39840738">
      <w:pPr>
        <w:pStyle w:val="3"/>
        <w:pageBreakBefore w:val="0"/>
        <w:kinsoku/>
        <w:wordWrap/>
        <w:overflowPunct/>
        <w:topLinePunct w:val="0"/>
        <w:bidi w:val="0"/>
        <w:spacing w:before="0" w:after="0" w:line="480" w:lineRule="exact"/>
        <w:textAlignment w:val="auto"/>
        <w:rPr>
          <w:rFonts w:hint="eastAsia" w:asciiTheme="minorEastAsia" w:hAnsiTheme="minorEastAsia" w:eastAsiaTheme="minorEastAsia" w:cstheme="minorEastAsia"/>
          <w:color w:val="auto"/>
          <w:sz w:val="30"/>
          <w:szCs w:val="30"/>
          <w:highlight w:val="none"/>
        </w:rPr>
      </w:pPr>
      <w:bookmarkStart w:id="124" w:name="_Toc573"/>
      <w:r>
        <w:rPr>
          <w:rFonts w:hint="eastAsia" w:asciiTheme="minorEastAsia" w:hAnsiTheme="minorEastAsia" w:eastAsiaTheme="minorEastAsia" w:cstheme="minorEastAsia"/>
          <w:color w:val="auto"/>
          <w:sz w:val="30"/>
          <w:szCs w:val="30"/>
          <w:highlight w:val="none"/>
        </w:rPr>
        <w:t>3.4</w:t>
      </w:r>
      <w:r>
        <w:rPr>
          <w:rFonts w:hint="eastAsia" w:asciiTheme="minorEastAsia" w:hAnsiTheme="minorEastAsia" w:eastAsiaTheme="minorEastAsia" w:cstheme="minorEastAsia"/>
          <w:color w:val="auto"/>
          <w:sz w:val="30"/>
          <w:szCs w:val="30"/>
          <w:highlight w:val="none"/>
          <w:lang w:val="en-US" w:eastAsia="zh-CN"/>
        </w:rPr>
        <w:t xml:space="preserve"> </w:t>
      </w:r>
      <w:r>
        <w:rPr>
          <w:rFonts w:hint="eastAsia" w:asciiTheme="minorEastAsia" w:hAnsiTheme="minorEastAsia" w:eastAsiaTheme="minorEastAsia" w:cstheme="minorEastAsia"/>
          <w:color w:val="auto"/>
          <w:sz w:val="30"/>
          <w:szCs w:val="30"/>
          <w:highlight w:val="none"/>
        </w:rPr>
        <w:t>享受的政府采购政策</w:t>
      </w:r>
      <w:bookmarkEnd w:id="124"/>
    </w:p>
    <w:p w14:paraId="31EF3407">
      <w:pPr>
        <w:pStyle w:val="12"/>
        <w:pageBreakBefore w:val="0"/>
        <w:kinsoku/>
        <w:wordWrap/>
        <w:overflowPunct/>
        <w:topLinePunct w:val="0"/>
        <w:bidi w:val="0"/>
        <w:adjustRightInd w:val="0"/>
        <w:snapToGrid w:val="0"/>
        <w:spacing w:line="480" w:lineRule="exact"/>
        <w:ind w:firstLine="422" w:firstLineChars="200"/>
        <w:textAlignment w:val="auto"/>
        <w:rPr>
          <w:rFonts w:hint="eastAsia" w:asciiTheme="minorEastAsia" w:hAnsiTheme="minorEastAsia" w:eastAsiaTheme="minorEastAsia" w:cstheme="minorEastAsia"/>
          <w:b/>
          <w:color w:val="auto"/>
          <w:highlight w:val="none"/>
        </w:rPr>
      </w:pPr>
      <w:r>
        <w:rPr>
          <w:rFonts w:hint="eastAsia" w:asciiTheme="minorEastAsia" w:hAnsiTheme="minorEastAsia" w:eastAsiaTheme="minorEastAsia" w:cstheme="minorEastAsia"/>
          <w:b/>
          <w:color w:val="auto"/>
          <w:highlight w:val="none"/>
        </w:rPr>
        <w:t>3.4.1 节能产品、环境标志产品</w:t>
      </w:r>
    </w:p>
    <w:p w14:paraId="096678E5">
      <w:pPr>
        <w:pStyle w:val="12"/>
        <w:pageBreakBefore w:val="0"/>
        <w:kinsoku/>
        <w:wordWrap/>
        <w:overflowPunct/>
        <w:topLinePunct w:val="0"/>
        <w:bidi w:val="0"/>
        <w:adjustRightInd w:val="0"/>
        <w:snapToGrid w:val="0"/>
        <w:spacing w:line="480" w:lineRule="exact"/>
        <w:ind w:firstLine="630" w:firstLineChars="300"/>
        <w:textAlignment w:val="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3.4.1.1 投标人所投产品，将依据《节能产品、环境标志产品品目清单》和认证证书实施政府优先采购和强制采购。</w:t>
      </w:r>
    </w:p>
    <w:p w14:paraId="0B72A801">
      <w:pPr>
        <w:pStyle w:val="12"/>
        <w:pageBreakBefore w:val="0"/>
        <w:kinsoku/>
        <w:wordWrap/>
        <w:overflowPunct/>
        <w:topLinePunct w:val="0"/>
        <w:bidi w:val="0"/>
        <w:adjustRightInd w:val="0"/>
        <w:snapToGrid w:val="0"/>
        <w:spacing w:line="480" w:lineRule="exact"/>
        <w:ind w:firstLine="630" w:firstLineChars="300"/>
        <w:textAlignment w:val="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3.4.1.2 投标人可以提供所投产品经国家确定的认证机构出具的、处于有效期之内的节能产品、环境标志产品认证证书复印件。采购代理机构通过中国政府采购网（</w:t>
      </w:r>
      <w:r>
        <w:rPr>
          <w:rFonts w:hint="eastAsia" w:asciiTheme="minorEastAsia" w:hAnsiTheme="minorEastAsia" w:eastAsiaTheme="minorEastAsia" w:cstheme="minorEastAsia"/>
          <w:color w:val="auto"/>
          <w:highlight w:val="none"/>
        </w:rPr>
        <w:fldChar w:fldCharType="begin"/>
      </w:r>
      <w:r>
        <w:rPr>
          <w:rFonts w:hint="eastAsia" w:asciiTheme="minorEastAsia" w:hAnsiTheme="minorEastAsia" w:eastAsiaTheme="minorEastAsia" w:cstheme="minorEastAsia"/>
          <w:color w:val="auto"/>
          <w:highlight w:val="none"/>
        </w:rPr>
        <w:instrText xml:space="preserve"> HYPERLINK "http://www.ccgp.gov.cn/" </w:instrText>
      </w:r>
      <w:r>
        <w:rPr>
          <w:rFonts w:hint="eastAsia" w:asciiTheme="minorEastAsia" w:hAnsiTheme="minorEastAsia" w:eastAsiaTheme="minorEastAsia" w:cstheme="minorEastAsia"/>
          <w:color w:val="auto"/>
          <w:highlight w:val="none"/>
        </w:rPr>
        <w:fldChar w:fldCharType="separate"/>
      </w:r>
      <w:r>
        <w:rPr>
          <w:rStyle w:val="28"/>
          <w:rFonts w:hint="eastAsia" w:asciiTheme="minorEastAsia" w:hAnsiTheme="minorEastAsia" w:eastAsiaTheme="minorEastAsia" w:cstheme="minorEastAsia"/>
          <w:color w:val="auto"/>
          <w:highlight w:val="none"/>
        </w:rPr>
        <w:t>http://www.ccgp.gov.cn/</w:t>
      </w:r>
      <w:r>
        <w:rPr>
          <w:rFonts w:hint="eastAsia" w:asciiTheme="minorEastAsia" w:hAnsiTheme="minorEastAsia" w:eastAsiaTheme="minorEastAsia" w:cstheme="minorEastAsia"/>
          <w:color w:val="auto"/>
          <w:highlight w:val="none"/>
        </w:rPr>
        <w:fldChar w:fldCharType="end"/>
      </w:r>
      <w:r>
        <w:rPr>
          <w:rFonts w:hint="eastAsia" w:asciiTheme="minorEastAsia" w:hAnsiTheme="minorEastAsia" w:eastAsiaTheme="minorEastAsia" w:cstheme="minorEastAsia"/>
          <w:color w:val="auto"/>
          <w:highlight w:val="none"/>
        </w:rPr>
        <w:t>）对获证产品信息进行核对。</w:t>
      </w:r>
    </w:p>
    <w:p w14:paraId="033C5F96">
      <w:pPr>
        <w:pStyle w:val="12"/>
        <w:pageBreakBefore w:val="0"/>
        <w:kinsoku/>
        <w:wordWrap/>
        <w:overflowPunct/>
        <w:topLinePunct w:val="0"/>
        <w:bidi w:val="0"/>
        <w:adjustRightInd w:val="0"/>
        <w:snapToGrid w:val="0"/>
        <w:spacing w:line="480" w:lineRule="exact"/>
        <w:ind w:firstLine="630" w:firstLineChars="300"/>
        <w:textAlignment w:val="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3.4.1.3 投标人所投产品属于下列情形之一的，属于优先采购的不再享受优先采购政策，或者属于强制采购的按无效投标文件处理：</w:t>
      </w:r>
    </w:p>
    <w:p w14:paraId="586917C4">
      <w:pPr>
        <w:pStyle w:val="12"/>
        <w:pageBreakBefore w:val="0"/>
        <w:kinsoku/>
        <w:wordWrap/>
        <w:overflowPunct/>
        <w:topLinePunct w:val="0"/>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（1）不属于《节能产品、环境标志产品品目清单》中的产品；</w:t>
      </w:r>
    </w:p>
    <w:p w14:paraId="365CC78C">
      <w:pPr>
        <w:pStyle w:val="12"/>
        <w:pageBreakBefore w:val="0"/>
        <w:kinsoku/>
        <w:wordWrap/>
        <w:overflowPunct/>
        <w:topLinePunct w:val="0"/>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（2）未提供认证证书或经核对认证证书信息有误的。</w:t>
      </w:r>
    </w:p>
    <w:p w14:paraId="6A4DA960">
      <w:pPr>
        <w:pageBreakBefore w:val="0"/>
        <w:kinsoku/>
        <w:wordWrap/>
        <w:overflowPunct/>
        <w:topLinePunct w:val="0"/>
        <w:bidi w:val="0"/>
        <w:adjustRightInd w:val="0"/>
        <w:snapToGrid w:val="0"/>
        <w:spacing w:line="480" w:lineRule="exact"/>
        <w:ind w:firstLine="422" w:firstLineChars="200"/>
        <w:jc w:val="left"/>
        <w:textAlignment w:val="auto"/>
        <w:rPr>
          <w:rFonts w:hint="eastAsia" w:asciiTheme="minorEastAsia" w:hAnsiTheme="minorEastAsia" w:eastAsiaTheme="minorEastAsia" w:cstheme="minorEastAsia"/>
          <w:b/>
          <w:color w:val="auto"/>
          <w:szCs w:val="21"/>
          <w:highlight w:val="none"/>
        </w:rPr>
      </w:pPr>
      <w:r>
        <w:rPr>
          <w:rFonts w:hint="eastAsia" w:asciiTheme="minorEastAsia" w:hAnsiTheme="minorEastAsia" w:eastAsiaTheme="minorEastAsia" w:cstheme="minorEastAsia"/>
          <w:b/>
          <w:color w:val="auto"/>
          <w:szCs w:val="21"/>
          <w:highlight w:val="none"/>
        </w:rPr>
        <w:t>3.4.2 中小企业</w:t>
      </w:r>
      <w:r>
        <w:rPr>
          <w:rFonts w:hint="eastAsia" w:asciiTheme="minorEastAsia" w:hAnsiTheme="minorEastAsia" w:eastAsiaTheme="minorEastAsia" w:cstheme="minorEastAsia"/>
          <w:b/>
          <w:color w:val="auto"/>
          <w:szCs w:val="21"/>
          <w:highlight w:val="none"/>
          <w:lang w:eastAsia="zh-CN"/>
        </w:rPr>
        <w:t>（</w:t>
      </w:r>
      <w:r>
        <w:rPr>
          <w:rFonts w:hint="eastAsia" w:ascii="宋体" w:hAnsi="宋体" w:eastAsia="宋体" w:cs="宋体"/>
          <w:b/>
          <w:color w:val="auto"/>
          <w:szCs w:val="21"/>
          <w:highlight w:val="none"/>
          <w:lang w:val="en-US" w:eastAsia="zh-CN"/>
        </w:rPr>
        <w:t>本项目不专门面向中小企业</w:t>
      </w:r>
      <w:r>
        <w:rPr>
          <w:rFonts w:hint="eastAsia" w:asciiTheme="minorEastAsia" w:hAnsiTheme="minorEastAsia" w:eastAsiaTheme="minorEastAsia" w:cstheme="minorEastAsia"/>
          <w:b/>
          <w:color w:val="auto"/>
          <w:szCs w:val="21"/>
          <w:highlight w:val="none"/>
          <w:lang w:eastAsia="zh-CN"/>
        </w:rPr>
        <w:t>）</w:t>
      </w:r>
    </w:p>
    <w:p w14:paraId="150E3DD9">
      <w:pPr>
        <w:pageBreakBefore w:val="0"/>
        <w:kinsoku/>
        <w:wordWrap/>
        <w:overflowPunct/>
        <w:topLinePunct w:val="0"/>
        <w:bidi w:val="0"/>
        <w:adjustRightInd w:val="0"/>
        <w:snapToGrid w:val="0"/>
        <w:spacing w:line="480" w:lineRule="exact"/>
        <w:ind w:firstLine="630" w:firstLineChars="300"/>
        <w:textAlignment w:val="auto"/>
        <w:rPr>
          <w:rFonts w:hint="eastAsia" w:asciiTheme="minorEastAsia" w:hAnsiTheme="minorEastAsia" w:eastAsiaTheme="minorEastAsia" w:cstheme="minorEastAsia"/>
          <w:b w:val="0"/>
          <w:bCs w:val="0"/>
          <w:color w:val="auto"/>
          <w:szCs w:val="21"/>
          <w:highlight w:val="none"/>
        </w:rPr>
      </w:pPr>
      <w:r>
        <w:rPr>
          <w:rFonts w:hint="eastAsia" w:asciiTheme="minorEastAsia" w:hAnsiTheme="minorEastAsia" w:eastAsiaTheme="minorEastAsia" w:cstheme="minorEastAsia"/>
          <w:b w:val="0"/>
          <w:bCs w:val="0"/>
          <w:color w:val="auto"/>
          <w:szCs w:val="21"/>
          <w:highlight w:val="none"/>
        </w:rPr>
        <w:t>3.4.2.1</w:t>
      </w:r>
      <w:r>
        <w:rPr>
          <w:rFonts w:hint="eastAsia" w:asciiTheme="minorEastAsia" w:hAnsiTheme="minorEastAsia" w:eastAsiaTheme="minorEastAsia" w:cstheme="minorEastAsia"/>
          <w:b w:val="0"/>
          <w:bCs w:val="0"/>
          <w:color w:val="auto"/>
          <w:szCs w:val="21"/>
          <w:highlight w:val="none"/>
          <w:lang w:val="en-US" w:eastAsia="zh-CN"/>
        </w:rPr>
        <w:t xml:space="preserve"> </w:t>
      </w:r>
      <w:r>
        <w:rPr>
          <w:rFonts w:hint="eastAsia" w:asciiTheme="minorEastAsia" w:hAnsiTheme="minorEastAsia" w:eastAsiaTheme="minorEastAsia" w:cstheme="minorEastAsia"/>
          <w:b w:val="0"/>
          <w:bCs w:val="0"/>
          <w:color w:val="auto"/>
          <w:szCs w:val="21"/>
          <w:highlight w:val="none"/>
          <w:lang w:eastAsia="zh-CN"/>
        </w:rPr>
        <w:t>投标人</w:t>
      </w:r>
      <w:r>
        <w:rPr>
          <w:rFonts w:hint="eastAsia" w:asciiTheme="minorEastAsia" w:hAnsiTheme="minorEastAsia" w:eastAsiaTheme="minorEastAsia" w:cstheme="minorEastAsia"/>
          <w:b w:val="0"/>
          <w:bCs w:val="0"/>
          <w:color w:val="auto"/>
          <w:szCs w:val="21"/>
          <w:highlight w:val="none"/>
        </w:rPr>
        <w:t>依据《工业和信息化部、国家统计局、国家发展和改革委员会、财政部关于印发中小企业划型标准规定的通知》规定划分标准，属于中小企业的，可享受支持中小型企业发展优惠政策。</w:t>
      </w:r>
    </w:p>
    <w:p w14:paraId="72D13BC0">
      <w:pPr>
        <w:pageBreakBefore w:val="0"/>
        <w:kinsoku/>
        <w:wordWrap/>
        <w:overflowPunct/>
        <w:topLinePunct w:val="0"/>
        <w:bidi w:val="0"/>
        <w:adjustRightInd w:val="0"/>
        <w:snapToGrid w:val="0"/>
        <w:spacing w:line="480" w:lineRule="exact"/>
        <w:ind w:firstLine="630" w:firstLineChars="300"/>
        <w:textAlignment w:val="auto"/>
        <w:rPr>
          <w:rFonts w:hint="eastAsia" w:asciiTheme="minorEastAsia" w:hAnsiTheme="minorEastAsia" w:eastAsiaTheme="minorEastAsia" w:cstheme="minorEastAsia"/>
          <w:b w:val="0"/>
          <w:bCs w:val="0"/>
          <w:color w:val="auto"/>
          <w:szCs w:val="21"/>
          <w:highlight w:val="none"/>
        </w:rPr>
      </w:pPr>
      <w:r>
        <w:rPr>
          <w:rFonts w:hint="eastAsia" w:asciiTheme="minorEastAsia" w:hAnsiTheme="minorEastAsia" w:eastAsiaTheme="minorEastAsia" w:cstheme="minorEastAsia"/>
          <w:b w:val="0"/>
          <w:bCs w:val="0"/>
          <w:color w:val="auto"/>
          <w:szCs w:val="21"/>
          <w:highlight w:val="none"/>
        </w:rPr>
        <w:t>3.4.2.2</w:t>
      </w:r>
      <w:r>
        <w:rPr>
          <w:rFonts w:hint="eastAsia" w:asciiTheme="minorEastAsia" w:hAnsiTheme="minorEastAsia" w:eastAsiaTheme="minorEastAsia" w:cstheme="minorEastAsia"/>
          <w:b w:val="0"/>
          <w:bCs w:val="0"/>
          <w:color w:val="auto"/>
          <w:szCs w:val="21"/>
          <w:highlight w:val="none"/>
          <w:lang w:val="en-US" w:eastAsia="zh-CN"/>
        </w:rPr>
        <w:t xml:space="preserve"> </w:t>
      </w:r>
      <w:r>
        <w:rPr>
          <w:rFonts w:hint="eastAsia" w:asciiTheme="minorEastAsia" w:hAnsiTheme="minorEastAsia" w:eastAsiaTheme="minorEastAsia" w:cstheme="minorEastAsia"/>
          <w:b w:val="0"/>
          <w:bCs w:val="0"/>
          <w:color w:val="auto"/>
          <w:szCs w:val="21"/>
          <w:highlight w:val="none"/>
          <w:lang w:eastAsia="zh-CN"/>
        </w:rPr>
        <w:t>投标人</w:t>
      </w:r>
      <w:r>
        <w:rPr>
          <w:rFonts w:hint="eastAsia" w:asciiTheme="minorEastAsia" w:hAnsiTheme="minorEastAsia" w:eastAsiaTheme="minorEastAsia" w:cstheme="minorEastAsia"/>
          <w:b w:val="0"/>
          <w:bCs w:val="0"/>
          <w:color w:val="auto"/>
          <w:szCs w:val="21"/>
          <w:highlight w:val="none"/>
        </w:rPr>
        <w:t>作为中小企业参加政府采购活动时，应当提供《中小企业声明函》（见第六章</w:t>
      </w:r>
      <w:r>
        <w:rPr>
          <w:rFonts w:hint="eastAsia" w:asciiTheme="minorEastAsia" w:hAnsiTheme="minorEastAsia" w:eastAsiaTheme="minorEastAsia" w:cstheme="minorEastAsia"/>
          <w:b w:val="0"/>
          <w:bCs w:val="0"/>
          <w:color w:val="auto"/>
          <w:szCs w:val="21"/>
          <w:highlight w:val="none"/>
          <w:lang w:val="en-US" w:eastAsia="zh-CN"/>
        </w:rPr>
        <w:t>投标文件格式</w:t>
      </w:r>
      <w:r>
        <w:rPr>
          <w:rFonts w:hint="eastAsia" w:asciiTheme="minorEastAsia" w:hAnsiTheme="minorEastAsia" w:eastAsiaTheme="minorEastAsia" w:cstheme="minorEastAsia"/>
          <w:b w:val="0"/>
          <w:bCs w:val="0"/>
          <w:color w:val="auto"/>
          <w:szCs w:val="21"/>
          <w:highlight w:val="none"/>
        </w:rPr>
        <w:t>），不提供或提供有瑕疵的：</w:t>
      </w:r>
    </w:p>
    <w:p w14:paraId="5148D892">
      <w:pPr>
        <w:pageBreakBefore w:val="0"/>
        <w:kinsoku/>
        <w:wordWrap/>
        <w:overflowPunct/>
        <w:topLinePunct w:val="0"/>
        <w:bidi w:val="0"/>
        <w:adjustRightInd w:val="0"/>
        <w:snapToGrid w:val="0"/>
        <w:spacing w:line="480" w:lineRule="exact"/>
        <w:ind w:firstLine="630" w:firstLineChars="300"/>
        <w:textAlignment w:val="auto"/>
        <w:rPr>
          <w:rFonts w:hint="eastAsia" w:asciiTheme="minorEastAsia" w:hAnsiTheme="minorEastAsia" w:eastAsiaTheme="minorEastAsia" w:cstheme="minorEastAsia"/>
          <w:b w:val="0"/>
          <w:bCs w:val="0"/>
          <w:color w:val="auto"/>
          <w:szCs w:val="21"/>
          <w:highlight w:val="none"/>
        </w:rPr>
      </w:pPr>
      <w:r>
        <w:rPr>
          <w:rFonts w:hint="eastAsia" w:asciiTheme="minorEastAsia" w:hAnsiTheme="minorEastAsia" w:eastAsiaTheme="minorEastAsia" w:cstheme="minorEastAsia"/>
          <w:b w:val="0"/>
          <w:bCs w:val="0"/>
          <w:color w:val="auto"/>
          <w:szCs w:val="21"/>
          <w:highlight w:val="none"/>
        </w:rPr>
        <w:t>（1）在评审时，</w:t>
      </w:r>
      <w:r>
        <w:rPr>
          <w:rFonts w:hint="eastAsia" w:asciiTheme="minorEastAsia" w:hAnsiTheme="minorEastAsia" w:eastAsiaTheme="minorEastAsia" w:cstheme="minorEastAsia"/>
          <w:b w:val="0"/>
          <w:bCs w:val="0"/>
          <w:color w:val="auto"/>
          <w:szCs w:val="21"/>
          <w:highlight w:val="none"/>
          <w:lang w:val="en-US" w:eastAsia="zh-CN"/>
        </w:rPr>
        <w:t>不</w:t>
      </w:r>
      <w:r>
        <w:rPr>
          <w:rFonts w:hint="eastAsia" w:asciiTheme="minorEastAsia" w:hAnsiTheme="minorEastAsia" w:eastAsiaTheme="minorEastAsia" w:cstheme="minorEastAsia"/>
          <w:b w:val="0"/>
          <w:bCs w:val="0"/>
          <w:color w:val="auto"/>
          <w:szCs w:val="21"/>
          <w:highlight w:val="none"/>
        </w:rPr>
        <w:t>享受政府采购价格折扣的优惠政策；</w:t>
      </w:r>
    </w:p>
    <w:p w14:paraId="06BD5A9F">
      <w:pPr>
        <w:pageBreakBefore w:val="0"/>
        <w:kinsoku/>
        <w:wordWrap/>
        <w:overflowPunct/>
        <w:topLinePunct w:val="0"/>
        <w:bidi w:val="0"/>
        <w:adjustRightInd w:val="0"/>
        <w:snapToGrid w:val="0"/>
        <w:spacing w:line="480" w:lineRule="exact"/>
        <w:ind w:firstLine="632" w:firstLineChars="300"/>
        <w:textAlignment w:val="auto"/>
        <w:rPr>
          <w:rFonts w:hint="eastAsia" w:asciiTheme="minorEastAsia" w:hAnsiTheme="minorEastAsia" w:eastAsiaTheme="minorEastAsia" w:cstheme="minorEastAsia"/>
          <w:b w:val="0"/>
          <w:bCs w:val="0"/>
          <w:color w:val="auto"/>
          <w:szCs w:val="21"/>
          <w:highlight w:val="none"/>
        </w:rPr>
      </w:pPr>
      <w:r>
        <w:rPr>
          <w:rFonts w:hint="eastAsia" w:asciiTheme="minorEastAsia" w:hAnsiTheme="minorEastAsia" w:eastAsiaTheme="minorEastAsia" w:cstheme="minorEastAsia"/>
          <w:b/>
          <w:bCs/>
          <w:color w:val="auto"/>
          <w:szCs w:val="21"/>
          <w:highlight w:val="none"/>
        </w:rPr>
        <w:t>（2）在资格审查时，不予通过资格审查（仅限专门面向中小企业采购的项目）。</w:t>
      </w:r>
    </w:p>
    <w:p w14:paraId="5F0232DC">
      <w:pPr>
        <w:pageBreakBefore w:val="0"/>
        <w:kinsoku/>
        <w:wordWrap/>
        <w:overflowPunct/>
        <w:topLinePunct w:val="0"/>
        <w:bidi w:val="0"/>
        <w:adjustRightInd w:val="0"/>
        <w:snapToGrid w:val="0"/>
        <w:spacing w:line="480" w:lineRule="exact"/>
        <w:ind w:firstLine="630" w:firstLineChars="300"/>
        <w:textAlignment w:val="auto"/>
        <w:rPr>
          <w:rFonts w:hint="eastAsia" w:asciiTheme="minorEastAsia" w:hAnsiTheme="minorEastAsia" w:eastAsiaTheme="minorEastAsia" w:cstheme="minorEastAsia"/>
          <w:b w:val="0"/>
          <w:bCs w:val="0"/>
          <w:color w:val="auto"/>
          <w:szCs w:val="21"/>
          <w:highlight w:val="none"/>
        </w:rPr>
      </w:pPr>
      <w:r>
        <w:rPr>
          <w:rFonts w:hint="eastAsia" w:asciiTheme="minorEastAsia" w:hAnsiTheme="minorEastAsia" w:eastAsiaTheme="minorEastAsia" w:cstheme="minorEastAsia"/>
          <w:b w:val="0"/>
          <w:bCs w:val="0"/>
          <w:color w:val="auto"/>
          <w:szCs w:val="21"/>
          <w:highlight w:val="none"/>
        </w:rPr>
        <w:t>3.4.2.3</w:t>
      </w:r>
      <w:r>
        <w:rPr>
          <w:rFonts w:hint="eastAsia" w:asciiTheme="minorEastAsia" w:hAnsiTheme="minorEastAsia" w:eastAsiaTheme="minorEastAsia" w:cstheme="minorEastAsia"/>
          <w:b w:val="0"/>
          <w:bCs w:val="0"/>
          <w:color w:val="auto"/>
          <w:szCs w:val="21"/>
          <w:highlight w:val="none"/>
          <w:lang w:val="en-US" w:eastAsia="zh-CN"/>
        </w:rPr>
        <w:t xml:space="preserve"> </w:t>
      </w:r>
      <w:r>
        <w:rPr>
          <w:rFonts w:hint="eastAsia" w:asciiTheme="minorEastAsia" w:hAnsiTheme="minorEastAsia" w:eastAsiaTheme="minorEastAsia" w:cstheme="minorEastAsia"/>
          <w:b w:val="0"/>
          <w:bCs w:val="0"/>
          <w:color w:val="auto"/>
          <w:szCs w:val="21"/>
          <w:highlight w:val="none"/>
        </w:rPr>
        <w:t>监狱企业参加政府采购活动时，视同小型微型企业。依照&lt;财政部、司法部关于政府采购支持监狱企业发展有关问题的通知&gt;（财库〔2014〕68号）之规定，应当提供由省级以上监狱管理局、戒毒管理局出具的属于监狱企业的证明文件，不提供或提供有瑕疵的，不视为小型微型企业。</w:t>
      </w:r>
    </w:p>
    <w:p w14:paraId="4FCB3047">
      <w:pPr>
        <w:pageBreakBefore w:val="0"/>
        <w:kinsoku/>
        <w:wordWrap/>
        <w:overflowPunct/>
        <w:topLinePunct w:val="0"/>
        <w:bidi w:val="0"/>
        <w:adjustRightInd w:val="0"/>
        <w:snapToGrid w:val="0"/>
        <w:spacing w:line="480" w:lineRule="exact"/>
        <w:ind w:firstLine="630" w:firstLineChars="300"/>
        <w:textAlignment w:val="auto"/>
        <w:rPr>
          <w:rFonts w:hint="eastAsia" w:asciiTheme="minorEastAsia" w:hAnsiTheme="minorEastAsia" w:eastAsiaTheme="minorEastAsia" w:cstheme="minorEastAsia"/>
          <w:b w:val="0"/>
          <w:bCs w:val="0"/>
          <w:color w:val="auto"/>
          <w:szCs w:val="21"/>
          <w:highlight w:val="none"/>
        </w:rPr>
      </w:pPr>
      <w:r>
        <w:rPr>
          <w:rFonts w:hint="eastAsia" w:asciiTheme="minorEastAsia" w:hAnsiTheme="minorEastAsia" w:eastAsiaTheme="minorEastAsia" w:cstheme="minorEastAsia"/>
          <w:b w:val="0"/>
          <w:bCs w:val="0"/>
          <w:color w:val="auto"/>
          <w:szCs w:val="21"/>
          <w:highlight w:val="none"/>
        </w:rPr>
        <w:t>3.4.2.4 残疾人福利性单位参加政府采购活动时，视同小型微型企业。依据《财政部、民政部、中国残疾人联合会关于促进残疾人就业政府采购政策的通知》（财库〔2017〕141号）的规定，应当提供《残疾人福利性单位声明函》（见第六章</w:t>
      </w:r>
      <w:r>
        <w:rPr>
          <w:rFonts w:hint="eastAsia" w:asciiTheme="minorEastAsia" w:hAnsiTheme="minorEastAsia" w:eastAsiaTheme="minorEastAsia" w:cstheme="minorEastAsia"/>
          <w:b w:val="0"/>
          <w:bCs w:val="0"/>
          <w:color w:val="auto"/>
          <w:szCs w:val="21"/>
          <w:highlight w:val="none"/>
          <w:lang w:val="en-US" w:eastAsia="zh-CN"/>
        </w:rPr>
        <w:t>投标文件格式</w:t>
      </w:r>
      <w:r>
        <w:rPr>
          <w:rFonts w:hint="eastAsia" w:asciiTheme="minorEastAsia" w:hAnsiTheme="minorEastAsia" w:eastAsiaTheme="minorEastAsia" w:cstheme="minorEastAsia"/>
          <w:b w:val="0"/>
          <w:bCs w:val="0"/>
          <w:color w:val="auto"/>
          <w:szCs w:val="21"/>
          <w:highlight w:val="none"/>
        </w:rPr>
        <w:t>），不提供或提供有瑕疵的，不视为小型微型企业。</w:t>
      </w:r>
    </w:p>
    <w:p w14:paraId="0E7B471B">
      <w:pPr>
        <w:pageBreakBefore w:val="0"/>
        <w:kinsoku/>
        <w:wordWrap/>
        <w:overflowPunct/>
        <w:topLinePunct w:val="0"/>
        <w:bidi w:val="0"/>
        <w:adjustRightInd w:val="0"/>
        <w:snapToGrid w:val="0"/>
        <w:spacing w:line="480" w:lineRule="exact"/>
        <w:ind w:firstLine="630" w:firstLineChars="300"/>
        <w:textAlignment w:val="auto"/>
        <w:rPr>
          <w:rFonts w:hint="eastAsia" w:asciiTheme="minorEastAsia" w:hAnsiTheme="minorEastAsia" w:eastAsiaTheme="minorEastAsia" w:cstheme="minorEastAsia"/>
          <w:b w:val="0"/>
          <w:bCs w:val="0"/>
          <w:color w:val="auto"/>
          <w:szCs w:val="21"/>
          <w:highlight w:val="none"/>
        </w:rPr>
      </w:pPr>
      <w:r>
        <w:rPr>
          <w:rFonts w:hint="eastAsia" w:asciiTheme="minorEastAsia" w:hAnsiTheme="minorEastAsia" w:eastAsiaTheme="minorEastAsia" w:cstheme="minorEastAsia"/>
          <w:b w:val="0"/>
          <w:bCs w:val="0"/>
          <w:color w:val="auto"/>
          <w:szCs w:val="21"/>
          <w:highlight w:val="none"/>
        </w:rPr>
        <w:t>3.4.2.5</w:t>
      </w:r>
      <w:r>
        <w:rPr>
          <w:rFonts w:hint="eastAsia" w:asciiTheme="minorEastAsia" w:hAnsiTheme="minorEastAsia" w:eastAsiaTheme="minorEastAsia" w:cstheme="minorEastAsia"/>
          <w:b w:val="0"/>
          <w:bCs w:val="0"/>
          <w:color w:val="auto"/>
          <w:szCs w:val="21"/>
          <w:highlight w:val="none"/>
          <w:lang w:val="en-US" w:eastAsia="zh-CN"/>
        </w:rPr>
        <w:t xml:space="preserve"> </w:t>
      </w:r>
      <w:r>
        <w:rPr>
          <w:rFonts w:hint="eastAsia" w:asciiTheme="minorEastAsia" w:hAnsiTheme="minorEastAsia" w:eastAsiaTheme="minorEastAsia" w:cstheme="minorEastAsia"/>
          <w:b w:val="0"/>
          <w:bCs w:val="0"/>
          <w:color w:val="auto"/>
          <w:szCs w:val="21"/>
          <w:highlight w:val="none"/>
        </w:rPr>
        <w:t>联合体各方均中小企业的，参加政府采购活动时，视同中小企业。联合体各方均需提供《中小企业声明函》，有一方未提供或提供有瑕疵的，不视为中小企业。</w:t>
      </w:r>
    </w:p>
    <w:p w14:paraId="49FAB68E">
      <w:pPr>
        <w:pageBreakBefore w:val="0"/>
        <w:kinsoku/>
        <w:wordWrap/>
        <w:overflowPunct/>
        <w:topLinePunct w:val="0"/>
        <w:bidi w:val="0"/>
        <w:adjustRightInd w:val="0"/>
        <w:snapToGrid w:val="0"/>
        <w:spacing w:line="480" w:lineRule="exact"/>
        <w:ind w:firstLine="630" w:firstLineChars="300"/>
        <w:textAlignment w:val="auto"/>
        <w:rPr>
          <w:rFonts w:hint="eastAsia" w:asciiTheme="minorEastAsia" w:hAnsiTheme="minorEastAsia" w:eastAsiaTheme="minorEastAsia" w:cstheme="minorEastAsia"/>
          <w:b w:val="0"/>
          <w:bCs w:val="0"/>
          <w:color w:val="auto"/>
          <w:szCs w:val="21"/>
          <w:highlight w:val="none"/>
        </w:rPr>
      </w:pPr>
      <w:r>
        <w:rPr>
          <w:rFonts w:hint="eastAsia" w:asciiTheme="minorEastAsia" w:hAnsiTheme="minorEastAsia" w:eastAsiaTheme="minorEastAsia" w:cstheme="minorEastAsia"/>
          <w:b w:val="0"/>
          <w:bCs w:val="0"/>
          <w:color w:val="auto"/>
          <w:szCs w:val="21"/>
          <w:highlight w:val="none"/>
        </w:rPr>
        <w:t>3.4.2.6 中小企业可以同时享受节能产品、环境标志产品优先采购政策。同一项目中部分产品属于优先采购政策的，评审时只对该部分产品实行优先采购。</w:t>
      </w:r>
    </w:p>
    <w:p w14:paraId="3BE6DCA1">
      <w:pPr>
        <w:pageBreakBefore w:val="0"/>
        <w:kinsoku/>
        <w:wordWrap/>
        <w:overflowPunct/>
        <w:topLinePunct w:val="0"/>
        <w:bidi w:val="0"/>
        <w:adjustRightInd w:val="0"/>
        <w:snapToGrid w:val="0"/>
        <w:spacing w:line="480" w:lineRule="exact"/>
        <w:ind w:firstLine="630" w:firstLineChars="300"/>
        <w:textAlignment w:val="auto"/>
        <w:rPr>
          <w:rFonts w:hint="eastAsia" w:asciiTheme="minorEastAsia" w:hAnsiTheme="minorEastAsia" w:eastAsiaTheme="minorEastAsia" w:cstheme="minorEastAsia"/>
          <w:b w:val="0"/>
          <w:bCs w:val="0"/>
          <w:color w:val="auto"/>
          <w:szCs w:val="21"/>
          <w:highlight w:val="none"/>
        </w:rPr>
      </w:pPr>
      <w:r>
        <w:rPr>
          <w:rFonts w:hint="eastAsia" w:asciiTheme="minorEastAsia" w:hAnsiTheme="minorEastAsia" w:eastAsiaTheme="minorEastAsia" w:cstheme="minorEastAsia"/>
          <w:b w:val="0"/>
          <w:bCs w:val="0"/>
          <w:color w:val="auto"/>
          <w:szCs w:val="21"/>
          <w:highlight w:val="none"/>
        </w:rPr>
        <w:t>3.4.2.7 政府采购监督检查和投诉处理中对中小企业的认定，由企业所在地的县级以上中小企业主管部门负责。</w:t>
      </w:r>
    </w:p>
    <w:p w14:paraId="5AAC48FE">
      <w:pPr>
        <w:keepNext w:val="0"/>
        <w:keepLines w:val="0"/>
        <w:pageBreakBefore w:val="0"/>
        <w:widowControl w:val="0"/>
        <w:kinsoku/>
        <w:wordWrap/>
        <w:overflowPunct/>
        <w:topLinePunct w:val="0"/>
        <w:bidi w:val="0"/>
        <w:adjustRightInd/>
        <w:snapToGrid/>
        <w:spacing w:line="360" w:lineRule="exact"/>
        <w:ind w:right="0" w:rightChars="0"/>
        <w:textAlignment w:val="auto"/>
        <w:rPr>
          <w:rFonts w:hint="eastAsia" w:asciiTheme="minorEastAsia" w:hAnsiTheme="minorEastAsia" w:eastAsiaTheme="minorEastAsia" w:cstheme="minorEastAsia"/>
          <w:b/>
          <w:bCs/>
          <w:color w:val="auto"/>
          <w:szCs w:val="21"/>
          <w:highlight w:val="none"/>
        </w:rPr>
      </w:pPr>
      <w:r>
        <w:rPr>
          <w:rFonts w:hint="eastAsia" w:asciiTheme="minorEastAsia" w:hAnsiTheme="minorEastAsia" w:eastAsiaTheme="minorEastAsia" w:cstheme="minorEastAsia"/>
          <w:b/>
          <w:bCs/>
          <w:color w:val="auto"/>
          <w:szCs w:val="21"/>
          <w:highlight w:val="none"/>
        </w:rPr>
        <w:t>3.4.3采购标的对应的中小企业划分标准所属行业为</w:t>
      </w:r>
      <w:r>
        <w:rPr>
          <w:rFonts w:hint="eastAsia" w:asciiTheme="minorEastAsia" w:hAnsiTheme="minorEastAsia" w:eastAsiaTheme="minorEastAsia" w:cstheme="minorEastAsia"/>
          <w:b/>
          <w:bCs/>
          <w:color w:val="auto"/>
          <w:szCs w:val="21"/>
          <w:highlight w:val="none"/>
          <w:u w:val="single"/>
        </w:rPr>
        <w:t>工业</w:t>
      </w:r>
      <w:r>
        <w:rPr>
          <w:rFonts w:hint="eastAsia" w:asciiTheme="minorEastAsia" w:hAnsiTheme="minorEastAsia" w:eastAsiaTheme="minorEastAsia" w:cstheme="minorEastAsia"/>
          <w:b/>
          <w:bCs/>
          <w:color w:val="auto"/>
          <w:szCs w:val="21"/>
          <w:highlight w:val="none"/>
        </w:rPr>
        <w:t>。</w:t>
      </w:r>
    </w:p>
    <w:p w14:paraId="4D18FC3C">
      <w:pPr>
        <w:pageBreakBefore w:val="0"/>
        <w:tabs>
          <w:tab w:val="left" w:pos="7665"/>
        </w:tabs>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工业（包括采矿业，制造业，电力、热力、燃气及水生产和供应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p w14:paraId="0F532618">
      <w:pPr>
        <w:pageBreakBefore w:val="0"/>
        <w:kinsoku/>
        <w:wordWrap/>
        <w:overflowPunct/>
        <w:topLinePunct w:val="0"/>
        <w:bidi w:val="0"/>
        <w:adjustRightInd w:val="0"/>
        <w:snapToGrid w:val="0"/>
        <w:spacing w:line="480" w:lineRule="exact"/>
        <w:textAlignment w:val="auto"/>
        <w:rPr>
          <w:rFonts w:hint="eastAsia" w:asciiTheme="minorEastAsia" w:hAnsiTheme="minorEastAsia" w:eastAsiaTheme="minorEastAsia" w:cstheme="minorEastAsia"/>
          <w:b/>
          <w:bCs/>
          <w:color w:val="auto"/>
          <w:szCs w:val="21"/>
          <w:highlight w:val="none"/>
        </w:rPr>
      </w:pPr>
      <w:r>
        <w:rPr>
          <w:rFonts w:hint="eastAsia" w:asciiTheme="minorEastAsia" w:hAnsiTheme="minorEastAsia" w:eastAsiaTheme="minorEastAsia" w:cstheme="minorEastAsia"/>
          <w:b/>
          <w:bCs/>
          <w:color w:val="auto"/>
          <w:szCs w:val="21"/>
          <w:highlight w:val="none"/>
        </w:rPr>
        <w:t>3.4.4进口产品</w:t>
      </w:r>
    </w:p>
    <w:p w14:paraId="34D0D141">
      <w:pPr>
        <w:pageBreakBefore w:val="0"/>
        <w:kinsoku/>
        <w:wordWrap/>
        <w:overflowPunct/>
        <w:topLinePunct w:val="0"/>
        <w:bidi w:val="0"/>
        <w:adjustRightInd w:val="0"/>
        <w:snapToGrid w:val="0"/>
        <w:spacing w:line="480" w:lineRule="exact"/>
        <w:ind w:firstLine="630" w:firstLineChars="3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（A）本项目拒绝进口产品参加</w:t>
      </w:r>
      <w:r>
        <w:rPr>
          <w:rFonts w:hint="eastAsia" w:asciiTheme="minorEastAsia" w:hAnsiTheme="minorEastAsia" w:eastAsiaTheme="minorEastAsia" w:cstheme="minorEastAsia"/>
          <w:color w:val="auto"/>
          <w:szCs w:val="21"/>
          <w:highlight w:val="none"/>
          <w:lang w:eastAsia="zh-CN"/>
        </w:rPr>
        <w:t>投标</w:t>
      </w:r>
      <w:r>
        <w:rPr>
          <w:rFonts w:hint="eastAsia" w:asciiTheme="minorEastAsia" w:hAnsiTheme="minorEastAsia" w:eastAsiaTheme="minorEastAsia" w:cstheme="minorEastAsia"/>
          <w:color w:val="auto"/>
          <w:szCs w:val="21"/>
          <w:highlight w:val="none"/>
        </w:rPr>
        <w:t>。</w:t>
      </w:r>
    </w:p>
    <w:p w14:paraId="0DCD9A22">
      <w:pPr>
        <w:pStyle w:val="12"/>
        <w:pageBreakBefore w:val="0"/>
        <w:kinsoku/>
        <w:wordWrap/>
        <w:overflowPunct/>
        <w:topLinePunct w:val="0"/>
        <w:bidi w:val="0"/>
        <w:adjustRightInd w:val="0"/>
        <w:snapToGrid w:val="0"/>
        <w:spacing w:before="120" w:beforeLines="50" w:after="120" w:afterLines="50" w:line="480" w:lineRule="exact"/>
        <w:ind w:left="-178" w:leftChars="-85" w:firstLine="220" w:firstLineChars="73"/>
        <w:textAlignment w:val="auto"/>
        <w:rPr>
          <w:rFonts w:hint="eastAsia" w:asciiTheme="minorEastAsia" w:hAnsiTheme="minorEastAsia" w:eastAsiaTheme="minorEastAsia" w:cstheme="minorEastAsia"/>
          <w:b/>
          <w:color w:val="auto"/>
          <w:sz w:val="30"/>
          <w:szCs w:val="30"/>
          <w:highlight w:val="none"/>
        </w:rPr>
      </w:pPr>
      <w:r>
        <w:rPr>
          <w:rFonts w:hint="eastAsia" w:asciiTheme="minorEastAsia" w:hAnsiTheme="minorEastAsia" w:eastAsiaTheme="minorEastAsia" w:cstheme="minorEastAsia"/>
          <w:b/>
          <w:color w:val="auto"/>
          <w:sz w:val="30"/>
          <w:szCs w:val="30"/>
          <w:highlight w:val="none"/>
        </w:rPr>
        <w:t>3.5</w:t>
      </w:r>
      <w:r>
        <w:rPr>
          <w:rFonts w:hint="eastAsia" w:asciiTheme="minorEastAsia" w:hAnsiTheme="minorEastAsia" w:eastAsiaTheme="minorEastAsia" w:cstheme="minorEastAsia"/>
          <w:b/>
          <w:color w:val="auto"/>
          <w:sz w:val="30"/>
          <w:szCs w:val="30"/>
          <w:highlight w:val="none"/>
          <w:lang w:val="en-US" w:eastAsia="zh-CN"/>
        </w:rPr>
        <w:t xml:space="preserve"> </w:t>
      </w:r>
      <w:r>
        <w:rPr>
          <w:rFonts w:hint="eastAsia" w:asciiTheme="minorEastAsia" w:hAnsiTheme="minorEastAsia" w:eastAsiaTheme="minorEastAsia" w:cstheme="minorEastAsia"/>
          <w:b/>
          <w:color w:val="auto"/>
          <w:sz w:val="30"/>
          <w:szCs w:val="30"/>
          <w:highlight w:val="none"/>
        </w:rPr>
        <w:t>转包与分包</w:t>
      </w:r>
    </w:p>
    <w:p w14:paraId="6EF83961">
      <w:pPr>
        <w:pageBreakBefore w:val="0"/>
        <w:tabs>
          <w:tab w:val="left" w:pos="7665"/>
        </w:tabs>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3.5.1 本项目严禁采取转包方式履行合同。本项项目所称转包，是指中标人将采购合同业务转让给第三人，并退出现有采购合同当事人双方权利业务关系，受让人（即第三人）成为采购合同的另一方当事人的行为。</w:t>
      </w:r>
    </w:p>
    <w:p w14:paraId="01BA1772">
      <w:pPr>
        <w:pageBreakBefore w:val="0"/>
        <w:tabs>
          <w:tab w:val="left" w:pos="7665"/>
        </w:tabs>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中标人转包的，视同拒绝履行采购合同业务，将依法追究法律责任。</w:t>
      </w:r>
    </w:p>
    <w:p w14:paraId="73BD0B10">
      <w:pPr>
        <w:pageBreakBefore w:val="0"/>
        <w:tabs>
          <w:tab w:val="left" w:pos="7665"/>
        </w:tabs>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3.5.2</w:t>
      </w:r>
      <w:r>
        <w:rPr>
          <w:rFonts w:hint="eastAsia" w:asciiTheme="minorEastAsia" w:hAnsiTheme="minorEastAsia" w:eastAsiaTheme="minorEastAsia" w:cstheme="minorEastAsia"/>
          <w:color w:val="auto"/>
          <w:szCs w:val="21"/>
          <w:highlight w:val="none"/>
          <w:lang w:val="en-US" w:eastAsia="zh-CN"/>
        </w:rPr>
        <w:t xml:space="preserve"> </w:t>
      </w:r>
      <w:r>
        <w:rPr>
          <w:rFonts w:hint="eastAsia" w:asciiTheme="minorEastAsia" w:hAnsiTheme="minorEastAsia" w:eastAsiaTheme="minorEastAsia" w:cstheme="minorEastAsia"/>
          <w:color w:val="auto"/>
          <w:szCs w:val="21"/>
          <w:highlight w:val="none"/>
        </w:rPr>
        <w:t>本项目经采购人同意，可以将中标项目的部分非主体、非关键性工作分包给他人完成，</w:t>
      </w:r>
      <w:r>
        <w:rPr>
          <w:rFonts w:hint="eastAsia" w:asciiTheme="minorEastAsia" w:hAnsiTheme="minorEastAsia" w:eastAsiaTheme="minorEastAsia" w:cstheme="minorEastAsia"/>
          <w:color w:val="auto"/>
          <w:szCs w:val="21"/>
          <w:highlight w:val="none"/>
          <w:lang w:val="en-US" w:eastAsia="zh-CN"/>
        </w:rPr>
        <w:t>本项目</w:t>
      </w:r>
      <w:r>
        <w:rPr>
          <w:rFonts w:hint="eastAsia" w:asciiTheme="minorEastAsia" w:hAnsiTheme="minorEastAsia" w:eastAsiaTheme="minorEastAsia" w:cstheme="minorEastAsia"/>
          <w:b/>
          <w:bCs/>
          <w:color w:val="auto"/>
          <w:szCs w:val="21"/>
          <w:highlight w:val="none"/>
        </w:rPr>
        <w:t>“主体和关键性工作”是指：</w:t>
      </w:r>
      <w:r>
        <w:rPr>
          <w:rFonts w:hint="eastAsia" w:asciiTheme="minorEastAsia" w:hAnsiTheme="minorEastAsia" w:eastAsiaTheme="minorEastAsia" w:cstheme="minorEastAsia"/>
          <w:b/>
          <w:bCs/>
          <w:color w:val="auto"/>
          <w:szCs w:val="21"/>
          <w:highlight w:val="none"/>
          <w:lang w:eastAsia="zh-CN"/>
        </w:rPr>
        <w:t>本项目</w:t>
      </w:r>
      <w:r>
        <w:rPr>
          <w:rFonts w:hint="eastAsia" w:asciiTheme="minorEastAsia" w:hAnsiTheme="minorEastAsia" w:eastAsiaTheme="minorEastAsia" w:cstheme="minorEastAsia"/>
          <w:color w:val="auto"/>
          <w:szCs w:val="21"/>
          <w:highlight w:val="none"/>
        </w:rPr>
        <w:t>全部内容，本项目不允许分包。</w:t>
      </w:r>
    </w:p>
    <w:p w14:paraId="3E344644">
      <w:pPr>
        <w:pageBreakBefore w:val="0"/>
        <w:kinsoku/>
        <w:wordWrap/>
        <w:overflowPunct/>
        <w:topLinePunct w:val="0"/>
        <w:bidi w:val="0"/>
        <w:spacing w:line="480" w:lineRule="exact"/>
        <w:ind w:firstLine="493"/>
        <w:textAlignment w:val="auto"/>
        <w:rPr>
          <w:rFonts w:hint="eastAsia" w:asciiTheme="minorEastAsia" w:hAnsiTheme="minorEastAsia" w:eastAsiaTheme="minorEastAsia" w:cstheme="minorEastAsia"/>
          <w:b/>
          <w:bCs/>
          <w:color w:val="auto"/>
          <w:kern w:val="0"/>
          <w:szCs w:val="21"/>
          <w:highlight w:val="none"/>
        </w:rPr>
      </w:pPr>
      <w:r>
        <w:rPr>
          <w:rFonts w:hint="eastAsia" w:asciiTheme="minorEastAsia" w:hAnsiTheme="minorEastAsia" w:eastAsiaTheme="minorEastAsia" w:cstheme="minorEastAsia"/>
          <w:color w:val="auto"/>
          <w:kern w:val="0"/>
          <w:szCs w:val="21"/>
          <w:highlight w:val="none"/>
        </w:rPr>
        <w:t>接受分包的投标人应当具备相应的资格条件，并不得再次分包。</w:t>
      </w:r>
      <w:r>
        <w:rPr>
          <w:rFonts w:hint="eastAsia" w:asciiTheme="minorEastAsia" w:hAnsiTheme="minorEastAsia" w:eastAsiaTheme="minorEastAsia" w:cstheme="minorEastAsia"/>
          <w:color w:val="auto"/>
          <w:szCs w:val="21"/>
          <w:highlight w:val="none"/>
        </w:rPr>
        <w:t>采购合同实行分包履行的，中标人就采购项目和分包项目向采购人负责，分包投标人就分包项目承担责任。</w:t>
      </w:r>
    </w:p>
    <w:p w14:paraId="68D22C51">
      <w:pPr>
        <w:pStyle w:val="12"/>
        <w:pageBreakBefore w:val="0"/>
        <w:kinsoku/>
        <w:wordWrap/>
        <w:overflowPunct/>
        <w:topLinePunct w:val="0"/>
        <w:bidi w:val="0"/>
        <w:adjustRightInd w:val="0"/>
        <w:snapToGrid w:val="0"/>
        <w:spacing w:before="120" w:beforeLines="50" w:after="120" w:afterLines="50" w:line="480" w:lineRule="exact"/>
        <w:ind w:left="-178" w:leftChars="-85" w:firstLine="220" w:firstLineChars="73"/>
        <w:textAlignment w:val="auto"/>
        <w:rPr>
          <w:rFonts w:hint="eastAsia" w:asciiTheme="minorEastAsia" w:hAnsiTheme="minorEastAsia" w:eastAsiaTheme="minorEastAsia" w:cstheme="minorEastAsia"/>
          <w:b/>
          <w:color w:val="auto"/>
          <w:sz w:val="30"/>
          <w:szCs w:val="30"/>
          <w:highlight w:val="none"/>
        </w:rPr>
      </w:pPr>
      <w:r>
        <w:rPr>
          <w:rFonts w:hint="eastAsia" w:asciiTheme="minorEastAsia" w:hAnsiTheme="minorEastAsia" w:eastAsiaTheme="minorEastAsia" w:cstheme="minorEastAsia"/>
          <w:b/>
          <w:color w:val="auto"/>
          <w:sz w:val="30"/>
          <w:szCs w:val="30"/>
          <w:highlight w:val="none"/>
        </w:rPr>
        <w:t>3.6</w:t>
      </w:r>
      <w:r>
        <w:rPr>
          <w:rFonts w:hint="eastAsia" w:asciiTheme="minorEastAsia" w:hAnsiTheme="minorEastAsia" w:eastAsiaTheme="minorEastAsia" w:cstheme="minorEastAsia"/>
          <w:b/>
          <w:color w:val="auto"/>
          <w:sz w:val="30"/>
          <w:szCs w:val="30"/>
          <w:highlight w:val="none"/>
          <w:lang w:val="en-US" w:eastAsia="zh-CN"/>
        </w:rPr>
        <w:t xml:space="preserve"> </w:t>
      </w:r>
      <w:r>
        <w:rPr>
          <w:rFonts w:hint="eastAsia" w:asciiTheme="minorEastAsia" w:hAnsiTheme="minorEastAsia" w:eastAsiaTheme="minorEastAsia" w:cstheme="minorEastAsia"/>
          <w:b/>
          <w:color w:val="auto"/>
          <w:sz w:val="30"/>
          <w:szCs w:val="30"/>
          <w:highlight w:val="none"/>
        </w:rPr>
        <w:t>投标人的风险</w:t>
      </w:r>
    </w:p>
    <w:p w14:paraId="3D0A7110">
      <w:pPr>
        <w:pageBreakBefore w:val="0"/>
        <w:tabs>
          <w:tab w:val="left" w:pos="7665"/>
        </w:tabs>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szCs w:val="21"/>
          <w:highlight w:val="none"/>
        </w:rPr>
        <w:t>投标人应认真阅读和充分理解招标文件中所有的事项、格式条款和规范要求，任何对</w:t>
      </w:r>
      <w:r>
        <w:rPr>
          <w:rFonts w:hint="eastAsia" w:asciiTheme="minorEastAsia" w:hAnsiTheme="minorEastAsia" w:eastAsiaTheme="minorEastAsia" w:cstheme="minorEastAsia"/>
          <w:bCs/>
          <w:color w:val="auto"/>
          <w:szCs w:val="21"/>
          <w:highlight w:val="none"/>
        </w:rPr>
        <w:t>招标</w:t>
      </w:r>
      <w:r>
        <w:rPr>
          <w:rFonts w:hint="eastAsia" w:asciiTheme="minorEastAsia" w:hAnsiTheme="minorEastAsia" w:eastAsiaTheme="minorEastAsia" w:cstheme="minorEastAsia"/>
          <w:color w:val="auto"/>
          <w:szCs w:val="21"/>
          <w:highlight w:val="none"/>
        </w:rPr>
        <w:t>文件的忽略或误解不能作为投标文件存在缺陷或瑕疵的理由；投标人</w:t>
      </w:r>
      <w:r>
        <w:rPr>
          <w:rFonts w:hint="eastAsia" w:asciiTheme="minorEastAsia" w:hAnsiTheme="minorEastAsia" w:eastAsiaTheme="minorEastAsia" w:cstheme="minorEastAsia"/>
          <w:color w:val="auto"/>
          <w:kern w:val="0"/>
          <w:szCs w:val="21"/>
          <w:highlight w:val="none"/>
        </w:rPr>
        <w:t>没有按照招标文件要求提供全部资料，</w:t>
      </w:r>
      <w:r>
        <w:rPr>
          <w:rFonts w:hint="eastAsia" w:asciiTheme="minorEastAsia" w:hAnsiTheme="minorEastAsia" w:eastAsiaTheme="minorEastAsia" w:cstheme="minorEastAsia"/>
          <w:color w:val="auto"/>
          <w:szCs w:val="21"/>
          <w:highlight w:val="none"/>
        </w:rPr>
        <w:t>或对招标文件全面做出实质性响应是投标人的风险，</w:t>
      </w:r>
      <w:r>
        <w:rPr>
          <w:rFonts w:hint="eastAsia" w:asciiTheme="minorEastAsia" w:hAnsiTheme="minorEastAsia" w:eastAsiaTheme="minorEastAsia" w:cstheme="minorEastAsia"/>
          <w:color w:val="auto"/>
          <w:kern w:val="0"/>
          <w:szCs w:val="21"/>
          <w:highlight w:val="none"/>
        </w:rPr>
        <w:t>并可能导致其投标文件被拒绝。</w:t>
      </w:r>
    </w:p>
    <w:p w14:paraId="0666F125">
      <w:pPr>
        <w:pageBreakBefore w:val="0"/>
        <w:kinsoku/>
        <w:wordWrap/>
        <w:overflowPunct/>
        <w:topLinePunct w:val="0"/>
        <w:bidi w:val="0"/>
        <w:spacing w:before="120" w:beforeLines="50" w:after="120" w:afterLines="50" w:line="480" w:lineRule="exact"/>
        <w:textAlignment w:val="auto"/>
        <w:rPr>
          <w:rFonts w:hint="eastAsia" w:asciiTheme="minorEastAsia" w:hAnsiTheme="minorEastAsia" w:eastAsiaTheme="minorEastAsia" w:cstheme="minorEastAsia"/>
          <w:b/>
          <w:color w:val="auto"/>
          <w:sz w:val="30"/>
          <w:szCs w:val="30"/>
          <w:highlight w:val="none"/>
        </w:rPr>
      </w:pPr>
      <w:r>
        <w:rPr>
          <w:rFonts w:hint="eastAsia" w:asciiTheme="minorEastAsia" w:hAnsiTheme="minorEastAsia" w:eastAsiaTheme="minorEastAsia" w:cstheme="minorEastAsia"/>
          <w:b/>
          <w:color w:val="auto"/>
          <w:sz w:val="30"/>
          <w:szCs w:val="30"/>
          <w:highlight w:val="none"/>
        </w:rPr>
        <w:t>3.7</w:t>
      </w:r>
      <w:r>
        <w:rPr>
          <w:rFonts w:hint="eastAsia" w:asciiTheme="minorEastAsia" w:hAnsiTheme="minorEastAsia" w:eastAsiaTheme="minorEastAsia" w:cstheme="minorEastAsia"/>
          <w:b/>
          <w:color w:val="auto"/>
          <w:sz w:val="30"/>
          <w:szCs w:val="30"/>
          <w:highlight w:val="none"/>
          <w:lang w:val="en-US" w:eastAsia="zh-CN"/>
        </w:rPr>
        <w:t xml:space="preserve"> </w:t>
      </w:r>
      <w:r>
        <w:rPr>
          <w:rFonts w:hint="eastAsia" w:asciiTheme="minorEastAsia" w:hAnsiTheme="minorEastAsia" w:eastAsiaTheme="minorEastAsia" w:cstheme="minorEastAsia"/>
          <w:b/>
          <w:color w:val="auto"/>
          <w:sz w:val="30"/>
          <w:szCs w:val="30"/>
          <w:highlight w:val="none"/>
        </w:rPr>
        <w:t>投标人的纪律要求</w:t>
      </w:r>
    </w:p>
    <w:p w14:paraId="153BDC8A">
      <w:pPr>
        <w:pStyle w:val="4"/>
        <w:pageBreakBefore w:val="0"/>
        <w:kinsoku/>
        <w:wordWrap/>
        <w:overflowPunct/>
        <w:topLinePunct w:val="0"/>
        <w:bidi w:val="0"/>
        <w:spacing w:line="480" w:lineRule="exact"/>
        <w:ind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3.7.1 有下列情形之一的，属于不合格投标人，其投标或中标资格将被取消：</w:t>
      </w:r>
    </w:p>
    <w:p w14:paraId="26C05177">
      <w:pPr>
        <w:pageBreakBefore w:val="0"/>
        <w:kinsoku/>
        <w:wordWrap/>
        <w:overflowPunct/>
        <w:topLinePunct w:val="0"/>
        <w:bidi w:val="0"/>
        <w:spacing w:line="480" w:lineRule="exact"/>
        <w:ind w:firstLine="403" w:firstLineChars="192"/>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（1）提供虚假材料谋取中标；</w:t>
      </w:r>
    </w:p>
    <w:p w14:paraId="00076DCE">
      <w:pPr>
        <w:pageBreakBefore w:val="0"/>
        <w:kinsoku/>
        <w:wordWrap/>
        <w:overflowPunct/>
        <w:topLinePunct w:val="0"/>
        <w:bidi w:val="0"/>
        <w:spacing w:line="480" w:lineRule="exact"/>
        <w:ind w:firstLine="403" w:firstLineChars="192"/>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（2）采取不正当手段诋毁、排挤其他投标人；</w:t>
      </w:r>
    </w:p>
    <w:p w14:paraId="401D24A4">
      <w:pPr>
        <w:pageBreakBefore w:val="0"/>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（3）与采购人、采购代理机构、其他投标人恶意串通；</w:t>
      </w:r>
    </w:p>
    <w:p w14:paraId="2FF92611">
      <w:pPr>
        <w:pageBreakBefore w:val="0"/>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（4）向采购人、采购代理机构、评标委员会成员行贿或者提供其他不正当利益；</w:t>
      </w:r>
    </w:p>
    <w:p w14:paraId="7F2EC40D">
      <w:pPr>
        <w:pStyle w:val="14"/>
        <w:pageBreakBefore w:val="0"/>
        <w:tabs>
          <w:tab w:val="left" w:pos="720"/>
        </w:tabs>
        <w:kinsoku/>
        <w:wordWrap/>
        <w:overflowPunct/>
        <w:topLinePunct w:val="0"/>
        <w:bidi w:val="0"/>
        <w:spacing w:line="480" w:lineRule="exact"/>
        <w:ind w:firstLine="403" w:firstLineChars="192"/>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（5）在招标过程中与采购人、采购代理机构进行协商谈判；</w:t>
      </w:r>
    </w:p>
    <w:p w14:paraId="24BC9D2F">
      <w:pPr>
        <w:pStyle w:val="14"/>
        <w:pageBreakBefore w:val="0"/>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（6）拒绝有关部门的监督检查或者向监督检查部门提供虚假情况。</w:t>
      </w:r>
    </w:p>
    <w:p w14:paraId="2589C83D">
      <w:pPr>
        <w:pageBreakBefore w:val="0"/>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3.7.2有下列情形之一的，视为投标人相互恶意串通投标，其投标无效：</w:t>
      </w:r>
    </w:p>
    <w:p w14:paraId="318E7CD1">
      <w:pPr>
        <w:pageBreakBefore w:val="0"/>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（1）不同投标人的投标文件由同一单位或者个人编制；</w:t>
      </w:r>
    </w:p>
    <w:p w14:paraId="3469D9D0">
      <w:pPr>
        <w:pageBreakBefore w:val="0"/>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（2）不同投标人委托同一单位或者个人办理投标事宜；</w:t>
      </w:r>
    </w:p>
    <w:p w14:paraId="40DCE939">
      <w:pPr>
        <w:pageBreakBefore w:val="0"/>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（3）不同投标人的投标文件载明的项目管理成员为同一人；</w:t>
      </w:r>
    </w:p>
    <w:p w14:paraId="3A608D4D">
      <w:pPr>
        <w:pageBreakBefore w:val="0"/>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（4）不同投标人的投标文件异常一致或者投标报价呈规律性差异；</w:t>
      </w:r>
    </w:p>
    <w:p w14:paraId="758716BF">
      <w:pPr>
        <w:pageBreakBefore w:val="0"/>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（5）不同投标人的投标文件相互混装；</w:t>
      </w:r>
    </w:p>
    <w:p w14:paraId="4E66EA26">
      <w:pPr>
        <w:pageBreakBefore w:val="0"/>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（6）不同投标人的投标保证金从同一单位或者个人的账户转出；</w:t>
      </w:r>
    </w:p>
    <w:p w14:paraId="69DA8323">
      <w:pPr>
        <w:pageBreakBefore w:val="0"/>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（7）不同投标人的投标文件由同一投标人送达。</w:t>
      </w:r>
    </w:p>
    <w:p w14:paraId="11376705">
      <w:pPr>
        <w:pageBreakBefore w:val="0"/>
        <w:tabs>
          <w:tab w:val="left" w:pos="7665"/>
        </w:tabs>
        <w:kinsoku/>
        <w:wordWrap/>
        <w:overflowPunct/>
        <w:topLinePunct w:val="0"/>
        <w:bidi w:val="0"/>
        <w:spacing w:before="120" w:beforeLines="50" w:after="120" w:afterLines="50" w:line="480" w:lineRule="exact"/>
        <w:jc w:val="center"/>
        <w:textAlignment w:val="auto"/>
        <w:outlineLvl w:val="1"/>
        <w:rPr>
          <w:rFonts w:hint="eastAsia" w:asciiTheme="minorEastAsia" w:hAnsiTheme="minorEastAsia" w:eastAsiaTheme="minorEastAsia" w:cstheme="minorEastAsia"/>
          <w:b/>
          <w:color w:val="auto"/>
          <w:kern w:val="0"/>
          <w:sz w:val="36"/>
          <w:szCs w:val="36"/>
          <w:highlight w:val="none"/>
        </w:rPr>
      </w:pPr>
      <w:bookmarkStart w:id="125" w:name="_Toc18750"/>
      <w:r>
        <w:rPr>
          <w:rFonts w:hint="eastAsia" w:asciiTheme="minorEastAsia" w:hAnsiTheme="minorEastAsia" w:eastAsiaTheme="minorEastAsia" w:cstheme="minorEastAsia"/>
          <w:b/>
          <w:bCs/>
          <w:color w:val="auto"/>
          <w:sz w:val="36"/>
          <w:szCs w:val="36"/>
          <w:highlight w:val="none"/>
        </w:rPr>
        <w:t>4.投标文件</w:t>
      </w:r>
      <w:bookmarkEnd w:id="125"/>
    </w:p>
    <w:p w14:paraId="0017FF4E">
      <w:pPr>
        <w:pageBreakBefore w:val="0"/>
        <w:kinsoku/>
        <w:wordWrap/>
        <w:overflowPunct/>
        <w:topLinePunct w:val="0"/>
        <w:bidi w:val="0"/>
        <w:snapToGrid w:val="0"/>
        <w:spacing w:after="120" w:afterLines="50" w:line="480" w:lineRule="exact"/>
        <w:textAlignment w:val="auto"/>
        <w:outlineLvl w:val="2"/>
        <w:rPr>
          <w:rFonts w:hint="eastAsia" w:asciiTheme="minorEastAsia" w:hAnsiTheme="minorEastAsia" w:eastAsiaTheme="minorEastAsia" w:cstheme="minorEastAsia"/>
          <w:b/>
          <w:bCs/>
          <w:color w:val="auto"/>
          <w:sz w:val="30"/>
          <w:szCs w:val="30"/>
          <w:highlight w:val="none"/>
        </w:rPr>
      </w:pPr>
      <w:r>
        <w:rPr>
          <w:rFonts w:hint="eastAsia" w:asciiTheme="minorEastAsia" w:hAnsiTheme="minorEastAsia" w:eastAsiaTheme="minorEastAsia" w:cstheme="minorEastAsia"/>
          <w:b/>
          <w:bCs/>
          <w:color w:val="auto"/>
          <w:sz w:val="30"/>
          <w:szCs w:val="30"/>
          <w:highlight w:val="none"/>
        </w:rPr>
        <w:t>4.1</w:t>
      </w:r>
      <w:r>
        <w:rPr>
          <w:rFonts w:hint="eastAsia" w:asciiTheme="minorEastAsia" w:hAnsiTheme="minorEastAsia" w:eastAsiaTheme="minorEastAsia" w:cstheme="minorEastAsia"/>
          <w:b/>
          <w:bCs/>
          <w:color w:val="auto"/>
          <w:sz w:val="30"/>
          <w:szCs w:val="30"/>
          <w:highlight w:val="none"/>
          <w:lang w:val="en-US" w:eastAsia="zh-CN"/>
        </w:rPr>
        <w:t xml:space="preserve"> </w:t>
      </w:r>
      <w:r>
        <w:rPr>
          <w:rFonts w:hint="eastAsia" w:asciiTheme="minorEastAsia" w:hAnsiTheme="minorEastAsia" w:eastAsiaTheme="minorEastAsia" w:cstheme="minorEastAsia"/>
          <w:b/>
          <w:bCs/>
          <w:color w:val="auto"/>
          <w:sz w:val="30"/>
          <w:szCs w:val="30"/>
          <w:highlight w:val="none"/>
        </w:rPr>
        <w:t>投标文件的编写原则和要求</w:t>
      </w:r>
    </w:p>
    <w:p w14:paraId="796842FD">
      <w:pPr>
        <w:pageBreakBefore w:val="0"/>
        <w:tabs>
          <w:tab w:val="left" w:pos="720"/>
        </w:tabs>
        <w:kinsoku/>
        <w:wordWrap/>
        <w:overflowPunct/>
        <w:topLinePunct w:val="0"/>
        <w:bidi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4.1.1 投标人应仔细阅读招标文件的所有内容，按招标文件规定及要求编写，应当对招标文件提出的实质性要求做出响应，并提交完整的投标文件。投标人应对投标货物和服务提供完整详细的技术说明，若投标人对指定的技术要求不能完全响应，应在投标文件中清楚地注明。</w:t>
      </w:r>
      <w:r>
        <w:rPr>
          <w:rFonts w:hint="eastAsia" w:asciiTheme="minorEastAsia" w:hAnsiTheme="minorEastAsia" w:eastAsiaTheme="minorEastAsia" w:cstheme="minorEastAsia"/>
          <w:b/>
          <w:color w:val="auto"/>
          <w:szCs w:val="21"/>
          <w:highlight w:val="none"/>
        </w:rPr>
        <w:t>投标人拟在中标后将中标项目的非主体、非关键性工作交由他人完成的，应当在投标文件中载明。</w:t>
      </w:r>
      <w:r>
        <w:rPr>
          <w:rFonts w:hint="eastAsia" w:asciiTheme="minorEastAsia" w:hAnsiTheme="minorEastAsia" w:eastAsiaTheme="minorEastAsia" w:cstheme="minorEastAsia"/>
          <w:color w:val="auto"/>
          <w:szCs w:val="21"/>
          <w:highlight w:val="none"/>
        </w:rPr>
        <w:t>投标人对本招标文件的每一项要求所给予的响应必须是唯一的，否则将视为无效投标文件。</w:t>
      </w:r>
    </w:p>
    <w:p w14:paraId="3E9081EB">
      <w:pPr>
        <w:pageBreakBefore w:val="0"/>
        <w:tabs>
          <w:tab w:val="left" w:pos="720"/>
        </w:tabs>
        <w:kinsoku/>
        <w:wordWrap/>
        <w:overflowPunct/>
        <w:topLinePunct w:val="0"/>
        <w:bidi w:val="0"/>
        <w:snapToGrid w:val="0"/>
        <w:spacing w:line="480" w:lineRule="exact"/>
        <w:ind w:firstLine="422" w:firstLineChars="200"/>
        <w:textAlignment w:val="auto"/>
        <w:rPr>
          <w:rFonts w:hint="eastAsia" w:asciiTheme="minorEastAsia" w:hAnsiTheme="minorEastAsia" w:eastAsiaTheme="minorEastAsia" w:cstheme="minorEastAsia"/>
          <w:b/>
          <w:color w:val="auto"/>
          <w:szCs w:val="21"/>
          <w:highlight w:val="none"/>
        </w:rPr>
      </w:pPr>
      <w:r>
        <w:rPr>
          <w:rFonts w:hint="eastAsia" w:asciiTheme="minorEastAsia" w:hAnsiTheme="minorEastAsia" w:eastAsiaTheme="minorEastAsia" w:cstheme="minorEastAsia"/>
          <w:b/>
          <w:color w:val="auto"/>
          <w:szCs w:val="21"/>
          <w:highlight w:val="none"/>
        </w:rPr>
        <w:t>4.1.2 真实性原则</w:t>
      </w:r>
    </w:p>
    <w:p w14:paraId="037757E9">
      <w:pPr>
        <w:pageBreakBefore w:val="0"/>
        <w:tabs>
          <w:tab w:val="left" w:pos="720"/>
        </w:tabs>
        <w:kinsoku/>
        <w:wordWrap/>
        <w:overflowPunct/>
        <w:topLinePunct w:val="0"/>
        <w:bidi w:val="0"/>
        <w:snapToGrid w:val="0"/>
        <w:spacing w:line="480" w:lineRule="exact"/>
        <w:ind w:firstLine="630" w:firstLineChars="3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4.1.2.1 投标人应保证所提供的投标文件和所有资料的真实性、准确性和完整性。</w:t>
      </w:r>
    </w:p>
    <w:p w14:paraId="2CDEFFC5">
      <w:pPr>
        <w:pageBreakBefore w:val="0"/>
        <w:tabs>
          <w:tab w:val="left" w:pos="720"/>
        </w:tabs>
        <w:kinsoku/>
        <w:wordWrap/>
        <w:overflowPunct/>
        <w:topLinePunct w:val="0"/>
        <w:bidi w:val="0"/>
        <w:snapToGrid w:val="0"/>
        <w:spacing w:line="480" w:lineRule="exact"/>
        <w:ind w:firstLine="630" w:firstLineChars="3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4.1.2.2 投标人被认定为在采购活动中提供不真实材料的，无论其材料是否重要，采购人均有权拒绝，并取消其投标或中标资格，投标人需承担相应的法律后果。</w:t>
      </w:r>
    </w:p>
    <w:p w14:paraId="1B8EEA59">
      <w:pPr>
        <w:pageBreakBefore w:val="0"/>
        <w:tabs>
          <w:tab w:val="left" w:pos="720"/>
        </w:tabs>
        <w:kinsoku/>
        <w:wordWrap/>
        <w:overflowPunct/>
        <w:topLinePunct w:val="0"/>
        <w:bidi w:val="0"/>
        <w:snapToGrid w:val="0"/>
        <w:spacing w:line="480" w:lineRule="exact"/>
        <w:ind w:firstLine="480"/>
        <w:textAlignment w:val="auto"/>
        <w:rPr>
          <w:rFonts w:hint="eastAsia" w:asciiTheme="minorEastAsia" w:hAnsiTheme="minorEastAsia" w:eastAsiaTheme="minorEastAsia" w:cstheme="minorEastAsia"/>
          <w:b/>
          <w:color w:val="auto"/>
          <w:szCs w:val="21"/>
          <w:highlight w:val="none"/>
        </w:rPr>
      </w:pPr>
      <w:r>
        <w:rPr>
          <w:rFonts w:hint="eastAsia" w:asciiTheme="minorEastAsia" w:hAnsiTheme="minorEastAsia" w:eastAsiaTheme="minorEastAsia" w:cstheme="minorEastAsia"/>
          <w:b/>
          <w:color w:val="auto"/>
          <w:szCs w:val="21"/>
          <w:highlight w:val="none"/>
        </w:rPr>
        <w:t>4.1.3 投标货币</w:t>
      </w:r>
    </w:p>
    <w:p w14:paraId="07BE1D95">
      <w:pPr>
        <w:pageBreakBefore w:val="0"/>
        <w:tabs>
          <w:tab w:val="left" w:pos="720"/>
        </w:tabs>
        <w:kinsoku/>
        <w:wordWrap/>
        <w:overflowPunct/>
        <w:topLinePunct w:val="0"/>
        <w:bidi w:val="0"/>
        <w:snapToGrid w:val="0"/>
        <w:spacing w:line="480" w:lineRule="exact"/>
        <w:ind w:firstLine="630" w:firstLineChars="3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本项目的投标均以人民币报价。</w:t>
      </w:r>
    </w:p>
    <w:p w14:paraId="703BEE80">
      <w:pPr>
        <w:pageBreakBefore w:val="0"/>
        <w:tabs>
          <w:tab w:val="left" w:pos="720"/>
        </w:tabs>
        <w:kinsoku/>
        <w:wordWrap/>
        <w:overflowPunct/>
        <w:topLinePunct w:val="0"/>
        <w:bidi w:val="0"/>
        <w:snapToGrid w:val="0"/>
        <w:spacing w:line="480" w:lineRule="exact"/>
        <w:ind w:firstLine="424" w:firstLineChars="201"/>
        <w:textAlignment w:val="auto"/>
        <w:rPr>
          <w:rFonts w:hint="eastAsia" w:asciiTheme="minorEastAsia" w:hAnsiTheme="minorEastAsia" w:eastAsiaTheme="minorEastAsia" w:cstheme="minorEastAsia"/>
          <w:b/>
          <w:color w:val="auto"/>
          <w:highlight w:val="none"/>
        </w:rPr>
      </w:pPr>
      <w:r>
        <w:rPr>
          <w:rFonts w:hint="eastAsia" w:asciiTheme="minorEastAsia" w:hAnsiTheme="minorEastAsia" w:eastAsiaTheme="minorEastAsia" w:cstheme="minorEastAsia"/>
          <w:b/>
          <w:color w:val="auto"/>
          <w:highlight w:val="none"/>
        </w:rPr>
        <w:t>4.1.4 投标文件形式</w:t>
      </w:r>
    </w:p>
    <w:p w14:paraId="262B9F11">
      <w:pPr>
        <w:pStyle w:val="12"/>
        <w:pageBreakBefore w:val="0"/>
        <w:kinsoku/>
        <w:wordWrap/>
        <w:overflowPunct/>
        <w:topLinePunct w:val="0"/>
        <w:bidi w:val="0"/>
        <w:adjustRightInd w:val="0"/>
        <w:snapToGrid w:val="0"/>
        <w:spacing w:line="480" w:lineRule="exact"/>
        <w:ind w:firstLine="630" w:firstLineChars="300"/>
        <w:textAlignment w:val="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本项目投标文件应采用</w:t>
      </w:r>
      <w:r>
        <w:rPr>
          <w:rFonts w:hint="eastAsia" w:asciiTheme="minorEastAsia" w:hAnsiTheme="minorEastAsia" w:eastAsiaTheme="minorEastAsia" w:cstheme="minorEastAsia"/>
          <w:color w:val="auto"/>
          <w:highlight w:val="none"/>
          <w:lang w:eastAsia="zh-CN"/>
        </w:rPr>
        <w:t>软件</w:t>
      </w:r>
      <w:r>
        <w:rPr>
          <w:rFonts w:hint="eastAsia" w:asciiTheme="minorEastAsia" w:hAnsiTheme="minorEastAsia" w:eastAsiaTheme="minorEastAsia" w:cstheme="minorEastAsia"/>
          <w:color w:val="auto"/>
          <w:highlight w:val="none"/>
        </w:rPr>
        <w:t>形式，电报、传真、电子邮件形式的投标文件不予接受。</w:t>
      </w:r>
    </w:p>
    <w:p w14:paraId="0F91D476">
      <w:pPr>
        <w:pageBreakBefore w:val="0"/>
        <w:tabs>
          <w:tab w:val="left" w:pos="720"/>
        </w:tabs>
        <w:kinsoku/>
        <w:wordWrap/>
        <w:overflowPunct/>
        <w:topLinePunct w:val="0"/>
        <w:bidi w:val="0"/>
        <w:snapToGrid w:val="0"/>
        <w:spacing w:line="480" w:lineRule="exact"/>
        <w:ind w:firstLine="422" w:firstLineChars="200"/>
        <w:textAlignment w:val="auto"/>
        <w:rPr>
          <w:rFonts w:hint="eastAsia" w:asciiTheme="minorEastAsia" w:hAnsiTheme="minorEastAsia" w:eastAsiaTheme="minorEastAsia" w:cstheme="minorEastAsia"/>
          <w:b/>
          <w:color w:val="auto"/>
          <w:szCs w:val="21"/>
          <w:highlight w:val="none"/>
        </w:rPr>
      </w:pPr>
      <w:r>
        <w:rPr>
          <w:rFonts w:hint="eastAsia" w:asciiTheme="minorEastAsia" w:hAnsiTheme="minorEastAsia" w:eastAsiaTheme="minorEastAsia" w:cstheme="minorEastAsia"/>
          <w:b/>
          <w:color w:val="auto"/>
          <w:szCs w:val="21"/>
          <w:highlight w:val="none"/>
        </w:rPr>
        <w:t>4.1.5 备选方案</w:t>
      </w:r>
    </w:p>
    <w:p w14:paraId="5362907C">
      <w:pPr>
        <w:pageBreakBefore w:val="0"/>
        <w:tabs>
          <w:tab w:val="left" w:pos="720"/>
        </w:tabs>
        <w:kinsoku/>
        <w:wordWrap/>
        <w:overflowPunct/>
        <w:topLinePunct w:val="0"/>
        <w:bidi w:val="0"/>
        <w:snapToGrid w:val="0"/>
        <w:spacing w:line="480" w:lineRule="exact"/>
        <w:ind w:firstLine="630" w:firstLineChars="3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4.1.5.1 除投标人须知前附表规定允许外，投标人不得递交备选投标方案，投标文件的报价只允许有一个报价，不接受具有附加条件的报价，否则，视为无效投标。</w:t>
      </w:r>
    </w:p>
    <w:p w14:paraId="2171AF9E">
      <w:pPr>
        <w:pageBreakBefore w:val="0"/>
        <w:tabs>
          <w:tab w:val="left" w:pos="720"/>
        </w:tabs>
        <w:kinsoku/>
        <w:wordWrap/>
        <w:overflowPunct/>
        <w:topLinePunct w:val="0"/>
        <w:bidi w:val="0"/>
        <w:snapToGrid w:val="0"/>
        <w:spacing w:line="480" w:lineRule="exact"/>
        <w:ind w:firstLine="630" w:firstLineChars="3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4.1.5.2 允许投标人递交备选投标方案的，只有中标人所递交的备选投标方案方可予以考虑。评标委员会认为中标人的备选投标方案优于其按照招标文件要求编制的投标方案的，采购人可以接受该备选方案。</w:t>
      </w:r>
    </w:p>
    <w:p w14:paraId="7F45DD07">
      <w:pPr>
        <w:pageBreakBefore w:val="0"/>
        <w:tabs>
          <w:tab w:val="left" w:pos="720"/>
        </w:tabs>
        <w:kinsoku/>
        <w:wordWrap/>
        <w:overflowPunct/>
        <w:topLinePunct w:val="0"/>
        <w:bidi w:val="0"/>
        <w:snapToGrid w:val="0"/>
        <w:spacing w:line="480" w:lineRule="exact"/>
        <w:ind w:firstLine="630" w:firstLineChars="3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4.1.5.3 投标人提供两个或两个以上投标报价，或者在投标文件中提供一个报价，但同时提供两个或两个以上供货方案的，视为提供备选方案。</w:t>
      </w:r>
    </w:p>
    <w:bookmarkEnd w:id="119"/>
    <w:bookmarkEnd w:id="120"/>
    <w:bookmarkEnd w:id="121"/>
    <w:p w14:paraId="77AD8747">
      <w:pPr>
        <w:pageBreakBefore w:val="0"/>
        <w:tabs>
          <w:tab w:val="left" w:pos="720"/>
        </w:tabs>
        <w:kinsoku/>
        <w:wordWrap/>
        <w:overflowPunct/>
        <w:topLinePunct w:val="0"/>
        <w:bidi w:val="0"/>
        <w:snapToGrid w:val="0"/>
        <w:spacing w:before="120" w:beforeLines="50" w:after="120" w:afterLines="50" w:line="480" w:lineRule="exact"/>
        <w:textAlignment w:val="auto"/>
        <w:rPr>
          <w:rFonts w:hint="eastAsia" w:asciiTheme="minorEastAsia" w:hAnsiTheme="minorEastAsia" w:eastAsiaTheme="minorEastAsia" w:cstheme="minorEastAsia"/>
          <w:b/>
          <w:color w:val="auto"/>
          <w:sz w:val="30"/>
          <w:szCs w:val="30"/>
          <w:highlight w:val="none"/>
        </w:rPr>
      </w:pPr>
      <w:bookmarkStart w:id="126" w:name="_Toc217446048"/>
      <w:bookmarkStart w:id="127" w:name="_Toc183582217"/>
      <w:bookmarkStart w:id="128" w:name="_Toc183682354"/>
      <w:r>
        <w:rPr>
          <w:rFonts w:hint="eastAsia" w:asciiTheme="minorEastAsia" w:hAnsiTheme="minorEastAsia" w:eastAsiaTheme="minorEastAsia" w:cstheme="minorEastAsia"/>
          <w:b/>
          <w:color w:val="auto"/>
          <w:sz w:val="30"/>
          <w:szCs w:val="30"/>
          <w:highlight w:val="none"/>
        </w:rPr>
        <w:t>4.2 投标文件的组成</w:t>
      </w:r>
      <w:bookmarkEnd w:id="126"/>
      <w:bookmarkEnd w:id="127"/>
      <w:bookmarkEnd w:id="128"/>
    </w:p>
    <w:p w14:paraId="3AD8E21F">
      <w:pPr>
        <w:pageBreakBefore w:val="0"/>
        <w:kinsoku/>
        <w:wordWrap/>
        <w:overflowPunct/>
        <w:topLinePunct w:val="0"/>
        <w:bidi w:val="0"/>
        <w:spacing w:line="480" w:lineRule="exact"/>
        <w:ind w:firstLine="411" w:firstLineChars="196"/>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4.2.1投标文件由下列文件组成：</w:t>
      </w:r>
    </w:p>
    <w:p w14:paraId="5EA36478">
      <w:pPr>
        <w:pageBreakBefore w:val="0"/>
        <w:tabs>
          <w:tab w:val="left" w:pos="2730"/>
        </w:tabs>
        <w:kinsoku/>
        <w:wordWrap/>
        <w:overflowPunct/>
        <w:topLinePunct w:val="0"/>
        <w:bidi w:val="0"/>
        <w:spacing w:line="480" w:lineRule="exact"/>
        <w:ind w:firstLine="411" w:firstLineChars="196"/>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（1）资格审查文件</w:t>
      </w:r>
      <w:r>
        <w:rPr>
          <w:rFonts w:hint="eastAsia" w:asciiTheme="minorEastAsia" w:hAnsiTheme="minorEastAsia" w:eastAsiaTheme="minorEastAsia" w:cstheme="minorEastAsia"/>
          <w:color w:val="auto"/>
          <w:szCs w:val="21"/>
          <w:highlight w:val="none"/>
          <w:lang w:eastAsia="zh-CN"/>
        </w:rPr>
        <w:t>（详见</w:t>
      </w:r>
      <w:r>
        <w:rPr>
          <w:rFonts w:hint="eastAsia" w:asciiTheme="minorEastAsia" w:hAnsiTheme="minorEastAsia" w:eastAsiaTheme="minorEastAsia" w:cstheme="minorEastAsia"/>
          <w:color w:val="auto"/>
          <w:szCs w:val="21"/>
          <w:highlight w:val="none"/>
        </w:rPr>
        <w:t>投标文件格式</w:t>
      </w: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szCs w:val="21"/>
          <w:highlight w:val="none"/>
        </w:rPr>
        <w:tab/>
      </w:r>
    </w:p>
    <w:p w14:paraId="606BB848">
      <w:pPr>
        <w:pageBreakBefore w:val="0"/>
        <w:kinsoku/>
        <w:wordWrap/>
        <w:overflowPunct/>
        <w:topLinePunct w:val="0"/>
        <w:bidi w:val="0"/>
        <w:spacing w:line="480" w:lineRule="exact"/>
        <w:ind w:firstLine="411" w:firstLineChars="196"/>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（2）商务文件</w:t>
      </w:r>
      <w:r>
        <w:rPr>
          <w:rFonts w:hint="eastAsia" w:asciiTheme="minorEastAsia" w:hAnsiTheme="minorEastAsia" w:eastAsiaTheme="minorEastAsia" w:cstheme="minorEastAsia"/>
          <w:color w:val="auto"/>
          <w:szCs w:val="21"/>
          <w:highlight w:val="none"/>
          <w:lang w:eastAsia="zh-CN"/>
        </w:rPr>
        <w:t>（详见</w:t>
      </w:r>
      <w:r>
        <w:rPr>
          <w:rFonts w:hint="eastAsia" w:asciiTheme="minorEastAsia" w:hAnsiTheme="minorEastAsia" w:eastAsiaTheme="minorEastAsia" w:cstheme="minorEastAsia"/>
          <w:color w:val="auto"/>
          <w:szCs w:val="21"/>
          <w:highlight w:val="none"/>
        </w:rPr>
        <w:t>投标文件格式</w:t>
      </w:r>
      <w:r>
        <w:rPr>
          <w:rFonts w:hint="eastAsia" w:asciiTheme="minorEastAsia" w:hAnsiTheme="minorEastAsia" w:eastAsiaTheme="minorEastAsia" w:cstheme="minorEastAsia"/>
          <w:color w:val="auto"/>
          <w:szCs w:val="21"/>
          <w:highlight w:val="none"/>
          <w:lang w:eastAsia="zh-CN"/>
        </w:rPr>
        <w:t>）</w:t>
      </w:r>
    </w:p>
    <w:p w14:paraId="4E910C2A">
      <w:pPr>
        <w:pageBreakBefore w:val="0"/>
        <w:kinsoku/>
        <w:wordWrap/>
        <w:overflowPunct/>
        <w:topLinePunct w:val="0"/>
        <w:bidi w:val="0"/>
        <w:spacing w:line="480" w:lineRule="exact"/>
        <w:ind w:firstLine="411" w:firstLineChars="196"/>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（3）技术文件</w:t>
      </w:r>
      <w:r>
        <w:rPr>
          <w:rFonts w:hint="eastAsia" w:asciiTheme="minorEastAsia" w:hAnsiTheme="minorEastAsia" w:eastAsiaTheme="minorEastAsia" w:cstheme="minorEastAsia"/>
          <w:color w:val="auto"/>
          <w:szCs w:val="21"/>
          <w:highlight w:val="none"/>
          <w:lang w:eastAsia="zh-CN"/>
        </w:rPr>
        <w:t>（详见</w:t>
      </w:r>
      <w:r>
        <w:rPr>
          <w:rFonts w:hint="eastAsia" w:asciiTheme="minorEastAsia" w:hAnsiTheme="minorEastAsia" w:eastAsiaTheme="minorEastAsia" w:cstheme="minorEastAsia"/>
          <w:color w:val="auto"/>
          <w:szCs w:val="21"/>
          <w:highlight w:val="none"/>
        </w:rPr>
        <w:t>投标文件格式</w:t>
      </w:r>
      <w:r>
        <w:rPr>
          <w:rFonts w:hint="eastAsia" w:asciiTheme="minorEastAsia" w:hAnsiTheme="minorEastAsia" w:eastAsiaTheme="minorEastAsia" w:cstheme="minorEastAsia"/>
          <w:color w:val="auto"/>
          <w:szCs w:val="21"/>
          <w:highlight w:val="none"/>
          <w:lang w:eastAsia="zh-CN"/>
        </w:rPr>
        <w:t>）</w:t>
      </w:r>
    </w:p>
    <w:p w14:paraId="4CB50184">
      <w:pPr>
        <w:pageBreakBefore w:val="0"/>
        <w:kinsoku/>
        <w:wordWrap/>
        <w:overflowPunct/>
        <w:topLinePunct w:val="0"/>
        <w:bidi w:val="0"/>
        <w:spacing w:before="120" w:beforeLines="50" w:after="120" w:afterLines="50" w:line="480" w:lineRule="exact"/>
        <w:textAlignment w:val="auto"/>
        <w:rPr>
          <w:rFonts w:hint="eastAsia" w:asciiTheme="minorEastAsia" w:hAnsiTheme="minorEastAsia" w:eastAsiaTheme="minorEastAsia" w:cstheme="minorEastAsia"/>
          <w:b/>
          <w:color w:val="auto"/>
          <w:sz w:val="30"/>
          <w:szCs w:val="30"/>
          <w:highlight w:val="none"/>
        </w:rPr>
      </w:pPr>
      <w:r>
        <w:rPr>
          <w:rFonts w:hint="eastAsia" w:asciiTheme="minorEastAsia" w:hAnsiTheme="minorEastAsia" w:eastAsiaTheme="minorEastAsia" w:cstheme="minorEastAsia"/>
          <w:b/>
          <w:color w:val="auto"/>
          <w:sz w:val="30"/>
          <w:szCs w:val="30"/>
          <w:highlight w:val="none"/>
        </w:rPr>
        <w:t>4.3</w:t>
      </w:r>
      <w:r>
        <w:rPr>
          <w:rFonts w:hint="eastAsia" w:asciiTheme="minorEastAsia" w:hAnsiTheme="minorEastAsia" w:eastAsiaTheme="minorEastAsia" w:cstheme="minorEastAsia"/>
          <w:b/>
          <w:color w:val="auto"/>
          <w:sz w:val="30"/>
          <w:szCs w:val="30"/>
          <w:highlight w:val="none"/>
          <w:lang w:val="en-US" w:eastAsia="zh-CN"/>
        </w:rPr>
        <w:t xml:space="preserve"> </w:t>
      </w:r>
      <w:r>
        <w:rPr>
          <w:rFonts w:hint="eastAsia" w:asciiTheme="minorEastAsia" w:hAnsiTheme="minorEastAsia" w:eastAsiaTheme="minorEastAsia" w:cstheme="minorEastAsia"/>
          <w:b/>
          <w:color w:val="auto"/>
          <w:sz w:val="30"/>
          <w:szCs w:val="30"/>
          <w:highlight w:val="none"/>
        </w:rPr>
        <w:t>投标报价</w:t>
      </w:r>
    </w:p>
    <w:p w14:paraId="633F1144">
      <w:pPr>
        <w:pageBreakBefore w:val="0"/>
        <w:kinsoku/>
        <w:wordWrap/>
        <w:overflowPunct/>
        <w:topLinePunct w:val="0"/>
        <w:bidi w:val="0"/>
        <w:spacing w:line="480" w:lineRule="exact"/>
        <w:ind w:firstLine="411" w:firstLineChars="196"/>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4.3.1 </w:t>
      </w:r>
      <w:r>
        <w:rPr>
          <w:rFonts w:hint="eastAsia" w:asciiTheme="minorEastAsia" w:hAnsiTheme="minorEastAsia" w:eastAsiaTheme="minorEastAsia" w:cstheme="minorEastAsia"/>
          <w:bCs/>
          <w:color w:val="auto"/>
          <w:szCs w:val="21"/>
          <w:highlight w:val="none"/>
        </w:rPr>
        <w:t>投标人应当</w:t>
      </w:r>
      <w:r>
        <w:rPr>
          <w:rFonts w:hint="eastAsia" w:asciiTheme="minorEastAsia" w:hAnsiTheme="minorEastAsia" w:eastAsiaTheme="minorEastAsia" w:cstheme="minorEastAsia"/>
          <w:color w:val="auto"/>
          <w:szCs w:val="21"/>
          <w:highlight w:val="none"/>
        </w:rPr>
        <w:t>按照招标文件要求填报投标报价，并充分了解该采购项目的总体情况以及影响投标报价的其他要素。</w:t>
      </w:r>
    </w:p>
    <w:p w14:paraId="0E2F35B3">
      <w:pPr>
        <w:pageBreakBefore w:val="0"/>
        <w:kinsoku/>
        <w:wordWrap/>
        <w:overflowPunct/>
        <w:topLinePunct w:val="0"/>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4.3.2 </w:t>
      </w:r>
      <w:r>
        <w:rPr>
          <w:rFonts w:hint="eastAsia" w:asciiTheme="minorEastAsia" w:hAnsiTheme="minorEastAsia" w:eastAsiaTheme="minorEastAsia" w:cstheme="minorEastAsia"/>
          <w:color w:val="auto"/>
          <w:spacing w:val="3"/>
          <w:highlight w:val="none"/>
        </w:rPr>
        <w:t>投标报价应是完成招标内容所需设备的全部费用，包括但不限于产品的报价及所发生</w:t>
      </w:r>
      <w:r>
        <w:rPr>
          <w:rFonts w:hint="eastAsia" w:asciiTheme="minorEastAsia" w:hAnsiTheme="minorEastAsia" w:eastAsiaTheme="minorEastAsia" w:cstheme="minorEastAsia"/>
          <w:color w:val="auto"/>
          <w:spacing w:val="-4"/>
          <w:highlight w:val="none"/>
        </w:rPr>
        <w:t>的：</w:t>
      </w:r>
      <w:r>
        <w:rPr>
          <w:rFonts w:hint="eastAsia" w:asciiTheme="minorEastAsia" w:hAnsiTheme="minorEastAsia" w:eastAsiaTheme="minorEastAsia" w:cstheme="minorEastAsia"/>
          <w:b/>
          <w:bCs/>
          <w:color w:val="auto"/>
          <w:spacing w:val="-4"/>
          <w:highlight w:val="none"/>
        </w:rPr>
        <w:t>包括采购货物价格、备品备件、包装、运输、仓储、保管、保险、装卸（卸货至甲方指定地点）、利润、相关税费及市场价格风险在内等全部费用。</w:t>
      </w:r>
      <w:r>
        <w:rPr>
          <w:rFonts w:hint="eastAsia" w:asciiTheme="minorEastAsia" w:hAnsiTheme="minorEastAsia" w:eastAsiaTheme="minorEastAsia" w:cstheme="minorEastAsia"/>
          <w:color w:val="auto"/>
          <w:szCs w:val="21"/>
          <w:highlight w:val="none"/>
        </w:rPr>
        <w:t>进口设备除应包括要向中华人民共和国政府缴纳的增值税和其它税，还应包括货物在制造或组装时使用的部件和原材料是从关境外进口的已交纳或应交纳的全部关税、增值税和其它税等一切费用。要求的其他相关费用以本招标文件的内容和要求作为投标依据。报价时单价所反映的内容同上，综合考虑在单价中。在供货、安装、调试、培训等工作中出现硬件、软件等的任何遗漏，均由中标人免费提供，采购人将不再支付任何费用。</w:t>
      </w:r>
    </w:p>
    <w:p w14:paraId="37461821">
      <w:pPr>
        <w:pageBreakBefore w:val="0"/>
        <w:kinsoku/>
        <w:wordWrap/>
        <w:overflowPunct/>
        <w:topLinePunct w:val="0"/>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szCs w:val="21"/>
          <w:highlight w:val="none"/>
        </w:rPr>
        <w:t>4.3.3 投标</w:t>
      </w:r>
      <w:r>
        <w:rPr>
          <w:rFonts w:hint="eastAsia" w:asciiTheme="minorEastAsia" w:hAnsiTheme="minorEastAsia" w:eastAsiaTheme="minorEastAsia" w:cstheme="minorEastAsia"/>
          <w:color w:val="auto"/>
          <w:kern w:val="0"/>
          <w:szCs w:val="21"/>
          <w:highlight w:val="none"/>
        </w:rPr>
        <w:t>人应按</w:t>
      </w:r>
      <w:r>
        <w:rPr>
          <w:rFonts w:hint="eastAsia" w:asciiTheme="minorEastAsia" w:hAnsiTheme="minorEastAsia" w:eastAsiaTheme="minorEastAsia" w:cstheme="minorEastAsia"/>
          <w:color w:val="auto"/>
          <w:szCs w:val="21"/>
          <w:highlight w:val="none"/>
        </w:rPr>
        <w:t>“开标一览表”及“货物（产品）分项报价表”</w:t>
      </w:r>
      <w:r>
        <w:rPr>
          <w:rFonts w:hint="eastAsia" w:asciiTheme="minorEastAsia" w:hAnsiTheme="minorEastAsia" w:eastAsiaTheme="minorEastAsia" w:cstheme="minorEastAsia"/>
          <w:color w:val="auto"/>
          <w:kern w:val="0"/>
          <w:szCs w:val="21"/>
          <w:highlight w:val="none"/>
        </w:rPr>
        <w:t>的内容</w:t>
      </w:r>
      <w:r>
        <w:rPr>
          <w:rFonts w:hint="eastAsia" w:asciiTheme="minorEastAsia" w:hAnsiTheme="minorEastAsia" w:eastAsiaTheme="minorEastAsia" w:cstheme="minorEastAsia"/>
          <w:color w:val="auto"/>
          <w:szCs w:val="21"/>
          <w:highlight w:val="none"/>
        </w:rPr>
        <w:t>和格式要求填写各项货物及服务的分项价格和总价。投标报价为各分项报价金额之和。投标报价与分项报价的合价不一致的，应以各分项合价累计数为准，修正投标报价；如分项报价中存在遗漏项，视为缺项价格已包含在其他分项报价之中。</w:t>
      </w:r>
    </w:p>
    <w:p w14:paraId="7A694E52">
      <w:pPr>
        <w:pageBreakBefore w:val="0"/>
        <w:kinsoku/>
        <w:wordWrap/>
        <w:overflowPunct/>
        <w:topLinePunct w:val="0"/>
        <w:bidi w:val="0"/>
        <w:adjustRightInd w:val="0"/>
        <w:snapToGrid w:val="0"/>
        <w:spacing w:line="480" w:lineRule="exact"/>
        <w:ind w:firstLine="482"/>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kern w:val="0"/>
          <w:szCs w:val="21"/>
          <w:highlight w:val="none"/>
        </w:rPr>
        <w:t xml:space="preserve">4.3.4 </w:t>
      </w:r>
      <w:r>
        <w:rPr>
          <w:rFonts w:hint="eastAsia" w:asciiTheme="minorEastAsia" w:hAnsiTheme="minorEastAsia" w:eastAsiaTheme="minorEastAsia" w:cstheme="minorEastAsia"/>
          <w:color w:val="auto"/>
          <w:szCs w:val="21"/>
          <w:highlight w:val="none"/>
        </w:rPr>
        <w:t>投标人每种产品只允许有一个报价，并且在合同履行过程中是固定不变的，任何有选择或可调整的报价将不予接受并按无效投标处理。</w:t>
      </w:r>
    </w:p>
    <w:p w14:paraId="3BFC434F">
      <w:pPr>
        <w:pageBreakBefore w:val="0"/>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4.3.5 当评标委员会认为，某投标人的报价存在明显低于其他通过符合性审查投标人的报价，有可能影响货物质量和不能诚信履约的，应当要求其在评标现场规定时间内，提供必要的书面文件予以解释和说明，</w:t>
      </w:r>
      <w:r>
        <w:rPr>
          <w:rFonts w:hint="eastAsia" w:asciiTheme="minorEastAsia" w:hAnsiTheme="minorEastAsia" w:eastAsiaTheme="minorEastAsia" w:cstheme="minorEastAsia"/>
          <w:b/>
          <w:color w:val="auto"/>
          <w:szCs w:val="21"/>
          <w:highlight w:val="none"/>
        </w:rPr>
        <w:t>必要时</w:t>
      </w:r>
      <w:r>
        <w:rPr>
          <w:rFonts w:hint="eastAsia" w:asciiTheme="minorEastAsia" w:hAnsiTheme="minorEastAsia" w:eastAsiaTheme="minorEastAsia" w:cstheme="minorEastAsia"/>
          <w:color w:val="auto"/>
          <w:szCs w:val="21"/>
          <w:highlight w:val="none"/>
        </w:rPr>
        <w:t>提交相关证明材料；若投标人不能证明其报价合理性，评标委员会将其作无效投标处理。</w:t>
      </w:r>
    </w:p>
    <w:p w14:paraId="0A1A7203">
      <w:pPr>
        <w:pageBreakBefore w:val="0"/>
        <w:kinsoku/>
        <w:wordWrap/>
        <w:overflowPunct/>
        <w:topLinePunct w:val="0"/>
        <w:bidi w:val="0"/>
        <w:spacing w:before="120" w:beforeLines="50" w:after="120" w:afterLines="50" w:line="480" w:lineRule="exact"/>
        <w:textAlignment w:val="auto"/>
        <w:rPr>
          <w:rFonts w:hint="eastAsia" w:asciiTheme="minorEastAsia" w:hAnsiTheme="minorEastAsia" w:eastAsiaTheme="minorEastAsia" w:cstheme="minorEastAsia"/>
          <w:b/>
          <w:bCs/>
          <w:color w:val="auto"/>
          <w:sz w:val="30"/>
          <w:szCs w:val="30"/>
          <w:highlight w:val="none"/>
        </w:rPr>
      </w:pPr>
      <w:r>
        <w:rPr>
          <w:rFonts w:hint="eastAsia" w:asciiTheme="minorEastAsia" w:hAnsiTheme="minorEastAsia" w:eastAsiaTheme="minorEastAsia" w:cstheme="minorEastAsia"/>
          <w:b/>
          <w:bCs/>
          <w:color w:val="auto"/>
          <w:sz w:val="30"/>
          <w:szCs w:val="30"/>
          <w:highlight w:val="none"/>
        </w:rPr>
        <w:t>4.4</w:t>
      </w:r>
      <w:r>
        <w:rPr>
          <w:rFonts w:hint="eastAsia" w:asciiTheme="minorEastAsia" w:hAnsiTheme="minorEastAsia" w:eastAsiaTheme="minorEastAsia" w:cstheme="minorEastAsia"/>
          <w:b/>
          <w:bCs/>
          <w:color w:val="auto"/>
          <w:sz w:val="30"/>
          <w:szCs w:val="30"/>
          <w:highlight w:val="none"/>
          <w:lang w:val="en-US" w:eastAsia="zh-CN"/>
        </w:rPr>
        <w:t xml:space="preserve"> </w:t>
      </w:r>
      <w:r>
        <w:rPr>
          <w:rFonts w:hint="eastAsia" w:asciiTheme="minorEastAsia" w:hAnsiTheme="minorEastAsia" w:eastAsiaTheme="minorEastAsia" w:cstheme="minorEastAsia"/>
          <w:b/>
          <w:bCs/>
          <w:color w:val="auto"/>
          <w:sz w:val="30"/>
          <w:szCs w:val="30"/>
          <w:highlight w:val="none"/>
        </w:rPr>
        <w:t>投标有效期</w:t>
      </w:r>
    </w:p>
    <w:p w14:paraId="6209B790">
      <w:pPr>
        <w:pageBreakBefore w:val="0"/>
        <w:tabs>
          <w:tab w:val="left" w:pos="7665"/>
        </w:tabs>
        <w:kinsoku/>
        <w:wordWrap/>
        <w:overflowPunct/>
        <w:topLinePunct w:val="0"/>
        <w:bidi w:val="0"/>
        <w:spacing w:line="480" w:lineRule="exact"/>
        <w:ind w:left="13" w:leftChars="6"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4.4.1</w:t>
      </w:r>
      <w:r>
        <w:rPr>
          <w:rFonts w:hint="eastAsia" w:asciiTheme="minorEastAsia" w:hAnsiTheme="minorEastAsia" w:eastAsiaTheme="minorEastAsia" w:cstheme="minorEastAsia"/>
          <w:color w:val="auto"/>
          <w:szCs w:val="21"/>
          <w:highlight w:val="none"/>
          <w:lang w:val="en-US" w:eastAsia="zh-CN"/>
        </w:rPr>
        <w:t xml:space="preserve"> </w:t>
      </w:r>
      <w:r>
        <w:rPr>
          <w:rFonts w:hint="eastAsia" w:asciiTheme="minorEastAsia" w:hAnsiTheme="minorEastAsia" w:eastAsiaTheme="minorEastAsia" w:cstheme="minorEastAsia"/>
          <w:color w:val="auto"/>
          <w:szCs w:val="21"/>
          <w:highlight w:val="none"/>
        </w:rPr>
        <w:t>投标有效期见投标人须知前附表。</w:t>
      </w:r>
      <w:r>
        <w:rPr>
          <w:rFonts w:hint="eastAsia" w:asciiTheme="minorEastAsia" w:hAnsiTheme="minorEastAsia" w:eastAsiaTheme="minorEastAsia" w:cstheme="minorEastAsia"/>
          <w:color w:val="auto"/>
          <w:highlight w:val="none"/>
        </w:rPr>
        <w:t>在此期间投标文件对投标人具有法律约束力，从</w:t>
      </w:r>
      <w:r>
        <w:rPr>
          <w:rFonts w:hint="eastAsia" w:asciiTheme="minorEastAsia" w:hAnsiTheme="minorEastAsia" w:eastAsiaTheme="minorEastAsia" w:cstheme="minorEastAsia"/>
          <w:b/>
          <w:color w:val="auto"/>
          <w:highlight w:val="none"/>
        </w:rPr>
        <w:t>投标人须知前附表规定</w:t>
      </w:r>
      <w:r>
        <w:rPr>
          <w:rFonts w:hint="eastAsia" w:asciiTheme="minorEastAsia" w:hAnsiTheme="minorEastAsia" w:eastAsiaTheme="minorEastAsia" w:cstheme="minorEastAsia"/>
          <w:color w:val="auto"/>
          <w:highlight w:val="none"/>
        </w:rPr>
        <w:t>的</w:t>
      </w:r>
      <w:r>
        <w:rPr>
          <w:rFonts w:hint="eastAsia" w:asciiTheme="minorEastAsia" w:hAnsiTheme="minorEastAsia" w:eastAsiaTheme="minorEastAsia" w:cstheme="minorEastAsia"/>
          <w:color w:val="auto"/>
          <w:kern w:val="0"/>
          <w:highlight w:val="none"/>
        </w:rPr>
        <w:t>递交投标文件截止时间</w:t>
      </w:r>
      <w:r>
        <w:rPr>
          <w:rFonts w:hint="eastAsia" w:asciiTheme="minorEastAsia" w:hAnsiTheme="minorEastAsia" w:eastAsiaTheme="minorEastAsia" w:cstheme="minorEastAsia"/>
          <w:color w:val="auto"/>
          <w:highlight w:val="none"/>
        </w:rPr>
        <w:t>之日起计算。</w:t>
      </w:r>
      <w:r>
        <w:rPr>
          <w:rFonts w:hint="eastAsia" w:asciiTheme="minorEastAsia" w:hAnsiTheme="minorEastAsia" w:eastAsiaTheme="minorEastAsia" w:cstheme="minorEastAsia"/>
          <w:color w:val="auto"/>
          <w:szCs w:val="21"/>
          <w:highlight w:val="none"/>
        </w:rPr>
        <w:t>投标有效期短于此规定期限的投标，属于非实质性响应，将按无效投标处理。</w:t>
      </w:r>
    </w:p>
    <w:p w14:paraId="7360DE24">
      <w:pPr>
        <w:pageBreakBefore w:val="0"/>
        <w:tabs>
          <w:tab w:val="left" w:pos="7665"/>
        </w:tabs>
        <w:kinsoku/>
        <w:wordWrap/>
        <w:overflowPunct/>
        <w:topLinePunct w:val="0"/>
        <w:bidi w:val="0"/>
        <w:spacing w:line="480" w:lineRule="exact"/>
        <w:ind w:left="13" w:leftChars="6"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4.4.2 出现特殊情况需要延长投标有效期的，采购代理机构或采购人可于投标有效期满之前，以书面形式或政采云平台通知所有投标人延长投标有效期。投标人应予书面答复，同意延长的，应相应延长其投标保证金有效期，但不得要求或被允许修改其投标文件；投标人拒绝延长的，其投标失效，但投标人有权收回其投标保证金。</w:t>
      </w:r>
    </w:p>
    <w:p w14:paraId="68F3CDC0">
      <w:pPr>
        <w:pageBreakBefore w:val="0"/>
        <w:tabs>
          <w:tab w:val="left" w:pos="7665"/>
        </w:tabs>
        <w:kinsoku/>
        <w:wordWrap/>
        <w:overflowPunct/>
        <w:topLinePunct w:val="0"/>
        <w:bidi w:val="0"/>
        <w:spacing w:line="480" w:lineRule="exact"/>
        <w:ind w:left="13" w:leftChars="6"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4.4.3 在投标有效期内，投标人撤销投标文件的，应承担招标文件和法律规定的责任。</w:t>
      </w:r>
    </w:p>
    <w:p w14:paraId="35549459">
      <w:pPr>
        <w:pageBreakBefore w:val="0"/>
        <w:tabs>
          <w:tab w:val="left" w:pos="7665"/>
        </w:tabs>
        <w:kinsoku/>
        <w:wordWrap/>
        <w:overflowPunct/>
        <w:topLinePunct w:val="0"/>
        <w:bidi w:val="0"/>
        <w:spacing w:line="480" w:lineRule="exact"/>
        <w:ind w:left="13" w:leftChars="6"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4.4.4 中标人的投标有效期自动延长至合同终止为止。</w:t>
      </w:r>
    </w:p>
    <w:p w14:paraId="5EC806B2">
      <w:pPr>
        <w:pStyle w:val="4"/>
        <w:pageBreakBefore w:val="0"/>
        <w:kinsoku/>
        <w:wordWrap/>
        <w:overflowPunct/>
        <w:topLinePunct w:val="0"/>
        <w:bidi w:val="0"/>
        <w:spacing w:before="120" w:beforeLines="50" w:after="120" w:afterLines="50" w:line="480" w:lineRule="exact"/>
        <w:ind w:firstLine="0"/>
        <w:textAlignment w:val="auto"/>
        <w:rPr>
          <w:rFonts w:hint="eastAsia" w:asciiTheme="minorEastAsia" w:hAnsiTheme="minorEastAsia" w:eastAsiaTheme="minorEastAsia" w:cstheme="minorEastAsia"/>
          <w:b/>
          <w:color w:val="auto"/>
          <w:sz w:val="30"/>
          <w:szCs w:val="30"/>
          <w:highlight w:val="none"/>
        </w:rPr>
      </w:pPr>
      <w:r>
        <w:rPr>
          <w:rFonts w:hint="eastAsia" w:asciiTheme="minorEastAsia" w:hAnsiTheme="minorEastAsia" w:eastAsiaTheme="minorEastAsia" w:cstheme="minorEastAsia"/>
          <w:b/>
          <w:bCs/>
          <w:color w:val="auto"/>
          <w:sz w:val="30"/>
          <w:szCs w:val="30"/>
          <w:highlight w:val="none"/>
        </w:rPr>
        <w:t>4.5 投标保证金</w:t>
      </w:r>
    </w:p>
    <w:p w14:paraId="477B827C">
      <w:pPr>
        <w:pageBreakBefore w:val="0"/>
        <w:kinsoku/>
        <w:wordWrap/>
        <w:overflowPunct/>
        <w:topLinePunct w:val="0"/>
        <w:bidi w:val="0"/>
        <w:spacing w:line="480" w:lineRule="exact"/>
        <w:ind w:firstLine="413" w:firstLineChars="196"/>
        <w:textAlignment w:val="auto"/>
        <w:rPr>
          <w:rFonts w:hint="eastAsia" w:asciiTheme="minorEastAsia" w:hAnsiTheme="minorEastAsia" w:eastAsiaTheme="minorEastAsia" w:cstheme="minorEastAsia"/>
          <w:b/>
          <w:color w:val="auto"/>
          <w:szCs w:val="21"/>
          <w:highlight w:val="none"/>
        </w:rPr>
      </w:pPr>
      <w:r>
        <w:rPr>
          <w:rFonts w:hint="eastAsia" w:asciiTheme="minorEastAsia" w:hAnsiTheme="minorEastAsia" w:eastAsiaTheme="minorEastAsia" w:cstheme="minorEastAsia"/>
          <w:b/>
          <w:color w:val="auto"/>
          <w:szCs w:val="21"/>
          <w:highlight w:val="none"/>
        </w:rPr>
        <w:t>4.5.1</w:t>
      </w:r>
      <w:r>
        <w:rPr>
          <w:rFonts w:hint="eastAsia" w:asciiTheme="minorEastAsia" w:hAnsiTheme="minorEastAsia" w:eastAsiaTheme="minorEastAsia" w:cstheme="minorEastAsia"/>
          <w:b/>
          <w:color w:val="auto"/>
          <w:szCs w:val="21"/>
          <w:highlight w:val="none"/>
          <w:lang w:val="en-US" w:eastAsia="zh-CN"/>
        </w:rPr>
        <w:t xml:space="preserve"> </w:t>
      </w:r>
      <w:r>
        <w:rPr>
          <w:rFonts w:hint="eastAsia" w:asciiTheme="minorEastAsia" w:hAnsiTheme="minorEastAsia" w:eastAsiaTheme="minorEastAsia" w:cstheme="minorEastAsia"/>
          <w:b/>
          <w:color w:val="auto"/>
          <w:szCs w:val="21"/>
          <w:highlight w:val="none"/>
        </w:rPr>
        <w:t>投标保证金的提交</w:t>
      </w:r>
    </w:p>
    <w:p w14:paraId="5A0D751E">
      <w:pPr>
        <w:pageBreakBefore w:val="0"/>
        <w:kinsoku/>
        <w:wordWrap/>
        <w:overflowPunct/>
        <w:topLinePunct w:val="0"/>
        <w:bidi w:val="0"/>
        <w:spacing w:line="480" w:lineRule="exact"/>
        <w:ind w:firstLine="621" w:firstLineChars="296"/>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4.5.1.1 开标现场不办理投标保证金事宜。</w:t>
      </w:r>
    </w:p>
    <w:p w14:paraId="7F09EE1C">
      <w:pPr>
        <w:pageBreakBefore w:val="0"/>
        <w:kinsoku/>
        <w:wordWrap/>
        <w:overflowPunct/>
        <w:topLinePunct w:val="0"/>
        <w:bidi w:val="0"/>
        <w:spacing w:line="480" w:lineRule="exact"/>
        <w:ind w:firstLine="621" w:firstLineChars="296"/>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4.5.1.2 投标人应按投标人须知前附表规定的金额、形式和时间提交，作为其投标文件的一部分。联合投标的，</w:t>
      </w:r>
      <w:r>
        <w:rPr>
          <w:rFonts w:hint="eastAsia" w:asciiTheme="minorEastAsia" w:hAnsiTheme="minorEastAsia" w:eastAsiaTheme="minorEastAsia" w:cstheme="minorEastAsia"/>
          <w:color w:val="auto"/>
          <w:szCs w:val="21"/>
          <w:highlight w:val="none"/>
          <w:shd w:val="clear" w:color="auto" w:fill="FFFFFF"/>
        </w:rPr>
        <w:t>应当以各方或者联合体中牵头人的名义提交投标保证金。</w:t>
      </w:r>
      <w:r>
        <w:rPr>
          <w:rFonts w:hint="eastAsia" w:asciiTheme="minorEastAsia" w:hAnsiTheme="minorEastAsia" w:eastAsiaTheme="minorEastAsia" w:cstheme="minorEastAsia"/>
          <w:color w:val="auto"/>
          <w:szCs w:val="21"/>
          <w:highlight w:val="none"/>
        </w:rPr>
        <w:t>以联合体牵头单位提交投标保证金的，对联合体各方均具有约束力。</w:t>
      </w:r>
    </w:p>
    <w:p w14:paraId="5714823B">
      <w:pPr>
        <w:pageBreakBefore w:val="0"/>
        <w:kinsoku/>
        <w:wordWrap/>
        <w:overflowPunct/>
        <w:topLinePunct w:val="0"/>
        <w:bidi w:val="0"/>
        <w:spacing w:line="480" w:lineRule="exact"/>
        <w:ind w:firstLine="621" w:firstLineChars="296"/>
        <w:textAlignment w:val="auto"/>
        <w:rPr>
          <w:rFonts w:hint="eastAsia" w:asciiTheme="minorEastAsia" w:hAnsiTheme="minorEastAsia" w:eastAsiaTheme="minorEastAsia" w:cstheme="minorEastAsia"/>
          <w:color w:val="auto"/>
          <w:szCs w:val="21"/>
          <w:highlight w:val="none"/>
          <w:lang w:eastAsia="zh-CN"/>
        </w:rPr>
      </w:pPr>
      <w:r>
        <w:rPr>
          <w:rFonts w:hint="eastAsia" w:asciiTheme="minorEastAsia" w:hAnsiTheme="minorEastAsia" w:eastAsiaTheme="minorEastAsia" w:cstheme="minorEastAsia"/>
          <w:color w:val="auto"/>
          <w:szCs w:val="21"/>
          <w:highlight w:val="none"/>
        </w:rPr>
        <w:t>4.5.1.3 投标保证金可以银行转账或者保险机构、担保机构出具的保函等非现金形式提交</w:t>
      </w:r>
      <w:r>
        <w:rPr>
          <w:rFonts w:hint="eastAsia" w:asciiTheme="minorEastAsia" w:hAnsiTheme="minorEastAsia" w:eastAsiaTheme="minorEastAsia" w:cstheme="minorEastAsia"/>
          <w:color w:val="auto"/>
          <w:szCs w:val="21"/>
          <w:highlight w:val="none"/>
          <w:lang w:eastAsia="zh-CN"/>
        </w:rPr>
        <w:t>。</w:t>
      </w:r>
    </w:p>
    <w:p w14:paraId="7072508C">
      <w:pPr>
        <w:pageBreakBefore w:val="0"/>
        <w:widowControl/>
        <w:kinsoku/>
        <w:wordWrap/>
        <w:overflowPunct/>
        <w:topLinePunct w:val="0"/>
        <w:bidi w:val="0"/>
        <w:spacing w:line="480" w:lineRule="exact"/>
        <w:ind w:firstLine="630" w:firstLineChars="3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4.5.1.</w:t>
      </w:r>
      <w:r>
        <w:rPr>
          <w:rFonts w:hint="eastAsia" w:asciiTheme="minorEastAsia" w:hAnsiTheme="minorEastAsia" w:eastAsiaTheme="minorEastAsia" w:cstheme="minorEastAsia"/>
          <w:color w:val="auto"/>
          <w:szCs w:val="21"/>
          <w:highlight w:val="none"/>
          <w:lang w:val="en-US" w:eastAsia="zh-CN"/>
        </w:rPr>
        <w:t xml:space="preserve">4 </w:t>
      </w:r>
      <w:r>
        <w:rPr>
          <w:rFonts w:hint="eastAsia" w:asciiTheme="minorEastAsia" w:hAnsiTheme="minorEastAsia" w:eastAsiaTheme="minorEastAsia" w:cstheme="minorEastAsia"/>
          <w:color w:val="auto"/>
          <w:szCs w:val="21"/>
          <w:highlight w:val="none"/>
        </w:rPr>
        <w:t>投标人未提供相关证明或经查实其提交账户为非基本存款账户的，采购代理机构按该投标人未提交投标保证金处理。</w:t>
      </w:r>
    </w:p>
    <w:p w14:paraId="679C18B3">
      <w:pPr>
        <w:pageBreakBefore w:val="0"/>
        <w:kinsoku/>
        <w:wordWrap/>
        <w:overflowPunct/>
        <w:topLinePunct w:val="0"/>
        <w:bidi w:val="0"/>
        <w:spacing w:line="480" w:lineRule="exact"/>
        <w:ind w:firstLine="621" w:firstLineChars="296"/>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4.5.1.</w:t>
      </w:r>
      <w:r>
        <w:rPr>
          <w:rFonts w:hint="eastAsia" w:asciiTheme="minorEastAsia" w:hAnsiTheme="minorEastAsia" w:eastAsiaTheme="minorEastAsia" w:cstheme="minorEastAsia"/>
          <w:color w:val="auto"/>
          <w:szCs w:val="21"/>
          <w:highlight w:val="none"/>
          <w:lang w:val="en-US" w:eastAsia="zh-CN"/>
        </w:rPr>
        <w:t xml:space="preserve">5 </w:t>
      </w:r>
      <w:r>
        <w:rPr>
          <w:rFonts w:hint="eastAsia" w:asciiTheme="minorEastAsia" w:hAnsiTheme="minorEastAsia" w:eastAsiaTheme="minorEastAsia" w:cstheme="minorEastAsia"/>
          <w:color w:val="auto"/>
          <w:szCs w:val="21"/>
          <w:highlight w:val="none"/>
        </w:rPr>
        <w:t>未按招标文件要求在规定时间前（以银行实际到账时间为准）提交投标保证金的投标将被拒绝。</w:t>
      </w:r>
    </w:p>
    <w:p w14:paraId="6294BEA6">
      <w:pPr>
        <w:pageBreakBefore w:val="0"/>
        <w:kinsoku/>
        <w:wordWrap/>
        <w:overflowPunct/>
        <w:topLinePunct w:val="0"/>
        <w:bidi w:val="0"/>
        <w:spacing w:before="120" w:beforeLines="50" w:line="480" w:lineRule="exact"/>
        <w:ind w:firstLine="413" w:firstLineChars="196"/>
        <w:textAlignment w:val="auto"/>
        <w:rPr>
          <w:rFonts w:hint="eastAsia" w:asciiTheme="minorEastAsia" w:hAnsiTheme="minorEastAsia" w:eastAsiaTheme="minorEastAsia" w:cstheme="minorEastAsia"/>
          <w:b/>
          <w:color w:val="auto"/>
          <w:szCs w:val="21"/>
          <w:highlight w:val="none"/>
        </w:rPr>
      </w:pPr>
      <w:r>
        <w:rPr>
          <w:rFonts w:hint="eastAsia" w:asciiTheme="minorEastAsia" w:hAnsiTheme="minorEastAsia" w:eastAsiaTheme="minorEastAsia" w:cstheme="minorEastAsia"/>
          <w:b/>
          <w:color w:val="auto"/>
          <w:szCs w:val="21"/>
          <w:highlight w:val="none"/>
        </w:rPr>
        <w:t xml:space="preserve">4.5.2 </w:t>
      </w:r>
      <w:r>
        <w:rPr>
          <w:rFonts w:hint="eastAsia" w:asciiTheme="minorEastAsia" w:hAnsiTheme="minorEastAsia" w:eastAsiaTheme="minorEastAsia" w:cstheme="minorEastAsia"/>
          <w:b/>
          <w:color w:val="auto"/>
          <w:szCs w:val="21"/>
          <w:highlight w:val="none"/>
          <w:lang w:val="en-US" w:eastAsia="zh-CN"/>
        </w:rPr>
        <w:t xml:space="preserve"> </w:t>
      </w:r>
      <w:r>
        <w:rPr>
          <w:rFonts w:hint="eastAsia" w:asciiTheme="minorEastAsia" w:hAnsiTheme="minorEastAsia" w:eastAsiaTheme="minorEastAsia" w:cstheme="minorEastAsia"/>
          <w:b/>
          <w:color w:val="auto"/>
          <w:szCs w:val="21"/>
          <w:highlight w:val="none"/>
        </w:rPr>
        <w:t>投标保证金的退还</w:t>
      </w:r>
    </w:p>
    <w:p w14:paraId="7BB69375">
      <w:pPr>
        <w:pageBreakBefore w:val="0"/>
        <w:kinsoku/>
        <w:wordWrap/>
        <w:overflowPunct/>
        <w:topLinePunct w:val="0"/>
        <w:bidi w:val="0"/>
        <w:spacing w:line="480" w:lineRule="exact"/>
        <w:ind w:firstLine="621" w:firstLineChars="296"/>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4.5.2.1</w:t>
      </w:r>
      <w:r>
        <w:rPr>
          <w:rFonts w:hint="eastAsia" w:asciiTheme="minorEastAsia" w:hAnsiTheme="minorEastAsia" w:eastAsiaTheme="minorEastAsia" w:cstheme="minorEastAsia"/>
          <w:color w:val="auto"/>
          <w:szCs w:val="21"/>
          <w:highlight w:val="none"/>
          <w:lang w:val="en-US" w:eastAsia="zh-CN"/>
        </w:rPr>
        <w:t xml:space="preserve"> </w:t>
      </w:r>
      <w:r>
        <w:rPr>
          <w:rFonts w:hint="eastAsia" w:asciiTheme="minorEastAsia" w:hAnsiTheme="minorEastAsia" w:eastAsiaTheme="minorEastAsia" w:cstheme="minorEastAsia"/>
          <w:color w:val="auto"/>
          <w:szCs w:val="21"/>
          <w:highlight w:val="none"/>
        </w:rPr>
        <w:t>未中标人的投标保证金，将在中标通知书发出之日起5个工作日内全额退还。中标人的投标保证金，在采购人与中标人签订合同后5个工作日内全额退还。</w:t>
      </w:r>
    </w:p>
    <w:p w14:paraId="77E81304">
      <w:pPr>
        <w:pageBreakBefore w:val="0"/>
        <w:kinsoku/>
        <w:wordWrap/>
        <w:overflowPunct/>
        <w:topLinePunct w:val="0"/>
        <w:bidi w:val="0"/>
        <w:spacing w:line="480" w:lineRule="exact"/>
        <w:ind w:firstLine="621" w:firstLineChars="296"/>
        <w:textAlignment w:val="auto"/>
        <w:rPr>
          <w:rFonts w:hint="eastAsia" w:asciiTheme="minorEastAsia" w:hAnsiTheme="minorEastAsia" w:eastAsiaTheme="minorEastAsia" w:cstheme="minorEastAsia"/>
          <w:color w:val="auto"/>
          <w:szCs w:val="21"/>
          <w:highlight w:val="none"/>
        </w:rPr>
      </w:pPr>
      <w:bookmarkStart w:id="129" w:name="_Toc183582224"/>
      <w:bookmarkStart w:id="130" w:name="_Toc183682361"/>
      <w:bookmarkStart w:id="131" w:name="_Toc217446051"/>
      <w:r>
        <w:rPr>
          <w:rFonts w:hint="eastAsia" w:asciiTheme="minorEastAsia" w:hAnsiTheme="minorEastAsia" w:eastAsiaTheme="minorEastAsia" w:cstheme="minorEastAsia"/>
          <w:color w:val="auto"/>
          <w:szCs w:val="21"/>
          <w:highlight w:val="none"/>
        </w:rPr>
        <w:t>4.5.2.2</w:t>
      </w:r>
      <w:r>
        <w:rPr>
          <w:rFonts w:hint="eastAsia" w:asciiTheme="minorEastAsia" w:hAnsiTheme="minorEastAsia" w:eastAsiaTheme="minorEastAsia" w:cstheme="minorEastAsia"/>
          <w:color w:val="auto"/>
          <w:szCs w:val="21"/>
          <w:highlight w:val="none"/>
          <w:lang w:val="en-US" w:eastAsia="zh-CN"/>
        </w:rPr>
        <w:t xml:space="preserve"> </w:t>
      </w:r>
      <w:r>
        <w:rPr>
          <w:rFonts w:hint="eastAsia" w:asciiTheme="minorEastAsia" w:hAnsiTheme="minorEastAsia" w:eastAsiaTheme="minorEastAsia" w:cstheme="minorEastAsia"/>
          <w:color w:val="auto"/>
          <w:szCs w:val="21"/>
          <w:highlight w:val="none"/>
        </w:rPr>
        <w:t>有下列情形之一的，投标保证金将不予退还：</w:t>
      </w:r>
    </w:p>
    <w:p w14:paraId="54AE5B81">
      <w:pPr>
        <w:pageBreakBefore w:val="0"/>
        <w:kinsoku/>
        <w:wordWrap/>
        <w:overflowPunct/>
        <w:topLinePunct w:val="0"/>
        <w:bidi w:val="0"/>
        <w:spacing w:line="480" w:lineRule="exact"/>
        <w:ind w:firstLine="516" w:firstLineChars="246"/>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（1）投标人在投标有效期内撤销投标文件的；</w:t>
      </w:r>
    </w:p>
    <w:p w14:paraId="26771412">
      <w:pPr>
        <w:pageBreakBefore w:val="0"/>
        <w:kinsoku/>
        <w:wordWrap/>
        <w:overflowPunct/>
        <w:topLinePunct w:val="0"/>
        <w:bidi w:val="0"/>
        <w:spacing w:line="480" w:lineRule="exact"/>
        <w:ind w:firstLine="516" w:firstLineChars="246"/>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（2）中标人在收到中标通知书后，无正当理由不与采购人订立合同，或着在签订合同时向采购人提出附加条件的；</w:t>
      </w:r>
    </w:p>
    <w:p w14:paraId="0D01D5D6">
      <w:pPr>
        <w:pageBreakBefore w:val="0"/>
        <w:kinsoku/>
        <w:wordWrap/>
        <w:overflowPunct/>
        <w:topLinePunct w:val="0"/>
        <w:bidi w:val="0"/>
        <w:spacing w:line="480" w:lineRule="exact"/>
        <w:ind w:firstLine="525" w:firstLineChars="25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（3）中标人无正当理由，未能按招标文件规定时间内领取《中标通知书》的；</w:t>
      </w:r>
    </w:p>
    <w:p w14:paraId="4EC6B931">
      <w:pPr>
        <w:pageBreakBefore w:val="0"/>
        <w:kinsoku/>
        <w:wordWrap/>
        <w:overflowPunct/>
        <w:topLinePunct w:val="0"/>
        <w:bidi w:val="0"/>
        <w:spacing w:line="480" w:lineRule="exact"/>
        <w:ind w:firstLine="525" w:firstLineChars="25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w:t>
      </w:r>
      <w:r>
        <w:rPr>
          <w:rFonts w:hint="eastAsia" w:asciiTheme="minorEastAsia" w:hAnsiTheme="minorEastAsia" w:eastAsiaTheme="minorEastAsia" w:cstheme="minorEastAsia"/>
          <w:color w:val="auto"/>
          <w:szCs w:val="21"/>
          <w:highlight w:val="none"/>
          <w:lang w:val="en-US" w:eastAsia="zh-CN"/>
        </w:rPr>
        <w:t>4</w:t>
      </w:r>
      <w:r>
        <w:rPr>
          <w:rFonts w:hint="eastAsia" w:asciiTheme="minorEastAsia" w:hAnsiTheme="minorEastAsia" w:eastAsiaTheme="minorEastAsia" w:cstheme="minorEastAsia"/>
          <w:color w:val="auto"/>
          <w:szCs w:val="21"/>
          <w:highlight w:val="none"/>
        </w:rPr>
        <w:t>）中标人未按招标文件规定向采购人提交履约保证金的；</w:t>
      </w:r>
    </w:p>
    <w:p w14:paraId="32B85868">
      <w:pPr>
        <w:pageBreakBefore w:val="0"/>
        <w:kinsoku/>
        <w:wordWrap/>
        <w:overflowPunct/>
        <w:topLinePunct w:val="0"/>
        <w:bidi w:val="0"/>
        <w:spacing w:line="480" w:lineRule="exact"/>
        <w:ind w:firstLine="525" w:firstLineChars="25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w:t>
      </w:r>
      <w:r>
        <w:rPr>
          <w:rFonts w:hint="eastAsia" w:asciiTheme="minorEastAsia" w:hAnsiTheme="minorEastAsia" w:eastAsiaTheme="minorEastAsia" w:cstheme="minorEastAsia"/>
          <w:color w:val="auto"/>
          <w:szCs w:val="21"/>
          <w:highlight w:val="none"/>
          <w:lang w:val="en-US" w:eastAsia="zh-CN"/>
        </w:rPr>
        <w:t>5</w:t>
      </w:r>
      <w:r>
        <w:rPr>
          <w:rFonts w:hint="eastAsia" w:asciiTheme="minorEastAsia" w:hAnsiTheme="minorEastAsia" w:eastAsiaTheme="minorEastAsia" w:cstheme="minorEastAsia"/>
          <w:color w:val="auto"/>
          <w:szCs w:val="21"/>
          <w:highlight w:val="none"/>
        </w:rPr>
        <w:t>）投标有效期内，投标人在政府采购活动中有违规、违纪和违法行为的；</w:t>
      </w:r>
    </w:p>
    <w:p w14:paraId="62350FE5">
      <w:pPr>
        <w:pageBreakBefore w:val="0"/>
        <w:kinsoku/>
        <w:wordWrap/>
        <w:overflowPunct/>
        <w:topLinePunct w:val="0"/>
        <w:bidi w:val="0"/>
        <w:spacing w:line="480" w:lineRule="exact"/>
        <w:ind w:firstLine="525" w:firstLineChars="25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w:t>
      </w:r>
      <w:r>
        <w:rPr>
          <w:rFonts w:hint="eastAsia" w:asciiTheme="minorEastAsia" w:hAnsiTheme="minorEastAsia" w:eastAsiaTheme="minorEastAsia" w:cstheme="minorEastAsia"/>
          <w:color w:val="auto"/>
          <w:szCs w:val="21"/>
          <w:highlight w:val="none"/>
          <w:lang w:val="en-US" w:eastAsia="zh-CN"/>
        </w:rPr>
        <w:t>6</w:t>
      </w:r>
      <w:r>
        <w:rPr>
          <w:rFonts w:hint="eastAsia" w:asciiTheme="minorEastAsia" w:hAnsiTheme="minorEastAsia" w:eastAsiaTheme="minorEastAsia" w:cstheme="minorEastAsia"/>
          <w:color w:val="auto"/>
          <w:szCs w:val="21"/>
          <w:highlight w:val="none"/>
        </w:rPr>
        <w:t>）法律法规规定的其他情况。</w:t>
      </w:r>
    </w:p>
    <w:p w14:paraId="553CF157">
      <w:pPr>
        <w:pageBreakBefore w:val="0"/>
        <w:kinsoku/>
        <w:wordWrap/>
        <w:overflowPunct/>
        <w:topLinePunct w:val="0"/>
        <w:bidi w:val="0"/>
        <w:spacing w:line="480" w:lineRule="exact"/>
        <w:ind w:firstLine="630" w:firstLineChars="3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4.5.2.3 投标保证金退还程序：</w:t>
      </w:r>
    </w:p>
    <w:p w14:paraId="4ADA79CC">
      <w:pPr>
        <w:pageBreakBefore w:val="0"/>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在开标结束时，未中标人的投标保证金，在《中标通知书》发出之日起5个工作日内，采购代理机构将主动退还至其基本账户。</w:t>
      </w:r>
    </w:p>
    <w:bookmarkEnd w:id="129"/>
    <w:bookmarkEnd w:id="130"/>
    <w:bookmarkEnd w:id="131"/>
    <w:p w14:paraId="030CBE28">
      <w:pPr>
        <w:pageBreakBefore w:val="0"/>
        <w:kinsoku/>
        <w:wordWrap/>
        <w:overflowPunct/>
        <w:topLinePunct w:val="0"/>
        <w:bidi w:val="0"/>
        <w:spacing w:before="120" w:beforeLines="50" w:after="120" w:afterLines="50" w:line="480" w:lineRule="exact"/>
        <w:textAlignment w:val="auto"/>
        <w:rPr>
          <w:rFonts w:hint="eastAsia" w:asciiTheme="minorEastAsia" w:hAnsiTheme="minorEastAsia" w:eastAsiaTheme="minorEastAsia" w:cstheme="minorEastAsia"/>
          <w:b/>
          <w:bCs/>
          <w:color w:val="auto"/>
          <w:sz w:val="30"/>
          <w:szCs w:val="30"/>
          <w:highlight w:val="none"/>
        </w:rPr>
      </w:pPr>
      <w:r>
        <w:rPr>
          <w:rFonts w:hint="eastAsia" w:asciiTheme="minorEastAsia" w:hAnsiTheme="minorEastAsia" w:eastAsiaTheme="minorEastAsia" w:cstheme="minorEastAsia"/>
          <w:b/>
          <w:bCs/>
          <w:color w:val="auto"/>
          <w:sz w:val="30"/>
          <w:szCs w:val="30"/>
          <w:highlight w:val="none"/>
        </w:rPr>
        <w:t>4.6 商务文件</w:t>
      </w:r>
    </w:p>
    <w:p w14:paraId="23A0698F">
      <w:pPr>
        <w:pageBreakBefore w:val="0"/>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4.6.1</w:t>
      </w:r>
      <w:r>
        <w:rPr>
          <w:rFonts w:hint="eastAsia" w:asciiTheme="minorEastAsia" w:hAnsiTheme="minorEastAsia" w:eastAsiaTheme="minorEastAsia" w:cstheme="minorEastAsia"/>
          <w:color w:val="auto"/>
          <w:szCs w:val="21"/>
          <w:highlight w:val="none"/>
          <w:lang w:val="en-US" w:eastAsia="zh-CN"/>
        </w:rPr>
        <w:t xml:space="preserve"> </w:t>
      </w:r>
      <w:r>
        <w:rPr>
          <w:rFonts w:hint="eastAsia" w:asciiTheme="minorEastAsia" w:hAnsiTheme="minorEastAsia" w:eastAsiaTheme="minorEastAsia" w:cstheme="minorEastAsia"/>
          <w:color w:val="auto"/>
          <w:szCs w:val="21"/>
          <w:highlight w:val="none"/>
        </w:rPr>
        <w:t>投标人应按照招标文件商务要求做出完全响应。未作出商务响应的，作为不实质性响应招标文件，按无效投标处理。</w:t>
      </w:r>
    </w:p>
    <w:p w14:paraId="743D5521">
      <w:pPr>
        <w:pageBreakBefore w:val="0"/>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4.6.2 </w:t>
      </w:r>
      <w:r>
        <w:rPr>
          <w:rFonts w:hint="eastAsia" w:asciiTheme="minorEastAsia" w:hAnsiTheme="minorEastAsia" w:eastAsiaTheme="minorEastAsia" w:cstheme="minorEastAsia"/>
          <w:bCs/>
          <w:color w:val="auto"/>
          <w:szCs w:val="21"/>
          <w:highlight w:val="none"/>
        </w:rPr>
        <w:t>投标人应按照招标文件中售后服务要求作出积极响应。</w:t>
      </w:r>
    </w:p>
    <w:p w14:paraId="3CAB6C36">
      <w:pPr>
        <w:pageBreakBefore w:val="0"/>
        <w:kinsoku/>
        <w:wordWrap/>
        <w:overflowPunct/>
        <w:topLinePunct w:val="0"/>
        <w:bidi w:val="0"/>
        <w:spacing w:line="480" w:lineRule="exact"/>
        <w:ind w:left="2" w:leftChars="1" w:firstLine="420" w:firstLineChars="200"/>
        <w:textAlignment w:val="auto"/>
        <w:rPr>
          <w:rFonts w:hint="eastAsia" w:asciiTheme="minorEastAsia" w:hAnsiTheme="minorEastAsia" w:eastAsiaTheme="minorEastAsia" w:cstheme="minorEastAsia"/>
          <w:bCs/>
          <w:color w:val="auto"/>
          <w:szCs w:val="21"/>
          <w:highlight w:val="none"/>
        </w:rPr>
      </w:pPr>
      <w:r>
        <w:rPr>
          <w:rFonts w:hint="eastAsia" w:asciiTheme="minorEastAsia" w:hAnsiTheme="minorEastAsia" w:eastAsiaTheme="minorEastAsia" w:cstheme="minorEastAsia"/>
          <w:bCs/>
          <w:color w:val="auto"/>
          <w:szCs w:val="21"/>
          <w:highlight w:val="none"/>
        </w:rPr>
        <w:t>4.6.3</w:t>
      </w:r>
      <w:r>
        <w:rPr>
          <w:rFonts w:hint="eastAsia" w:asciiTheme="minorEastAsia" w:hAnsiTheme="minorEastAsia" w:eastAsiaTheme="minorEastAsia" w:cstheme="minorEastAsia"/>
          <w:bCs/>
          <w:color w:val="auto"/>
          <w:szCs w:val="21"/>
          <w:highlight w:val="none"/>
          <w:lang w:val="en-US" w:eastAsia="zh-CN"/>
        </w:rPr>
        <w:t xml:space="preserve"> </w:t>
      </w:r>
      <w:r>
        <w:rPr>
          <w:rFonts w:hint="eastAsia" w:asciiTheme="minorEastAsia" w:hAnsiTheme="minorEastAsia" w:eastAsiaTheme="minorEastAsia" w:cstheme="minorEastAsia"/>
          <w:bCs/>
          <w:color w:val="auto"/>
          <w:szCs w:val="21"/>
          <w:highlight w:val="none"/>
        </w:rPr>
        <w:t>投标人应对以下（不限于）要求作出承诺：</w:t>
      </w:r>
    </w:p>
    <w:p w14:paraId="7B8C0D69">
      <w:pPr>
        <w:pageBreakBefore w:val="0"/>
        <w:kinsoku/>
        <w:wordWrap/>
        <w:overflowPunct/>
        <w:topLinePunct w:val="0"/>
        <w:bidi w:val="0"/>
        <w:spacing w:line="480" w:lineRule="exact"/>
        <w:ind w:left="2" w:leftChars="1" w:firstLine="420" w:firstLineChars="200"/>
        <w:textAlignment w:val="auto"/>
        <w:rPr>
          <w:rFonts w:hint="eastAsia" w:asciiTheme="minorEastAsia" w:hAnsiTheme="minorEastAsia" w:eastAsiaTheme="minorEastAsia" w:cstheme="minorEastAsia"/>
          <w:bCs/>
          <w:color w:val="auto"/>
          <w:szCs w:val="21"/>
          <w:highlight w:val="none"/>
        </w:rPr>
      </w:pPr>
      <w:r>
        <w:rPr>
          <w:rFonts w:hint="eastAsia" w:asciiTheme="minorEastAsia" w:hAnsiTheme="minorEastAsia" w:eastAsiaTheme="minorEastAsia" w:cstheme="minorEastAsia"/>
          <w:bCs/>
          <w:color w:val="auto"/>
          <w:szCs w:val="21"/>
          <w:highlight w:val="none"/>
        </w:rPr>
        <w:t>（1）</w:t>
      </w:r>
      <w:r>
        <w:rPr>
          <w:rFonts w:hint="eastAsia" w:asciiTheme="minorEastAsia" w:hAnsiTheme="minorEastAsia" w:eastAsiaTheme="minorEastAsia" w:cstheme="minorEastAsia"/>
          <w:color w:val="auto"/>
          <w:szCs w:val="21"/>
          <w:highlight w:val="none"/>
        </w:rPr>
        <w:t>承诺给予采购人的各种优惠条件（优惠条件事项不能包括采购项目本身所包括涉及的采购事项。投标人不能以“赠送、赠予”等任何名义提供货物和服务以规避招标文件的约束。否则，投标人提供的投标文件将作为无效投标处理，投标人的投标行为将作为以不正当手段排挤其他投标人认定）</w:t>
      </w:r>
      <w:r>
        <w:rPr>
          <w:rFonts w:hint="eastAsia" w:asciiTheme="minorEastAsia" w:hAnsiTheme="minorEastAsia" w:eastAsiaTheme="minorEastAsia" w:cstheme="minorEastAsia"/>
          <w:bCs/>
          <w:color w:val="auto"/>
          <w:szCs w:val="21"/>
          <w:highlight w:val="none"/>
        </w:rPr>
        <w:t>；</w:t>
      </w:r>
    </w:p>
    <w:p w14:paraId="07D88A24">
      <w:pPr>
        <w:pageBreakBefore w:val="0"/>
        <w:kinsoku/>
        <w:wordWrap/>
        <w:overflowPunct/>
        <w:topLinePunct w:val="0"/>
        <w:bidi w:val="0"/>
        <w:spacing w:line="480" w:lineRule="exact"/>
        <w:ind w:left="2" w:leftChars="1" w:firstLine="420" w:firstLineChars="200"/>
        <w:textAlignment w:val="auto"/>
        <w:rPr>
          <w:rFonts w:hint="eastAsia" w:asciiTheme="minorEastAsia" w:hAnsiTheme="minorEastAsia" w:eastAsiaTheme="minorEastAsia" w:cstheme="minorEastAsia"/>
          <w:bCs/>
          <w:color w:val="auto"/>
          <w:szCs w:val="21"/>
          <w:highlight w:val="none"/>
        </w:rPr>
      </w:pPr>
      <w:r>
        <w:rPr>
          <w:rFonts w:hint="eastAsia" w:asciiTheme="minorEastAsia" w:hAnsiTheme="minorEastAsia" w:eastAsiaTheme="minorEastAsia" w:cstheme="minorEastAsia"/>
          <w:bCs/>
          <w:color w:val="auto"/>
          <w:szCs w:val="21"/>
          <w:highlight w:val="none"/>
        </w:rPr>
        <w:t>（2）产品质量承诺；</w:t>
      </w:r>
    </w:p>
    <w:p w14:paraId="5FDB4090">
      <w:pPr>
        <w:pageBreakBefore w:val="0"/>
        <w:kinsoku/>
        <w:wordWrap/>
        <w:overflowPunct/>
        <w:topLinePunct w:val="0"/>
        <w:bidi w:val="0"/>
        <w:spacing w:line="480" w:lineRule="exact"/>
        <w:ind w:left="2" w:leftChars="1" w:firstLine="420" w:firstLineChars="200"/>
        <w:textAlignment w:val="auto"/>
        <w:rPr>
          <w:rFonts w:hint="eastAsia" w:asciiTheme="minorEastAsia" w:hAnsiTheme="minorEastAsia" w:eastAsiaTheme="minorEastAsia" w:cstheme="minorEastAsia"/>
          <w:bCs/>
          <w:color w:val="auto"/>
          <w:szCs w:val="21"/>
          <w:highlight w:val="none"/>
        </w:rPr>
      </w:pPr>
      <w:r>
        <w:rPr>
          <w:rFonts w:hint="eastAsia" w:asciiTheme="minorEastAsia" w:hAnsiTheme="minorEastAsia" w:eastAsiaTheme="minorEastAsia" w:cstheme="minorEastAsia"/>
          <w:color w:val="auto"/>
          <w:szCs w:val="21"/>
          <w:highlight w:val="none"/>
        </w:rPr>
        <w:t>（3）利于用户的售后服务承诺；</w:t>
      </w:r>
    </w:p>
    <w:p w14:paraId="53FE4DE9">
      <w:pPr>
        <w:pageBreakBefore w:val="0"/>
        <w:kinsoku/>
        <w:wordWrap/>
        <w:overflowPunct/>
        <w:topLinePunct w:val="0"/>
        <w:bidi w:val="0"/>
        <w:spacing w:line="480" w:lineRule="exact"/>
        <w:ind w:left="2" w:leftChars="1" w:firstLine="420" w:firstLineChars="200"/>
        <w:textAlignment w:val="auto"/>
        <w:rPr>
          <w:rFonts w:hint="eastAsia" w:asciiTheme="minorEastAsia" w:hAnsiTheme="minorEastAsia" w:eastAsiaTheme="minorEastAsia" w:cstheme="minorEastAsia"/>
          <w:bCs/>
          <w:color w:val="auto"/>
          <w:szCs w:val="21"/>
          <w:highlight w:val="none"/>
        </w:rPr>
      </w:pPr>
      <w:r>
        <w:rPr>
          <w:rFonts w:hint="eastAsia" w:asciiTheme="minorEastAsia" w:hAnsiTheme="minorEastAsia" w:eastAsiaTheme="minorEastAsia" w:cstheme="minorEastAsia"/>
          <w:bCs/>
          <w:color w:val="auto"/>
          <w:szCs w:val="21"/>
          <w:highlight w:val="none"/>
        </w:rPr>
        <w:t>（4）严格按招标文件对本项目的要求，组织生产、供货运输、安装调试和服务培训；</w:t>
      </w:r>
    </w:p>
    <w:p w14:paraId="2F6C9200">
      <w:pPr>
        <w:pageBreakBefore w:val="0"/>
        <w:kinsoku/>
        <w:wordWrap/>
        <w:overflowPunct/>
        <w:topLinePunct w:val="0"/>
        <w:bidi w:val="0"/>
        <w:spacing w:line="480" w:lineRule="exact"/>
        <w:ind w:left="2" w:leftChars="1"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（5）未经采购人许可，不得将本采购项目采取转包实施的办法，一经发现，立即取消其中标资格，并承担由此产生的一切经济损失；</w:t>
      </w:r>
    </w:p>
    <w:p w14:paraId="5A8CFAC5">
      <w:pPr>
        <w:pStyle w:val="4"/>
        <w:pageBreakBefore w:val="0"/>
        <w:kinsoku/>
        <w:wordWrap/>
        <w:overflowPunct/>
        <w:topLinePunct w:val="0"/>
        <w:bidi w:val="0"/>
        <w:spacing w:line="480" w:lineRule="exact"/>
        <w:ind w:firstLine="472" w:firstLineChars="225"/>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（6）接受采购人或采购人委托相关单位对项目实施方案、生产进度、货物质量、售后服务、货款支付与结算审核等方面监督和管理;</w:t>
      </w:r>
    </w:p>
    <w:p w14:paraId="045E83D3">
      <w:pPr>
        <w:pStyle w:val="4"/>
        <w:pageBreakBefore w:val="0"/>
        <w:kinsoku/>
        <w:wordWrap/>
        <w:overflowPunct/>
        <w:topLinePunct w:val="0"/>
        <w:bidi w:val="0"/>
        <w:spacing w:line="480" w:lineRule="exact"/>
        <w:ind w:firstLine="472" w:firstLineChars="225"/>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（6）其它承诺</w:t>
      </w:r>
      <w:r>
        <w:rPr>
          <w:rFonts w:hint="eastAsia" w:asciiTheme="minorEastAsia" w:hAnsiTheme="minorEastAsia" w:eastAsiaTheme="minorEastAsia" w:cstheme="minorEastAsia"/>
          <w:color w:val="auto"/>
          <w:szCs w:val="21"/>
          <w:highlight w:val="none"/>
          <w:u w:val="single"/>
        </w:rPr>
        <w:t xml:space="preserve">  /  </w:t>
      </w:r>
      <w:r>
        <w:rPr>
          <w:rFonts w:hint="eastAsia" w:asciiTheme="minorEastAsia" w:hAnsiTheme="minorEastAsia" w:eastAsiaTheme="minorEastAsia" w:cstheme="minorEastAsia"/>
          <w:color w:val="auto"/>
          <w:szCs w:val="21"/>
          <w:highlight w:val="none"/>
        </w:rPr>
        <w:t>。</w:t>
      </w:r>
    </w:p>
    <w:p w14:paraId="21CD05D9">
      <w:pPr>
        <w:pStyle w:val="4"/>
        <w:pageBreakBefore w:val="0"/>
        <w:kinsoku/>
        <w:wordWrap/>
        <w:overflowPunct/>
        <w:topLinePunct w:val="0"/>
        <w:bidi w:val="0"/>
        <w:spacing w:before="120" w:beforeLines="50" w:after="120" w:afterLines="50" w:line="480" w:lineRule="exact"/>
        <w:ind w:firstLine="0"/>
        <w:textAlignment w:val="auto"/>
        <w:rPr>
          <w:rFonts w:hint="eastAsia" w:asciiTheme="minorEastAsia" w:hAnsiTheme="minorEastAsia" w:eastAsiaTheme="minorEastAsia" w:cstheme="minorEastAsia"/>
          <w:b/>
          <w:color w:val="auto"/>
          <w:sz w:val="30"/>
          <w:szCs w:val="30"/>
          <w:highlight w:val="none"/>
        </w:rPr>
      </w:pPr>
      <w:r>
        <w:rPr>
          <w:rFonts w:hint="eastAsia" w:asciiTheme="minorEastAsia" w:hAnsiTheme="minorEastAsia" w:eastAsiaTheme="minorEastAsia" w:cstheme="minorEastAsia"/>
          <w:b/>
          <w:color w:val="auto"/>
          <w:sz w:val="30"/>
          <w:szCs w:val="30"/>
          <w:highlight w:val="none"/>
        </w:rPr>
        <w:t>4.7 技术文件</w:t>
      </w:r>
    </w:p>
    <w:p w14:paraId="2AE09CA3">
      <w:pPr>
        <w:pStyle w:val="4"/>
        <w:pageBreakBefore w:val="0"/>
        <w:kinsoku/>
        <w:wordWrap/>
        <w:overflowPunct/>
        <w:topLinePunct w:val="0"/>
        <w:bidi w:val="0"/>
        <w:spacing w:line="480" w:lineRule="exact"/>
        <w:ind w:firstLine="465"/>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4.7.1 </w:t>
      </w:r>
      <w:r>
        <w:rPr>
          <w:rFonts w:hint="eastAsia" w:asciiTheme="minorEastAsia" w:hAnsiTheme="minorEastAsia" w:eastAsiaTheme="minorEastAsia" w:cstheme="minorEastAsia"/>
          <w:bCs/>
          <w:color w:val="auto"/>
          <w:szCs w:val="21"/>
          <w:highlight w:val="none"/>
        </w:rPr>
        <w:t>投标人应</w:t>
      </w:r>
      <w:r>
        <w:rPr>
          <w:rFonts w:hint="eastAsia" w:asciiTheme="minorEastAsia" w:hAnsiTheme="minorEastAsia" w:eastAsiaTheme="minorEastAsia" w:cstheme="minorEastAsia"/>
          <w:color w:val="auto"/>
          <w:szCs w:val="21"/>
          <w:highlight w:val="none"/>
        </w:rPr>
        <w:t xml:space="preserve">按照招标文件要求做出的技术应答，主要是针对采购项目的技术指标、参数和技术服务要求做出的实质性响应和满足。 </w:t>
      </w:r>
    </w:p>
    <w:p w14:paraId="66A309AD">
      <w:pPr>
        <w:pStyle w:val="4"/>
        <w:pageBreakBefore w:val="0"/>
        <w:kinsoku/>
        <w:wordWrap/>
        <w:overflowPunct/>
        <w:topLinePunct w:val="0"/>
        <w:bidi w:val="0"/>
        <w:spacing w:line="480" w:lineRule="exact"/>
        <w:ind w:firstLine="422" w:firstLineChars="200"/>
        <w:textAlignment w:val="auto"/>
        <w:rPr>
          <w:rFonts w:hint="eastAsia" w:asciiTheme="minorEastAsia" w:hAnsiTheme="minorEastAsia" w:eastAsiaTheme="minorEastAsia" w:cstheme="minorEastAsia"/>
          <w:b/>
          <w:color w:val="auto"/>
          <w:szCs w:val="21"/>
          <w:highlight w:val="none"/>
        </w:rPr>
      </w:pPr>
      <w:bookmarkStart w:id="132" w:name="_Toc183582218"/>
      <w:bookmarkStart w:id="133" w:name="_Toc183682355"/>
      <w:bookmarkStart w:id="134" w:name="_Toc217446049"/>
      <w:r>
        <w:rPr>
          <w:rFonts w:hint="eastAsia" w:asciiTheme="minorEastAsia" w:hAnsiTheme="minorEastAsia" w:eastAsiaTheme="minorEastAsia" w:cstheme="minorEastAsia"/>
          <w:b/>
          <w:color w:val="auto"/>
          <w:szCs w:val="21"/>
          <w:highlight w:val="none"/>
        </w:rPr>
        <w:t>4.7.2 证明所投货物（产品）符合招标文件要求的相关文件，可以是文字资料、图纸、数据、宣传彩页等，所有证明文件，表达意思必须统一。如需投标人提供样品，证明文件的表述与投标人所提供样品必须完全符合，且是投标文件的组成部分，否则，按未实质响应招标文件予以拒绝。</w:t>
      </w:r>
      <w:bookmarkEnd w:id="132"/>
      <w:bookmarkEnd w:id="133"/>
      <w:bookmarkEnd w:id="134"/>
      <w:bookmarkStart w:id="135" w:name="_Toc217446050"/>
      <w:bookmarkStart w:id="136" w:name="_Toc183582223"/>
      <w:bookmarkStart w:id="137" w:name="_Toc183682360"/>
      <w:r>
        <w:rPr>
          <w:rFonts w:hint="eastAsia" w:asciiTheme="minorEastAsia" w:hAnsiTheme="minorEastAsia" w:eastAsiaTheme="minorEastAsia" w:cstheme="minorEastAsia"/>
          <w:b/>
          <w:color w:val="auto"/>
          <w:szCs w:val="21"/>
          <w:highlight w:val="none"/>
        </w:rPr>
        <w:t xml:space="preserve"> </w:t>
      </w:r>
    </w:p>
    <w:bookmarkEnd w:id="135"/>
    <w:bookmarkEnd w:id="136"/>
    <w:bookmarkEnd w:id="137"/>
    <w:p w14:paraId="07A566F3">
      <w:pPr>
        <w:pageBreakBefore w:val="0"/>
        <w:tabs>
          <w:tab w:val="left" w:pos="7665"/>
        </w:tabs>
        <w:kinsoku/>
        <w:wordWrap/>
        <w:overflowPunct/>
        <w:topLinePunct w:val="0"/>
        <w:bidi w:val="0"/>
        <w:spacing w:before="120" w:beforeLines="50" w:after="120" w:afterLines="50" w:line="480" w:lineRule="exact"/>
        <w:textAlignment w:val="auto"/>
        <w:rPr>
          <w:rFonts w:hint="eastAsia" w:asciiTheme="minorEastAsia" w:hAnsiTheme="minorEastAsia" w:eastAsiaTheme="minorEastAsia" w:cstheme="minorEastAsia"/>
          <w:b/>
          <w:bCs/>
          <w:color w:val="auto"/>
          <w:sz w:val="30"/>
          <w:szCs w:val="30"/>
          <w:highlight w:val="none"/>
        </w:rPr>
      </w:pPr>
      <w:bookmarkStart w:id="138" w:name="_Toc217446052"/>
      <w:bookmarkStart w:id="139" w:name="_Toc183582225"/>
      <w:bookmarkStart w:id="140" w:name="_Toc183682362"/>
      <w:r>
        <w:rPr>
          <w:rFonts w:hint="eastAsia" w:asciiTheme="minorEastAsia" w:hAnsiTheme="minorEastAsia" w:eastAsiaTheme="minorEastAsia" w:cstheme="minorEastAsia"/>
          <w:b/>
          <w:bCs/>
          <w:color w:val="auto"/>
          <w:sz w:val="30"/>
          <w:szCs w:val="30"/>
          <w:highlight w:val="none"/>
        </w:rPr>
        <w:t>4.8 投标文件的制作和签署</w:t>
      </w:r>
      <w:bookmarkEnd w:id="138"/>
      <w:bookmarkEnd w:id="139"/>
      <w:bookmarkEnd w:id="140"/>
    </w:p>
    <w:p w14:paraId="27456A5A">
      <w:pPr>
        <w:pageBreakBefore w:val="0"/>
        <w:tabs>
          <w:tab w:val="left" w:pos="7665"/>
        </w:tabs>
        <w:kinsoku/>
        <w:wordWrap/>
        <w:overflowPunct/>
        <w:topLinePunct w:val="0"/>
        <w:bidi w:val="0"/>
        <w:spacing w:line="480" w:lineRule="exact"/>
        <w:ind w:left="13" w:leftChars="6"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4.8.1 投标文件应根据招标文件的要求制作。投标人应填写全称，同时加盖单位章，签署、盖章和内容应完整，如有遗漏，将被视为无效投标。</w:t>
      </w:r>
    </w:p>
    <w:p w14:paraId="2A146C01">
      <w:pPr>
        <w:pageBreakBefore w:val="0"/>
        <w:tabs>
          <w:tab w:val="left" w:pos="7665"/>
        </w:tabs>
        <w:kinsoku/>
        <w:wordWrap/>
        <w:overflowPunct/>
        <w:topLinePunct w:val="0"/>
        <w:bidi w:val="0"/>
        <w:spacing w:line="480" w:lineRule="exact"/>
        <w:ind w:left="13" w:leftChars="6"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4.8.2 投标文件格式。投标人应严格按照第六章提供的“投标文件格式”编写相关内容。除明确允许投标人可以自行编写外，投标人不得以“投标文件格式”规定之外的方式填写相关内容。否则，投标人提供的投标文件将作为无效投标处理。</w:t>
      </w:r>
    </w:p>
    <w:p w14:paraId="7A79F035">
      <w:pPr>
        <w:pageBreakBefore w:val="0"/>
        <w:tabs>
          <w:tab w:val="left" w:pos="7665"/>
        </w:tabs>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4.8.3 对于没有格式要求的投标文件由投标人自行编写。</w:t>
      </w:r>
    </w:p>
    <w:p w14:paraId="4E8E7128">
      <w:pPr>
        <w:pageBreakBefore w:val="0"/>
        <w:tabs>
          <w:tab w:val="left" w:pos="1080"/>
        </w:tabs>
        <w:kinsoku/>
        <w:wordWrap/>
        <w:overflowPunct/>
        <w:topLinePunct w:val="0"/>
        <w:bidi w:val="0"/>
        <w:spacing w:line="480" w:lineRule="exact"/>
        <w:ind w:firstLine="403" w:firstLineChars="192"/>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4.8.4 投标人应按“投标须知前附表”规定准备投标文件。</w:t>
      </w:r>
    </w:p>
    <w:p w14:paraId="6F557230">
      <w:pPr>
        <w:pageBreakBefore w:val="0"/>
        <w:kinsoku/>
        <w:wordWrap/>
        <w:overflowPunct/>
        <w:topLinePunct w:val="0"/>
        <w:bidi w:val="0"/>
        <w:spacing w:line="480" w:lineRule="exact"/>
        <w:ind w:firstLine="420" w:firstLineChars="200"/>
        <w:jc w:val="left"/>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4.8.5 投标文件需由投标人的法定代表人或其授权代表在规定签章处签字和盖章。</w:t>
      </w:r>
    </w:p>
    <w:p w14:paraId="38D025D7">
      <w:pPr>
        <w:pageBreakBefore w:val="0"/>
        <w:tabs>
          <w:tab w:val="left" w:pos="1095"/>
        </w:tabs>
        <w:kinsoku/>
        <w:wordWrap/>
        <w:overflowPunct/>
        <w:topLinePunct w:val="0"/>
        <w:bidi w:val="0"/>
        <w:spacing w:line="480" w:lineRule="exact"/>
        <w:ind w:firstLine="403" w:firstLineChars="192"/>
        <w:textAlignment w:val="auto"/>
        <w:rPr>
          <w:rFonts w:hint="eastAsia" w:asciiTheme="minorEastAsia" w:hAnsiTheme="minorEastAsia" w:eastAsiaTheme="minorEastAsia" w:cstheme="minorEastAsia"/>
          <w:b/>
          <w:color w:val="auto"/>
          <w:szCs w:val="21"/>
          <w:highlight w:val="none"/>
        </w:rPr>
      </w:pPr>
      <w:r>
        <w:rPr>
          <w:rFonts w:hint="eastAsia" w:asciiTheme="minorEastAsia" w:hAnsiTheme="minorEastAsia" w:eastAsiaTheme="minorEastAsia" w:cstheme="minorEastAsia"/>
          <w:color w:val="auto"/>
          <w:szCs w:val="21"/>
          <w:highlight w:val="none"/>
        </w:rPr>
        <w:t>4.8.6 投标文件的书写应清楚工整，尽量避免行间插字、涂改或增删</w:t>
      </w: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szCs w:val="21"/>
          <w:highlight w:val="none"/>
        </w:rPr>
        <w:t>表达不清或可能导致非唯一理解的投标文件可能视为无效投标。</w:t>
      </w:r>
      <w:bookmarkStart w:id="141" w:name="_Toc183582226"/>
      <w:bookmarkStart w:id="142" w:name="_Toc77400781"/>
      <w:bookmarkStart w:id="143" w:name="_Toc217446053"/>
      <w:bookmarkStart w:id="144" w:name="_Toc183682363"/>
      <w:bookmarkStart w:id="145" w:name="_Toc89075877"/>
    </w:p>
    <w:p w14:paraId="00221176">
      <w:pPr>
        <w:pageBreakBefore w:val="0"/>
        <w:tabs>
          <w:tab w:val="left" w:pos="1080"/>
        </w:tabs>
        <w:kinsoku/>
        <w:wordWrap/>
        <w:overflowPunct/>
        <w:topLinePunct w:val="0"/>
        <w:bidi w:val="0"/>
        <w:spacing w:before="120" w:beforeLines="50" w:after="120" w:afterLines="50" w:line="480" w:lineRule="exact"/>
        <w:jc w:val="center"/>
        <w:textAlignment w:val="auto"/>
        <w:outlineLvl w:val="1"/>
        <w:rPr>
          <w:rFonts w:hint="eastAsia" w:asciiTheme="minorEastAsia" w:hAnsiTheme="minorEastAsia" w:eastAsiaTheme="minorEastAsia" w:cstheme="minorEastAsia"/>
          <w:b/>
          <w:bCs/>
          <w:color w:val="auto"/>
          <w:sz w:val="36"/>
          <w:szCs w:val="36"/>
          <w:highlight w:val="none"/>
        </w:rPr>
      </w:pPr>
      <w:bookmarkStart w:id="146" w:name="_Toc17037"/>
      <w:r>
        <w:rPr>
          <w:rFonts w:hint="eastAsia" w:asciiTheme="minorEastAsia" w:hAnsiTheme="minorEastAsia" w:eastAsiaTheme="minorEastAsia" w:cstheme="minorEastAsia"/>
          <w:b/>
          <w:bCs/>
          <w:color w:val="auto"/>
          <w:sz w:val="36"/>
          <w:szCs w:val="36"/>
          <w:highlight w:val="none"/>
        </w:rPr>
        <w:t>5.投标</w:t>
      </w:r>
      <w:bookmarkEnd w:id="146"/>
    </w:p>
    <w:p w14:paraId="53073CC6">
      <w:pPr>
        <w:pageBreakBefore w:val="0"/>
        <w:tabs>
          <w:tab w:val="left" w:pos="1080"/>
        </w:tabs>
        <w:kinsoku/>
        <w:wordWrap/>
        <w:overflowPunct/>
        <w:topLinePunct w:val="0"/>
        <w:bidi w:val="0"/>
        <w:spacing w:after="120" w:afterLines="50" w:line="480" w:lineRule="exact"/>
        <w:textAlignment w:val="auto"/>
        <w:rPr>
          <w:rFonts w:hint="eastAsia" w:asciiTheme="minorEastAsia" w:hAnsiTheme="minorEastAsia" w:eastAsiaTheme="minorEastAsia" w:cstheme="minorEastAsia"/>
          <w:b/>
          <w:color w:val="auto"/>
          <w:sz w:val="30"/>
          <w:szCs w:val="30"/>
          <w:highlight w:val="none"/>
        </w:rPr>
      </w:pPr>
      <w:r>
        <w:rPr>
          <w:rFonts w:hint="eastAsia" w:asciiTheme="minorEastAsia" w:hAnsiTheme="minorEastAsia" w:eastAsiaTheme="minorEastAsia" w:cstheme="minorEastAsia"/>
          <w:b/>
          <w:color w:val="auto"/>
          <w:sz w:val="30"/>
          <w:szCs w:val="30"/>
          <w:highlight w:val="none"/>
        </w:rPr>
        <w:t>5.1 投标内容要求</w:t>
      </w:r>
    </w:p>
    <w:p w14:paraId="1D849B96">
      <w:pPr>
        <w:pageBreakBefore w:val="0"/>
        <w:tabs>
          <w:tab w:val="left" w:pos="1080"/>
        </w:tabs>
        <w:kinsoku/>
        <w:wordWrap/>
        <w:overflowPunct/>
        <w:topLinePunct w:val="0"/>
        <w:bidi w:val="0"/>
        <w:spacing w:line="480" w:lineRule="exact"/>
        <w:ind w:firstLine="403" w:firstLineChars="192"/>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投标人应仔细阅读招标文件中的所有事项、格式、条款和要求，对招标文件的全部内容及要求作出实质性响应，提交相应资料。若分包，应以包为单位投标，不得在其中选项投标或将其中内容再行分解，否则投标无效。</w:t>
      </w:r>
    </w:p>
    <w:p w14:paraId="102E4F7F">
      <w:pPr>
        <w:pageBreakBefore w:val="0"/>
        <w:tabs>
          <w:tab w:val="left" w:pos="1080"/>
        </w:tabs>
        <w:kinsoku/>
        <w:wordWrap/>
        <w:overflowPunct/>
        <w:topLinePunct w:val="0"/>
        <w:bidi w:val="0"/>
        <w:spacing w:before="120" w:beforeLines="50" w:after="120" w:afterLines="50" w:line="480" w:lineRule="exact"/>
        <w:textAlignment w:val="auto"/>
        <w:rPr>
          <w:rFonts w:hint="eastAsia" w:asciiTheme="minorEastAsia" w:hAnsiTheme="minorEastAsia" w:eastAsiaTheme="minorEastAsia" w:cstheme="minorEastAsia"/>
          <w:b/>
          <w:color w:val="auto"/>
          <w:sz w:val="30"/>
          <w:szCs w:val="30"/>
          <w:highlight w:val="none"/>
        </w:rPr>
      </w:pPr>
      <w:r>
        <w:rPr>
          <w:rFonts w:hint="eastAsia" w:asciiTheme="minorEastAsia" w:hAnsiTheme="minorEastAsia" w:eastAsiaTheme="minorEastAsia" w:cstheme="minorEastAsia"/>
          <w:b/>
          <w:color w:val="auto"/>
          <w:sz w:val="30"/>
          <w:szCs w:val="30"/>
          <w:highlight w:val="none"/>
        </w:rPr>
        <w:t xml:space="preserve">5.2 </w:t>
      </w:r>
      <w:bookmarkEnd w:id="141"/>
      <w:bookmarkEnd w:id="142"/>
      <w:bookmarkEnd w:id="143"/>
      <w:bookmarkEnd w:id="144"/>
      <w:bookmarkEnd w:id="145"/>
      <w:r>
        <w:rPr>
          <w:rFonts w:hint="eastAsia" w:asciiTheme="minorEastAsia" w:hAnsiTheme="minorEastAsia" w:eastAsiaTheme="minorEastAsia" w:cstheme="minorEastAsia"/>
          <w:b/>
          <w:color w:val="auto"/>
          <w:sz w:val="30"/>
          <w:szCs w:val="30"/>
          <w:highlight w:val="none"/>
        </w:rPr>
        <w:t>投标文件的加密、递交</w:t>
      </w:r>
    </w:p>
    <w:p w14:paraId="5A1154B2">
      <w:pPr>
        <w:pageBreakBefore w:val="0"/>
        <w:kinsoku/>
        <w:wordWrap/>
        <w:overflowPunct/>
        <w:topLinePunct w:val="0"/>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lang w:val="en-US" w:eastAsia="zh-CN"/>
        </w:rPr>
        <w:t>5.2.1</w:t>
      </w:r>
      <w:r>
        <w:rPr>
          <w:rFonts w:hint="eastAsia" w:asciiTheme="minorEastAsia" w:hAnsiTheme="minorEastAsia" w:eastAsiaTheme="minorEastAsia" w:cstheme="minorEastAsia"/>
          <w:color w:val="auto"/>
          <w:kern w:val="0"/>
          <w:szCs w:val="21"/>
          <w:highlight w:val="none"/>
        </w:rPr>
        <w:t xml:space="preserve"> 加密的电子投标文件（.jmbs格式）应在投标文件递交截止时间前通过政采云平台上传完成。</w:t>
      </w:r>
    </w:p>
    <w:p w14:paraId="7AECAFB8">
      <w:pPr>
        <w:pageBreakBefore w:val="0"/>
        <w:kinsoku/>
        <w:wordWrap/>
        <w:overflowPunct/>
        <w:topLinePunct w:val="0"/>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lang w:val="en-US" w:eastAsia="zh-CN"/>
        </w:rPr>
        <w:t>5.2.</w:t>
      </w:r>
      <w:r>
        <w:rPr>
          <w:rFonts w:hint="eastAsia" w:asciiTheme="minorEastAsia" w:hAnsiTheme="minorEastAsia" w:eastAsiaTheme="minorEastAsia" w:cstheme="minorEastAsia"/>
          <w:color w:val="auto"/>
          <w:kern w:val="0"/>
          <w:szCs w:val="21"/>
          <w:highlight w:val="none"/>
        </w:rPr>
        <w:t>2</w:t>
      </w:r>
      <w:r>
        <w:rPr>
          <w:rFonts w:hint="eastAsia" w:asciiTheme="minorEastAsia" w:hAnsiTheme="minorEastAsia" w:eastAsiaTheme="minorEastAsia" w:cstheme="minorEastAsia"/>
          <w:color w:val="auto"/>
          <w:kern w:val="0"/>
          <w:szCs w:val="21"/>
          <w:highlight w:val="none"/>
          <w:lang w:val="en-US" w:eastAsia="zh-CN"/>
        </w:rPr>
        <w:t xml:space="preserve"> </w:t>
      </w:r>
      <w:r>
        <w:rPr>
          <w:rFonts w:hint="eastAsia" w:asciiTheme="minorEastAsia" w:hAnsiTheme="minorEastAsia" w:eastAsiaTheme="minorEastAsia" w:cstheme="minorEastAsia"/>
          <w:color w:val="auto"/>
          <w:kern w:val="0"/>
          <w:szCs w:val="21"/>
          <w:highlight w:val="none"/>
        </w:rPr>
        <w:t>逾期上传或者未上传指定地点的投标文件，采购人不予受理。</w:t>
      </w:r>
    </w:p>
    <w:p w14:paraId="57C7022D">
      <w:pPr>
        <w:pageBreakBefore w:val="0"/>
        <w:tabs>
          <w:tab w:val="left" w:pos="1095"/>
        </w:tabs>
        <w:kinsoku/>
        <w:wordWrap/>
        <w:overflowPunct/>
        <w:topLinePunct w:val="0"/>
        <w:bidi w:val="0"/>
        <w:spacing w:line="480" w:lineRule="exact"/>
        <w:textAlignment w:val="auto"/>
        <w:rPr>
          <w:rFonts w:hint="eastAsia" w:asciiTheme="minorEastAsia" w:hAnsiTheme="minorEastAsia" w:eastAsiaTheme="minorEastAsia" w:cstheme="minorEastAsia"/>
          <w:color w:val="auto"/>
          <w:szCs w:val="21"/>
          <w:highlight w:val="none"/>
        </w:rPr>
      </w:pPr>
      <w:bookmarkStart w:id="147" w:name="_Toc183582227"/>
      <w:bookmarkStart w:id="148" w:name="_Toc183682364"/>
      <w:bookmarkStart w:id="149" w:name="_Toc217446054"/>
      <w:r>
        <w:rPr>
          <w:rFonts w:hint="eastAsia" w:asciiTheme="minorEastAsia" w:hAnsiTheme="minorEastAsia" w:eastAsiaTheme="minorEastAsia" w:cstheme="minorEastAsia"/>
          <w:b/>
          <w:bCs/>
          <w:color w:val="auto"/>
          <w:sz w:val="30"/>
          <w:szCs w:val="30"/>
          <w:highlight w:val="none"/>
        </w:rPr>
        <w:t>5.3 投标文件的</w:t>
      </w:r>
      <w:bookmarkEnd w:id="147"/>
      <w:bookmarkEnd w:id="148"/>
      <w:r>
        <w:rPr>
          <w:rFonts w:hint="eastAsia" w:asciiTheme="minorEastAsia" w:hAnsiTheme="minorEastAsia" w:eastAsiaTheme="minorEastAsia" w:cstheme="minorEastAsia"/>
          <w:b/>
          <w:bCs/>
          <w:color w:val="auto"/>
          <w:sz w:val="30"/>
          <w:szCs w:val="30"/>
          <w:highlight w:val="none"/>
        </w:rPr>
        <w:t>递交</w:t>
      </w:r>
      <w:bookmarkEnd w:id="149"/>
    </w:p>
    <w:p w14:paraId="760D9FD7">
      <w:pPr>
        <w:pageBreakBefore w:val="0"/>
        <w:tabs>
          <w:tab w:val="left" w:pos="1095"/>
        </w:tabs>
        <w:kinsoku/>
        <w:wordWrap/>
        <w:overflowPunct/>
        <w:topLinePunct w:val="0"/>
        <w:bidi w:val="0"/>
        <w:spacing w:line="480" w:lineRule="exact"/>
        <w:ind w:firstLine="403" w:firstLineChars="192"/>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5.3.1 投标人应在投标人须知前附表规定的投标截止时间前</w:t>
      </w:r>
      <w:r>
        <w:rPr>
          <w:rFonts w:hint="eastAsia" w:asciiTheme="minorEastAsia" w:hAnsiTheme="minorEastAsia" w:eastAsiaTheme="minorEastAsia" w:cstheme="minorEastAsia"/>
          <w:color w:val="auto"/>
          <w:szCs w:val="21"/>
          <w:highlight w:val="none"/>
          <w:lang w:val="en-US" w:eastAsia="zh-CN"/>
        </w:rPr>
        <w:t>在</w:t>
      </w:r>
      <w:r>
        <w:rPr>
          <w:rFonts w:hint="eastAsia" w:asciiTheme="minorEastAsia" w:hAnsiTheme="minorEastAsia" w:eastAsiaTheme="minorEastAsia" w:cstheme="minorEastAsia"/>
          <w:color w:val="auto"/>
          <w:szCs w:val="21"/>
          <w:highlight w:val="none"/>
        </w:rPr>
        <w:t>“政采云”平台</w:t>
      </w:r>
      <w:r>
        <w:rPr>
          <w:rFonts w:hint="eastAsia" w:asciiTheme="minorEastAsia" w:hAnsiTheme="minorEastAsia" w:eastAsiaTheme="minorEastAsia" w:cstheme="minorEastAsia"/>
          <w:color w:val="auto"/>
          <w:szCs w:val="21"/>
          <w:highlight w:val="none"/>
          <w:lang w:val="en-US" w:eastAsia="zh-CN"/>
        </w:rPr>
        <w:t>上传</w:t>
      </w:r>
      <w:r>
        <w:rPr>
          <w:rFonts w:hint="eastAsia" w:asciiTheme="minorEastAsia" w:hAnsiTheme="minorEastAsia" w:eastAsiaTheme="minorEastAsia" w:cstheme="minorEastAsia"/>
          <w:color w:val="auto"/>
          <w:szCs w:val="21"/>
          <w:highlight w:val="none"/>
        </w:rPr>
        <w:t>制作好的加密的电子响应</w:t>
      </w:r>
      <w:r>
        <w:rPr>
          <w:rFonts w:hint="eastAsia" w:asciiTheme="minorEastAsia" w:hAnsiTheme="minorEastAsia" w:eastAsiaTheme="minorEastAsia" w:cstheme="minorEastAsia"/>
          <w:color w:val="auto"/>
          <w:szCs w:val="21"/>
          <w:highlight w:val="none"/>
          <w:lang w:val="en-US" w:eastAsia="zh-CN"/>
        </w:rPr>
        <w:t>投标</w:t>
      </w:r>
      <w:r>
        <w:rPr>
          <w:rFonts w:hint="eastAsia" w:asciiTheme="minorEastAsia" w:hAnsiTheme="minorEastAsia" w:eastAsiaTheme="minorEastAsia" w:cstheme="minorEastAsia"/>
          <w:color w:val="auto"/>
          <w:szCs w:val="21"/>
          <w:highlight w:val="none"/>
        </w:rPr>
        <w:t>文件。</w:t>
      </w:r>
    </w:p>
    <w:p w14:paraId="566AFD8E">
      <w:pPr>
        <w:pageBreakBefore w:val="0"/>
        <w:tabs>
          <w:tab w:val="left" w:pos="1095"/>
        </w:tabs>
        <w:kinsoku/>
        <w:wordWrap/>
        <w:overflowPunct/>
        <w:topLinePunct w:val="0"/>
        <w:bidi w:val="0"/>
        <w:spacing w:line="480" w:lineRule="exact"/>
        <w:ind w:firstLine="403" w:firstLineChars="192"/>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5.3.</w:t>
      </w:r>
      <w:r>
        <w:rPr>
          <w:rFonts w:hint="eastAsia" w:asciiTheme="minorEastAsia" w:hAnsiTheme="minorEastAsia" w:eastAsiaTheme="minorEastAsia" w:cstheme="minorEastAsia"/>
          <w:color w:val="auto"/>
          <w:szCs w:val="21"/>
          <w:highlight w:val="none"/>
          <w:lang w:val="en-US" w:eastAsia="zh-CN"/>
        </w:rPr>
        <w:t>2</w:t>
      </w:r>
      <w:r>
        <w:rPr>
          <w:rFonts w:hint="eastAsia" w:asciiTheme="minorEastAsia" w:hAnsiTheme="minorEastAsia" w:eastAsiaTheme="minorEastAsia" w:cstheme="minorEastAsia"/>
          <w:color w:val="auto"/>
          <w:szCs w:val="21"/>
          <w:highlight w:val="none"/>
        </w:rPr>
        <w:t xml:space="preserve"> 除投标人须知前附表另有规定外，投标人递交的投标文件不予退还。</w:t>
      </w:r>
    </w:p>
    <w:p w14:paraId="108170F3">
      <w:pPr>
        <w:pageBreakBefore w:val="0"/>
        <w:tabs>
          <w:tab w:val="left" w:pos="1095"/>
        </w:tabs>
        <w:kinsoku/>
        <w:wordWrap/>
        <w:overflowPunct/>
        <w:topLinePunct w:val="0"/>
        <w:bidi w:val="0"/>
        <w:spacing w:line="480" w:lineRule="exact"/>
        <w:ind w:firstLine="403" w:firstLineChars="192"/>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5.3.</w:t>
      </w:r>
      <w:r>
        <w:rPr>
          <w:rFonts w:hint="eastAsia" w:asciiTheme="minorEastAsia" w:hAnsiTheme="minorEastAsia" w:eastAsiaTheme="minorEastAsia" w:cstheme="minorEastAsia"/>
          <w:color w:val="auto"/>
          <w:szCs w:val="21"/>
          <w:highlight w:val="none"/>
          <w:lang w:val="en-US" w:eastAsia="zh-CN"/>
        </w:rPr>
        <w:t>3</w:t>
      </w:r>
      <w:r>
        <w:rPr>
          <w:rFonts w:hint="eastAsia" w:asciiTheme="minorEastAsia" w:hAnsiTheme="minorEastAsia" w:eastAsiaTheme="minorEastAsia" w:cstheme="minorEastAsia"/>
          <w:color w:val="auto"/>
          <w:szCs w:val="21"/>
          <w:highlight w:val="none"/>
        </w:rPr>
        <w:t xml:space="preserve"> 未在响应文件递交截止时间前完成上传的电子响应文件视为逾期送达，逾期上传或未按规定方式上传的电子响应文件，采购单位不予受理。供应商在使用系统进行投标的过程中遇到涉及平台使用的任何问题，可致电政采云平台技术支持热线咨询，联系方式：95763。</w:t>
      </w:r>
    </w:p>
    <w:p w14:paraId="65BE1FB8">
      <w:pPr>
        <w:pageBreakBefore w:val="0"/>
        <w:tabs>
          <w:tab w:val="left" w:pos="1095"/>
        </w:tabs>
        <w:kinsoku/>
        <w:wordWrap/>
        <w:overflowPunct/>
        <w:topLinePunct w:val="0"/>
        <w:bidi w:val="0"/>
        <w:spacing w:line="480" w:lineRule="exact"/>
        <w:ind w:firstLine="403" w:firstLineChars="192"/>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5.3.</w:t>
      </w:r>
      <w:r>
        <w:rPr>
          <w:rFonts w:hint="eastAsia" w:asciiTheme="minorEastAsia" w:hAnsiTheme="minorEastAsia" w:eastAsiaTheme="minorEastAsia" w:cstheme="minorEastAsia"/>
          <w:color w:val="auto"/>
          <w:szCs w:val="21"/>
          <w:highlight w:val="none"/>
          <w:lang w:val="en-US" w:eastAsia="zh-CN"/>
        </w:rPr>
        <w:t>4</w:t>
      </w:r>
      <w:r>
        <w:rPr>
          <w:rFonts w:hint="eastAsia" w:asciiTheme="minorEastAsia" w:hAnsiTheme="minorEastAsia" w:eastAsiaTheme="minorEastAsia" w:cstheme="minorEastAsia"/>
          <w:color w:val="auto"/>
          <w:szCs w:val="21"/>
          <w:highlight w:val="none"/>
        </w:rPr>
        <w:t xml:space="preserve"> 本项目实行网上投标，采用电子响应文件。若供应商参与投标，自行承担投标一切费用。</w:t>
      </w:r>
    </w:p>
    <w:p w14:paraId="2C653F29">
      <w:pPr>
        <w:pageBreakBefore w:val="0"/>
        <w:tabs>
          <w:tab w:val="left" w:pos="1095"/>
        </w:tabs>
        <w:kinsoku/>
        <w:wordWrap/>
        <w:overflowPunct/>
        <w:topLinePunct w:val="0"/>
        <w:bidi w:val="0"/>
        <w:spacing w:line="480" w:lineRule="exact"/>
        <w:ind w:firstLine="403" w:firstLineChars="192"/>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lang w:val="en-US" w:eastAsia="zh-CN"/>
        </w:rPr>
        <w:t xml:space="preserve">5.3.5 </w:t>
      </w:r>
      <w:r>
        <w:rPr>
          <w:rFonts w:hint="eastAsia" w:asciiTheme="minorEastAsia" w:hAnsiTheme="minorEastAsia" w:eastAsiaTheme="minorEastAsia" w:cstheme="minorEastAsia"/>
          <w:color w:val="auto"/>
          <w:szCs w:val="21"/>
          <w:highlight w:val="none"/>
        </w:rPr>
        <w:t>各供应商应在开标前应确保成为新疆政府采购网正式注册入库供应商，并完成CA数字证书申领。因未注册入库、未办理CA数字证书等原因造成无法投标或投标失败等后果由供应商自行承担。建议于公开投标响应文件递交截止时间前1个工作日完成公开投标响应文件的制作与上传。</w:t>
      </w:r>
    </w:p>
    <w:p w14:paraId="3E263BC5">
      <w:pPr>
        <w:pageBreakBefore w:val="0"/>
        <w:tabs>
          <w:tab w:val="left" w:pos="1095"/>
        </w:tabs>
        <w:kinsoku/>
        <w:wordWrap/>
        <w:overflowPunct/>
        <w:topLinePunct w:val="0"/>
        <w:bidi w:val="0"/>
        <w:spacing w:line="480" w:lineRule="exact"/>
        <w:textAlignment w:val="auto"/>
        <w:rPr>
          <w:rFonts w:hint="eastAsia" w:asciiTheme="minorEastAsia" w:hAnsiTheme="minorEastAsia" w:eastAsiaTheme="minorEastAsia" w:cstheme="minorEastAsia"/>
          <w:b/>
          <w:bCs/>
          <w:color w:val="auto"/>
          <w:sz w:val="30"/>
          <w:szCs w:val="30"/>
          <w:highlight w:val="none"/>
        </w:rPr>
      </w:pPr>
      <w:bookmarkStart w:id="150" w:name="_Toc183682365"/>
      <w:bookmarkStart w:id="151" w:name="_Toc183582228"/>
      <w:bookmarkStart w:id="152" w:name="_Toc217446055"/>
      <w:r>
        <w:rPr>
          <w:rFonts w:hint="eastAsia" w:asciiTheme="minorEastAsia" w:hAnsiTheme="minorEastAsia" w:eastAsiaTheme="minorEastAsia" w:cstheme="minorEastAsia"/>
          <w:b/>
          <w:bCs/>
          <w:color w:val="auto"/>
          <w:sz w:val="30"/>
          <w:szCs w:val="30"/>
          <w:highlight w:val="none"/>
        </w:rPr>
        <w:t>5.4 投标文件的修改和撤</w:t>
      </w:r>
      <w:bookmarkEnd w:id="150"/>
      <w:bookmarkEnd w:id="151"/>
      <w:r>
        <w:rPr>
          <w:rFonts w:hint="eastAsia" w:asciiTheme="minorEastAsia" w:hAnsiTheme="minorEastAsia" w:eastAsiaTheme="minorEastAsia" w:cstheme="minorEastAsia"/>
          <w:b/>
          <w:bCs/>
          <w:color w:val="auto"/>
          <w:sz w:val="30"/>
          <w:szCs w:val="30"/>
          <w:highlight w:val="none"/>
        </w:rPr>
        <w:t>回</w:t>
      </w:r>
      <w:bookmarkEnd w:id="152"/>
    </w:p>
    <w:p w14:paraId="00B9D5A5">
      <w:pPr>
        <w:pageBreakBefore w:val="0"/>
        <w:kinsoku/>
        <w:wordWrap/>
        <w:overflowPunct/>
        <w:topLinePunct w:val="0"/>
        <w:bidi w:val="0"/>
        <w:spacing w:line="480" w:lineRule="exact"/>
        <w:ind w:firstLine="411" w:firstLineChars="196"/>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5.4.1 在本章第5.3.1项规定的投标截止时间前，投标人可以修改或撤回已递交的投标文件，但应以书面形式或政采云平台通知采购代理机构。</w:t>
      </w:r>
    </w:p>
    <w:p w14:paraId="76BA1218">
      <w:pPr>
        <w:pageBreakBefore w:val="0"/>
        <w:kinsoku/>
        <w:wordWrap/>
        <w:overflowPunct/>
        <w:topLinePunct w:val="0"/>
        <w:bidi w:val="0"/>
        <w:spacing w:line="480" w:lineRule="exact"/>
        <w:ind w:firstLine="411" w:firstLineChars="196"/>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5.4.2 投标人的修改或撤回通知书，应由其法定代表人或委托代理人签署并盖单位章。“修改文件”作为投标文件的组成部分。</w:t>
      </w:r>
    </w:p>
    <w:p w14:paraId="121E2277">
      <w:pPr>
        <w:pageBreakBefore w:val="0"/>
        <w:kinsoku/>
        <w:wordWrap/>
        <w:overflowPunct/>
        <w:topLinePunct w:val="0"/>
        <w:bidi w:val="0"/>
        <w:spacing w:line="480" w:lineRule="exact"/>
        <w:ind w:firstLine="411" w:firstLineChars="196"/>
        <w:textAlignment w:val="auto"/>
        <w:rPr>
          <w:rFonts w:hint="eastAsia" w:asciiTheme="minorEastAsia" w:hAnsiTheme="minorEastAsia" w:eastAsiaTheme="minorEastAsia" w:cstheme="minorEastAsia"/>
          <w:color w:val="auto"/>
          <w:szCs w:val="21"/>
          <w:highlight w:val="none"/>
        </w:rPr>
      </w:pPr>
      <w:bookmarkStart w:id="153" w:name="_Toc183582231"/>
      <w:bookmarkStart w:id="154" w:name="_Toc217446056"/>
      <w:bookmarkStart w:id="155" w:name="_Toc183682368"/>
      <w:bookmarkStart w:id="156" w:name="_Toc89075878"/>
      <w:bookmarkStart w:id="157" w:name="_Toc77400782"/>
      <w:r>
        <w:rPr>
          <w:rFonts w:hint="eastAsia" w:asciiTheme="minorEastAsia" w:hAnsiTheme="minorEastAsia" w:eastAsiaTheme="minorEastAsia" w:cstheme="minorEastAsia"/>
          <w:color w:val="auto"/>
          <w:szCs w:val="21"/>
          <w:highlight w:val="none"/>
        </w:rPr>
        <w:t>5.4.3 投标人撤回投标文件的，采购代理机构自收到投标人书面撤回通知之日起5个工作日内退还已收取的投标保证金。</w:t>
      </w:r>
    </w:p>
    <w:p w14:paraId="6F7694CB">
      <w:pPr>
        <w:pageBreakBefore w:val="0"/>
        <w:kinsoku/>
        <w:wordWrap/>
        <w:overflowPunct/>
        <w:topLinePunct w:val="0"/>
        <w:bidi w:val="0"/>
        <w:spacing w:line="480" w:lineRule="exact"/>
        <w:ind w:firstLine="411" w:firstLineChars="196"/>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5.4.5 在投标截止时间之后，投标人不得对其递交的投标文件做任何修改或撤销投标。</w:t>
      </w:r>
    </w:p>
    <w:p w14:paraId="1BD2FA78">
      <w:pPr>
        <w:pStyle w:val="4"/>
        <w:pageBreakBefore w:val="0"/>
        <w:kinsoku/>
        <w:wordWrap/>
        <w:overflowPunct/>
        <w:topLinePunct w:val="0"/>
        <w:bidi w:val="0"/>
        <w:spacing w:before="240" w:beforeLines="100" w:after="120" w:afterLines="50" w:line="480" w:lineRule="exact"/>
        <w:ind w:firstLine="0"/>
        <w:jc w:val="center"/>
        <w:textAlignment w:val="auto"/>
        <w:outlineLvl w:val="1"/>
        <w:rPr>
          <w:rFonts w:hint="eastAsia" w:asciiTheme="minorEastAsia" w:hAnsiTheme="minorEastAsia" w:eastAsiaTheme="minorEastAsia" w:cstheme="minorEastAsia"/>
          <w:b/>
          <w:color w:val="auto"/>
          <w:sz w:val="36"/>
          <w:szCs w:val="36"/>
          <w:highlight w:val="none"/>
        </w:rPr>
      </w:pPr>
      <w:bookmarkStart w:id="158" w:name="_Toc6496"/>
      <w:r>
        <w:rPr>
          <w:rFonts w:hint="eastAsia" w:asciiTheme="minorEastAsia" w:hAnsiTheme="minorEastAsia" w:eastAsiaTheme="minorEastAsia" w:cstheme="minorEastAsia"/>
          <w:b/>
          <w:color w:val="auto"/>
          <w:sz w:val="36"/>
          <w:szCs w:val="36"/>
          <w:highlight w:val="none"/>
        </w:rPr>
        <w:t>6.开标</w:t>
      </w:r>
      <w:bookmarkEnd w:id="153"/>
      <w:bookmarkEnd w:id="154"/>
      <w:bookmarkEnd w:id="155"/>
      <w:bookmarkEnd w:id="156"/>
      <w:bookmarkEnd w:id="157"/>
      <w:bookmarkEnd w:id="158"/>
    </w:p>
    <w:p w14:paraId="40F41D3E">
      <w:pPr>
        <w:pageBreakBefore w:val="0"/>
        <w:tabs>
          <w:tab w:val="left" w:pos="1095"/>
        </w:tabs>
        <w:kinsoku/>
        <w:wordWrap/>
        <w:overflowPunct/>
        <w:topLinePunct w:val="0"/>
        <w:bidi w:val="0"/>
        <w:spacing w:line="480" w:lineRule="exact"/>
        <w:textAlignment w:val="auto"/>
        <w:rPr>
          <w:rFonts w:hint="eastAsia" w:asciiTheme="minorEastAsia" w:hAnsiTheme="minorEastAsia" w:eastAsiaTheme="minorEastAsia" w:cstheme="minorEastAsia"/>
          <w:b/>
          <w:bCs/>
          <w:color w:val="auto"/>
          <w:sz w:val="30"/>
          <w:szCs w:val="30"/>
          <w:highlight w:val="none"/>
        </w:rPr>
      </w:pPr>
      <w:r>
        <w:rPr>
          <w:rFonts w:hint="eastAsia" w:asciiTheme="minorEastAsia" w:hAnsiTheme="minorEastAsia" w:eastAsiaTheme="minorEastAsia" w:cstheme="minorEastAsia"/>
          <w:b/>
          <w:bCs/>
          <w:color w:val="auto"/>
          <w:sz w:val="30"/>
          <w:szCs w:val="30"/>
          <w:highlight w:val="none"/>
        </w:rPr>
        <w:t>6.1开标时间和地点</w:t>
      </w:r>
    </w:p>
    <w:p w14:paraId="63A60320">
      <w:pPr>
        <w:pageBreakBefore w:val="0"/>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6.1.1 采购代理机构在投标人须知前附表中规定的投标截止时间（开标时间）和地点公开开标，并邀请采购人派代表准时参加并签到以证明其出席。</w:t>
      </w:r>
    </w:p>
    <w:p w14:paraId="32E1DAF6">
      <w:pPr>
        <w:pageBreakBefore w:val="0"/>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b/>
          <w:bCs/>
          <w:color w:val="auto"/>
          <w:szCs w:val="21"/>
          <w:highlight w:val="none"/>
        </w:rPr>
      </w:pPr>
      <w:r>
        <w:rPr>
          <w:rFonts w:hint="eastAsia" w:asciiTheme="minorEastAsia" w:hAnsiTheme="minorEastAsia" w:eastAsiaTheme="minorEastAsia" w:cstheme="minorEastAsia"/>
          <w:color w:val="auto"/>
          <w:szCs w:val="21"/>
          <w:highlight w:val="none"/>
        </w:rPr>
        <w:t>6.1.2 投标人未参加开标的，视同认可开标结果。</w:t>
      </w:r>
    </w:p>
    <w:p w14:paraId="4DB66481">
      <w:pPr>
        <w:pageBreakBefore w:val="0"/>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6.1.3 开标时，采购代理机构邀请有关监督管理机构对开标进行现场监督。</w:t>
      </w:r>
      <w:bookmarkStart w:id="159" w:name="_Toc217446058"/>
    </w:p>
    <w:p w14:paraId="57880B45">
      <w:pPr>
        <w:pageBreakBefore w:val="0"/>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6.1.4 投标人不足3家的，不得开标。</w:t>
      </w:r>
    </w:p>
    <w:p w14:paraId="653D495F">
      <w:pPr>
        <w:pageBreakBefore w:val="0"/>
        <w:kinsoku/>
        <w:wordWrap/>
        <w:overflowPunct/>
        <w:topLinePunct w:val="0"/>
        <w:bidi w:val="0"/>
        <w:spacing w:before="120" w:beforeLines="50" w:after="120" w:afterLines="50" w:line="480" w:lineRule="exact"/>
        <w:textAlignment w:val="auto"/>
        <w:rPr>
          <w:rFonts w:hint="eastAsia" w:asciiTheme="minorEastAsia" w:hAnsiTheme="minorEastAsia" w:eastAsiaTheme="minorEastAsia" w:cstheme="minorEastAsia"/>
          <w:b/>
          <w:color w:val="auto"/>
          <w:sz w:val="30"/>
          <w:szCs w:val="30"/>
          <w:highlight w:val="none"/>
        </w:rPr>
      </w:pPr>
      <w:r>
        <w:rPr>
          <w:rFonts w:hint="eastAsia" w:asciiTheme="minorEastAsia" w:hAnsiTheme="minorEastAsia" w:eastAsiaTheme="minorEastAsia" w:cstheme="minorEastAsia"/>
          <w:b/>
          <w:color w:val="auto"/>
          <w:sz w:val="30"/>
          <w:szCs w:val="30"/>
          <w:highlight w:val="none"/>
        </w:rPr>
        <w:t>6.2 开标程序</w:t>
      </w:r>
      <w:bookmarkEnd w:id="159"/>
    </w:p>
    <w:p w14:paraId="52B6A690">
      <w:pPr>
        <w:pStyle w:val="18"/>
        <w:pageBreakBefore w:val="0"/>
        <w:kinsoku/>
        <w:wordWrap/>
        <w:overflowPunct/>
        <w:topLinePunct w:val="0"/>
        <w:bidi w:val="0"/>
        <w:spacing w:line="480" w:lineRule="exact"/>
        <w:ind w:firstLine="42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6.2.1 开标由采购代理机构主持。主持人按照招标文件规定的开标时间宣布开标，并按下列程序进行（但不限于）：</w:t>
      </w:r>
    </w:p>
    <w:p w14:paraId="2D8E8481">
      <w:pPr>
        <w:pageBreakBefore w:val="0"/>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（1）宣布开标开始和开启录音录像设备并致辞；</w:t>
      </w:r>
    </w:p>
    <w:p w14:paraId="62058258">
      <w:pPr>
        <w:pageBreakBefore w:val="0"/>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（2）宣布开标纪律和有关注意事项；</w:t>
      </w:r>
    </w:p>
    <w:p w14:paraId="65E584CA">
      <w:pPr>
        <w:pageBreakBefore w:val="0"/>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（3）公布在投标截止时间前递交投标文件的投标人名称；</w:t>
      </w:r>
    </w:p>
    <w:p w14:paraId="45305D27">
      <w:pPr>
        <w:pageBreakBefore w:val="0"/>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（4）宣布开标人、唱标人、监标人、记录人等有关工作人员和现场监督人员姓名；</w:t>
      </w:r>
    </w:p>
    <w:p w14:paraId="1563284B">
      <w:pPr>
        <w:pageBreakBefore w:val="0"/>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6）开标唱标：主持人宣布开标后，由唱标人对其中“开标一览表”的采购项目编号、投标人名称、投标总价、合同履行期限等内容进行宣读并做开标记录；所有投标唱标完毕，无异议后，由投标人法定代表人或委托代理人及监督管理机构代表签字确认唱标内容；</w:t>
      </w:r>
    </w:p>
    <w:p w14:paraId="0D295B05">
      <w:pPr>
        <w:pageBreakBefore w:val="0"/>
        <w:kinsoku/>
        <w:wordWrap/>
        <w:overflowPunct/>
        <w:topLinePunct w:val="0"/>
        <w:bidi w:val="0"/>
        <w:spacing w:line="480" w:lineRule="exact"/>
        <w:ind w:firstLine="525" w:firstLineChars="25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（7）宣布开标结束：主持人宣布开标结束后，所有投标人应保持通讯设备的畅通，以方便在评标过程中评标委员会要求投标人对投标文件的必要澄清。</w:t>
      </w:r>
    </w:p>
    <w:p w14:paraId="1AE0976A">
      <w:pPr>
        <w:pageBreakBefore w:val="0"/>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bookmarkStart w:id="160" w:name="_Toc217446059"/>
      <w:r>
        <w:rPr>
          <w:rFonts w:hint="eastAsia" w:asciiTheme="minorEastAsia" w:hAnsiTheme="minorEastAsia" w:eastAsiaTheme="minorEastAsia" w:cstheme="minorEastAsia"/>
          <w:color w:val="auto"/>
          <w:szCs w:val="21"/>
          <w:highlight w:val="none"/>
        </w:rPr>
        <w:t>6.2.2 检查投标文件密封情况是指，由投标人或者其推选的代表检查其自己递交的投标文件的密封情况，经检查无误后，签字确认。</w:t>
      </w:r>
    </w:p>
    <w:p w14:paraId="5D2154CC">
      <w:pPr>
        <w:pageBreakBefore w:val="0"/>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6.2.3 投标人对开标过程和开标记录有疑义，以及认为采购人、采购代理机构相关工作人员有需要回避情形的，应当场提出询问或者回避申请。采购人、采购代理机构对投标人代表提出的询问或者回避申请应当及时处理，并制作记录。</w:t>
      </w:r>
    </w:p>
    <w:p w14:paraId="4AB5AAA1">
      <w:pPr>
        <w:pageBreakBefore w:val="0"/>
        <w:kinsoku/>
        <w:wordWrap/>
        <w:overflowPunct/>
        <w:topLinePunct w:val="0"/>
        <w:bidi w:val="0"/>
        <w:spacing w:before="240" w:beforeLines="100" w:after="120" w:afterLines="50" w:line="480" w:lineRule="exact"/>
        <w:jc w:val="center"/>
        <w:textAlignment w:val="auto"/>
        <w:outlineLvl w:val="1"/>
        <w:rPr>
          <w:rFonts w:hint="eastAsia" w:asciiTheme="minorEastAsia" w:hAnsiTheme="minorEastAsia" w:eastAsiaTheme="minorEastAsia" w:cstheme="minorEastAsia"/>
          <w:b/>
          <w:color w:val="auto"/>
          <w:sz w:val="36"/>
          <w:szCs w:val="36"/>
          <w:highlight w:val="none"/>
        </w:rPr>
      </w:pPr>
      <w:bookmarkStart w:id="161" w:name="_Toc916"/>
      <w:r>
        <w:rPr>
          <w:rFonts w:hint="eastAsia" w:asciiTheme="minorEastAsia" w:hAnsiTheme="minorEastAsia" w:eastAsiaTheme="minorEastAsia" w:cstheme="minorEastAsia"/>
          <w:b/>
          <w:color w:val="auto"/>
          <w:sz w:val="36"/>
          <w:szCs w:val="36"/>
          <w:highlight w:val="none"/>
        </w:rPr>
        <w:t>7.投标人资格审查</w:t>
      </w:r>
      <w:bookmarkEnd w:id="161"/>
    </w:p>
    <w:p w14:paraId="599C5BF4">
      <w:pPr>
        <w:pageBreakBefore w:val="0"/>
        <w:kinsoku/>
        <w:wordWrap/>
        <w:overflowPunct/>
        <w:topLinePunct w:val="0"/>
        <w:bidi w:val="0"/>
        <w:spacing w:after="120" w:afterLines="50" w:line="480" w:lineRule="exact"/>
        <w:textAlignment w:val="auto"/>
        <w:rPr>
          <w:rFonts w:hint="eastAsia" w:asciiTheme="minorEastAsia" w:hAnsiTheme="minorEastAsia" w:eastAsiaTheme="minorEastAsia" w:cstheme="minorEastAsia"/>
          <w:b/>
          <w:color w:val="auto"/>
          <w:sz w:val="30"/>
          <w:szCs w:val="30"/>
          <w:highlight w:val="none"/>
        </w:rPr>
      </w:pPr>
      <w:r>
        <w:rPr>
          <w:rFonts w:hint="eastAsia" w:asciiTheme="minorEastAsia" w:hAnsiTheme="minorEastAsia" w:eastAsiaTheme="minorEastAsia" w:cstheme="minorEastAsia"/>
          <w:b/>
          <w:color w:val="auto"/>
          <w:sz w:val="30"/>
          <w:szCs w:val="30"/>
          <w:highlight w:val="none"/>
        </w:rPr>
        <w:t>7.1 资格审查小组</w:t>
      </w:r>
    </w:p>
    <w:p w14:paraId="6EF371D6">
      <w:pPr>
        <w:pageBreakBefore w:val="0"/>
        <w:kinsoku/>
        <w:wordWrap/>
        <w:overflowPunct/>
        <w:topLinePunct w:val="0"/>
        <w:bidi w:val="0"/>
        <w:spacing w:line="480" w:lineRule="exact"/>
        <w:ind w:firstLine="310" w:firstLineChars="147"/>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b/>
          <w:color w:val="auto"/>
          <w:szCs w:val="21"/>
          <w:highlight w:val="none"/>
        </w:rPr>
        <w:t xml:space="preserve"> </w:t>
      </w:r>
      <w:r>
        <w:rPr>
          <w:rFonts w:hint="eastAsia" w:asciiTheme="minorEastAsia" w:hAnsiTheme="minorEastAsia" w:eastAsiaTheme="minorEastAsia" w:cstheme="minorEastAsia"/>
          <w:color w:val="auto"/>
          <w:szCs w:val="21"/>
          <w:highlight w:val="none"/>
        </w:rPr>
        <w:t>7.1.1 采购人依法对投标人的资格进行审查。</w:t>
      </w:r>
    </w:p>
    <w:p w14:paraId="247FF7A2">
      <w:pPr>
        <w:pageBreakBefore w:val="0"/>
        <w:tabs>
          <w:tab w:val="left" w:pos="0"/>
        </w:tabs>
        <w:kinsoku/>
        <w:wordWrap/>
        <w:overflowPunct/>
        <w:topLinePunct w:val="0"/>
        <w:bidi w:val="0"/>
        <w:adjustRightInd w:val="0"/>
        <w:snapToGrid w:val="0"/>
        <w:spacing w:line="480" w:lineRule="exact"/>
        <w:ind w:firstLine="411" w:firstLineChars="196"/>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7.1.2 资格审查小组，由采购人完成。</w:t>
      </w:r>
    </w:p>
    <w:p w14:paraId="22E21DD0">
      <w:pPr>
        <w:pageBreakBefore w:val="0"/>
        <w:tabs>
          <w:tab w:val="left" w:pos="0"/>
        </w:tabs>
        <w:kinsoku/>
        <w:wordWrap/>
        <w:overflowPunct/>
        <w:topLinePunct w:val="0"/>
        <w:bidi w:val="0"/>
        <w:adjustRightInd w:val="0"/>
        <w:snapToGrid w:val="0"/>
        <w:spacing w:before="120" w:beforeLines="50" w:after="120" w:afterLines="50" w:line="480" w:lineRule="exact"/>
        <w:textAlignment w:val="auto"/>
        <w:rPr>
          <w:rFonts w:hint="eastAsia" w:asciiTheme="minorEastAsia" w:hAnsiTheme="minorEastAsia" w:eastAsiaTheme="minorEastAsia" w:cstheme="minorEastAsia"/>
          <w:b/>
          <w:color w:val="auto"/>
          <w:sz w:val="30"/>
          <w:szCs w:val="30"/>
          <w:highlight w:val="none"/>
        </w:rPr>
      </w:pPr>
      <w:r>
        <w:rPr>
          <w:rFonts w:hint="eastAsia" w:asciiTheme="minorEastAsia" w:hAnsiTheme="minorEastAsia" w:eastAsiaTheme="minorEastAsia" w:cstheme="minorEastAsia"/>
          <w:b/>
          <w:color w:val="auto"/>
          <w:sz w:val="30"/>
          <w:szCs w:val="30"/>
          <w:highlight w:val="none"/>
        </w:rPr>
        <w:t>7.2 资格审查办法</w:t>
      </w:r>
    </w:p>
    <w:p w14:paraId="64AD8CE6">
      <w:pPr>
        <w:pageBreakBefore w:val="0"/>
        <w:tabs>
          <w:tab w:val="left" w:pos="0"/>
        </w:tabs>
        <w:kinsoku/>
        <w:wordWrap/>
        <w:overflowPunct/>
        <w:topLinePunct w:val="0"/>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7.2.1 资格审查在开标结束之后评标开始之前进行。</w:t>
      </w:r>
    </w:p>
    <w:p w14:paraId="747D5AAA">
      <w:pPr>
        <w:pageBreakBefore w:val="0"/>
        <w:tabs>
          <w:tab w:val="left" w:pos="0"/>
        </w:tabs>
        <w:kinsoku/>
        <w:wordWrap/>
        <w:overflowPunct/>
        <w:topLinePunct w:val="0"/>
        <w:bidi w:val="0"/>
        <w:adjustRightInd w:val="0"/>
        <w:snapToGrid w:val="0"/>
        <w:spacing w:line="480" w:lineRule="exact"/>
        <w:ind w:firstLine="411" w:firstLineChars="196"/>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szCs w:val="21"/>
          <w:highlight w:val="none"/>
        </w:rPr>
        <w:t>7.2.2 资格审查小组将依据投标人投标文件之资格审查部分文件，按照本章第3.1.1项所述资格要求对投标人进行资格审查，以确定其是否具备相应资格。</w:t>
      </w:r>
      <w:r>
        <w:rPr>
          <w:rFonts w:hint="eastAsia" w:asciiTheme="minorEastAsia" w:hAnsiTheme="minorEastAsia" w:eastAsiaTheme="minorEastAsia" w:cstheme="minorEastAsia"/>
          <w:color w:val="auto"/>
          <w:kern w:val="0"/>
          <w:szCs w:val="21"/>
          <w:highlight w:val="none"/>
        </w:rPr>
        <w:t>如果投标人不具备资格、不满足招标文件所规定的资格条件,将被视为未实质性响应招标文件,按无效投标处理。</w:t>
      </w:r>
    </w:p>
    <w:p w14:paraId="434558C1">
      <w:pPr>
        <w:pageBreakBefore w:val="0"/>
        <w:tabs>
          <w:tab w:val="left" w:pos="0"/>
        </w:tabs>
        <w:kinsoku/>
        <w:wordWrap/>
        <w:overflowPunct/>
        <w:topLinePunct w:val="0"/>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7.2.3 信用信息查询时间</w:t>
      </w:r>
      <w:r>
        <w:rPr>
          <w:rFonts w:hint="eastAsia" w:asciiTheme="minorEastAsia" w:hAnsiTheme="minorEastAsia" w:eastAsiaTheme="minorEastAsia" w:cstheme="minorEastAsia"/>
          <w:color w:val="auto"/>
          <w:kern w:val="0"/>
          <w:szCs w:val="21"/>
          <w:highlight w:val="none"/>
          <w:lang w:eastAsia="zh-CN"/>
        </w:rPr>
        <w:t>截止</w:t>
      </w:r>
      <w:r>
        <w:rPr>
          <w:rFonts w:hint="eastAsia" w:asciiTheme="minorEastAsia" w:hAnsiTheme="minorEastAsia" w:eastAsiaTheme="minorEastAsia" w:cstheme="minorEastAsia"/>
          <w:color w:val="auto"/>
          <w:kern w:val="0"/>
          <w:szCs w:val="21"/>
          <w:highlight w:val="none"/>
        </w:rPr>
        <w:t>时点，见投标人须知前附表，其查询结果在投标人限制性资格条件审查时使用。</w:t>
      </w:r>
    </w:p>
    <w:p w14:paraId="639CBF04">
      <w:pPr>
        <w:pageBreakBefore w:val="0"/>
        <w:tabs>
          <w:tab w:val="left" w:pos="0"/>
        </w:tabs>
        <w:kinsoku/>
        <w:wordWrap/>
        <w:overflowPunct/>
        <w:topLinePunct w:val="0"/>
        <w:bidi w:val="0"/>
        <w:adjustRightInd w:val="0"/>
        <w:snapToGrid w:val="0"/>
        <w:spacing w:line="480" w:lineRule="exact"/>
        <w:ind w:firstLine="411" w:firstLineChars="196"/>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7.2.4 资格审查小组按下列程序进行资格审查：</w:t>
      </w:r>
    </w:p>
    <w:p w14:paraId="39815213">
      <w:pPr>
        <w:pageBreakBefore w:val="0"/>
        <w:tabs>
          <w:tab w:val="left" w:pos="0"/>
        </w:tabs>
        <w:kinsoku/>
        <w:wordWrap/>
        <w:overflowPunct/>
        <w:topLinePunct w:val="0"/>
        <w:bidi w:val="0"/>
        <w:adjustRightInd w:val="0"/>
        <w:snapToGrid w:val="0"/>
        <w:spacing w:line="480" w:lineRule="exact"/>
        <w:ind w:firstLine="514" w:firstLineChars="245"/>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（1）投标人基本资格条件审查；</w:t>
      </w:r>
    </w:p>
    <w:p w14:paraId="3A530FEB">
      <w:pPr>
        <w:pageBreakBefore w:val="0"/>
        <w:tabs>
          <w:tab w:val="left" w:pos="0"/>
        </w:tabs>
        <w:kinsoku/>
        <w:wordWrap/>
        <w:overflowPunct/>
        <w:topLinePunct w:val="0"/>
        <w:bidi w:val="0"/>
        <w:adjustRightInd w:val="0"/>
        <w:snapToGrid w:val="0"/>
        <w:spacing w:line="480" w:lineRule="exact"/>
        <w:ind w:firstLine="514" w:firstLineChars="245"/>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（2）投标人限制性资格条件审查；</w:t>
      </w:r>
    </w:p>
    <w:p w14:paraId="7EC2A721">
      <w:pPr>
        <w:pageBreakBefore w:val="0"/>
        <w:tabs>
          <w:tab w:val="left" w:pos="0"/>
        </w:tabs>
        <w:kinsoku/>
        <w:wordWrap/>
        <w:overflowPunct/>
        <w:topLinePunct w:val="0"/>
        <w:bidi w:val="0"/>
        <w:adjustRightInd w:val="0"/>
        <w:snapToGrid w:val="0"/>
        <w:spacing w:line="480" w:lineRule="exact"/>
        <w:ind w:firstLine="514" w:firstLineChars="245"/>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（3）编写投标人资格审查报告。</w:t>
      </w:r>
    </w:p>
    <w:p w14:paraId="0F403501">
      <w:pPr>
        <w:pageBreakBefore w:val="0"/>
        <w:tabs>
          <w:tab w:val="left" w:pos="0"/>
        </w:tabs>
        <w:kinsoku/>
        <w:wordWrap/>
        <w:overflowPunct/>
        <w:topLinePunct w:val="0"/>
        <w:bidi w:val="0"/>
        <w:adjustRightInd w:val="0"/>
        <w:snapToGrid w:val="0"/>
        <w:spacing w:line="480" w:lineRule="exact"/>
        <w:ind w:firstLine="426" w:firstLineChars="202"/>
        <w:textAlignment w:val="auto"/>
        <w:rPr>
          <w:rFonts w:hint="eastAsia" w:asciiTheme="minorEastAsia" w:hAnsiTheme="minorEastAsia" w:eastAsiaTheme="minorEastAsia" w:cstheme="minorEastAsia"/>
          <w:b/>
          <w:color w:val="auto"/>
          <w:kern w:val="0"/>
          <w:szCs w:val="21"/>
          <w:highlight w:val="none"/>
        </w:rPr>
      </w:pPr>
      <w:r>
        <w:rPr>
          <w:rFonts w:hint="eastAsia" w:asciiTheme="minorEastAsia" w:hAnsiTheme="minorEastAsia" w:eastAsiaTheme="minorEastAsia" w:cstheme="minorEastAsia"/>
          <w:b/>
          <w:color w:val="auto"/>
          <w:kern w:val="0"/>
          <w:szCs w:val="21"/>
          <w:highlight w:val="none"/>
        </w:rPr>
        <w:t>7.2.5 投标人基本资格条件的审查</w:t>
      </w:r>
    </w:p>
    <w:p w14:paraId="759811D0">
      <w:pPr>
        <w:pageBreakBefore w:val="0"/>
        <w:tabs>
          <w:tab w:val="left" w:pos="0"/>
        </w:tabs>
        <w:kinsoku/>
        <w:wordWrap/>
        <w:overflowPunct/>
        <w:topLinePunct w:val="0"/>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7.2.5.1 审查方法：</w:t>
      </w:r>
    </w:p>
    <w:p w14:paraId="1D09A0A3">
      <w:pPr>
        <w:pageBreakBefore w:val="0"/>
        <w:tabs>
          <w:tab w:val="left" w:pos="0"/>
        </w:tabs>
        <w:kinsoku/>
        <w:wordWrap/>
        <w:overflowPunct/>
        <w:topLinePunct w:val="0"/>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单独审查</w:t>
      </w:r>
    </w:p>
    <w:p w14:paraId="0C3D6CDD">
      <w:pPr>
        <w:pageBreakBefore w:val="0"/>
        <w:tabs>
          <w:tab w:val="left" w:pos="0"/>
        </w:tabs>
        <w:kinsoku/>
        <w:wordWrap/>
        <w:overflowPunct/>
        <w:topLinePunct w:val="0"/>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7.2.5.2 审查标准：</w:t>
      </w:r>
    </w:p>
    <w:p w14:paraId="54F80053">
      <w:pPr>
        <w:pageBreakBefore w:val="0"/>
        <w:tabs>
          <w:tab w:val="left" w:pos="0"/>
        </w:tabs>
        <w:kinsoku/>
        <w:wordWrap/>
        <w:overflowPunct/>
        <w:topLinePunct w:val="0"/>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资格审查小组将按下表所列举的审查标准对投标人基本资格条件进行</w:t>
      </w:r>
      <w:r>
        <w:rPr>
          <w:rFonts w:hint="eastAsia" w:asciiTheme="minorEastAsia" w:hAnsiTheme="minorEastAsia" w:eastAsiaTheme="minorEastAsia" w:cstheme="minorEastAsia"/>
          <w:bCs/>
          <w:color w:val="auto"/>
          <w:szCs w:val="21"/>
          <w:highlight w:val="none"/>
        </w:rPr>
        <w:t>审查，投标人若</w:t>
      </w:r>
      <w:r>
        <w:rPr>
          <w:rFonts w:hint="eastAsia" w:asciiTheme="minorEastAsia" w:hAnsiTheme="minorEastAsia" w:eastAsiaTheme="minorEastAsia" w:cstheme="minorEastAsia"/>
          <w:color w:val="auto"/>
          <w:kern w:val="0"/>
          <w:szCs w:val="21"/>
          <w:highlight w:val="none"/>
        </w:rPr>
        <w:t>有一项不合格，即判定其基本资格条件审查结果为不合格，将不具备投标资格，按无效投标处理。</w:t>
      </w:r>
    </w:p>
    <w:tbl>
      <w:tblPr>
        <w:tblStyle w:val="23"/>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2"/>
        <w:gridCol w:w="5345"/>
        <w:gridCol w:w="1876"/>
        <w:gridCol w:w="786"/>
      </w:tblGrid>
      <w:tr w14:paraId="1B104A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782" w:type="dxa"/>
            <w:noWrap w:val="0"/>
            <w:vAlign w:val="center"/>
          </w:tcPr>
          <w:p w14:paraId="2788BF11">
            <w:pPr>
              <w:tabs>
                <w:tab w:val="left" w:pos="0"/>
              </w:tabs>
              <w:adjustRightInd w:val="0"/>
              <w:snapToGrid w:val="0"/>
              <w:jc w:val="center"/>
              <w:rPr>
                <w:rFonts w:hint="eastAsia" w:ascii="宋体" w:hAnsi="宋体" w:eastAsia="宋体" w:cs="宋体"/>
                <w:b/>
                <w:color w:val="auto"/>
                <w:kern w:val="0"/>
                <w:sz w:val="21"/>
                <w:szCs w:val="21"/>
                <w:highlight w:val="none"/>
              </w:rPr>
            </w:pPr>
            <w:r>
              <w:rPr>
                <w:rFonts w:hint="eastAsia" w:ascii="宋体" w:hAnsi="宋体" w:eastAsia="宋体" w:cs="宋体"/>
                <w:b/>
                <w:color w:val="auto"/>
                <w:kern w:val="0"/>
                <w:sz w:val="21"/>
                <w:szCs w:val="21"/>
                <w:highlight w:val="none"/>
              </w:rPr>
              <w:t>序号</w:t>
            </w:r>
          </w:p>
        </w:tc>
        <w:tc>
          <w:tcPr>
            <w:tcW w:w="5345" w:type="dxa"/>
            <w:noWrap w:val="0"/>
            <w:vAlign w:val="center"/>
          </w:tcPr>
          <w:p w14:paraId="77792055">
            <w:pPr>
              <w:tabs>
                <w:tab w:val="left" w:pos="0"/>
              </w:tabs>
              <w:adjustRightInd w:val="0"/>
              <w:snapToGrid w:val="0"/>
              <w:jc w:val="center"/>
              <w:rPr>
                <w:rFonts w:hint="eastAsia" w:ascii="宋体" w:hAnsi="宋体" w:eastAsia="宋体" w:cs="宋体"/>
                <w:b/>
                <w:color w:val="auto"/>
                <w:kern w:val="0"/>
                <w:sz w:val="21"/>
                <w:szCs w:val="21"/>
                <w:highlight w:val="none"/>
              </w:rPr>
            </w:pPr>
            <w:r>
              <w:rPr>
                <w:rFonts w:hint="eastAsia" w:ascii="宋体" w:hAnsi="宋体" w:eastAsia="宋体" w:cs="宋体"/>
                <w:b/>
                <w:color w:val="auto"/>
                <w:kern w:val="0"/>
                <w:sz w:val="21"/>
                <w:szCs w:val="21"/>
                <w:highlight w:val="none"/>
              </w:rPr>
              <w:t>审查因素</w:t>
            </w:r>
          </w:p>
        </w:tc>
        <w:tc>
          <w:tcPr>
            <w:tcW w:w="1876" w:type="dxa"/>
            <w:noWrap w:val="0"/>
            <w:vAlign w:val="center"/>
          </w:tcPr>
          <w:p w14:paraId="4144390B">
            <w:pPr>
              <w:tabs>
                <w:tab w:val="left" w:pos="0"/>
              </w:tabs>
              <w:adjustRightInd w:val="0"/>
              <w:snapToGrid w:val="0"/>
              <w:jc w:val="center"/>
              <w:rPr>
                <w:rFonts w:hint="eastAsia" w:ascii="宋体" w:hAnsi="宋体" w:eastAsia="宋体" w:cs="宋体"/>
                <w:b/>
                <w:color w:val="auto"/>
                <w:kern w:val="0"/>
                <w:sz w:val="21"/>
                <w:szCs w:val="21"/>
                <w:highlight w:val="none"/>
              </w:rPr>
            </w:pPr>
            <w:r>
              <w:rPr>
                <w:rFonts w:hint="eastAsia" w:ascii="宋体" w:hAnsi="宋体" w:eastAsia="宋体" w:cs="宋体"/>
                <w:b/>
                <w:color w:val="auto"/>
                <w:kern w:val="0"/>
                <w:sz w:val="21"/>
                <w:szCs w:val="21"/>
                <w:highlight w:val="none"/>
              </w:rPr>
              <w:t>审查标准</w:t>
            </w:r>
          </w:p>
        </w:tc>
        <w:tc>
          <w:tcPr>
            <w:tcW w:w="786" w:type="dxa"/>
            <w:noWrap w:val="0"/>
            <w:vAlign w:val="center"/>
          </w:tcPr>
          <w:p w14:paraId="7320A8DE">
            <w:pPr>
              <w:tabs>
                <w:tab w:val="left" w:pos="0"/>
              </w:tabs>
              <w:adjustRightInd w:val="0"/>
              <w:snapToGrid w:val="0"/>
              <w:jc w:val="center"/>
              <w:rPr>
                <w:rFonts w:hint="eastAsia" w:ascii="宋体" w:hAnsi="宋体" w:eastAsia="宋体" w:cs="宋体"/>
                <w:b/>
                <w:color w:val="auto"/>
                <w:kern w:val="0"/>
                <w:sz w:val="21"/>
                <w:szCs w:val="21"/>
                <w:highlight w:val="none"/>
              </w:rPr>
            </w:pPr>
            <w:r>
              <w:rPr>
                <w:rFonts w:hint="eastAsia" w:ascii="宋体" w:hAnsi="宋体" w:eastAsia="宋体" w:cs="宋体"/>
                <w:b/>
                <w:color w:val="auto"/>
                <w:kern w:val="0"/>
                <w:sz w:val="21"/>
                <w:szCs w:val="21"/>
                <w:highlight w:val="none"/>
              </w:rPr>
              <w:t>备注</w:t>
            </w:r>
          </w:p>
        </w:tc>
      </w:tr>
      <w:tr w14:paraId="2A7091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2" w:hRule="atLeast"/>
        </w:trPr>
        <w:tc>
          <w:tcPr>
            <w:tcW w:w="782" w:type="dxa"/>
            <w:noWrap w:val="0"/>
            <w:vAlign w:val="center"/>
          </w:tcPr>
          <w:p w14:paraId="0AE42BEB">
            <w:pPr>
              <w:tabs>
                <w:tab w:val="left" w:pos="0"/>
              </w:tabs>
              <w:adjustRightInd w:val="0"/>
              <w:snapToGrid w:val="0"/>
              <w:jc w:val="center"/>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1</w:t>
            </w:r>
          </w:p>
        </w:tc>
        <w:tc>
          <w:tcPr>
            <w:tcW w:w="5345" w:type="dxa"/>
            <w:noWrap w:val="0"/>
            <w:vAlign w:val="center"/>
          </w:tcPr>
          <w:p w14:paraId="7064C3D7">
            <w:pPr>
              <w:tabs>
                <w:tab w:val="left" w:pos="0"/>
              </w:tabs>
              <w:adjustRightInd w:val="0"/>
              <w:snapToGrid w:val="0"/>
              <w:rPr>
                <w:rFonts w:hint="eastAsia" w:asciiTheme="minorEastAsia" w:hAnsiTheme="minorEastAsia" w:eastAsiaTheme="minorEastAsia" w:cstheme="minorEastAsia"/>
                <w:b/>
                <w:color w:val="auto"/>
                <w:szCs w:val="21"/>
                <w:highlight w:val="none"/>
                <w:lang w:val="en-US" w:eastAsia="zh-CN"/>
              </w:rPr>
            </w:pPr>
            <w:r>
              <w:rPr>
                <w:rFonts w:hint="eastAsia" w:asciiTheme="minorEastAsia" w:hAnsiTheme="minorEastAsia" w:eastAsiaTheme="minorEastAsia" w:cstheme="minorEastAsia"/>
                <w:b/>
                <w:color w:val="auto"/>
                <w:szCs w:val="21"/>
                <w:highlight w:val="none"/>
              </w:rPr>
              <w:t>投标人为企业法人应提供合法有效的标识有统一社会信用代码的营业执照；事业法人应提供事业单位法人证书；其他组织应提供合法登记证明文件；</w:t>
            </w:r>
          </w:p>
        </w:tc>
        <w:tc>
          <w:tcPr>
            <w:tcW w:w="1876" w:type="dxa"/>
            <w:noWrap w:val="0"/>
            <w:vAlign w:val="center"/>
          </w:tcPr>
          <w:p w14:paraId="06598A7E">
            <w:pPr>
              <w:adjustRightInd w:val="0"/>
              <w:snapToGrid w:val="0"/>
              <w:jc w:val="center"/>
              <w:rPr>
                <w:rFonts w:hint="eastAsia" w:ascii="宋体" w:hAnsi="宋体" w:eastAsia="宋体" w:cs="宋体"/>
                <w:b/>
                <w:color w:val="auto"/>
                <w:kern w:val="0"/>
                <w:sz w:val="21"/>
                <w:szCs w:val="21"/>
                <w:highlight w:val="none"/>
              </w:rPr>
            </w:pPr>
            <w:r>
              <w:rPr>
                <w:rFonts w:hint="eastAsia" w:ascii="宋体" w:hAnsi="宋体" w:eastAsia="宋体" w:cs="宋体"/>
                <w:color w:val="auto"/>
                <w:kern w:val="0"/>
                <w:sz w:val="21"/>
                <w:szCs w:val="21"/>
                <w:highlight w:val="none"/>
              </w:rPr>
              <w:t>合法有效</w:t>
            </w:r>
          </w:p>
        </w:tc>
        <w:tc>
          <w:tcPr>
            <w:tcW w:w="786" w:type="dxa"/>
            <w:noWrap w:val="0"/>
            <w:vAlign w:val="center"/>
          </w:tcPr>
          <w:p w14:paraId="4215185D">
            <w:pPr>
              <w:tabs>
                <w:tab w:val="left" w:pos="0"/>
              </w:tabs>
              <w:adjustRightInd w:val="0"/>
              <w:snapToGrid w:val="0"/>
              <w:jc w:val="center"/>
              <w:rPr>
                <w:rFonts w:hint="eastAsia" w:ascii="宋体" w:hAnsi="宋体" w:eastAsia="宋体" w:cs="宋体"/>
                <w:b/>
                <w:color w:val="auto"/>
                <w:kern w:val="0"/>
                <w:sz w:val="21"/>
                <w:szCs w:val="21"/>
                <w:highlight w:val="none"/>
              </w:rPr>
            </w:pPr>
          </w:p>
        </w:tc>
      </w:tr>
      <w:tr w14:paraId="0F36DC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6" w:hRule="atLeast"/>
        </w:trPr>
        <w:tc>
          <w:tcPr>
            <w:tcW w:w="782" w:type="dxa"/>
            <w:noWrap w:val="0"/>
            <w:vAlign w:val="center"/>
          </w:tcPr>
          <w:p w14:paraId="5D2BE7F3">
            <w:pPr>
              <w:tabs>
                <w:tab w:val="left" w:pos="0"/>
              </w:tabs>
              <w:adjustRightInd w:val="0"/>
              <w:snapToGrid w:val="0"/>
              <w:jc w:val="center"/>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2</w:t>
            </w:r>
          </w:p>
        </w:tc>
        <w:tc>
          <w:tcPr>
            <w:tcW w:w="5345" w:type="dxa"/>
            <w:noWrap w:val="0"/>
            <w:vAlign w:val="center"/>
          </w:tcPr>
          <w:p w14:paraId="2B16BD87">
            <w:pPr>
              <w:tabs>
                <w:tab w:val="left" w:pos="0"/>
              </w:tabs>
              <w:adjustRightInd w:val="0"/>
              <w:snapToGrid w:val="0"/>
              <w:rPr>
                <w:rFonts w:hint="eastAsia" w:asciiTheme="minorEastAsia" w:hAnsiTheme="minorEastAsia" w:eastAsiaTheme="minorEastAsia" w:cstheme="minorEastAsia"/>
                <w:b/>
                <w:color w:val="auto"/>
                <w:szCs w:val="21"/>
                <w:highlight w:val="none"/>
                <w:lang w:val="en-US" w:eastAsia="zh-CN"/>
              </w:rPr>
            </w:pPr>
            <w:r>
              <w:rPr>
                <w:rFonts w:hint="eastAsia" w:asciiTheme="minorEastAsia" w:hAnsiTheme="minorEastAsia" w:eastAsiaTheme="minorEastAsia" w:cstheme="minorEastAsia"/>
                <w:b/>
                <w:color w:val="auto"/>
                <w:szCs w:val="21"/>
                <w:highlight w:val="none"/>
              </w:rPr>
              <w:t>法定代表人身份证或法定代表人授权委托书和委托代理人的身份证。法定代表人授权委托书应当与响应文件中所提供的相一致；</w:t>
            </w:r>
          </w:p>
        </w:tc>
        <w:tc>
          <w:tcPr>
            <w:tcW w:w="1876" w:type="dxa"/>
            <w:noWrap w:val="0"/>
            <w:vAlign w:val="center"/>
          </w:tcPr>
          <w:p w14:paraId="27D3C7B2">
            <w:pPr>
              <w:adjustRightInd w:val="0"/>
              <w:snapToGrid w:val="0"/>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合法有效</w:t>
            </w:r>
          </w:p>
        </w:tc>
        <w:tc>
          <w:tcPr>
            <w:tcW w:w="786" w:type="dxa"/>
            <w:noWrap w:val="0"/>
            <w:vAlign w:val="center"/>
          </w:tcPr>
          <w:p w14:paraId="1B880C62">
            <w:pPr>
              <w:tabs>
                <w:tab w:val="left" w:pos="0"/>
              </w:tabs>
              <w:adjustRightInd w:val="0"/>
              <w:snapToGrid w:val="0"/>
              <w:rPr>
                <w:rFonts w:hint="eastAsia" w:ascii="宋体" w:hAnsi="宋体" w:eastAsia="宋体" w:cs="宋体"/>
                <w:color w:val="auto"/>
                <w:kern w:val="0"/>
                <w:sz w:val="21"/>
                <w:szCs w:val="21"/>
                <w:highlight w:val="none"/>
              </w:rPr>
            </w:pPr>
          </w:p>
        </w:tc>
      </w:tr>
      <w:tr w14:paraId="721840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782" w:type="dxa"/>
            <w:noWrap w:val="0"/>
            <w:vAlign w:val="center"/>
          </w:tcPr>
          <w:p w14:paraId="458AA91C">
            <w:pPr>
              <w:tabs>
                <w:tab w:val="left" w:pos="0"/>
              </w:tabs>
              <w:adjustRightInd w:val="0"/>
              <w:snapToGrid w:val="0"/>
              <w:jc w:val="center"/>
              <w:rPr>
                <w:rFonts w:hint="default" w:ascii="宋体" w:hAnsi="宋体" w:eastAsia="宋体" w:cs="宋体"/>
                <w:color w:val="auto"/>
                <w:kern w:val="0"/>
                <w:sz w:val="21"/>
                <w:szCs w:val="21"/>
                <w:highlight w:val="none"/>
                <w:lang w:val="en-US" w:eastAsia="zh-CN" w:bidi="ar-SA"/>
              </w:rPr>
            </w:pPr>
            <w:r>
              <w:rPr>
                <w:rFonts w:hint="eastAsia" w:ascii="宋体" w:hAnsi="宋体" w:cs="宋体"/>
                <w:color w:val="auto"/>
                <w:kern w:val="0"/>
                <w:sz w:val="21"/>
                <w:szCs w:val="21"/>
                <w:highlight w:val="none"/>
                <w:lang w:val="en-US" w:eastAsia="zh-CN" w:bidi="ar-SA"/>
              </w:rPr>
              <w:t>3</w:t>
            </w:r>
          </w:p>
        </w:tc>
        <w:tc>
          <w:tcPr>
            <w:tcW w:w="5345" w:type="dxa"/>
            <w:noWrap w:val="0"/>
            <w:vAlign w:val="center"/>
          </w:tcPr>
          <w:p w14:paraId="594FAE45">
            <w:pPr>
              <w:tabs>
                <w:tab w:val="left" w:pos="0"/>
              </w:tabs>
              <w:adjustRightInd w:val="0"/>
              <w:snapToGrid w:val="0"/>
              <w:rPr>
                <w:rFonts w:hint="eastAsia" w:asciiTheme="minorEastAsia" w:hAnsiTheme="minorEastAsia" w:eastAsiaTheme="minorEastAsia" w:cstheme="minorEastAsia"/>
                <w:b/>
                <w:color w:val="auto"/>
                <w:szCs w:val="21"/>
                <w:highlight w:val="none"/>
                <w:lang w:val="en-US" w:eastAsia="zh-CN"/>
              </w:rPr>
            </w:pPr>
            <w:r>
              <w:rPr>
                <w:rFonts w:hint="eastAsia" w:asciiTheme="minorEastAsia" w:hAnsiTheme="minorEastAsia" w:eastAsiaTheme="minorEastAsia" w:cstheme="minorEastAsia"/>
                <w:b/>
                <w:color w:val="auto"/>
                <w:szCs w:val="21"/>
                <w:highlight w:val="none"/>
                <w:lang w:val="en-US" w:eastAsia="zh-CN"/>
              </w:rPr>
              <w:t>投标人</w:t>
            </w:r>
            <w:r>
              <w:rPr>
                <w:rFonts w:hint="eastAsia" w:asciiTheme="minorEastAsia" w:hAnsiTheme="minorEastAsia" w:eastAsiaTheme="minorEastAsia" w:cstheme="minorEastAsia"/>
                <w:b/>
                <w:color w:val="auto"/>
                <w:szCs w:val="21"/>
                <w:highlight w:val="none"/>
              </w:rPr>
              <w:t>须在“信用中国”（www.creditchina.gov.cn）和中国政府采购网（www.ccgp.gov.cn）上未被列入失信被执行人、重大税收违法失信主体、政府采购严重违法失信行为记录名单（网页打印件须自</w:t>
            </w:r>
            <w:r>
              <w:rPr>
                <w:rFonts w:hint="eastAsia" w:asciiTheme="minorEastAsia" w:hAnsiTheme="minorEastAsia" w:eastAsiaTheme="minorEastAsia" w:cstheme="minorEastAsia"/>
                <w:b/>
                <w:color w:val="auto"/>
                <w:szCs w:val="21"/>
                <w:highlight w:val="none"/>
                <w:lang w:eastAsia="zh-CN"/>
              </w:rPr>
              <w:t>招标文件</w:t>
            </w:r>
            <w:r>
              <w:rPr>
                <w:rFonts w:hint="eastAsia" w:asciiTheme="minorEastAsia" w:hAnsiTheme="minorEastAsia" w:eastAsiaTheme="minorEastAsia" w:cstheme="minorEastAsia"/>
                <w:b/>
                <w:color w:val="auto"/>
                <w:szCs w:val="21"/>
                <w:highlight w:val="none"/>
              </w:rPr>
              <w:t>发布之日起至投标截止时间从上述网站中打印）</w:t>
            </w:r>
            <w:r>
              <w:rPr>
                <w:rFonts w:hint="eastAsia" w:asciiTheme="minorEastAsia" w:hAnsiTheme="minorEastAsia" w:eastAsiaTheme="minorEastAsia" w:cstheme="minorEastAsia"/>
                <w:b/>
                <w:color w:val="auto"/>
                <w:szCs w:val="21"/>
                <w:highlight w:val="none"/>
                <w:lang w:val="en-US" w:eastAsia="zh-CN"/>
              </w:rPr>
              <w:t>；</w:t>
            </w:r>
          </w:p>
        </w:tc>
        <w:tc>
          <w:tcPr>
            <w:tcW w:w="1876" w:type="dxa"/>
            <w:noWrap w:val="0"/>
            <w:vAlign w:val="center"/>
          </w:tcPr>
          <w:p w14:paraId="280EF234">
            <w:pPr>
              <w:adjustRightInd w:val="0"/>
              <w:snapToGrid w:val="0"/>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合法有效</w:t>
            </w:r>
          </w:p>
        </w:tc>
        <w:tc>
          <w:tcPr>
            <w:tcW w:w="786" w:type="dxa"/>
            <w:noWrap w:val="0"/>
            <w:vAlign w:val="center"/>
          </w:tcPr>
          <w:p w14:paraId="797ACB84">
            <w:pPr>
              <w:tabs>
                <w:tab w:val="left" w:pos="0"/>
              </w:tabs>
              <w:adjustRightInd w:val="0"/>
              <w:snapToGrid w:val="0"/>
              <w:rPr>
                <w:rFonts w:hint="eastAsia" w:ascii="宋体" w:hAnsi="宋体" w:eastAsia="宋体" w:cs="宋体"/>
                <w:color w:val="auto"/>
                <w:kern w:val="0"/>
                <w:sz w:val="21"/>
                <w:szCs w:val="21"/>
                <w:highlight w:val="none"/>
              </w:rPr>
            </w:pPr>
          </w:p>
        </w:tc>
      </w:tr>
      <w:tr w14:paraId="1DB76E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7" w:hRule="atLeast"/>
        </w:trPr>
        <w:tc>
          <w:tcPr>
            <w:tcW w:w="782" w:type="dxa"/>
            <w:noWrap w:val="0"/>
            <w:vAlign w:val="center"/>
          </w:tcPr>
          <w:p w14:paraId="1E835158">
            <w:pPr>
              <w:tabs>
                <w:tab w:val="left" w:pos="0"/>
              </w:tabs>
              <w:adjustRightInd w:val="0"/>
              <w:snapToGrid w:val="0"/>
              <w:jc w:val="center"/>
              <w:rPr>
                <w:rFonts w:hint="default" w:ascii="宋体" w:hAnsi="宋体" w:eastAsia="宋体" w:cs="宋体"/>
                <w:color w:val="auto"/>
                <w:kern w:val="0"/>
                <w:sz w:val="21"/>
                <w:szCs w:val="21"/>
                <w:highlight w:val="none"/>
                <w:lang w:val="en-US" w:eastAsia="zh-CN" w:bidi="ar-SA"/>
              </w:rPr>
            </w:pPr>
            <w:r>
              <w:rPr>
                <w:rFonts w:hint="eastAsia" w:ascii="宋体" w:hAnsi="宋体" w:cs="宋体"/>
                <w:color w:val="auto"/>
                <w:kern w:val="0"/>
                <w:sz w:val="21"/>
                <w:szCs w:val="21"/>
                <w:highlight w:val="none"/>
                <w:lang w:val="en-US" w:eastAsia="zh-CN" w:bidi="ar-SA"/>
              </w:rPr>
              <w:t>4</w:t>
            </w:r>
          </w:p>
        </w:tc>
        <w:tc>
          <w:tcPr>
            <w:tcW w:w="5345" w:type="dxa"/>
            <w:noWrap w:val="0"/>
            <w:vAlign w:val="center"/>
          </w:tcPr>
          <w:p w14:paraId="47E6BFE9">
            <w:pPr>
              <w:tabs>
                <w:tab w:val="left" w:pos="0"/>
              </w:tabs>
              <w:adjustRightInd w:val="0"/>
              <w:snapToGrid w:val="0"/>
              <w:rPr>
                <w:rFonts w:hint="eastAsia" w:asciiTheme="minorEastAsia" w:hAnsiTheme="minorEastAsia" w:eastAsiaTheme="minorEastAsia" w:cstheme="minorEastAsia"/>
                <w:b/>
                <w:color w:val="auto"/>
                <w:szCs w:val="21"/>
                <w:highlight w:val="none"/>
                <w:lang w:val="en-US" w:eastAsia="zh-CN"/>
              </w:rPr>
            </w:pPr>
            <w:r>
              <w:rPr>
                <w:rFonts w:hint="eastAsia" w:asciiTheme="minorEastAsia" w:hAnsiTheme="minorEastAsia" w:eastAsiaTheme="minorEastAsia" w:cstheme="minorEastAsia"/>
                <w:b/>
                <w:color w:val="auto"/>
                <w:szCs w:val="21"/>
                <w:highlight w:val="none"/>
              </w:rPr>
              <w:t>投标人</w:t>
            </w:r>
            <w:r>
              <w:rPr>
                <w:rFonts w:hint="eastAsia" w:asciiTheme="minorEastAsia" w:hAnsiTheme="minorEastAsia" w:eastAsiaTheme="minorEastAsia" w:cstheme="minorEastAsia"/>
                <w:b/>
                <w:color w:val="auto"/>
                <w:szCs w:val="21"/>
                <w:highlight w:val="none"/>
                <w:lang w:eastAsia="zh-CN"/>
              </w:rPr>
              <w:t>提供近半年内已缴存的至少一个月的社会保障资金缴存单据或社保机构开具的社会保险参保缴费情况证明，依法不需要缴纳社会保障资金的投标人应提供相关文件证明或投标人提供承诺书</w:t>
            </w:r>
            <w:r>
              <w:rPr>
                <w:rFonts w:hint="eastAsia" w:asciiTheme="minorEastAsia" w:hAnsiTheme="minorEastAsia" w:eastAsiaTheme="minorEastAsia" w:cstheme="minorEastAsia"/>
                <w:b/>
                <w:color w:val="auto"/>
                <w:szCs w:val="21"/>
                <w:highlight w:val="none"/>
              </w:rPr>
              <w:t>；</w:t>
            </w:r>
          </w:p>
        </w:tc>
        <w:tc>
          <w:tcPr>
            <w:tcW w:w="1876" w:type="dxa"/>
            <w:noWrap w:val="0"/>
            <w:vAlign w:val="center"/>
          </w:tcPr>
          <w:p w14:paraId="3F7DAD84">
            <w:pPr>
              <w:tabs>
                <w:tab w:val="left" w:pos="0"/>
              </w:tabs>
              <w:adjustRightInd w:val="0"/>
              <w:snapToGrid w:val="0"/>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合法有效</w:t>
            </w:r>
          </w:p>
        </w:tc>
        <w:tc>
          <w:tcPr>
            <w:tcW w:w="786" w:type="dxa"/>
            <w:noWrap w:val="0"/>
            <w:vAlign w:val="center"/>
          </w:tcPr>
          <w:p w14:paraId="1FE62C84">
            <w:pPr>
              <w:tabs>
                <w:tab w:val="left" w:pos="0"/>
              </w:tabs>
              <w:adjustRightInd w:val="0"/>
              <w:snapToGrid w:val="0"/>
              <w:rPr>
                <w:rFonts w:hint="eastAsia" w:ascii="宋体" w:hAnsi="宋体" w:eastAsia="宋体" w:cs="宋体"/>
                <w:color w:val="auto"/>
                <w:kern w:val="0"/>
                <w:sz w:val="21"/>
                <w:szCs w:val="21"/>
                <w:highlight w:val="none"/>
              </w:rPr>
            </w:pPr>
          </w:p>
        </w:tc>
      </w:tr>
      <w:tr w14:paraId="4FFFE8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2" w:hRule="atLeast"/>
        </w:trPr>
        <w:tc>
          <w:tcPr>
            <w:tcW w:w="782" w:type="dxa"/>
            <w:noWrap w:val="0"/>
            <w:vAlign w:val="center"/>
          </w:tcPr>
          <w:p w14:paraId="64F7E689">
            <w:pPr>
              <w:tabs>
                <w:tab w:val="left" w:pos="0"/>
              </w:tabs>
              <w:adjustRightInd w:val="0"/>
              <w:snapToGrid w:val="0"/>
              <w:jc w:val="center"/>
              <w:rPr>
                <w:rFonts w:hint="default" w:ascii="宋体" w:hAnsi="宋体" w:eastAsia="宋体" w:cs="宋体"/>
                <w:color w:val="auto"/>
                <w:kern w:val="0"/>
                <w:sz w:val="21"/>
                <w:szCs w:val="21"/>
                <w:highlight w:val="none"/>
                <w:lang w:val="en-US" w:eastAsia="zh-CN" w:bidi="ar-SA"/>
              </w:rPr>
            </w:pPr>
            <w:r>
              <w:rPr>
                <w:rFonts w:hint="eastAsia" w:ascii="宋体" w:hAnsi="宋体" w:cs="宋体"/>
                <w:color w:val="auto"/>
                <w:kern w:val="0"/>
                <w:sz w:val="21"/>
                <w:szCs w:val="21"/>
                <w:highlight w:val="none"/>
                <w:lang w:val="en-US" w:eastAsia="zh-CN" w:bidi="ar-SA"/>
              </w:rPr>
              <w:t>5</w:t>
            </w:r>
          </w:p>
        </w:tc>
        <w:tc>
          <w:tcPr>
            <w:tcW w:w="5345" w:type="dxa"/>
            <w:noWrap w:val="0"/>
            <w:vAlign w:val="center"/>
          </w:tcPr>
          <w:p w14:paraId="296C411C">
            <w:pPr>
              <w:tabs>
                <w:tab w:val="left" w:pos="0"/>
              </w:tabs>
              <w:adjustRightInd w:val="0"/>
              <w:snapToGrid w:val="0"/>
              <w:rPr>
                <w:rFonts w:hint="eastAsia" w:asciiTheme="minorEastAsia" w:hAnsiTheme="minorEastAsia" w:eastAsiaTheme="minorEastAsia" w:cstheme="minorEastAsia"/>
                <w:b/>
                <w:color w:val="auto"/>
                <w:szCs w:val="21"/>
                <w:highlight w:val="none"/>
                <w:lang w:val="en-US" w:eastAsia="zh-CN"/>
              </w:rPr>
            </w:pPr>
            <w:r>
              <w:rPr>
                <w:rFonts w:hint="eastAsia" w:asciiTheme="minorEastAsia" w:hAnsiTheme="minorEastAsia" w:eastAsiaTheme="minorEastAsia" w:cstheme="minorEastAsia"/>
                <w:b/>
                <w:color w:val="auto"/>
                <w:szCs w:val="21"/>
                <w:highlight w:val="none"/>
              </w:rPr>
              <w:t>投标人提供202</w:t>
            </w:r>
            <w:r>
              <w:rPr>
                <w:rFonts w:hint="eastAsia" w:asciiTheme="minorEastAsia" w:hAnsiTheme="minorEastAsia" w:eastAsiaTheme="minorEastAsia" w:cstheme="minorEastAsia"/>
                <w:b/>
                <w:color w:val="auto"/>
                <w:szCs w:val="21"/>
                <w:highlight w:val="none"/>
                <w:lang w:val="en-US" w:eastAsia="zh-CN"/>
              </w:rPr>
              <w:t>2（或2023）</w:t>
            </w:r>
            <w:r>
              <w:rPr>
                <w:rFonts w:hint="eastAsia" w:asciiTheme="minorEastAsia" w:hAnsiTheme="minorEastAsia" w:eastAsiaTheme="minorEastAsia" w:cstheme="minorEastAsia"/>
                <w:b/>
                <w:color w:val="auto"/>
                <w:szCs w:val="21"/>
                <w:highlight w:val="none"/>
              </w:rPr>
              <w:t>年的财务审计报告（成立时间至提交投标文件截止时间不足一年的可提供成立后任意时段的资产负债表），或其开标前三个月内基本存款账户开户银行出具的资信证明及基本存款账户开户许可证；</w:t>
            </w:r>
          </w:p>
        </w:tc>
        <w:tc>
          <w:tcPr>
            <w:tcW w:w="1876" w:type="dxa"/>
            <w:noWrap w:val="0"/>
            <w:vAlign w:val="center"/>
          </w:tcPr>
          <w:p w14:paraId="0493876C">
            <w:pPr>
              <w:tabs>
                <w:tab w:val="left" w:pos="0"/>
              </w:tabs>
              <w:adjustRightInd w:val="0"/>
              <w:snapToGrid w:val="0"/>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合法有效</w:t>
            </w:r>
          </w:p>
        </w:tc>
        <w:tc>
          <w:tcPr>
            <w:tcW w:w="786" w:type="dxa"/>
            <w:noWrap w:val="0"/>
            <w:vAlign w:val="center"/>
          </w:tcPr>
          <w:p w14:paraId="4BD99F2B">
            <w:pPr>
              <w:tabs>
                <w:tab w:val="left" w:pos="0"/>
              </w:tabs>
              <w:adjustRightInd w:val="0"/>
              <w:snapToGrid w:val="0"/>
              <w:rPr>
                <w:rFonts w:hint="eastAsia" w:ascii="宋体" w:hAnsi="宋体" w:eastAsia="宋体" w:cs="宋体"/>
                <w:color w:val="auto"/>
                <w:kern w:val="0"/>
                <w:sz w:val="21"/>
                <w:szCs w:val="21"/>
                <w:highlight w:val="none"/>
              </w:rPr>
            </w:pPr>
          </w:p>
        </w:tc>
      </w:tr>
      <w:tr w14:paraId="2BFFFA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782" w:type="dxa"/>
            <w:noWrap w:val="0"/>
            <w:vAlign w:val="center"/>
          </w:tcPr>
          <w:p w14:paraId="1C5B65C3">
            <w:pPr>
              <w:tabs>
                <w:tab w:val="left" w:pos="0"/>
              </w:tabs>
              <w:adjustRightInd w:val="0"/>
              <w:snapToGrid w:val="0"/>
              <w:jc w:val="center"/>
              <w:rPr>
                <w:rFonts w:hint="default" w:ascii="宋体" w:hAnsi="宋体" w:eastAsia="宋体" w:cs="宋体"/>
                <w:color w:val="auto"/>
                <w:kern w:val="0"/>
                <w:sz w:val="21"/>
                <w:szCs w:val="21"/>
                <w:highlight w:val="none"/>
                <w:lang w:val="en-US" w:eastAsia="zh-CN" w:bidi="ar-SA"/>
              </w:rPr>
            </w:pPr>
            <w:r>
              <w:rPr>
                <w:rFonts w:hint="eastAsia" w:ascii="宋体" w:hAnsi="宋体" w:cs="宋体"/>
                <w:color w:val="auto"/>
                <w:kern w:val="0"/>
                <w:sz w:val="21"/>
                <w:szCs w:val="21"/>
                <w:highlight w:val="none"/>
                <w:lang w:val="en-US" w:eastAsia="zh-CN" w:bidi="ar-SA"/>
              </w:rPr>
              <w:t>6</w:t>
            </w:r>
          </w:p>
        </w:tc>
        <w:tc>
          <w:tcPr>
            <w:tcW w:w="5345" w:type="dxa"/>
            <w:noWrap w:val="0"/>
            <w:vAlign w:val="center"/>
          </w:tcPr>
          <w:p w14:paraId="74C8906B">
            <w:pPr>
              <w:tabs>
                <w:tab w:val="left" w:pos="0"/>
              </w:tabs>
              <w:adjustRightInd w:val="0"/>
              <w:snapToGrid w:val="0"/>
              <w:rPr>
                <w:rFonts w:hint="eastAsia" w:asciiTheme="minorEastAsia" w:hAnsiTheme="minorEastAsia" w:eastAsiaTheme="minorEastAsia" w:cstheme="minorEastAsia"/>
                <w:b/>
                <w:color w:val="auto"/>
                <w:szCs w:val="21"/>
                <w:highlight w:val="none"/>
                <w:lang w:val="en-US" w:eastAsia="zh-CN"/>
              </w:rPr>
            </w:pPr>
            <w:r>
              <w:rPr>
                <w:rFonts w:hint="eastAsia" w:asciiTheme="minorEastAsia" w:hAnsiTheme="minorEastAsia" w:eastAsiaTheme="minorEastAsia" w:cstheme="minorEastAsia"/>
                <w:b/>
                <w:color w:val="auto"/>
                <w:szCs w:val="21"/>
                <w:highlight w:val="none"/>
              </w:rPr>
              <w:t>投标人提供近半年内已缴纳的至少一个月的纳税证明或完税证明，纳税证明或完税证明上应有代收机构或税务机关的公章，依法免税的投标人应提供相关文件证明；</w:t>
            </w:r>
          </w:p>
        </w:tc>
        <w:tc>
          <w:tcPr>
            <w:tcW w:w="1876" w:type="dxa"/>
            <w:noWrap w:val="0"/>
            <w:vAlign w:val="center"/>
          </w:tcPr>
          <w:p w14:paraId="746014AE">
            <w:pPr>
              <w:tabs>
                <w:tab w:val="left" w:pos="0"/>
              </w:tabs>
              <w:adjustRightInd w:val="0"/>
              <w:snapToGrid w:val="0"/>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合法有效</w:t>
            </w:r>
          </w:p>
        </w:tc>
        <w:tc>
          <w:tcPr>
            <w:tcW w:w="786" w:type="dxa"/>
            <w:noWrap w:val="0"/>
            <w:vAlign w:val="center"/>
          </w:tcPr>
          <w:p w14:paraId="1171CD71">
            <w:pPr>
              <w:tabs>
                <w:tab w:val="left" w:pos="0"/>
              </w:tabs>
              <w:adjustRightInd w:val="0"/>
              <w:snapToGrid w:val="0"/>
              <w:rPr>
                <w:rFonts w:hint="eastAsia" w:ascii="宋体" w:hAnsi="宋体" w:eastAsia="宋体" w:cs="宋体"/>
                <w:color w:val="auto"/>
                <w:kern w:val="0"/>
                <w:sz w:val="21"/>
                <w:szCs w:val="21"/>
                <w:highlight w:val="none"/>
              </w:rPr>
            </w:pPr>
          </w:p>
        </w:tc>
      </w:tr>
      <w:tr w14:paraId="6D4766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rPr>
        <w:tc>
          <w:tcPr>
            <w:tcW w:w="782" w:type="dxa"/>
            <w:noWrap w:val="0"/>
            <w:vAlign w:val="center"/>
          </w:tcPr>
          <w:p w14:paraId="6BA8B0CF">
            <w:pPr>
              <w:tabs>
                <w:tab w:val="left" w:pos="0"/>
              </w:tabs>
              <w:adjustRightInd w:val="0"/>
              <w:snapToGrid w:val="0"/>
              <w:jc w:val="center"/>
              <w:rPr>
                <w:rFonts w:hint="default" w:ascii="宋体" w:hAnsi="宋体" w:eastAsia="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7</w:t>
            </w:r>
          </w:p>
        </w:tc>
        <w:tc>
          <w:tcPr>
            <w:tcW w:w="5345" w:type="dxa"/>
            <w:noWrap w:val="0"/>
            <w:vAlign w:val="center"/>
          </w:tcPr>
          <w:p w14:paraId="63881138">
            <w:pPr>
              <w:tabs>
                <w:tab w:val="left" w:pos="0"/>
              </w:tabs>
              <w:adjustRightInd w:val="0"/>
              <w:snapToGrid w:val="0"/>
              <w:rPr>
                <w:rFonts w:hint="eastAsia" w:asciiTheme="minorEastAsia" w:hAnsiTheme="minorEastAsia" w:eastAsiaTheme="minorEastAsia" w:cstheme="minorEastAsia"/>
                <w:b/>
                <w:color w:val="auto"/>
                <w:szCs w:val="21"/>
                <w:highlight w:val="none"/>
                <w:lang w:val="en-US" w:eastAsia="zh-CN"/>
              </w:rPr>
            </w:pPr>
            <w:r>
              <w:rPr>
                <w:rFonts w:hint="eastAsia" w:asciiTheme="minorEastAsia" w:hAnsiTheme="minorEastAsia" w:eastAsiaTheme="minorEastAsia" w:cstheme="minorEastAsia"/>
                <w:b/>
                <w:color w:val="auto"/>
                <w:szCs w:val="21"/>
                <w:highlight w:val="none"/>
              </w:rPr>
              <w:t>投标人应具备良好的商业信誉，提供参加政府采购活动前3年内在经营活动中没有重大违法记录的书面声明；</w:t>
            </w:r>
          </w:p>
        </w:tc>
        <w:tc>
          <w:tcPr>
            <w:tcW w:w="1876" w:type="dxa"/>
            <w:noWrap w:val="0"/>
            <w:vAlign w:val="center"/>
          </w:tcPr>
          <w:p w14:paraId="35430CCD">
            <w:pPr>
              <w:tabs>
                <w:tab w:val="left" w:pos="0"/>
              </w:tabs>
              <w:adjustRightInd w:val="0"/>
              <w:snapToGrid w:val="0"/>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合法有效</w:t>
            </w:r>
          </w:p>
        </w:tc>
        <w:tc>
          <w:tcPr>
            <w:tcW w:w="786" w:type="dxa"/>
            <w:noWrap w:val="0"/>
            <w:vAlign w:val="center"/>
          </w:tcPr>
          <w:p w14:paraId="23C6BAFC">
            <w:pPr>
              <w:tabs>
                <w:tab w:val="left" w:pos="0"/>
              </w:tabs>
              <w:adjustRightInd w:val="0"/>
              <w:snapToGrid w:val="0"/>
              <w:rPr>
                <w:rFonts w:hint="eastAsia" w:ascii="宋体" w:hAnsi="宋体" w:eastAsia="宋体" w:cs="宋体"/>
                <w:color w:val="auto"/>
                <w:kern w:val="0"/>
                <w:sz w:val="21"/>
                <w:szCs w:val="21"/>
                <w:highlight w:val="none"/>
              </w:rPr>
            </w:pPr>
          </w:p>
        </w:tc>
      </w:tr>
      <w:tr w14:paraId="5F55CB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3" w:hRule="atLeast"/>
        </w:trPr>
        <w:tc>
          <w:tcPr>
            <w:tcW w:w="782" w:type="dxa"/>
            <w:noWrap w:val="0"/>
            <w:vAlign w:val="center"/>
          </w:tcPr>
          <w:p w14:paraId="5EA4B0F3">
            <w:pPr>
              <w:tabs>
                <w:tab w:val="left" w:pos="0"/>
              </w:tabs>
              <w:adjustRightInd w:val="0"/>
              <w:snapToGrid w:val="0"/>
              <w:jc w:val="center"/>
              <w:rPr>
                <w:rFonts w:hint="default"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8</w:t>
            </w:r>
          </w:p>
        </w:tc>
        <w:tc>
          <w:tcPr>
            <w:tcW w:w="5345" w:type="dxa"/>
            <w:noWrap w:val="0"/>
            <w:vAlign w:val="center"/>
          </w:tcPr>
          <w:p w14:paraId="50985419">
            <w:pPr>
              <w:tabs>
                <w:tab w:val="left" w:pos="0"/>
              </w:tabs>
              <w:adjustRightInd w:val="0"/>
              <w:snapToGrid w:val="0"/>
              <w:rPr>
                <w:rFonts w:hint="eastAsia" w:asciiTheme="minorEastAsia" w:hAnsiTheme="minorEastAsia" w:eastAsiaTheme="minorEastAsia" w:cstheme="minorEastAsia"/>
                <w:b/>
                <w:color w:val="auto"/>
                <w:szCs w:val="21"/>
                <w:highlight w:val="none"/>
              </w:rPr>
            </w:pPr>
            <w:r>
              <w:rPr>
                <w:rFonts w:hint="eastAsia" w:asciiTheme="minorEastAsia" w:hAnsiTheme="minorEastAsia" w:eastAsiaTheme="minorEastAsia" w:cstheme="minorEastAsia"/>
                <w:b/>
                <w:color w:val="auto"/>
                <w:szCs w:val="21"/>
                <w:highlight w:val="none"/>
                <w:lang w:val="en-US" w:eastAsia="zh-CN"/>
              </w:rPr>
              <w:t>投标人提供投标保证金足额缴纳凭证。</w:t>
            </w:r>
          </w:p>
        </w:tc>
        <w:tc>
          <w:tcPr>
            <w:tcW w:w="1876" w:type="dxa"/>
            <w:noWrap w:val="0"/>
            <w:vAlign w:val="center"/>
          </w:tcPr>
          <w:p w14:paraId="02669C35">
            <w:pPr>
              <w:tabs>
                <w:tab w:val="left" w:pos="0"/>
              </w:tabs>
              <w:adjustRightInd w:val="0"/>
              <w:snapToGrid w:val="0"/>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合法有效</w:t>
            </w:r>
          </w:p>
        </w:tc>
        <w:tc>
          <w:tcPr>
            <w:tcW w:w="786" w:type="dxa"/>
            <w:noWrap w:val="0"/>
            <w:vAlign w:val="center"/>
          </w:tcPr>
          <w:p w14:paraId="7D3EA269">
            <w:pPr>
              <w:tabs>
                <w:tab w:val="left" w:pos="0"/>
              </w:tabs>
              <w:adjustRightInd w:val="0"/>
              <w:snapToGrid w:val="0"/>
              <w:rPr>
                <w:rFonts w:hint="eastAsia" w:ascii="宋体" w:hAnsi="宋体" w:eastAsia="宋体" w:cs="宋体"/>
                <w:color w:val="auto"/>
                <w:kern w:val="0"/>
                <w:sz w:val="21"/>
                <w:szCs w:val="21"/>
                <w:highlight w:val="none"/>
              </w:rPr>
            </w:pPr>
          </w:p>
        </w:tc>
      </w:tr>
    </w:tbl>
    <w:p w14:paraId="7AA98D2A">
      <w:pPr>
        <w:keepNext w:val="0"/>
        <w:keepLines w:val="0"/>
        <w:pageBreakBefore w:val="0"/>
        <w:tabs>
          <w:tab w:val="left" w:pos="0"/>
        </w:tabs>
        <w:kinsoku/>
        <w:wordWrap/>
        <w:overflowPunct/>
        <w:topLinePunct w:val="0"/>
        <w:bidi w:val="0"/>
        <w:adjustRightInd w:val="0"/>
        <w:snapToGrid w:val="0"/>
        <w:spacing w:line="480" w:lineRule="exact"/>
        <w:ind w:firstLine="405"/>
        <w:rPr>
          <w:rFonts w:hint="eastAsia" w:asciiTheme="minorEastAsia" w:hAnsiTheme="minorEastAsia" w:eastAsiaTheme="minorEastAsia" w:cstheme="minorEastAsia"/>
          <w:b/>
          <w:color w:val="auto"/>
          <w:kern w:val="0"/>
          <w:szCs w:val="21"/>
          <w:highlight w:val="none"/>
        </w:rPr>
      </w:pPr>
      <w:r>
        <w:rPr>
          <w:rFonts w:hint="eastAsia" w:asciiTheme="minorEastAsia" w:hAnsiTheme="minorEastAsia" w:eastAsiaTheme="minorEastAsia" w:cstheme="minorEastAsia"/>
          <w:b/>
          <w:color w:val="auto"/>
          <w:kern w:val="0"/>
          <w:szCs w:val="21"/>
          <w:highlight w:val="none"/>
        </w:rPr>
        <w:t>7.2.6 投标人限制性资格条件审查</w:t>
      </w:r>
    </w:p>
    <w:p w14:paraId="092C9022">
      <w:pPr>
        <w:keepNext w:val="0"/>
        <w:keepLines w:val="0"/>
        <w:pageBreakBefore w:val="0"/>
        <w:tabs>
          <w:tab w:val="left" w:pos="0"/>
        </w:tabs>
        <w:kinsoku/>
        <w:wordWrap/>
        <w:overflowPunct/>
        <w:topLinePunct w:val="0"/>
        <w:bidi w:val="0"/>
        <w:adjustRightInd w:val="0"/>
        <w:snapToGrid w:val="0"/>
        <w:spacing w:line="480" w:lineRule="exact"/>
        <w:ind w:firstLine="405"/>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7.2.6.1 审查方法：</w:t>
      </w:r>
    </w:p>
    <w:p w14:paraId="0379F082">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（1）资格审查小组将通过信用中国网（http://www.creditchina.gov.cn/）和中国政府采购网（网址：http://www.ccgp.gov.cn/cr/list）对投标人的信用信息进行查询核实。</w:t>
      </w:r>
    </w:p>
    <w:p w14:paraId="193EACF4">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（2）资格审查小组将通过投标人投标文件之资格审查部分文件和国家企业信用信息公示系统（http://www.gsxt.gov.cn/index.html）对投标人之间存在隶属关系或者其他利害关系进行相关信息的核实。</w:t>
      </w:r>
    </w:p>
    <w:p w14:paraId="06AF08E1">
      <w:pPr>
        <w:keepNext w:val="0"/>
        <w:keepLines w:val="0"/>
        <w:pageBreakBefore w:val="0"/>
        <w:tabs>
          <w:tab w:val="left" w:pos="0"/>
        </w:tabs>
        <w:kinsoku/>
        <w:wordWrap/>
        <w:overflowPunct/>
        <w:topLinePunct w:val="0"/>
        <w:bidi w:val="0"/>
        <w:adjustRightInd w:val="0"/>
        <w:snapToGrid w:val="0"/>
        <w:spacing w:line="480" w:lineRule="exact"/>
        <w:ind w:firstLine="405"/>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7.2.6.2 审查标准：</w:t>
      </w:r>
    </w:p>
    <w:p w14:paraId="38FB51DB">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投标人存在下列情形之一的，审查不予通过，即判定其限制性资格条件审查结果为不合格，将不具备投标资格，按无效投标处理：</w:t>
      </w:r>
    </w:p>
    <w:p w14:paraId="7615D852">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（1）与采购人、采购代理机构存在隶属关系或者其他利害关系，且可能影响招标公正性；</w:t>
      </w:r>
    </w:p>
    <w:p w14:paraId="6C3ACD66">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（2）与本采购项目其他投标人的法定代表人（或者负责人）为同一人；</w:t>
      </w:r>
    </w:p>
    <w:p w14:paraId="31EF5723">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（3）与本采购项目其他投标人存在控股、管理关系；</w:t>
      </w:r>
    </w:p>
    <w:p w14:paraId="4119E953">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（4）为本项目采购代理机构；</w:t>
      </w:r>
    </w:p>
    <w:p w14:paraId="7CBCEFD9">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（5）为本项目代理投标的为其采购代理机构；</w:t>
      </w:r>
    </w:p>
    <w:p w14:paraId="4F141BF3">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（6）为本项目提供整体设计、规范编制或者项目管理、监理、检测、咨询服务；</w:t>
      </w:r>
    </w:p>
    <w:p w14:paraId="38938598">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（7）近3年受到刑事处罚；</w:t>
      </w:r>
    </w:p>
    <w:p w14:paraId="6918E431">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（8）近3年内受到财政部门3万元以上罚款或其他行政部门较大数额罚款行政处罚（举行听证会的）；</w:t>
      </w:r>
    </w:p>
    <w:p w14:paraId="243512ED">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（9）近3年被责令停产停业、暂扣或者吊销许可证、暂扣或者吊销执照的行政处罚；</w:t>
      </w:r>
    </w:p>
    <w:p w14:paraId="594E62BE">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（10）被列入严重失信被执行人名单；</w:t>
      </w:r>
    </w:p>
    <w:p w14:paraId="423F8066">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（11）被列入</w:t>
      </w:r>
      <w:r>
        <w:rPr>
          <w:rFonts w:hint="eastAsia" w:asciiTheme="minorEastAsia" w:hAnsiTheme="minorEastAsia" w:eastAsiaTheme="minorEastAsia" w:cstheme="minorEastAsia"/>
          <w:color w:val="auto"/>
          <w:kern w:val="0"/>
          <w:szCs w:val="21"/>
          <w:highlight w:val="none"/>
          <w:lang w:eastAsia="zh-CN"/>
        </w:rPr>
        <w:t>重大税收违法失信主体</w:t>
      </w:r>
      <w:r>
        <w:rPr>
          <w:rFonts w:hint="eastAsia" w:asciiTheme="minorEastAsia" w:hAnsiTheme="minorEastAsia" w:eastAsiaTheme="minorEastAsia" w:cstheme="minorEastAsia"/>
          <w:color w:val="auto"/>
          <w:kern w:val="0"/>
          <w:szCs w:val="21"/>
          <w:highlight w:val="none"/>
        </w:rPr>
        <w:t>；</w:t>
      </w:r>
    </w:p>
    <w:p w14:paraId="09CFA27A">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（12）被禁止在一至三年内参加政府采购活动或存在财政部门认定的其他重大违法记录；</w:t>
      </w:r>
    </w:p>
    <w:p w14:paraId="3480E0A8">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（13）法律法规规定的其他情形。</w:t>
      </w:r>
    </w:p>
    <w:p w14:paraId="2C2A71C6">
      <w:pPr>
        <w:keepNext w:val="0"/>
        <w:keepLines w:val="0"/>
        <w:pageBreakBefore w:val="0"/>
        <w:kinsoku/>
        <w:wordWrap/>
        <w:overflowPunct/>
        <w:topLinePunct w:val="0"/>
        <w:bidi w:val="0"/>
        <w:spacing w:line="480" w:lineRule="exact"/>
        <w:ind w:firstLine="422" w:firstLineChars="200"/>
        <w:rPr>
          <w:rFonts w:hint="eastAsia" w:asciiTheme="minorEastAsia" w:hAnsiTheme="minorEastAsia" w:eastAsiaTheme="minorEastAsia" w:cstheme="minorEastAsia"/>
          <w:b/>
          <w:color w:val="auto"/>
          <w:szCs w:val="21"/>
          <w:highlight w:val="none"/>
        </w:rPr>
      </w:pPr>
      <w:r>
        <w:rPr>
          <w:rFonts w:hint="eastAsia" w:asciiTheme="minorEastAsia" w:hAnsiTheme="minorEastAsia" w:eastAsiaTheme="minorEastAsia" w:cstheme="minorEastAsia"/>
          <w:b/>
          <w:color w:val="auto"/>
          <w:szCs w:val="21"/>
          <w:highlight w:val="none"/>
        </w:rPr>
        <w:t>7.2.7 资格审查报告</w:t>
      </w:r>
    </w:p>
    <w:p w14:paraId="6BD2674E">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7.2.7.1 资格审查报告由资格审查小组负责编制，以采购代理机构名义向采购人提交，其附表《投标人资格审查表》应当经资格审查小组全体成员签字确认。资格审查报告在采购人盖章确认后随采购文件一并存档。</w:t>
      </w:r>
    </w:p>
    <w:p w14:paraId="0E7E9092">
      <w:pPr>
        <w:keepNext w:val="0"/>
        <w:keepLines w:val="0"/>
        <w:pageBreakBefore w:val="0"/>
        <w:kinsoku/>
        <w:wordWrap/>
        <w:overflowPunct/>
        <w:topLinePunct w:val="0"/>
        <w:bidi w:val="0"/>
        <w:spacing w:line="480" w:lineRule="exact"/>
        <w:ind w:firstLine="422" w:firstLineChars="200"/>
        <w:rPr>
          <w:rFonts w:hint="eastAsia" w:asciiTheme="minorEastAsia" w:hAnsiTheme="minorEastAsia" w:eastAsiaTheme="minorEastAsia" w:cstheme="minorEastAsia"/>
          <w:b/>
          <w:color w:val="auto"/>
          <w:szCs w:val="21"/>
          <w:highlight w:val="none"/>
        </w:rPr>
      </w:pPr>
      <w:r>
        <w:rPr>
          <w:rFonts w:hint="eastAsia" w:asciiTheme="minorEastAsia" w:hAnsiTheme="minorEastAsia" w:eastAsiaTheme="minorEastAsia" w:cstheme="minorEastAsia"/>
          <w:b/>
          <w:color w:val="auto"/>
          <w:szCs w:val="21"/>
          <w:highlight w:val="none"/>
        </w:rPr>
        <w:t>7.2.8 合格投标人不足3家的，不得评标。</w:t>
      </w:r>
    </w:p>
    <w:p w14:paraId="59F3064F">
      <w:pPr>
        <w:keepNext w:val="0"/>
        <w:keepLines w:val="0"/>
        <w:pageBreakBefore w:val="0"/>
        <w:kinsoku/>
        <w:wordWrap/>
        <w:overflowPunct/>
        <w:topLinePunct w:val="0"/>
        <w:bidi w:val="0"/>
        <w:spacing w:line="480" w:lineRule="exact"/>
        <w:ind w:firstLine="422" w:firstLineChars="200"/>
        <w:rPr>
          <w:rFonts w:hint="eastAsia" w:asciiTheme="minorEastAsia" w:hAnsiTheme="minorEastAsia" w:eastAsiaTheme="minorEastAsia" w:cstheme="minorEastAsia"/>
          <w:b/>
          <w:color w:val="auto"/>
          <w:szCs w:val="21"/>
          <w:highlight w:val="none"/>
        </w:rPr>
      </w:pPr>
      <w:r>
        <w:rPr>
          <w:rFonts w:hint="eastAsia" w:asciiTheme="minorEastAsia" w:hAnsiTheme="minorEastAsia" w:eastAsiaTheme="minorEastAsia" w:cstheme="minorEastAsia"/>
          <w:b/>
          <w:color w:val="auto"/>
          <w:szCs w:val="21"/>
          <w:highlight w:val="none"/>
        </w:rPr>
        <w:t>7.2.9 不合格的投标人，不得进入评标环节。</w:t>
      </w:r>
    </w:p>
    <w:p w14:paraId="51284BE0">
      <w:pPr>
        <w:keepNext w:val="0"/>
        <w:keepLines w:val="0"/>
        <w:pageBreakBefore w:val="0"/>
        <w:kinsoku/>
        <w:wordWrap/>
        <w:overflowPunct/>
        <w:topLinePunct w:val="0"/>
        <w:bidi w:val="0"/>
        <w:spacing w:before="120" w:beforeLines="50" w:after="120" w:afterLines="50" w:line="480" w:lineRule="exact"/>
        <w:jc w:val="center"/>
        <w:outlineLvl w:val="1"/>
        <w:rPr>
          <w:rFonts w:hint="eastAsia" w:asciiTheme="minorEastAsia" w:hAnsiTheme="minorEastAsia" w:eastAsiaTheme="minorEastAsia" w:cstheme="minorEastAsia"/>
          <w:b/>
          <w:color w:val="auto"/>
          <w:sz w:val="36"/>
          <w:szCs w:val="36"/>
          <w:highlight w:val="none"/>
        </w:rPr>
      </w:pPr>
      <w:bookmarkStart w:id="162" w:name="_Toc5151"/>
      <w:r>
        <w:rPr>
          <w:rFonts w:hint="eastAsia" w:asciiTheme="minorEastAsia" w:hAnsiTheme="minorEastAsia" w:eastAsiaTheme="minorEastAsia" w:cstheme="minorEastAsia"/>
          <w:b/>
          <w:color w:val="auto"/>
          <w:sz w:val="36"/>
          <w:szCs w:val="36"/>
          <w:highlight w:val="none"/>
        </w:rPr>
        <w:t>8.评标</w:t>
      </w:r>
      <w:bookmarkEnd w:id="160"/>
      <w:bookmarkEnd w:id="162"/>
    </w:p>
    <w:p w14:paraId="1DCA1E40">
      <w:pPr>
        <w:keepNext w:val="0"/>
        <w:keepLines w:val="0"/>
        <w:pageBreakBefore w:val="0"/>
        <w:kinsoku/>
        <w:wordWrap/>
        <w:overflowPunct/>
        <w:topLinePunct w:val="0"/>
        <w:bidi w:val="0"/>
        <w:spacing w:after="120" w:afterLines="50" w:line="480" w:lineRule="exact"/>
        <w:ind w:left="120" w:leftChars="50" w:hanging="15" w:hangingChars="5"/>
        <w:rPr>
          <w:rFonts w:hint="eastAsia" w:asciiTheme="minorEastAsia" w:hAnsiTheme="minorEastAsia" w:eastAsiaTheme="minorEastAsia" w:cstheme="minorEastAsia"/>
          <w:color w:val="auto"/>
          <w:sz w:val="30"/>
          <w:szCs w:val="30"/>
          <w:highlight w:val="none"/>
        </w:rPr>
      </w:pPr>
      <w:r>
        <w:rPr>
          <w:rFonts w:hint="eastAsia" w:asciiTheme="minorEastAsia" w:hAnsiTheme="minorEastAsia" w:eastAsiaTheme="minorEastAsia" w:cstheme="minorEastAsia"/>
          <w:b/>
          <w:color w:val="auto"/>
          <w:sz w:val="30"/>
          <w:szCs w:val="30"/>
          <w:highlight w:val="none"/>
        </w:rPr>
        <w:t>8.1 评标委员会</w:t>
      </w:r>
    </w:p>
    <w:p w14:paraId="7CC55679">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8.1.1 评标由采购代理机构依法组建的评标委员会负责。评标委员会由采购人代表和评审专家组成，成员由5人以上单数组成。其中评审专家不得少于成员总数的三分之二。采购预算金额在1000万元以上、技术复杂的项目或者社会影响较大的项目，评标委员会成员应当为7人以上。评审专家人选在省级</w:t>
      </w:r>
      <w:r>
        <w:rPr>
          <w:rFonts w:hint="eastAsia" w:asciiTheme="minorEastAsia" w:hAnsiTheme="minorEastAsia" w:eastAsiaTheme="minorEastAsia" w:cstheme="minorEastAsia"/>
          <w:color w:val="auto"/>
          <w:kern w:val="0"/>
          <w:szCs w:val="21"/>
          <w:highlight w:val="none"/>
          <w:lang w:val="en-US" w:eastAsia="zh-CN"/>
        </w:rPr>
        <w:t>主管</w:t>
      </w:r>
      <w:r>
        <w:rPr>
          <w:rFonts w:hint="eastAsia" w:asciiTheme="minorEastAsia" w:hAnsiTheme="minorEastAsia" w:eastAsiaTheme="minorEastAsia" w:cstheme="minorEastAsia"/>
          <w:color w:val="auto"/>
          <w:kern w:val="0"/>
          <w:szCs w:val="21"/>
          <w:highlight w:val="none"/>
        </w:rPr>
        <w:t>部门设立的采购评审专家库中随机抽取。</w:t>
      </w:r>
    </w:p>
    <w:p w14:paraId="50D38329">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对技术复杂、专业性强的采购项目，通过随机方式难以确定合适评审专家的，经主管预算单位同意，采购人或采购代理机构可以自行选定相应专业领域的评审专家。</w:t>
      </w:r>
    </w:p>
    <w:p w14:paraId="1371D36C">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8.1.2 评标委员会成员到位后，推荐一名评审专家担任评标组长，并由评标组长牵头组织该项目评标工作，采购人代表，不得担任评标组长。</w:t>
      </w:r>
    </w:p>
    <w:p w14:paraId="3F9891E3">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8.1.3 评委会成员有下列情形之一的，应当回避：</w:t>
      </w:r>
    </w:p>
    <w:p w14:paraId="77E0653C">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（1）采购人或投标人主要负责人的近亲属；</w:t>
      </w:r>
    </w:p>
    <w:p w14:paraId="34B2C679">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（2）项目主管部门或者行政监督部门的人员；</w:t>
      </w:r>
    </w:p>
    <w:p w14:paraId="30EB9004">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（3）与投标人有经济利益关系，可能影响对投标公正评审的；</w:t>
      </w:r>
    </w:p>
    <w:p w14:paraId="3166D8A2">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w:t>
      </w:r>
      <w:r>
        <w:rPr>
          <w:rFonts w:hint="eastAsia" w:asciiTheme="minorEastAsia" w:hAnsiTheme="minorEastAsia" w:eastAsiaTheme="minorEastAsia" w:cstheme="minorEastAsia"/>
          <w:color w:val="auto"/>
          <w:kern w:val="0"/>
          <w:szCs w:val="21"/>
          <w:highlight w:val="none"/>
          <w:lang w:val="en-US" w:eastAsia="zh-CN"/>
        </w:rPr>
        <w:t>4</w:t>
      </w:r>
      <w:r>
        <w:rPr>
          <w:rFonts w:hint="eastAsia" w:asciiTheme="minorEastAsia" w:hAnsiTheme="minorEastAsia" w:eastAsiaTheme="minorEastAsia" w:cstheme="minorEastAsia"/>
          <w:color w:val="auto"/>
          <w:kern w:val="0"/>
          <w:szCs w:val="21"/>
          <w:highlight w:val="none"/>
        </w:rPr>
        <w:t>）曾因在招标、评标以及其他与招标投标有关活动中从事违法行为而受过行政处罚或刑事处罚的。</w:t>
      </w:r>
    </w:p>
    <w:p w14:paraId="1BEEC9B6">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kern w:val="0"/>
          <w:szCs w:val="21"/>
          <w:highlight w:val="none"/>
          <w:lang w:val="zh-CN"/>
        </w:rPr>
      </w:pPr>
      <w:r>
        <w:rPr>
          <w:rFonts w:hint="eastAsia" w:asciiTheme="minorEastAsia" w:hAnsiTheme="minorEastAsia" w:eastAsiaTheme="minorEastAsia" w:cstheme="minorEastAsia"/>
          <w:color w:val="auto"/>
          <w:kern w:val="0"/>
          <w:szCs w:val="21"/>
          <w:highlight w:val="none"/>
        </w:rPr>
        <w:t>8.1.4 评标过程中，因评标委员会成员缺席、回避或者健康等特殊原因导致评标委员会组成不符合规定的，采购人或者采购代理机构应当依法补足后继续评标。被更换的评标委员会成员所作出的评标意见无效。无法及时补足评标委员会成员的，采购代理机构应当停止评标活动，封存所有投标文件和开标、评标资料，依法重新组建评标委员会进行评标。原评标委员会所作出的评标意见无效。</w:t>
      </w:r>
      <w:r>
        <w:rPr>
          <w:rFonts w:hint="eastAsia" w:asciiTheme="minorEastAsia" w:hAnsiTheme="minorEastAsia" w:eastAsiaTheme="minorEastAsia" w:cstheme="minorEastAsia"/>
          <w:color w:val="auto"/>
          <w:kern w:val="0"/>
          <w:szCs w:val="21"/>
          <w:highlight w:val="none"/>
          <w:lang w:val="zh-CN"/>
        </w:rPr>
        <w:t>采购代理机构</w:t>
      </w:r>
      <w:r>
        <w:rPr>
          <w:rFonts w:hint="eastAsia" w:asciiTheme="minorEastAsia" w:hAnsiTheme="minorEastAsia" w:eastAsiaTheme="minorEastAsia" w:cstheme="minorEastAsia"/>
          <w:color w:val="auto"/>
          <w:kern w:val="0"/>
          <w:szCs w:val="21"/>
          <w:highlight w:val="none"/>
        </w:rPr>
        <w:t>应当将变更、重新组建评标委员会的情况予以记录，并随采购文件一并存档。</w:t>
      </w:r>
    </w:p>
    <w:p w14:paraId="0E92D31D">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8.1.5 评委会成员名单在中标结果公告前，应当保密。</w:t>
      </w:r>
    </w:p>
    <w:p w14:paraId="1AC53495">
      <w:pPr>
        <w:keepNext w:val="0"/>
        <w:keepLines w:val="0"/>
        <w:pageBreakBefore w:val="0"/>
        <w:widowControl/>
        <w:kinsoku/>
        <w:wordWrap/>
        <w:overflowPunct/>
        <w:topLinePunct w:val="0"/>
        <w:autoSpaceDE w:val="0"/>
        <w:autoSpaceDN w:val="0"/>
        <w:bidi w:val="0"/>
        <w:spacing w:line="480" w:lineRule="exact"/>
        <w:ind w:right="51" w:firstLine="422" w:firstLineChars="200"/>
        <w:textAlignment w:val="bottom"/>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b/>
          <w:color w:val="auto"/>
          <w:szCs w:val="21"/>
          <w:highlight w:val="none"/>
        </w:rPr>
        <w:t>8.1.6  评标委员会及其成员不得有下列行为：</w:t>
      </w:r>
    </w:p>
    <w:p w14:paraId="1E04DFCC">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（1）确定参与评标至评标结束前私自接触投标人；</w:t>
      </w:r>
    </w:p>
    <w:p w14:paraId="190CD63D">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（2）接受投标人提出的与投标文件不一致的澄清或者说明；</w:t>
      </w:r>
    </w:p>
    <w:p w14:paraId="6EC317C0">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（3）违反评标纪律发表倾向性意见或者征询采购人的倾向性意见；</w:t>
      </w:r>
    </w:p>
    <w:p w14:paraId="70AED88D">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（4）对需要专业判断的主观评审因素协商评分；</w:t>
      </w:r>
    </w:p>
    <w:p w14:paraId="5EEC5D6C">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（5）在评标过程中擅离职守，影响评标程序正常进行的；</w:t>
      </w:r>
    </w:p>
    <w:p w14:paraId="2937635B">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（6）记录、复制或者带走任何评标资料；</w:t>
      </w:r>
    </w:p>
    <w:p w14:paraId="76B0F765">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（7）其他不遵守评标纪律的行为。</w:t>
      </w:r>
    </w:p>
    <w:p w14:paraId="214E32A4">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评标委员会成员有前款第一至五项行为之一的，其评审意见无效，并不得获取评审劳务报酬和报销异地评审差旅费。</w:t>
      </w:r>
    </w:p>
    <w:p w14:paraId="254EDA92">
      <w:pPr>
        <w:keepNext w:val="0"/>
        <w:keepLines w:val="0"/>
        <w:pageBreakBefore w:val="0"/>
        <w:kinsoku/>
        <w:wordWrap/>
        <w:overflowPunct/>
        <w:topLinePunct w:val="0"/>
        <w:bidi w:val="0"/>
        <w:spacing w:line="480" w:lineRule="exact"/>
        <w:rPr>
          <w:rFonts w:hint="eastAsia" w:asciiTheme="minorEastAsia" w:hAnsiTheme="minorEastAsia" w:eastAsiaTheme="minorEastAsia" w:cstheme="minorEastAsia"/>
          <w:color w:val="auto"/>
          <w:sz w:val="30"/>
          <w:szCs w:val="30"/>
          <w:highlight w:val="none"/>
        </w:rPr>
      </w:pPr>
      <w:r>
        <w:rPr>
          <w:rFonts w:hint="eastAsia" w:asciiTheme="minorEastAsia" w:hAnsiTheme="minorEastAsia" w:eastAsiaTheme="minorEastAsia" w:cstheme="minorEastAsia"/>
          <w:b/>
          <w:color w:val="auto"/>
          <w:sz w:val="30"/>
          <w:szCs w:val="30"/>
          <w:highlight w:val="none"/>
        </w:rPr>
        <w:t>8.2 评标原则</w:t>
      </w:r>
    </w:p>
    <w:p w14:paraId="3B6D03A7">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8.2.1“客观、公正、审慎”为本次评标的基本原则，评标委员会按照这一原则的要求，公正、平等地对待各投标人。同时，在评审中恪守以下原则：</w:t>
      </w:r>
    </w:p>
    <w:p w14:paraId="01A89C21">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（1）统一性原则：评标委员会将按照统一的评标原则和评审方法，用统一标准进行评审。</w:t>
      </w:r>
    </w:p>
    <w:p w14:paraId="3DE667C5">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（2）独立性原则：评标工作在评标委员会内部独立进行，不受外界任何因素的干扰和影响。评标委员会成员对其出具的意见承担个人责任。投标</w:t>
      </w:r>
      <w:r>
        <w:rPr>
          <w:rFonts w:hint="eastAsia" w:asciiTheme="minorEastAsia" w:hAnsiTheme="minorEastAsia" w:eastAsiaTheme="minorEastAsia" w:cstheme="minorEastAsia"/>
          <w:color w:val="auto"/>
          <w:kern w:val="0"/>
          <w:szCs w:val="21"/>
          <w:highlight w:val="none"/>
        </w:rPr>
        <w:t>人试图影响或干预评审的任何行为，将导致其丧失投标的资格，并承担相应的法律责任。</w:t>
      </w:r>
    </w:p>
    <w:p w14:paraId="550F738F">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（3）客观性原则：评标委员会将严格按照招标文件要求，对投标人的投标文件进行认真评审；评标委员会对投标文件的评审仅依据投标文件本身，而不依据投标文件以外的任何因素。</w:t>
      </w:r>
    </w:p>
    <w:p w14:paraId="4441C0A9">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（4）保密性原则：采购代理机构应当采取必要的措施，保证评标在严格保密情况下进行。</w:t>
      </w:r>
    </w:p>
    <w:p w14:paraId="2473F1B5">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w:t>
      </w:r>
      <w:r>
        <w:rPr>
          <w:rFonts w:hint="eastAsia" w:asciiTheme="minorEastAsia" w:hAnsiTheme="minorEastAsia" w:eastAsiaTheme="minorEastAsia" w:cstheme="minorEastAsia"/>
          <w:color w:val="auto"/>
          <w:szCs w:val="21"/>
          <w:highlight w:val="none"/>
          <w:lang w:val="en-US" w:eastAsia="zh-CN"/>
        </w:rPr>
        <w:t>5</w:t>
      </w:r>
      <w:r>
        <w:rPr>
          <w:rFonts w:hint="eastAsia" w:asciiTheme="minorEastAsia" w:hAnsiTheme="minorEastAsia" w:eastAsiaTheme="minorEastAsia" w:cstheme="minorEastAsia"/>
          <w:color w:val="auto"/>
          <w:szCs w:val="21"/>
          <w:highlight w:val="none"/>
        </w:rPr>
        <w:t>）综合性原则：评标委员会将综合分析、评审投标人的各项指标，而不以单项指标的优劣评定出中标人。</w:t>
      </w:r>
    </w:p>
    <w:p w14:paraId="4F3F2460">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8.2.2 评标委员会有权对整个招标过程中出现的一切问题，根据《中华人民共和国政府采购法》及实施条例和《政府采购货物和服务招标投标管理办法》等相关规定进行处理。</w:t>
      </w:r>
    </w:p>
    <w:p w14:paraId="2EAAF55B">
      <w:pPr>
        <w:keepNext w:val="0"/>
        <w:keepLines w:val="0"/>
        <w:pageBreakBefore w:val="0"/>
        <w:kinsoku/>
        <w:wordWrap/>
        <w:overflowPunct/>
        <w:topLinePunct w:val="0"/>
        <w:bidi w:val="0"/>
        <w:spacing w:before="120" w:beforeLines="50" w:after="120" w:afterLines="50" w:line="480" w:lineRule="exact"/>
        <w:rPr>
          <w:rFonts w:hint="eastAsia" w:asciiTheme="minorEastAsia" w:hAnsiTheme="minorEastAsia" w:eastAsiaTheme="minorEastAsia" w:cstheme="minorEastAsia"/>
          <w:b/>
          <w:color w:val="auto"/>
          <w:sz w:val="30"/>
          <w:szCs w:val="30"/>
          <w:highlight w:val="none"/>
        </w:rPr>
      </w:pPr>
      <w:r>
        <w:rPr>
          <w:rFonts w:hint="eastAsia" w:asciiTheme="minorEastAsia" w:hAnsiTheme="minorEastAsia" w:eastAsiaTheme="minorEastAsia" w:cstheme="minorEastAsia"/>
          <w:b/>
          <w:color w:val="auto"/>
          <w:sz w:val="30"/>
          <w:szCs w:val="30"/>
          <w:highlight w:val="none"/>
        </w:rPr>
        <w:t>8.3 评标</w:t>
      </w:r>
    </w:p>
    <w:p w14:paraId="79336163">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8.3.1 评标委员会按照招标文件第三章“评标办法”规定的方法、评审因素、标准和程序对投标文件进行评审。第三章“评标办法”没有规定的方法、评审因素和标准，不作为评标依据。</w:t>
      </w:r>
    </w:p>
    <w:p w14:paraId="4ACD6CBF">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8.3.2 评标委员会负责具体评标事务，并独立履行下列职责：</w:t>
      </w:r>
    </w:p>
    <w:p w14:paraId="580D2977">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（1）审查、评价投标文件是否符合招标文件的商务、技术、服务等实质性要求；</w:t>
      </w:r>
    </w:p>
    <w:p w14:paraId="1488A476">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（2）要求投标人对投标文件有关事项作出澄清或者说明；</w:t>
      </w:r>
    </w:p>
    <w:p w14:paraId="1B28D08B">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（3）对投标文件进行比较和评价；</w:t>
      </w:r>
    </w:p>
    <w:p w14:paraId="456B2748">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（4）确定中标候选人名单，以及根据采购人委托直接确定中标人；</w:t>
      </w:r>
    </w:p>
    <w:p w14:paraId="4A94C362">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（5）向采购人、采购代理机构或者有关部门报告评标中发现的违法行为。</w:t>
      </w:r>
    </w:p>
    <w:p w14:paraId="4969F902">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8.3.3</w:t>
      </w:r>
      <w:r>
        <w:rPr>
          <w:rFonts w:hint="eastAsia" w:asciiTheme="minorEastAsia" w:hAnsiTheme="minorEastAsia" w:eastAsiaTheme="minorEastAsia" w:cstheme="minorEastAsia"/>
          <w:color w:val="auto"/>
          <w:szCs w:val="21"/>
          <w:highlight w:val="none"/>
          <w:lang w:val="en-US" w:eastAsia="zh-CN"/>
        </w:rPr>
        <w:t xml:space="preserve"> </w:t>
      </w:r>
      <w:r>
        <w:rPr>
          <w:rFonts w:hint="eastAsia" w:asciiTheme="minorEastAsia" w:hAnsiTheme="minorEastAsia" w:eastAsiaTheme="minorEastAsia" w:cstheme="minorEastAsia"/>
          <w:color w:val="auto"/>
          <w:szCs w:val="21"/>
          <w:highlight w:val="none"/>
        </w:rPr>
        <w:t>评标委员会成员应当履行下列义务：</w:t>
      </w:r>
    </w:p>
    <w:p w14:paraId="7EF8B1D1">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（1）遵纪守法，客观、公正、廉洁地履行职责；</w:t>
      </w:r>
    </w:p>
    <w:p w14:paraId="3FDFF3B8">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（2）根据采购文件的规定独立进行评审，对个人的评审意见承担法律责任；</w:t>
      </w:r>
    </w:p>
    <w:p w14:paraId="3F59B177">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（3）参与评标报告的起草；</w:t>
      </w:r>
    </w:p>
    <w:p w14:paraId="74134EE3">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（4）配合采购人、采购代理机构答复投标人提出的质疑；</w:t>
      </w:r>
    </w:p>
    <w:p w14:paraId="532A5062">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（5）配合财政部门的投诉处理和监督检查工作。</w:t>
      </w:r>
    </w:p>
    <w:p w14:paraId="18EBB47A">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8.3.4 采购代理机构负责组织评标工作并履行下列职责：</w:t>
      </w:r>
    </w:p>
    <w:p w14:paraId="78A9F11A">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（1）核对评审专家身份和采购人代表授权函，对评审专家在采购活动中的职责履行情况予以记录，并及时将有关违法违规行为向财政部门报告；</w:t>
      </w:r>
    </w:p>
    <w:p w14:paraId="3DF9A880">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（2）宣布评标纪律和开启录音录像设备；</w:t>
      </w:r>
    </w:p>
    <w:p w14:paraId="27839EA8">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（3）公布投标人名单，告知评标专家应当回避的情形；</w:t>
      </w:r>
    </w:p>
    <w:p w14:paraId="033C9C00">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（4）组织评标委员会推选评标组长，采购人代表不得担任组长；</w:t>
      </w:r>
    </w:p>
    <w:p w14:paraId="4AE60E57">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（5）在评标期间采取必要的通讯管理措施，保证评标活动不受外界干扰；</w:t>
      </w:r>
    </w:p>
    <w:p w14:paraId="2EDC6160">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（6）根据评标委员会的要求介绍采购相关政策法规、招标文件；</w:t>
      </w:r>
    </w:p>
    <w:p w14:paraId="580E4756">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（7）维护评标秩序，监督评标委员会依照评标文件规定的评审程序、方法和标准进行独立评审，及时制止和纠正采购人代表、评审专家的倾向性言论或违法违规行为； </w:t>
      </w:r>
    </w:p>
    <w:p w14:paraId="5FBDC76A">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（8）核对评标结果，有《政府采购货物和服务招标投标管理办法》第六十四条规定情形的，要求评标委员会复核或书面说明理由，评标委员会拒绝的，应予记录并向本级财政部门报告；</w:t>
      </w:r>
    </w:p>
    <w:p w14:paraId="566CCCE8">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（9）评审工作完成后，按照规定向评审专家支付劳务报酬和异地评审差旅费，不得向评审专家以外的其他人员支付评审劳务报酬；</w:t>
      </w:r>
    </w:p>
    <w:p w14:paraId="0B419FA9">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（10）处理与评标有关的其他事项。</w:t>
      </w:r>
    </w:p>
    <w:p w14:paraId="0D11194B">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8.3.5 采购人可以在评标前介绍项目背景和采购需求，介绍内容不得含有歧视性、倾向性意见，不得超出招标文件所述范围。介绍应当提交书面介绍材料，并随采购文件一并存档。</w:t>
      </w:r>
    </w:p>
    <w:p w14:paraId="6367C710">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8.3.6</w:t>
      </w:r>
      <w:r>
        <w:rPr>
          <w:rFonts w:hint="eastAsia" w:asciiTheme="minorEastAsia" w:hAnsiTheme="minorEastAsia" w:eastAsiaTheme="minorEastAsia" w:cstheme="minorEastAsia"/>
          <w:color w:val="auto"/>
          <w:szCs w:val="21"/>
          <w:highlight w:val="none"/>
          <w:lang w:val="en-US" w:eastAsia="zh-CN"/>
        </w:rPr>
        <w:t xml:space="preserve"> </w:t>
      </w:r>
      <w:r>
        <w:rPr>
          <w:rFonts w:hint="eastAsia" w:asciiTheme="minorEastAsia" w:hAnsiTheme="minorEastAsia" w:eastAsiaTheme="minorEastAsia" w:cstheme="minorEastAsia"/>
          <w:color w:val="auto"/>
          <w:szCs w:val="21"/>
          <w:highlight w:val="none"/>
        </w:rPr>
        <w:t>评标过程严格保密</w:t>
      </w:r>
    </w:p>
    <w:p w14:paraId="6650AA56">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8.3.6.1 采购人、采购代理机构应当采取必要措施，保证评标在严格保密的情况下进行。除采购人代表、评标现场组织人员外，采购人的其他工作人员以及与评标工作无关的人员不得进入评标现场。</w:t>
      </w:r>
    </w:p>
    <w:p w14:paraId="51120C89">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8.3.6.2 有关人员对评标情况以及在评标过程中获悉的国家秘密、商业秘密负有保密责任。开标后，直至授予中标人合同为止，凡属于对投标文件的审查、澄清、评价和比较的有关资料以及中标候选人的推荐情况，与评标有关的其他任何情况均严格保密。</w:t>
      </w:r>
    </w:p>
    <w:p w14:paraId="6DDF32B7">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8.3.7 投标人对评标委员会的评标过程或合同授予决定施加影响的任何行为都可能导致其投标被拒绝。</w:t>
      </w:r>
      <w:bookmarkStart w:id="163" w:name="_Toc217446060"/>
    </w:p>
    <w:p w14:paraId="50ADB709">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8.3.8 评标完成后，评标委员会应当向采购人提交书面评标报告，并由采购代理机构转送。</w:t>
      </w:r>
    </w:p>
    <w:p w14:paraId="1DC440A5">
      <w:pPr>
        <w:keepNext w:val="0"/>
        <w:keepLines w:val="0"/>
        <w:pageBreakBefore w:val="0"/>
        <w:kinsoku/>
        <w:wordWrap/>
        <w:overflowPunct/>
        <w:topLinePunct w:val="0"/>
        <w:bidi w:val="0"/>
        <w:spacing w:before="120" w:beforeLines="50" w:after="120" w:afterLines="50" w:line="480" w:lineRule="exact"/>
        <w:jc w:val="center"/>
        <w:outlineLvl w:val="1"/>
        <w:rPr>
          <w:rFonts w:hint="eastAsia" w:asciiTheme="minorEastAsia" w:hAnsiTheme="minorEastAsia" w:eastAsiaTheme="minorEastAsia" w:cstheme="minorEastAsia"/>
          <w:b/>
          <w:bCs/>
          <w:color w:val="auto"/>
          <w:sz w:val="36"/>
          <w:szCs w:val="36"/>
          <w:highlight w:val="none"/>
        </w:rPr>
      </w:pPr>
      <w:bookmarkStart w:id="164" w:name="_Toc25460"/>
      <w:r>
        <w:rPr>
          <w:rFonts w:hint="eastAsia" w:asciiTheme="minorEastAsia" w:hAnsiTheme="minorEastAsia" w:eastAsiaTheme="minorEastAsia" w:cstheme="minorEastAsia"/>
          <w:b/>
          <w:bCs/>
          <w:color w:val="auto"/>
          <w:sz w:val="36"/>
          <w:szCs w:val="36"/>
          <w:highlight w:val="none"/>
        </w:rPr>
        <w:t>9.定标</w:t>
      </w:r>
      <w:bookmarkEnd w:id="163"/>
      <w:bookmarkEnd w:id="164"/>
      <w:bookmarkStart w:id="165" w:name="_Toc217446061"/>
    </w:p>
    <w:p w14:paraId="16F57E9D">
      <w:pPr>
        <w:keepNext w:val="0"/>
        <w:keepLines w:val="0"/>
        <w:pageBreakBefore w:val="0"/>
        <w:kinsoku/>
        <w:wordWrap/>
        <w:overflowPunct/>
        <w:topLinePunct w:val="0"/>
        <w:bidi w:val="0"/>
        <w:spacing w:after="120" w:afterLines="50" w:line="480" w:lineRule="exact"/>
        <w:rPr>
          <w:rFonts w:hint="eastAsia" w:asciiTheme="minorEastAsia" w:hAnsiTheme="minorEastAsia" w:eastAsiaTheme="minorEastAsia" w:cstheme="minorEastAsia"/>
          <w:b/>
          <w:color w:val="auto"/>
          <w:sz w:val="30"/>
          <w:szCs w:val="30"/>
          <w:highlight w:val="none"/>
        </w:rPr>
      </w:pPr>
      <w:r>
        <w:rPr>
          <w:rFonts w:hint="eastAsia" w:asciiTheme="minorEastAsia" w:hAnsiTheme="minorEastAsia" w:eastAsiaTheme="minorEastAsia" w:cstheme="minorEastAsia"/>
          <w:b/>
          <w:color w:val="auto"/>
          <w:sz w:val="30"/>
          <w:szCs w:val="30"/>
          <w:highlight w:val="none"/>
        </w:rPr>
        <w:t>9.1 定标原则</w:t>
      </w:r>
      <w:bookmarkEnd w:id="165"/>
    </w:p>
    <w:p w14:paraId="3B887861">
      <w:pPr>
        <w:keepNext w:val="0"/>
        <w:keepLines w:val="0"/>
        <w:pageBreakBefore w:val="0"/>
        <w:kinsoku/>
        <w:wordWrap/>
        <w:overflowPunct/>
        <w:topLinePunct w:val="0"/>
        <w:bidi w:val="0"/>
        <w:spacing w:line="480" w:lineRule="exact"/>
        <w:ind w:firstLine="411" w:firstLineChars="196"/>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采购人或其授权的评标委员会按照评标报告中推荐的中标候选人名单，按顺序确定中标人。</w:t>
      </w:r>
      <w:bookmarkStart w:id="166" w:name="_Toc217446062"/>
    </w:p>
    <w:p w14:paraId="404F9F7C">
      <w:pPr>
        <w:keepNext w:val="0"/>
        <w:keepLines w:val="0"/>
        <w:pageBreakBefore w:val="0"/>
        <w:kinsoku/>
        <w:wordWrap/>
        <w:overflowPunct/>
        <w:topLinePunct w:val="0"/>
        <w:bidi w:val="0"/>
        <w:spacing w:before="120" w:beforeLines="50" w:after="120" w:afterLines="50" w:line="480" w:lineRule="exact"/>
        <w:rPr>
          <w:rFonts w:hint="eastAsia" w:asciiTheme="minorEastAsia" w:hAnsiTheme="minorEastAsia" w:eastAsiaTheme="minorEastAsia" w:cstheme="minorEastAsia"/>
          <w:b/>
          <w:color w:val="auto"/>
          <w:sz w:val="30"/>
          <w:szCs w:val="30"/>
          <w:highlight w:val="none"/>
        </w:rPr>
      </w:pPr>
      <w:r>
        <w:rPr>
          <w:rFonts w:hint="eastAsia" w:asciiTheme="minorEastAsia" w:hAnsiTheme="minorEastAsia" w:eastAsiaTheme="minorEastAsia" w:cstheme="minorEastAsia"/>
          <w:b/>
          <w:color w:val="auto"/>
          <w:sz w:val="30"/>
          <w:szCs w:val="30"/>
          <w:highlight w:val="none"/>
        </w:rPr>
        <w:t>9.2 定标程序</w:t>
      </w:r>
      <w:bookmarkEnd w:id="166"/>
    </w:p>
    <w:p w14:paraId="2A04E1A2">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9.2.1评标委员会将推荐3个中标候选人，并按照综合得分高低标明排列顺序。得分相同的，按投标报价由低到高顺序排列；得分且投标报价相同的并列。</w:t>
      </w:r>
    </w:p>
    <w:p w14:paraId="1DC388C9">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9.2.2 采购代理机构在评标结束后2个工作日内将评标报告送采购人。</w:t>
      </w:r>
    </w:p>
    <w:p w14:paraId="70F7D45C">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9.2.3 采购人应当在收到评标报告后5个工作日内，按照评标报告中推荐的中标候选人顺序和有关规定确定中标人，第一名中标候选人并列的，由采购人根据</w:t>
      </w:r>
      <w:r>
        <w:rPr>
          <w:rFonts w:hint="eastAsia" w:asciiTheme="minorEastAsia" w:hAnsiTheme="minorEastAsia" w:eastAsiaTheme="minorEastAsia" w:cstheme="minorEastAsia"/>
          <w:color w:val="auto"/>
          <w:szCs w:val="21"/>
          <w:highlight w:val="none"/>
          <w:u w:val="single"/>
        </w:rPr>
        <w:t>得分相同的，按投标报价由低到高顺序排列。得分且投标报价相同的，投标文件满足招标文件全部实质性要求且按评审因素的量化指标评审得分最高的投标人为排名第一的中标候选人</w:t>
      </w:r>
      <w:r>
        <w:rPr>
          <w:rFonts w:hint="eastAsia" w:asciiTheme="minorEastAsia" w:hAnsiTheme="minorEastAsia" w:eastAsiaTheme="minorEastAsia" w:cstheme="minorEastAsia"/>
          <w:color w:val="auto"/>
          <w:szCs w:val="21"/>
          <w:highlight w:val="none"/>
        </w:rPr>
        <w:t>。同时，将中标结果复函至采购代理机构。</w:t>
      </w:r>
    </w:p>
    <w:p w14:paraId="17C94FC1">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shd w:val="clear" w:color="auto" w:fill="FFFFFF"/>
        </w:rPr>
        <w:t>采购人在收到评标报告5个工作日内未按评标报告推荐的中标候选人顺序确定中标人，又不能说明合法理由的，视同按评标报告推荐的顺序确定排名第一的中标候选人为中标人。</w:t>
      </w:r>
    </w:p>
    <w:p w14:paraId="6868BBC2">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9.2.4 采购代理机构应当在接到采购人“定标”复函之日起2个工作日内，根据采购人确定的中标人，在省级以上财政部门指定的媒体上发布中标公告，同时向中标人发出《中标通知书》。</w:t>
      </w:r>
    </w:p>
    <w:p w14:paraId="40BABBAA">
      <w:pPr>
        <w:keepNext w:val="0"/>
        <w:keepLines w:val="0"/>
        <w:pageBreakBefore w:val="0"/>
        <w:widowControl/>
        <w:kinsoku/>
        <w:wordWrap/>
        <w:overflowPunct/>
        <w:topLinePunct w:val="0"/>
        <w:autoSpaceDE/>
        <w:autoSpaceDN/>
        <w:bidi w:val="0"/>
        <w:adjustRightInd/>
        <w:snapToGrid/>
        <w:spacing w:line="480" w:lineRule="exact"/>
        <w:ind w:firstLine="420" w:firstLineChars="200"/>
        <w:jc w:val="left"/>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9.2.5 采购代理机构，应当</w:t>
      </w:r>
      <w:r>
        <w:rPr>
          <w:rFonts w:hint="eastAsia" w:asciiTheme="minorEastAsia" w:hAnsiTheme="minorEastAsia" w:eastAsiaTheme="minorEastAsia" w:cstheme="minorEastAsia"/>
          <w:color w:val="auto"/>
          <w:kern w:val="0"/>
          <w:szCs w:val="21"/>
          <w:highlight w:val="none"/>
        </w:rPr>
        <w:t>对未通过资格审查或未通符合性审查的投标人，告知其未通过的原因；采用综合评分法评审的，还应当告知未中标人本身的评审得分与排序。</w:t>
      </w:r>
    </w:p>
    <w:p w14:paraId="5B330E85">
      <w:pPr>
        <w:keepNext w:val="0"/>
        <w:keepLines w:val="0"/>
        <w:pageBreakBefore w:val="0"/>
        <w:kinsoku/>
        <w:wordWrap/>
        <w:overflowPunct/>
        <w:topLinePunct w:val="0"/>
        <w:bidi w:val="0"/>
        <w:spacing w:before="120" w:beforeLines="50" w:after="120" w:afterLines="50" w:line="480" w:lineRule="exact"/>
        <w:rPr>
          <w:rFonts w:hint="eastAsia" w:asciiTheme="minorEastAsia" w:hAnsiTheme="minorEastAsia" w:eastAsiaTheme="minorEastAsia" w:cstheme="minorEastAsia"/>
          <w:b/>
          <w:color w:val="auto"/>
          <w:sz w:val="30"/>
          <w:szCs w:val="30"/>
          <w:highlight w:val="none"/>
        </w:rPr>
      </w:pPr>
      <w:bookmarkStart w:id="167" w:name="_Toc183682375"/>
      <w:bookmarkStart w:id="168" w:name="_Toc183582238"/>
      <w:bookmarkStart w:id="169" w:name="_Toc217446063"/>
      <w:r>
        <w:rPr>
          <w:rFonts w:hint="eastAsia" w:asciiTheme="minorEastAsia" w:hAnsiTheme="minorEastAsia" w:eastAsiaTheme="minorEastAsia" w:cstheme="minorEastAsia"/>
          <w:b/>
          <w:bCs/>
          <w:color w:val="auto"/>
          <w:sz w:val="30"/>
          <w:szCs w:val="30"/>
          <w:highlight w:val="none"/>
        </w:rPr>
        <w:t>9.3 中标通知</w:t>
      </w:r>
      <w:bookmarkEnd w:id="167"/>
      <w:bookmarkEnd w:id="168"/>
      <w:r>
        <w:rPr>
          <w:rFonts w:hint="eastAsia" w:asciiTheme="minorEastAsia" w:hAnsiTheme="minorEastAsia" w:eastAsiaTheme="minorEastAsia" w:cstheme="minorEastAsia"/>
          <w:b/>
          <w:bCs/>
          <w:color w:val="auto"/>
          <w:sz w:val="30"/>
          <w:szCs w:val="30"/>
          <w:highlight w:val="none"/>
        </w:rPr>
        <w:t>书</w:t>
      </w:r>
      <w:bookmarkEnd w:id="169"/>
    </w:p>
    <w:p w14:paraId="39F91345">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9.3.1 中标通知书为签订采购合同的依据之一，是合同的有效组成部分。</w:t>
      </w:r>
    </w:p>
    <w:p w14:paraId="6BBE51FC">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9.3.2 中标通知书对采购人和中标人均具有法律效力。中标通知书发出后，采购人不得违法改变中标结果，中标人无正当理由不得放弃中标。否则，应当承担相应的法律责任。</w:t>
      </w:r>
    </w:p>
    <w:p w14:paraId="325F507E">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9.3.3 中标人应当在接到采购代理机构通知之日起2个工作日内领取《中标通知书》。</w:t>
      </w:r>
    </w:p>
    <w:p w14:paraId="7C7EC1F1">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9.3.4 在《中标通知书》发出后，发现中标人有</w:t>
      </w: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szCs w:val="21"/>
          <w:highlight w:val="none"/>
        </w:rPr>
        <w:t>采购法律法规规章制度规定的中标无效情形的，采购代理机构应当宣布发出的中标通知书无效，并收回发出的中标通知书（中标人也应当交回），依法重新确定中标人或者重新开展采购活动，同时向同级财政部门报告。</w:t>
      </w:r>
    </w:p>
    <w:p w14:paraId="35D6CA35">
      <w:pPr>
        <w:keepNext w:val="0"/>
        <w:keepLines w:val="0"/>
        <w:pageBreakBefore w:val="0"/>
        <w:tabs>
          <w:tab w:val="left" w:pos="7665"/>
        </w:tabs>
        <w:kinsoku/>
        <w:wordWrap/>
        <w:overflowPunct/>
        <w:topLinePunct w:val="0"/>
        <w:bidi w:val="0"/>
        <w:spacing w:before="240" w:beforeLines="100" w:after="240" w:afterLines="100" w:line="480" w:lineRule="exact"/>
        <w:jc w:val="center"/>
        <w:outlineLvl w:val="1"/>
        <w:rPr>
          <w:rFonts w:hint="eastAsia" w:asciiTheme="minorEastAsia" w:hAnsiTheme="minorEastAsia" w:eastAsiaTheme="minorEastAsia" w:cstheme="minorEastAsia"/>
          <w:b/>
          <w:bCs/>
          <w:color w:val="auto"/>
          <w:sz w:val="36"/>
          <w:szCs w:val="36"/>
          <w:highlight w:val="none"/>
        </w:rPr>
      </w:pPr>
      <w:bookmarkStart w:id="170" w:name="_Toc217446064"/>
      <w:bookmarkStart w:id="171" w:name="_Toc26438"/>
      <w:bookmarkStart w:id="172" w:name="_Toc183682377"/>
      <w:bookmarkStart w:id="173" w:name="_Toc183582240"/>
      <w:r>
        <w:rPr>
          <w:rFonts w:hint="eastAsia" w:asciiTheme="minorEastAsia" w:hAnsiTheme="minorEastAsia" w:eastAsiaTheme="minorEastAsia" w:cstheme="minorEastAsia"/>
          <w:b/>
          <w:bCs/>
          <w:color w:val="auto"/>
          <w:sz w:val="36"/>
          <w:szCs w:val="36"/>
          <w:highlight w:val="none"/>
        </w:rPr>
        <w:t>10.合同</w:t>
      </w:r>
      <w:bookmarkEnd w:id="170"/>
      <w:r>
        <w:rPr>
          <w:rFonts w:hint="eastAsia" w:asciiTheme="minorEastAsia" w:hAnsiTheme="minorEastAsia" w:eastAsiaTheme="minorEastAsia" w:cstheme="minorEastAsia"/>
          <w:b/>
          <w:bCs/>
          <w:color w:val="auto"/>
          <w:sz w:val="36"/>
          <w:szCs w:val="36"/>
          <w:highlight w:val="none"/>
        </w:rPr>
        <w:t>授予</w:t>
      </w:r>
      <w:bookmarkEnd w:id="171"/>
      <w:bookmarkStart w:id="174" w:name="_Toc217446065"/>
    </w:p>
    <w:p w14:paraId="4ED47D3C">
      <w:pPr>
        <w:keepNext w:val="0"/>
        <w:keepLines w:val="0"/>
        <w:pageBreakBefore w:val="0"/>
        <w:tabs>
          <w:tab w:val="left" w:pos="7665"/>
        </w:tabs>
        <w:kinsoku/>
        <w:wordWrap/>
        <w:overflowPunct/>
        <w:topLinePunct w:val="0"/>
        <w:bidi w:val="0"/>
        <w:spacing w:before="120" w:beforeLines="50" w:after="120" w:afterLines="50" w:line="480" w:lineRule="exact"/>
        <w:rPr>
          <w:rFonts w:hint="eastAsia" w:asciiTheme="minorEastAsia" w:hAnsiTheme="minorEastAsia" w:eastAsiaTheme="minorEastAsia" w:cstheme="minorEastAsia"/>
          <w:b/>
          <w:color w:val="auto"/>
          <w:sz w:val="30"/>
          <w:szCs w:val="30"/>
          <w:highlight w:val="none"/>
        </w:rPr>
      </w:pPr>
      <w:r>
        <w:rPr>
          <w:rFonts w:hint="eastAsia" w:asciiTheme="minorEastAsia" w:hAnsiTheme="minorEastAsia" w:eastAsiaTheme="minorEastAsia" w:cstheme="minorEastAsia"/>
          <w:b/>
          <w:color w:val="auto"/>
          <w:sz w:val="30"/>
          <w:szCs w:val="30"/>
          <w:highlight w:val="none"/>
        </w:rPr>
        <w:t>10.1 履约保证金</w:t>
      </w:r>
    </w:p>
    <w:p w14:paraId="0EC9974E">
      <w:pPr>
        <w:keepNext w:val="0"/>
        <w:keepLines w:val="0"/>
        <w:pageBreakBefore w:val="0"/>
        <w:tabs>
          <w:tab w:val="left" w:pos="7665"/>
        </w:tabs>
        <w:kinsoku/>
        <w:wordWrap/>
        <w:overflowPunct/>
        <w:topLinePunct w:val="0"/>
        <w:bidi w:val="0"/>
        <w:spacing w:line="480" w:lineRule="exact"/>
        <w:ind w:firstLine="482"/>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10.1.1 本项目需要提交履约保证金的，适用本条。</w:t>
      </w:r>
    </w:p>
    <w:p w14:paraId="632431C0">
      <w:pPr>
        <w:keepNext w:val="0"/>
        <w:keepLines w:val="0"/>
        <w:pageBreakBefore w:val="0"/>
        <w:tabs>
          <w:tab w:val="left" w:pos="7665"/>
        </w:tabs>
        <w:kinsoku/>
        <w:wordWrap/>
        <w:overflowPunct/>
        <w:topLinePunct w:val="0"/>
        <w:bidi w:val="0"/>
        <w:spacing w:line="480" w:lineRule="exact"/>
        <w:ind w:firstLine="482"/>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10.1.2</w:t>
      </w:r>
      <w:r>
        <w:rPr>
          <w:rFonts w:hint="eastAsia" w:asciiTheme="minorEastAsia" w:hAnsiTheme="minorEastAsia" w:eastAsiaTheme="minorEastAsia" w:cstheme="minorEastAsia"/>
          <w:color w:val="auto"/>
          <w:kern w:val="0"/>
          <w:szCs w:val="21"/>
          <w:highlight w:val="none"/>
        </w:rPr>
        <w:t xml:space="preserve"> </w:t>
      </w:r>
      <w:r>
        <w:rPr>
          <w:rFonts w:hint="eastAsia" w:asciiTheme="minorEastAsia" w:hAnsiTheme="minorEastAsia" w:eastAsiaTheme="minorEastAsia" w:cstheme="minorEastAsia"/>
          <w:color w:val="auto"/>
          <w:szCs w:val="21"/>
          <w:highlight w:val="none"/>
        </w:rPr>
        <w:t>中标人在收到采购代理机构的中标通知书后10日内，应按照</w:t>
      </w:r>
      <w:r>
        <w:rPr>
          <w:rFonts w:hint="eastAsia" w:asciiTheme="minorEastAsia" w:hAnsiTheme="minorEastAsia" w:eastAsiaTheme="minorEastAsia" w:cstheme="minorEastAsia"/>
          <w:b/>
          <w:color w:val="auto"/>
          <w:szCs w:val="21"/>
          <w:highlight w:val="none"/>
        </w:rPr>
        <w:t>投标人须知前附表</w:t>
      </w:r>
      <w:r>
        <w:rPr>
          <w:rFonts w:hint="eastAsia" w:asciiTheme="minorEastAsia" w:hAnsiTheme="minorEastAsia" w:eastAsiaTheme="minorEastAsia" w:cstheme="minorEastAsia"/>
          <w:color w:val="auto"/>
          <w:szCs w:val="21"/>
          <w:highlight w:val="none"/>
        </w:rPr>
        <w:t>规定的形式、金额，向采购人提交履约保证金或履约担保。联合体中标的，履约保证金或履约担保由联合体各方或者联合体中牵头人的名义提交。</w:t>
      </w:r>
    </w:p>
    <w:p w14:paraId="09F5DB51">
      <w:pPr>
        <w:keepNext w:val="0"/>
        <w:keepLines w:val="0"/>
        <w:pageBreakBefore w:val="0"/>
        <w:tabs>
          <w:tab w:val="left" w:pos="7665"/>
        </w:tabs>
        <w:kinsoku/>
        <w:wordWrap/>
        <w:overflowPunct/>
        <w:topLinePunct w:val="0"/>
        <w:bidi w:val="0"/>
        <w:spacing w:line="480" w:lineRule="exact"/>
        <w:ind w:firstLine="482"/>
        <w:rPr>
          <w:rFonts w:hint="eastAsia" w:asciiTheme="minorEastAsia" w:hAnsiTheme="minorEastAsia" w:eastAsiaTheme="minorEastAsia" w:cstheme="minorEastAsia"/>
          <w:b/>
          <w:color w:val="auto"/>
          <w:szCs w:val="21"/>
          <w:highlight w:val="none"/>
        </w:rPr>
      </w:pPr>
      <w:r>
        <w:rPr>
          <w:rFonts w:hint="eastAsia" w:asciiTheme="minorEastAsia" w:hAnsiTheme="minorEastAsia" w:eastAsiaTheme="minorEastAsia" w:cstheme="minorEastAsia"/>
          <w:color w:val="auto"/>
          <w:szCs w:val="21"/>
          <w:highlight w:val="none"/>
        </w:rPr>
        <w:t>10.1.3 中标人</w:t>
      </w:r>
      <w:r>
        <w:rPr>
          <w:rFonts w:hint="eastAsia" w:asciiTheme="minorEastAsia" w:hAnsiTheme="minorEastAsia" w:eastAsiaTheme="minorEastAsia" w:cstheme="minorEastAsia"/>
          <w:color w:val="auto"/>
          <w:spacing w:val="4"/>
          <w:szCs w:val="21"/>
          <w:highlight w:val="none"/>
        </w:rPr>
        <w:t>不能按照本章第10.1.2项规定</w:t>
      </w:r>
      <w:r>
        <w:rPr>
          <w:rFonts w:hint="eastAsia" w:asciiTheme="minorEastAsia" w:hAnsiTheme="minorEastAsia" w:eastAsiaTheme="minorEastAsia" w:cstheme="minorEastAsia"/>
          <w:color w:val="auto"/>
          <w:szCs w:val="21"/>
          <w:highlight w:val="none"/>
        </w:rPr>
        <w:t>提交履约保证金或履约担保的</w:t>
      </w:r>
      <w:r>
        <w:rPr>
          <w:rFonts w:hint="eastAsia" w:asciiTheme="minorEastAsia" w:hAnsiTheme="minorEastAsia" w:eastAsiaTheme="minorEastAsia" w:cstheme="minorEastAsia"/>
          <w:color w:val="auto"/>
          <w:spacing w:val="4"/>
          <w:szCs w:val="21"/>
          <w:highlight w:val="none"/>
        </w:rPr>
        <w:t>，视为放弃</w:t>
      </w:r>
      <w:r>
        <w:rPr>
          <w:rFonts w:hint="eastAsia" w:asciiTheme="minorEastAsia" w:hAnsiTheme="minorEastAsia" w:eastAsiaTheme="minorEastAsia" w:cstheme="minorEastAsia"/>
          <w:color w:val="auto"/>
          <w:szCs w:val="21"/>
          <w:highlight w:val="none"/>
        </w:rPr>
        <w:t>中标资格</w:t>
      </w:r>
      <w:r>
        <w:rPr>
          <w:rFonts w:hint="eastAsia" w:asciiTheme="minorEastAsia" w:hAnsiTheme="minorEastAsia" w:eastAsiaTheme="minorEastAsia" w:cstheme="minorEastAsia"/>
          <w:color w:val="auto"/>
          <w:spacing w:val="4"/>
          <w:szCs w:val="21"/>
          <w:highlight w:val="none"/>
        </w:rPr>
        <w:t>，</w:t>
      </w:r>
      <w:r>
        <w:rPr>
          <w:rFonts w:hint="eastAsia" w:asciiTheme="minorEastAsia" w:hAnsiTheme="minorEastAsia" w:eastAsiaTheme="minorEastAsia" w:cstheme="minorEastAsia"/>
          <w:color w:val="auto"/>
          <w:spacing w:val="2"/>
          <w:szCs w:val="21"/>
          <w:highlight w:val="none"/>
        </w:rPr>
        <w:t>其投标保证金不予退还，给采购人造成的损失超过投标保证金金额的，中标人应当对超过部分予以赔偿。</w:t>
      </w:r>
    </w:p>
    <w:p w14:paraId="3103153B">
      <w:pPr>
        <w:keepNext w:val="0"/>
        <w:keepLines w:val="0"/>
        <w:pageBreakBefore w:val="0"/>
        <w:tabs>
          <w:tab w:val="left" w:pos="7665"/>
        </w:tabs>
        <w:kinsoku/>
        <w:wordWrap/>
        <w:overflowPunct/>
        <w:topLinePunct w:val="0"/>
        <w:bidi w:val="0"/>
        <w:spacing w:before="120" w:beforeLines="50" w:after="120" w:afterLines="50" w:line="480" w:lineRule="exact"/>
        <w:rPr>
          <w:rFonts w:hint="eastAsia" w:asciiTheme="minorEastAsia" w:hAnsiTheme="minorEastAsia" w:eastAsiaTheme="minorEastAsia" w:cstheme="minorEastAsia"/>
          <w:b/>
          <w:color w:val="auto"/>
          <w:sz w:val="30"/>
          <w:szCs w:val="30"/>
          <w:highlight w:val="none"/>
        </w:rPr>
      </w:pPr>
      <w:r>
        <w:rPr>
          <w:rFonts w:hint="eastAsia" w:asciiTheme="minorEastAsia" w:hAnsiTheme="minorEastAsia" w:eastAsiaTheme="minorEastAsia" w:cstheme="minorEastAsia"/>
          <w:b/>
          <w:color w:val="auto"/>
          <w:sz w:val="30"/>
          <w:szCs w:val="30"/>
          <w:highlight w:val="none"/>
        </w:rPr>
        <w:t>10.2 签订合同</w:t>
      </w:r>
      <w:bookmarkEnd w:id="174"/>
    </w:p>
    <w:p w14:paraId="411A146D">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10.2.1 中标人应在《中标通知书》发出之日起30日内与采购人签订采购合同。中标人无正当理由拒签合同，或者在签订合同时向采购人提出附件条件，采购人有权取消其中标资格，其投标保证金不予退还，给采购人造成的损失超过投标保证金数额的，中标人应当对超过部分予以赔偿。采购人可以与排在中标人之后第一位的候选人签订采购合同，或者重新开展采购活动。拒绝签订采购合同的中标人不得参加对该项目重新开展的采购活动。</w:t>
      </w:r>
    </w:p>
    <w:p w14:paraId="654AEC25">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10.2.2 发出中标通知书后，采购人不得向中标人提出任何不合理要求，作为签订合的条件，不得与中标人私下订立背离合同实质性内容的任何协议，所签订的合同不得对招标文件确定的事项和中标人投标文件做实质性修改。</w:t>
      </w:r>
    </w:p>
    <w:p w14:paraId="1B387148">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10.2.3</w:t>
      </w:r>
      <w:r>
        <w:rPr>
          <w:rFonts w:hint="eastAsia" w:asciiTheme="minorEastAsia" w:hAnsiTheme="minorEastAsia" w:eastAsiaTheme="minorEastAsia" w:cstheme="minorEastAsia"/>
          <w:color w:val="auto"/>
          <w:szCs w:val="21"/>
          <w:highlight w:val="none"/>
          <w:lang w:val="en-US" w:eastAsia="zh-CN"/>
        </w:rPr>
        <w:t xml:space="preserve"> </w:t>
      </w:r>
      <w:r>
        <w:rPr>
          <w:rFonts w:hint="eastAsia" w:asciiTheme="minorEastAsia" w:hAnsiTheme="minorEastAsia" w:eastAsiaTheme="minorEastAsia" w:cstheme="minorEastAsia"/>
          <w:color w:val="auto"/>
          <w:szCs w:val="21"/>
          <w:highlight w:val="none"/>
        </w:rPr>
        <w:t>中标人因不可抗力原因不能履行采购合同或放弃中标的，采购人可以与排在中标人之后第一位的中标候选人签订采购合同，以此类推。</w:t>
      </w:r>
      <w:bookmarkStart w:id="175" w:name="_Toc217446066"/>
    </w:p>
    <w:p w14:paraId="207061AA">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10.2.4 联合体中标的，联合体各方应当与采购人签订采购合同，就中标项目向采购人承担连带责任。</w:t>
      </w:r>
    </w:p>
    <w:p w14:paraId="52E0E70A">
      <w:pPr>
        <w:keepNext w:val="0"/>
        <w:keepLines w:val="0"/>
        <w:pageBreakBefore w:val="0"/>
        <w:kinsoku/>
        <w:wordWrap/>
        <w:overflowPunct/>
        <w:topLinePunct w:val="0"/>
        <w:bidi w:val="0"/>
        <w:snapToGrid w:val="0"/>
        <w:spacing w:before="120" w:beforeLines="50" w:after="120" w:afterLines="50" w:line="480" w:lineRule="exact"/>
        <w:rPr>
          <w:rFonts w:hint="eastAsia" w:asciiTheme="minorEastAsia" w:hAnsiTheme="minorEastAsia" w:eastAsiaTheme="minorEastAsia" w:cstheme="minorEastAsia"/>
          <w:b/>
          <w:bCs/>
          <w:color w:val="auto"/>
          <w:sz w:val="30"/>
          <w:szCs w:val="30"/>
          <w:highlight w:val="none"/>
        </w:rPr>
      </w:pPr>
      <w:bookmarkStart w:id="176" w:name="_Toc322606648"/>
      <w:r>
        <w:rPr>
          <w:rFonts w:hint="eastAsia" w:asciiTheme="minorEastAsia" w:hAnsiTheme="minorEastAsia" w:eastAsiaTheme="minorEastAsia" w:cstheme="minorEastAsia"/>
          <w:b/>
          <w:bCs/>
          <w:color w:val="auto"/>
          <w:sz w:val="30"/>
          <w:szCs w:val="30"/>
          <w:highlight w:val="none"/>
        </w:rPr>
        <w:t>10.3 合同履行</w:t>
      </w:r>
      <w:bookmarkEnd w:id="176"/>
    </w:p>
    <w:p w14:paraId="31C54B46">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10.3.1 采购合同的履行、违约责任和解决争议的方法等适用《</w:t>
      </w:r>
      <w:r>
        <w:rPr>
          <w:rFonts w:hint="eastAsia" w:asciiTheme="minorEastAsia" w:hAnsiTheme="minorEastAsia" w:eastAsiaTheme="minorEastAsia" w:cstheme="minorEastAsia"/>
          <w:color w:val="auto"/>
          <w:szCs w:val="21"/>
          <w:highlight w:val="none"/>
          <w:lang w:eastAsia="zh-CN"/>
        </w:rPr>
        <w:t>中华人民共和国民法典</w:t>
      </w:r>
      <w:r>
        <w:rPr>
          <w:rFonts w:hint="eastAsia" w:asciiTheme="minorEastAsia" w:hAnsiTheme="minorEastAsia" w:eastAsiaTheme="minorEastAsia" w:cstheme="minorEastAsia"/>
          <w:color w:val="auto"/>
          <w:szCs w:val="21"/>
          <w:highlight w:val="none"/>
        </w:rPr>
        <w:t>》。</w:t>
      </w:r>
    </w:p>
    <w:p w14:paraId="2372AF01">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10.3.2 </w:t>
      </w:r>
      <w:r>
        <w:rPr>
          <w:rFonts w:hint="eastAsia" w:asciiTheme="minorEastAsia" w:hAnsiTheme="minorEastAsia" w:eastAsiaTheme="minorEastAsia" w:cstheme="minorEastAsia"/>
          <w:color w:val="auto"/>
          <w:szCs w:val="21"/>
          <w:highlight w:val="none"/>
          <w:lang w:eastAsia="zh-TW"/>
        </w:rPr>
        <w:t>采购合同订立后，合同各方不得擅自变更</w:t>
      </w:r>
      <w:r>
        <w:rPr>
          <w:rFonts w:hint="eastAsia" w:asciiTheme="minorEastAsia" w:hAnsiTheme="minorEastAsia" w:eastAsiaTheme="minorEastAsia" w:cstheme="minorEastAsia"/>
          <w:color w:val="auto"/>
          <w:szCs w:val="21"/>
          <w:highlight w:val="none"/>
        </w:rPr>
        <w:t>或者</w:t>
      </w:r>
      <w:r>
        <w:rPr>
          <w:rFonts w:hint="eastAsia" w:asciiTheme="minorEastAsia" w:hAnsiTheme="minorEastAsia" w:eastAsiaTheme="minorEastAsia" w:cstheme="minorEastAsia"/>
          <w:color w:val="auto"/>
          <w:szCs w:val="21"/>
          <w:highlight w:val="none"/>
          <w:lang w:eastAsia="zh-TW"/>
        </w:rPr>
        <w:t>中止或者终止合同。采购合同需要变更的，采购人应将有关合同变更内容，以书面形式</w:t>
      </w:r>
      <w:r>
        <w:rPr>
          <w:rFonts w:hint="eastAsia" w:asciiTheme="minorEastAsia" w:hAnsiTheme="minorEastAsia" w:eastAsiaTheme="minorEastAsia" w:cstheme="minorEastAsia"/>
          <w:color w:val="auto"/>
          <w:szCs w:val="21"/>
          <w:highlight w:val="none"/>
          <w:lang w:val="zh-CN" w:eastAsia="zh-TW"/>
        </w:rPr>
        <w:t>或政采云平台</w:t>
      </w:r>
      <w:r>
        <w:rPr>
          <w:rFonts w:hint="eastAsia" w:asciiTheme="minorEastAsia" w:hAnsiTheme="minorEastAsia" w:eastAsiaTheme="minorEastAsia" w:cstheme="minorEastAsia"/>
          <w:color w:val="auto"/>
          <w:szCs w:val="21"/>
          <w:highlight w:val="none"/>
          <w:lang w:eastAsia="zh-TW"/>
        </w:rPr>
        <w:t>报采购监督管理</w:t>
      </w:r>
      <w:r>
        <w:rPr>
          <w:rFonts w:hint="eastAsia" w:asciiTheme="minorEastAsia" w:hAnsiTheme="minorEastAsia" w:eastAsiaTheme="minorEastAsia" w:cstheme="minorEastAsia"/>
          <w:color w:val="auto"/>
          <w:szCs w:val="21"/>
          <w:highlight w:val="none"/>
        </w:rPr>
        <w:t>部门</w:t>
      </w:r>
      <w:r>
        <w:rPr>
          <w:rFonts w:hint="eastAsia" w:asciiTheme="minorEastAsia" w:hAnsiTheme="minorEastAsia" w:eastAsiaTheme="minorEastAsia" w:cstheme="minorEastAsia"/>
          <w:color w:val="auto"/>
          <w:szCs w:val="21"/>
          <w:highlight w:val="none"/>
          <w:lang w:eastAsia="zh-TW"/>
        </w:rPr>
        <w:t>备案；因特殊情况需要中止或终止合同的，采购人应将中止或终止合同的理由以及相应措施，以书面形式</w:t>
      </w:r>
      <w:r>
        <w:rPr>
          <w:rFonts w:hint="eastAsia" w:asciiTheme="minorEastAsia" w:hAnsiTheme="minorEastAsia" w:eastAsiaTheme="minorEastAsia" w:cstheme="minorEastAsia"/>
          <w:color w:val="auto"/>
          <w:sz w:val="21"/>
          <w:szCs w:val="21"/>
          <w:highlight w:val="none"/>
          <w:lang w:val="zh-CN"/>
        </w:rPr>
        <w:t>或政采云平台</w:t>
      </w:r>
      <w:r>
        <w:rPr>
          <w:rFonts w:hint="eastAsia" w:asciiTheme="minorEastAsia" w:hAnsiTheme="minorEastAsia" w:eastAsiaTheme="minorEastAsia" w:cstheme="minorEastAsia"/>
          <w:color w:val="auto"/>
          <w:szCs w:val="21"/>
          <w:highlight w:val="none"/>
          <w:lang w:eastAsia="zh-TW"/>
        </w:rPr>
        <w:t>报监督管理</w:t>
      </w:r>
      <w:r>
        <w:rPr>
          <w:rFonts w:hint="eastAsia" w:asciiTheme="minorEastAsia" w:hAnsiTheme="minorEastAsia" w:eastAsiaTheme="minorEastAsia" w:cstheme="minorEastAsia"/>
          <w:color w:val="auto"/>
          <w:szCs w:val="21"/>
          <w:highlight w:val="none"/>
        </w:rPr>
        <w:t>部门</w:t>
      </w:r>
      <w:r>
        <w:rPr>
          <w:rFonts w:hint="eastAsia" w:asciiTheme="minorEastAsia" w:hAnsiTheme="minorEastAsia" w:eastAsiaTheme="minorEastAsia" w:cstheme="minorEastAsia"/>
          <w:color w:val="auto"/>
          <w:szCs w:val="21"/>
          <w:highlight w:val="none"/>
          <w:lang w:eastAsia="zh-TW"/>
        </w:rPr>
        <w:t>备案。</w:t>
      </w:r>
    </w:p>
    <w:p w14:paraId="52B09D20">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10.3.3 </w:t>
      </w:r>
      <w:r>
        <w:rPr>
          <w:rFonts w:hint="eastAsia" w:asciiTheme="minorEastAsia" w:hAnsiTheme="minorEastAsia" w:eastAsiaTheme="minorEastAsia" w:cstheme="minorEastAsia"/>
          <w:color w:val="auto"/>
          <w:szCs w:val="21"/>
          <w:highlight w:val="none"/>
          <w:lang w:eastAsia="zh-TW"/>
        </w:rPr>
        <w:t>采购合同履行中，采购人需追加与合同标的相同的货物的，在不改变合同其他条款的前提下，可以与</w:t>
      </w:r>
      <w:r>
        <w:rPr>
          <w:rFonts w:hint="eastAsia" w:asciiTheme="minorEastAsia" w:hAnsiTheme="minorEastAsia" w:eastAsiaTheme="minorEastAsia" w:cstheme="minorEastAsia"/>
          <w:color w:val="auto"/>
          <w:szCs w:val="21"/>
          <w:highlight w:val="none"/>
        </w:rPr>
        <w:t>中标人</w:t>
      </w:r>
      <w:r>
        <w:rPr>
          <w:rFonts w:hint="eastAsia" w:asciiTheme="minorEastAsia" w:hAnsiTheme="minorEastAsia" w:eastAsiaTheme="minorEastAsia" w:cstheme="minorEastAsia"/>
          <w:color w:val="auto"/>
          <w:szCs w:val="21"/>
          <w:highlight w:val="none"/>
          <w:lang w:eastAsia="zh-TW"/>
        </w:rPr>
        <w:t>签订补充合同，但所补充合同的采购金额不得超过原</w:t>
      </w:r>
      <w:r>
        <w:rPr>
          <w:rFonts w:hint="eastAsia" w:asciiTheme="minorEastAsia" w:hAnsiTheme="minorEastAsia" w:eastAsiaTheme="minorEastAsia" w:cstheme="minorEastAsia"/>
          <w:color w:val="auto"/>
          <w:szCs w:val="21"/>
          <w:highlight w:val="none"/>
        </w:rPr>
        <w:t>合同</w:t>
      </w:r>
      <w:r>
        <w:rPr>
          <w:rFonts w:hint="eastAsia" w:asciiTheme="minorEastAsia" w:hAnsiTheme="minorEastAsia" w:eastAsiaTheme="minorEastAsia" w:cstheme="minorEastAsia"/>
          <w:color w:val="auto"/>
          <w:szCs w:val="21"/>
          <w:highlight w:val="none"/>
          <w:lang w:eastAsia="zh-TW"/>
        </w:rPr>
        <w:t>采购金额的百分之十。签订补充合同的</w:t>
      </w:r>
      <w:r>
        <w:rPr>
          <w:rFonts w:hint="eastAsia" w:asciiTheme="minorEastAsia" w:hAnsiTheme="minorEastAsia" w:eastAsiaTheme="minorEastAsia" w:cstheme="minorEastAsia"/>
          <w:color w:val="auto"/>
          <w:szCs w:val="21"/>
          <w:highlight w:val="none"/>
        </w:rPr>
        <w:t>应</w:t>
      </w:r>
      <w:r>
        <w:rPr>
          <w:rFonts w:hint="eastAsia" w:asciiTheme="minorEastAsia" w:hAnsiTheme="minorEastAsia" w:eastAsiaTheme="minorEastAsia" w:cstheme="minorEastAsia"/>
          <w:color w:val="auto"/>
          <w:szCs w:val="21"/>
          <w:highlight w:val="none"/>
          <w:lang w:eastAsia="zh-TW"/>
        </w:rPr>
        <w:t>按规定备案。</w:t>
      </w:r>
    </w:p>
    <w:bookmarkEnd w:id="172"/>
    <w:bookmarkEnd w:id="173"/>
    <w:bookmarkEnd w:id="175"/>
    <w:p w14:paraId="744C3D7E">
      <w:pPr>
        <w:keepNext w:val="0"/>
        <w:keepLines w:val="0"/>
        <w:pageBreakBefore w:val="0"/>
        <w:kinsoku/>
        <w:wordWrap/>
        <w:overflowPunct/>
        <w:topLinePunct w:val="0"/>
        <w:bidi w:val="0"/>
        <w:spacing w:before="120" w:beforeLines="50" w:after="120" w:afterLines="50" w:line="480" w:lineRule="exact"/>
        <w:jc w:val="center"/>
        <w:outlineLvl w:val="1"/>
        <w:rPr>
          <w:rFonts w:hint="eastAsia" w:asciiTheme="minorEastAsia" w:hAnsiTheme="minorEastAsia" w:eastAsiaTheme="minorEastAsia" w:cstheme="minorEastAsia"/>
          <w:b/>
          <w:color w:val="auto"/>
          <w:sz w:val="36"/>
          <w:szCs w:val="36"/>
          <w:highlight w:val="none"/>
        </w:rPr>
      </w:pPr>
      <w:bookmarkStart w:id="177" w:name="_Toc26703"/>
      <w:bookmarkStart w:id="178" w:name="_Toc217446081"/>
      <w:r>
        <w:rPr>
          <w:rFonts w:hint="eastAsia" w:asciiTheme="minorEastAsia" w:hAnsiTheme="minorEastAsia" w:eastAsiaTheme="minorEastAsia" w:cstheme="minorEastAsia"/>
          <w:b/>
          <w:color w:val="auto"/>
          <w:sz w:val="36"/>
          <w:szCs w:val="36"/>
          <w:highlight w:val="none"/>
        </w:rPr>
        <w:t>11.废标或变更采购方式</w:t>
      </w:r>
      <w:bookmarkEnd w:id="177"/>
      <w:bookmarkStart w:id="179" w:name="_Toc217446072"/>
    </w:p>
    <w:p w14:paraId="09A4323A">
      <w:pPr>
        <w:keepNext w:val="0"/>
        <w:keepLines w:val="0"/>
        <w:pageBreakBefore w:val="0"/>
        <w:kinsoku/>
        <w:wordWrap/>
        <w:overflowPunct/>
        <w:topLinePunct w:val="0"/>
        <w:bidi w:val="0"/>
        <w:spacing w:after="120" w:afterLines="50" w:line="480" w:lineRule="exact"/>
        <w:rPr>
          <w:rFonts w:hint="eastAsia" w:asciiTheme="minorEastAsia" w:hAnsiTheme="minorEastAsia" w:eastAsiaTheme="minorEastAsia" w:cstheme="minorEastAsia"/>
          <w:b/>
          <w:color w:val="auto"/>
          <w:sz w:val="30"/>
          <w:szCs w:val="30"/>
          <w:highlight w:val="none"/>
        </w:rPr>
      </w:pPr>
      <w:r>
        <w:rPr>
          <w:rFonts w:hint="eastAsia" w:asciiTheme="minorEastAsia" w:hAnsiTheme="minorEastAsia" w:eastAsiaTheme="minorEastAsia" w:cstheme="minorEastAsia"/>
          <w:b/>
          <w:bCs/>
          <w:color w:val="auto"/>
          <w:sz w:val="30"/>
          <w:szCs w:val="30"/>
          <w:highlight w:val="none"/>
        </w:rPr>
        <w:t>11.1废标的情形</w:t>
      </w:r>
      <w:bookmarkEnd w:id="179"/>
    </w:p>
    <w:p w14:paraId="015B35B3">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1.1.1 招标采购中，出现下列情形之一的，应予以废标：</w:t>
      </w:r>
    </w:p>
    <w:p w14:paraId="326C11FD">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（1）符合专业条件的投标人或者对招标文件作实质响应的投标人不足3家的；</w:t>
      </w:r>
    </w:p>
    <w:p w14:paraId="52BC05CA">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（2）出现影响采购公正的违法、违规行为的；</w:t>
      </w:r>
    </w:p>
    <w:p w14:paraId="67FC6EDB">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（3）投标人的报价均超过了采购预算或最高限价，采购人不能支付的；</w:t>
      </w:r>
    </w:p>
    <w:p w14:paraId="4DD31975">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（4）因重大变故，采购任务取消的。</w:t>
      </w:r>
    </w:p>
    <w:p w14:paraId="0CE7210A">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11.1.2 废标后，采购代理机构应在财政部门指定采购网上公告，并公告废标的详细理由。</w:t>
      </w:r>
    </w:p>
    <w:p w14:paraId="5FBAA03C">
      <w:pPr>
        <w:pStyle w:val="4"/>
        <w:keepNext w:val="0"/>
        <w:keepLines w:val="0"/>
        <w:pageBreakBefore w:val="0"/>
        <w:kinsoku/>
        <w:wordWrap/>
        <w:overflowPunct/>
        <w:topLinePunct w:val="0"/>
        <w:bidi w:val="0"/>
        <w:spacing w:before="120" w:beforeLines="50" w:after="120" w:afterLines="50" w:line="480" w:lineRule="exact"/>
        <w:ind w:firstLine="0"/>
        <w:rPr>
          <w:rFonts w:hint="eastAsia" w:asciiTheme="minorEastAsia" w:hAnsiTheme="minorEastAsia" w:eastAsiaTheme="minorEastAsia" w:cstheme="minorEastAsia"/>
          <w:b/>
          <w:color w:val="auto"/>
          <w:sz w:val="30"/>
          <w:szCs w:val="30"/>
          <w:highlight w:val="none"/>
        </w:rPr>
      </w:pPr>
      <w:r>
        <w:rPr>
          <w:rFonts w:hint="eastAsia" w:asciiTheme="minorEastAsia" w:hAnsiTheme="minorEastAsia" w:eastAsiaTheme="minorEastAsia" w:cstheme="minorEastAsia"/>
          <w:b/>
          <w:color w:val="auto"/>
          <w:sz w:val="30"/>
          <w:szCs w:val="30"/>
          <w:highlight w:val="none"/>
        </w:rPr>
        <w:t>11.2 变更采购方式</w:t>
      </w:r>
    </w:p>
    <w:p w14:paraId="5B36D46A">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11.2.1 存在下列情形之一的，除采购任务取消情形外，采购人经</w:t>
      </w:r>
      <w:r>
        <w:rPr>
          <w:rFonts w:hint="eastAsia" w:asciiTheme="minorEastAsia" w:hAnsiTheme="minorEastAsia" w:eastAsiaTheme="minorEastAsia" w:cstheme="minorEastAsia"/>
          <w:color w:val="auto"/>
          <w:szCs w:val="21"/>
          <w:highlight w:val="none"/>
          <w:lang w:val="en-US" w:eastAsia="zh-CN"/>
        </w:rPr>
        <w:t>主管</w:t>
      </w:r>
      <w:r>
        <w:rPr>
          <w:rFonts w:hint="eastAsia" w:asciiTheme="minorEastAsia" w:hAnsiTheme="minorEastAsia" w:eastAsiaTheme="minorEastAsia" w:cstheme="minorEastAsia"/>
          <w:color w:val="auto"/>
          <w:szCs w:val="21"/>
          <w:highlight w:val="none"/>
        </w:rPr>
        <w:t>部门同意后，可以</w:t>
      </w:r>
      <w:r>
        <w:rPr>
          <w:rFonts w:hint="eastAsia" w:asciiTheme="minorEastAsia" w:hAnsiTheme="minorEastAsia" w:eastAsiaTheme="minorEastAsia" w:cstheme="minorEastAsia"/>
          <w:color w:val="auto"/>
          <w:szCs w:val="21"/>
          <w:highlight w:val="none"/>
          <w:lang w:val="en-US" w:eastAsia="zh-CN"/>
        </w:rPr>
        <w:t>根据</w:t>
      </w:r>
      <w:r>
        <w:rPr>
          <w:rFonts w:hint="eastAsia" w:asciiTheme="minorEastAsia" w:hAnsiTheme="minorEastAsia" w:eastAsiaTheme="minorEastAsia" w:cstheme="minorEastAsia"/>
          <w:color w:val="auto"/>
          <w:szCs w:val="21"/>
          <w:highlight w:val="none"/>
        </w:rPr>
        <w:t>《政府采购货物和服务招标投标管理办法》（财政部87号令）第四十三条规定的方式处理：</w:t>
      </w:r>
    </w:p>
    <w:p w14:paraId="770610AD">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（1）投标截止后参加投标的人不足3家的；</w:t>
      </w:r>
    </w:p>
    <w:p w14:paraId="1880F464">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（2）通过资格审查的投标人不足3家的；</w:t>
      </w:r>
    </w:p>
    <w:p w14:paraId="0BF6EB30">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（3）通过符合性审查的投标人不足3家的。</w:t>
      </w:r>
    </w:p>
    <w:p w14:paraId="27AA73C6">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11.2.2 通过符合性审查的投标人只有2家时，采购人经</w:t>
      </w:r>
      <w:r>
        <w:rPr>
          <w:rFonts w:hint="eastAsia" w:asciiTheme="minorEastAsia" w:hAnsiTheme="minorEastAsia" w:eastAsiaTheme="minorEastAsia" w:cstheme="minorEastAsia"/>
          <w:color w:val="auto"/>
          <w:szCs w:val="21"/>
          <w:highlight w:val="none"/>
          <w:lang w:val="en-US" w:eastAsia="zh-CN"/>
        </w:rPr>
        <w:t>主管</w:t>
      </w:r>
      <w:r>
        <w:rPr>
          <w:rFonts w:hint="eastAsia" w:asciiTheme="minorEastAsia" w:hAnsiTheme="minorEastAsia" w:eastAsiaTheme="minorEastAsia" w:cstheme="minorEastAsia"/>
          <w:color w:val="auto"/>
          <w:szCs w:val="21"/>
          <w:highlight w:val="none"/>
        </w:rPr>
        <w:t>门同意后，可以</w:t>
      </w:r>
      <w:r>
        <w:rPr>
          <w:rFonts w:hint="eastAsia" w:asciiTheme="minorEastAsia" w:hAnsiTheme="minorEastAsia" w:eastAsiaTheme="minorEastAsia" w:cstheme="minorEastAsia"/>
          <w:color w:val="auto"/>
          <w:szCs w:val="21"/>
          <w:highlight w:val="none"/>
          <w:lang w:val="en-US" w:eastAsia="zh-CN"/>
        </w:rPr>
        <w:t>根据</w:t>
      </w:r>
      <w:r>
        <w:rPr>
          <w:rFonts w:hint="eastAsia" w:asciiTheme="minorEastAsia" w:hAnsiTheme="minorEastAsia" w:eastAsiaTheme="minorEastAsia" w:cstheme="minorEastAsia"/>
          <w:color w:val="auto"/>
          <w:szCs w:val="21"/>
          <w:highlight w:val="none"/>
        </w:rPr>
        <w:t>《政府采购非招标采购方式管理办法》（财政部第74号令）的规定与该2家投标人进行竞争性谈判采购。</w:t>
      </w:r>
    </w:p>
    <w:p w14:paraId="5D097E1F">
      <w:pPr>
        <w:keepNext w:val="0"/>
        <w:keepLines w:val="0"/>
        <w:pageBreakBefore w:val="0"/>
        <w:kinsoku/>
        <w:wordWrap/>
        <w:overflowPunct/>
        <w:topLinePunct w:val="0"/>
        <w:autoSpaceDE/>
        <w:autoSpaceDN/>
        <w:bidi w:val="0"/>
        <w:adjustRightInd/>
        <w:snapToGrid/>
        <w:spacing w:before="240" w:beforeLines="100" w:after="120" w:afterLines="50" w:line="480" w:lineRule="exact"/>
        <w:jc w:val="center"/>
        <w:textAlignment w:val="auto"/>
        <w:outlineLvl w:val="1"/>
        <w:rPr>
          <w:rFonts w:hint="eastAsia" w:asciiTheme="minorEastAsia" w:hAnsiTheme="minorEastAsia" w:eastAsiaTheme="minorEastAsia" w:cstheme="minorEastAsia"/>
          <w:b/>
          <w:color w:val="auto"/>
          <w:sz w:val="36"/>
          <w:szCs w:val="36"/>
          <w:highlight w:val="none"/>
        </w:rPr>
      </w:pPr>
      <w:bookmarkStart w:id="180" w:name="_Toc6287"/>
      <w:r>
        <w:rPr>
          <w:rFonts w:hint="eastAsia" w:asciiTheme="minorEastAsia" w:hAnsiTheme="minorEastAsia" w:eastAsiaTheme="minorEastAsia" w:cstheme="minorEastAsia"/>
          <w:b/>
          <w:color w:val="auto"/>
          <w:sz w:val="36"/>
          <w:szCs w:val="36"/>
          <w:highlight w:val="none"/>
        </w:rPr>
        <w:t>1</w:t>
      </w:r>
      <w:r>
        <w:rPr>
          <w:rFonts w:hint="eastAsia" w:asciiTheme="minorEastAsia" w:hAnsiTheme="minorEastAsia" w:eastAsiaTheme="minorEastAsia" w:cstheme="minorEastAsia"/>
          <w:b/>
          <w:color w:val="auto"/>
          <w:sz w:val="36"/>
          <w:szCs w:val="36"/>
          <w:highlight w:val="none"/>
          <w:lang w:val="en-US" w:eastAsia="zh-CN"/>
        </w:rPr>
        <w:t>2</w:t>
      </w:r>
      <w:r>
        <w:rPr>
          <w:rFonts w:hint="eastAsia" w:asciiTheme="minorEastAsia" w:hAnsiTheme="minorEastAsia" w:eastAsiaTheme="minorEastAsia" w:cstheme="minorEastAsia"/>
          <w:b/>
          <w:color w:val="auto"/>
          <w:sz w:val="36"/>
          <w:szCs w:val="36"/>
          <w:highlight w:val="none"/>
        </w:rPr>
        <w:t>.质疑与投诉</w:t>
      </w:r>
      <w:bookmarkEnd w:id="180"/>
    </w:p>
    <w:p w14:paraId="0743793F">
      <w:pPr>
        <w:keepNext w:val="0"/>
        <w:keepLines w:val="0"/>
        <w:pageBreakBefore w:val="0"/>
        <w:kinsoku/>
        <w:wordWrap/>
        <w:overflowPunct/>
        <w:topLinePunct w:val="0"/>
        <w:autoSpaceDE/>
        <w:autoSpaceDN/>
        <w:bidi w:val="0"/>
        <w:adjustRightInd/>
        <w:snapToGrid/>
        <w:spacing w:before="120" w:beforeLines="50" w:after="120" w:afterLines="50" w:line="480" w:lineRule="exact"/>
        <w:textAlignment w:val="auto"/>
        <w:rPr>
          <w:rFonts w:hint="eastAsia" w:asciiTheme="minorEastAsia" w:hAnsiTheme="minorEastAsia" w:eastAsiaTheme="minorEastAsia" w:cstheme="minorEastAsia"/>
          <w:b/>
          <w:color w:val="auto"/>
          <w:sz w:val="30"/>
          <w:szCs w:val="30"/>
          <w:highlight w:val="none"/>
        </w:rPr>
      </w:pPr>
      <w:r>
        <w:rPr>
          <w:rFonts w:hint="eastAsia" w:asciiTheme="minorEastAsia" w:hAnsiTheme="minorEastAsia" w:eastAsiaTheme="minorEastAsia" w:cstheme="minorEastAsia"/>
          <w:b/>
          <w:color w:val="auto"/>
          <w:sz w:val="30"/>
          <w:szCs w:val="30"/>
          <w:highlight w:val="none"/>
        </w:rPr>
        <w:t>1</w:t>
      </w:r>
      <w:r>
        <w:rPr>
          <w:rFonts w:hint="eastAsia" w:asciiTheme="minorEastAsia" w:hAnsiTheme="minorEastAsia" w:eastAsiaTheme="minorEastAsia" w:cstheme="minorEastAsia"/>
          <w:b/>
          <w:color w:val="auto"/>
          <w:sz w:val="30"/>
          <w:szCs w:val="30"/>
          <w:highlight w:val="none"/>
          <w:lang w:val="en-US" w:eastAsia="zh-CN"/>
        </w:rPr>
        <w:t>2</w:t>
      </w:r>
      <w:r>
        <w:rPr>
          <w:rFonts w:hint="eastAsia" w:asciiTheme="minorEastAsia" w:hAnsiTheme="minorEastAsia" w:eastAsiaTheme="minorEastAsia" w:cstheme="minorEastAsia"/>
          <w:b/>
          <w:color w:val="auto"/>
          <w:sz w:val="30"/>
          <w:szCs w:val="30"/>
          <w:highlight w:val="none"/>
        </w:rPr>
        <w:t>.1</w:t>
      </w:r>
      <w:r>
        <w:rPr>
          <w:rFonts w:hint="eastAsia" w:asciiTheme="minorEastAsia" w:hAnsiTheme="minorEastAsia" w:eastAsiaTheme="minorEastAsia" w:cstheme="minorEastAsia"/>
          <w:b/>
          <w:color w:val="auto"/>
          <w:sz w:val="30"/>
          <w:szCs w:val="30"/>
          <w:highlight w:val="none"/>
          <w:lang w:val="en-US" w:eastAsia="zh-CN"/>
        </w:rPr>
        <w:t xml:space="preserve"> </w:t>
      </w:r>
      <w:r>
        <w:rPr>
          <w:rFonts w:hint="eastAsia" w:asciiTheme="minorEastAsia" w:hAnsiTheme="minorEastAsia" w:eastAsiaTheme="minorEastAsia" w:cstheme="minorEastAsia"/>
          <w:b/>
          <w:color w:val="auto"/>
          <w:sz w:val="30"/>
          <w:szCs w:val="30"/>
          <w:highlight w:val="none"/>
        </w:rPr>
        <w:t>质疑</w:t>
      </w:r>
    </w:p>
    <w:p w14:paraId="0A615C99">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w:t>
      </w:r>
      <w:r>
        <w:rPr>
          <w:rFonts w:hint="eastAsia" w:asciiTheme="minorEastAsia" w:hAnsiTheme="minorEastAsia" w:eastAsiaTheme="minorEastAsia" w:cstheme="minorEastAsia"/>
          <w:color w:val="auto"/>
          <w:szCs w:val="21"/>
          <w:highlight w:val="none"/>
          <w:lang w:val="en-US" w:eastAsia="zh-CN"/>
        </w:rPr>
        <w:t>2</w:t>
      </w:r>
      <w:r>
        <w:rPr>
          <w:rFonts w:hint="eastAsia" w:asciiTheme="minorEastAsia" w:hAnsiTheme="minorEastAsia" w:eastAsiaTheme="minorEastAsia" w:cstheme="minorEastAsia"/>
          <w:color w:val="auto"/>
          <w:szCs w:val="21"/>
          <w:highlight w:val="none"/>
        </w:rPr>
        <w:t>.1.1 投标人对本次招标采购活动有疑问的，应当</w:t>
      </w:r>
      <w:r>
        <w:rPr>
          <w:rFonts w:hint="eastAsia" w:asciiTheme="minorEastAsia" w:hAnsiTheme="minorEastAsia" w:eastAsiaTheme="minorEastAsia" w:cstheme="minorEastAsia"/>
          <w:color w:val="auto"/>
          <w:szCs w:val="21"/>
          <w:highlight w:val="none"/>
          <w:lang w:val="en-US" w:eastAsia="zh-CN"/>
        </w:rPr>
        <w:t>按照</w:t>
      </w:r>
      <w:r>
        <w:rPr>
          <w:rFonts w:hint="eastAsia" w:asciiTheme="minorEastAsia" w:hAnsiTheme="minorEastAsia" w:eastAsiaTheme="minorEastAsia" w:cstheme="minorEastAsia"/>
          <w:color w:val="auto"/>
          <w:szCs w:val="21"/>
          <w:highlight w:val="none"/>
        </w:rPr>
        <w:t>《中华人民共和国政府采购法实施条例》的有关规定办理。</w:t>
      </w:r>
    </w:p>
    <w:p w14:paraId="4A11E194">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w:t>
      </w:r>
      <w:r>
        <w:rPr>
          <w:rFonts w:hint="eastAsia" w:asciiTheme="minorEastAsia" w:hAnsiTheme="minorEastAsia" w:eastAsiaTheme="minorEastAsia" w:cstheme="minorEastAsia"/>
          <w:color w:val="auto"/>
          <w:szCs w:val="21"/>
          <w:highlight w:val="none"/>
          <w:lang w:val="en-US" w:eastAsia="zh-CN"/>
        </w:rPr>
        <w:t>2</w:t>
      </w:r>
      <w:r>
        <w:rPr>
          <w:rFonts w:hint="eastAsia" w:asciiTheme="minorEastAsia" w:hAnsiTheme="minorEastAsia" w:eastAsiaTheme="minorEastAsia" w:cstheme="minorEastAsia"/>
          <w:color w:val="auto"/>
          <w:szCs w:val="21"/>
          <w:highlight w:val="none"/>
        </w:rPr>
        <w:t>.1.2 投标人对采购文件、采购过程或中标结果使自身的合法权益受到损害，应当在法定期限内，按照质疑函范本格式要求以书面形式向采购代理机构或采购人提出质疑，并附必要的证明材料。</w:t>
      </w:r>
    </w:p>
    <w:p w14:paraId="0CF3E609">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w:t>
      </w:r>
      <w:r>
        <w:rPr>
          <w:rFonts w:hint="eastAsia" w:asciiTheme="minorEastAsia" w:hAnsiTheme="minorEastAsia" w:eastAsiaTheme="minorEastAsia" w:cstheme="minorEastAsia"/>
          <w:color w:val="auto"/>
          <w:szCs w:val="21"/>
          <w:highlight w:val="none"/>
          <w:lang w:val="en-US" w:eastAsia="zh-CN"/>
        </w:rPr>
        <w:t>2</w:t>
      </w:r>
      <w:r>
        <w:rPr>
          <w:rFonts w:hint="eastAsia" w:asciiTheme="minorEastAsia" w:hAnsiTheme="minorEastAsia" w:eastAsiaTheme="minorEastAsia" w:cstheme="minorEastAsia"/>
          <w:color w:val="auto"/>
          <w:szCs w:val="21"/>
          <w:highlight w:val="none"/>
        </w:rPr>
        <w:t>.1.3 质疑函应当包括下列内容：</w:t>
      </w:r>
    </w:p>
    <w:p w14:paraId="0DD816A6">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（1）投标人的姓名或者名称、地址、邮编、联系人及联系电话；</w:t>
      </w:r>
    </w:p>
    <w:p w14:paraId="699D9A1D">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（2）质疑项目的名称、编号；</w:t>
      </w:r>
    </w:p>
    <w:p w14:paraId="71D5F1FC">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（3）具体、明确的质疑事项和与质疑事项相关的请求；</w:t>
      </w:r>
    </w:p>
    <w:p w14:paraId="3A99F6F5">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（4）事实依据；</w:t>
      </w:r>
    </w:p>
    <w:p w14:paraId="6B111162">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（5）必要的法律依据；</w:t>
      </w:r>
    </w:p>
    <w:p w14:paraId="60DE9E69">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（6）提出质疑的日期。</w:t>
      </w:r>
    </w:p>
    <w:p w14:paraId="5EE3A8E8">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投标人为自然人的，应当由本人签字；投标人为法人或者其他组织的，应当由法定代表人、主要负责人，或者其授权代表签字或者盖章，并加盖单位章。</w:t>
      </w:r>
    </w:p>
    <w:p w14:paraId="376B6555">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w:t>
      </w:r>
      <w:r>
        <w:rPr>
          <w:rFonts w:hint="eastAsia" w:asciiTheme="minorEastAsia" w:hAnsiTheme="minorEastAsia" w:eastAsiaTheme="minorEastAsia" w:cstheme="minorEastAsia"/>
          <w:color w:val="auto"/>
          <w:szCs w:val="21"/>
          <w:highlight w:val="none"/>
          <w:lang w:val="en-US" w:eastAsia="zh-CN"/>
        </w:rPr>
        <w:t>2</w:t>
      </w:r>
      <w:r>
        <w:rPr>
          <w:rFonts w:hint="eastAsia" w:asciiTheme="minorEastAsia" w:hAnsiTheme="minorEastAsia" w:eastAsiaTheme="minorEastAsia" w:cstheme="minorEastAsia"/>
          <w:color w:val="auto"/>
          <w:szCs w:val="21"/>
          <w:highlight w:val="none"/>
        </w:rPr>
        <w:t>.1.4</w:t>
      </w:r>
      <w:r>
        <w:rPr>
          <w:rFonts w:hint="eastAsia" w:asciiTheme="minorEastAsia" w:hAnsiTheme="minorEastAsia" w:eastAsiaTheme="minorEastAsia" w:cstheme="minorEastAsia"/>
          <w:color w:val="auto"/>
          <w:szCs w:val="21"/>
          <w:highlight w:val="none"/>
          <w:lang w:val="en-US" w:eastAsia="zh-CN"/>
        </w:rPr>
        <w:t xml:space="preserve"> </w:t>
      </w:r>
      <w:r>
        <w:rPr>
          <w:rFonts w:hint="eastAsia" w:asciiTheme="minorEastAsia" w:hAnsiTheme="minorEastAsia" w:eastAsiaTheme="minorEastAsia" w:cstheme="minorEastAsia"/>
          <w:color w:val="auto"/>
          <w:szCs w:val="21"/>
          <w:highlight w:val="none"/>
        </w:rPr>
        <w:t>质疑人可以委托代理人办理质疑事项，代理人办理质疑事项时，除提交质疑函外，还应当提交质疑人的授权委托书及代理人的有效身份证明，授权委托书应当载明委托代理的具体权限期限和相关事项。</w:t>
      </w:r>
    </w:p>
    <w:p w14:paraId="21AC432A">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w:t>
      </w:r>
      <w:r>
        <w:rPr>
          <w:rFonts w:hint="eastAsia" w:asciiTheme="minorEastAsia" w:hAnsiTheme="minorEastAsia" w:eastAsiaTheme="minorEastAsia" w:cstheme="minorEastAsia"/>
          <w:color w:val="auto"/>
          <w:szCs w:val="21"/>
          <w:highlight w:val="none"/>
          <w:lang w:val="en-US" w:eastAsia="zh-CN"/>
        </w:rPr>
        <w:t>2</w:t>
      </w:r>
      <w:r>
        <w:rPr>
          <w:rFonts w:hint="eastAsia" w:asciiTheme="minorEastAsia" w:hAnsiTheme="minorEastAsia" w:eastAsiaTheme="minorEastAsia" w:cstheme="minorEastAsia"/>
          <w:color w:val="auto"/>
          <w:szCs w:val="21"/>
          <w:highlight w:val="none"/>
        </w:rPr>
        <w:t>.1.5 质疑函范本格式在中国政府采购网站（http://www.ccgp.gov.cn/）自行下载。</w:t>
      </w:r>
    </w:p>
    <w:p w14:paraId="6FCBA967">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w:t>
      </w:r>
      <w:r>
        <w:rPr>
          <w:rFonts w:hint="eastAsia" w:asciiTheme="minorEastAsia" w:hAnsiTheme="minorEastAsia" w:eastAsiaTheme="minorEastAsia" w:cstheme="minorEastAsia"/>
          <w:color w:val="auto"/>
          <w:szCs w:val="21"/>
          <w:highlight w:val="none"/>
          <w:lang w:val="en-US" w:eastAsia="zh-CN"/>
        </w:rPr>
        <w:t>2</w:t>
      </w:r>
      <w:r>
        <w:rPr>
          <w:rFonts w:hint="eastAsia" w:asciiTheme="minorEastAsia" w:hAnsiTheme="minorEastAsia" w:eastAsiaTheme="minorEastAsia" w:cstheme="minorEastAsia"/>
          <w:color w:val="auto"/>
          <w:szCs w:val="21"/>
          <w:highlight w:val="none"/>
        </w:rPr>
        <w:t>.1.6 接收质疑函的联系部门、联系电话和通讯地址同招标公告。</w:t>
      </w:r>
    </w:p>
    <w:p w14:paraId="2602362C">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w:t>
      </w:r>
      <w:r>
        <w:rPr>
          <w:rFonts w:hint="eastAsia" w:asciiTheme="minorEastAsia" w:hAnsiTheme="minorEastAsia" w:eastAsiaTheme="minorEastAsia" w:cstheme="minorEastAsia"/>
          <w:color w:val="auto"/>
          <w:szCs w:val="21"/>
          <w:highlight w:val="none"/>
          <w:lang w:val="en-US" w:eastAsia="zh-CN"/>
        </w:rPr>
        <w:t>2</w:t>
      </w:r>
      <w:r>
        <w:rPr>
          <w:rFonts w:hint="eastAsia" w:asciiTheme="minorEastAsia" w:hAnsiTheme="minorEastAsia" w:eastAsiaTheme="minorEastAsia" w:cstheme="minorEastAsia"/>
          <w:color w:val="auto"/>
          <w:szCs w:val="21"/>
          <w:highlight w:val="none"/>
        </w:rPr>
        <w:t>.1.7 有下列情形之一的，属于无效质疑，采购代理机构和采购人不予受理：</w:t>
      </w:r>
    </w:p>
    <w:p w14:paraId="3D28D9A5">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（1）质疑人不是参与本次采购项目的投标人；</w:t>
      </w:r>
    </w:p>
    <w:p w14:paraId="7B74EB1E">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（2）质疑人与质疑事项不存在利害关系的；</w:t>
      </w:r>
    </w:p>
    <w:p w14:paraId="7E8F429D">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（3）未在法定期限内提出质疑的；</w:t>
      </w:r>
    </w:p>
    <w:p w14:paraId="5D9775F5">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（4）质疑未以书面形式提出，以传真、电子邮件、移动通信等形式即时收悉提交的质疑材料；</w:t>
      </w:r>
    </w:p>
    <w:p w14:paraId="5E2BF27C">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（5）质疑未按质疑函范本格式提出的；</w:t>
      </w:r>
    </w:p>
    <w:p w14:paraId="0FA70930">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（6）质疑书主要内容构成不完整的；</w:t>
      </w:r>
    </w:p>
    <w:p w14:paraId="2C8B94AF">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（7）质疑投标人是自然人，个体工商户未提交个体工商户营业执照和本人身份证明或非个体工商户未提供本人身份证明的；</w:t>
      </w:r>
    </w:p>
    <w:p w14:paraId="18FED417">
      <w:pPr>
        <w:keepNext w:val="0"/>
        <w:keepLines w:val="0"/>
        <w:pageBreakBefore w:val="0"/>
        <w:kinsoku/>
        <w:wordWrap/>
        <w:overflowPunct/>
        <w:topLinePunct w:val="0"/>
        <w:autoSpaceDE/>
        <w:autoSpaceDN/>
        <w:bidi w:val="0"/>
        <w:adjustRightInd/>
        <w:snapToGrid/>
        <w:spacing w:line="480" w:lineRule="exact"/>
        <w:ind w:left="420" w:leftChars="200" w:firstLine="0" w:firstLineChars="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（8）质疑投标人是法人，未提交法人营业执照或者事业法人证书和法定代表人身份证明的；（9）质疑投标人是其他组织，未提交其他组织有效证明文件和主要负责人身份证明的；</w:t>
      </w:r>
    </w:p>
    <w:p w14:paraId="4DB454E8">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（10）质疑投标人委托代理人进行质疑，未提交法定代表人授权委托书、授权代表身份证明的；</w:t>
      </w:r>
    </w:p>
    <w:p w14:paraId="24F367D2">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（11）质疑函未签字或未加盖公章的；</w:t>
      </w:r>
    </w:p>
    <w:p w14:paraId="69615496">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（12）以非法手段取得证据、材料的；</w:t>
      </w:r>
    </w:p>
    <w:p w14:paraId="43EEE542">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（13）质疑答复后，同一质疑人就同一事项再次提出质疑的；</w:t>
      </w:r>
    </w:p>
    <w:p w14:paraId="08EA4096">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（14）不符合法律、法规、规章和采购监管机构规定的其他条件的。</w:t>
      </w:r>
    </w:p>
    <w:p w14:paraId="68BEB97B">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w:t>
      </w:r>
      <w:r>
        <w:rPr>
          <w:rFonts w:hint="eastAsia" w:asciiTheme="minorEastAsia" w:hAnsiTheme="minorEastAsia" w:eastAsiaTheme="minorEastAsia" w:cstheme="minorEastAsia"/>
          <w:color w:val="auto"/>
          <w:szCs w:val="21"/>
          <w:highlight w:val="none"/>
          <w:lang w:val="en-US" w:eastAsia="zh-CN"/>
        </w:rPr>
        <w:t>2</w:t>
      </w:r>
      <w:r>
        <w:rPr>
          <w:rFonts w:hint="eastAsia" w:asciiTheme="minorEastAsia" w:hAnsiTheme="minorEastAsia" w:eastAsiaTheme="minorEastAsia" w:cstheme="minorEastAsia"/>
          <w:color w:val="auto"/>
          <w:szCs w:val="21"/>
          <w:highlight w:val="none"/>
        </w:rPr>
        <w:t>.1.8 采购代理机构或采购人将在收到书面质疑后7个工作日内做出答复，并以书面形式通知质疑人和其他有关投标人。</w:t>
      </w:r>
    </w:p>
    <w:p w14:paraId="02D70FC8">
      <w:pPr>
        <w:keepNext w:val="0"/>
        <w:keepLines w:val="0"/>
        <w:pageBreakBefore w:val="0"/>
        <w:kinsoku/>
        <w:wordWrap/>
        <w:overflowPunct/>
        <w:topLinePunct w:val="0"/>
        <w:autoSpaceDE/>
        <w:autoSpaceDN/>
        <w:bidi w:val="0"/>
        <w:adjustRightInd/>
        <w:snapToGrid/>
        <w:spacing w:before="120" w:beforeLines="50" w:after="120" w:afterLines="50" w:line="480" w:lineRule="exact"/>
        <w:textAlignment w:val="auto"/>
        <w:rPr>
          <w:rFonts w:hint="eastAsia" w:asciiTheme="minorEastAsia" w:hAnsiTheme="minorEastAsia" w:eastAsiaTheme="minorEastAsia" w:cstheme="minorEastAsia"/>
          <w:b/>
          <w:color w:val="auto"/>
          <w:sz w:val="30"/>
          <w:szCs w:val="30"/>
          <w:highlight w:val="none"/>
        </w:rPr>
      </w:pPr>
      <w:r>
        <w:rPr>
          <w:rFonts w:hint="eastAsia" w:asciiTheme="minorEastAsia" w:hAnsiTheme="minorEastAsia" w:eastAsiaTheme="minorEastAsia" w:cstheme="minorEastAsia"/>
          <w:b/>
          <w:color w:val="auto"/>
          <w:sz w:val="30"/>
          <w:szCs w:val="30"/>
          <w:highlight w:val="none"/>
        </w:rPr>
        <w:t>1</w:t>
      </w:r>
      <w:r>
        <w:rPr>
          <w:rFonts w:hint="eastAsia" w:asciiTheme="minorEastAsia" w:hAnsiTheme="minorEastAsia" w:eastAsiaTheme="minorEastAsia" w:cstheme="minorEastAsia"/>
          <w:b/>
          <w:color w:val="auto"/>
          <w:sz w:val="30"/>
          <w:szCs w:val="30"/>
          <w:highlight w:val="none"/>
          <w:lang w:val="en-US" w:eastAsia="zh-CN"/>
        </w:rPr>
        <w:t>2</w:t>
      </w:r>
      <w:r>
        <w:rPr>
          <w:rFonts w:hint="eastAsia" w:asciiTheme="minorEastAsia" w:hAnsiTheme="minorEastAsia" w:eastAsiaTheme="minorEastAsia" w:cstheme="minorEastAsia"/>
          <w:b/>
          <w:color w:val="auto"/>
          <w:sz w:val="30"/>
          <w:szCs w:val="30"/>
          <w:highlight w:val="none"/>
        </w:rPr>
        <w:t>.2 投诉</w:t>
      </w:r>
    </w:p>
    <w:p w14:paraId="0F0719BF">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w:t>
      </w:r>
      <w:r>
        <w:rPr>
          <w:rFonts w:hint="eastAsia" w:asciiTheme="minorEastAsia" w:hAnsiTheme="minorEastAsia" w:eastAsiaTheme="minorEastAsia" w:cstheme="minorEastAsia"/>
          <w:color w:val="auto"/>
          <w:szCs w:val="21"/>
          <w:highlight w:val="none"/>
          <w:lang w:val="en-US" w:eastAsia="zh-CN"/>
        </w:rPr>
        <w:t>2</w:t>
      </w:r>
      <w:r>
        <w:rPr>
          <w:rFonts w:hint="eastAsia" w:asciiTheme="minorEastAsia" w:hAnsiTheme="minorEastAsia" w:eastAsiaTheme="minorEastAsia" w:cstheme="minorEastAsia"/>
          <w:color w:val="auto"/>
          <w:szCs w:val="21"/>
          <w:highlight w:val="none"/>
        </w:rPr>
        <w:t>.2.1 质疑人对采购代理机构或采购人的答复不满意，或者采购人、采购代理机构未在规定时间内作出答复的，可以在答复期满后15个工作日内向同级采购监管部门投诉。</w:t>
      </w:r>
    </w:p>
    <w:p w14:paraId="54E438E6">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w:t>
      </w:r>
      <w:r>
        <w:rPr>
          <w:rFonts w:hint="eastAsia" w:asciiTheme="minorEastAsia" w:hAnsiTheme="minorEastAsia" w:eastAsiaTheme="minorEastAsia" w:cstheme="minorEastAsia"/>
          <w:color w:val="auto"/>
          <w:szCs w:val="21"/>
          <w:highlight w:val="none"/>
          <w:lang w:val="en-US" w:eastAsia="zh-CN"/>
        </w:rPr>
        <w:t>2</w:t>
      </w:r>
      <w:r>
        <w:rPr>
          <w:rFonts w:hint="eastAsia" w:asciiTheme="minorEastAsia" w:hAnsiTheme="minorEastAsia" w:eastAsiaTheme="minorEastAsia" w:cstheme="minorEastAsia"/>
          <w:color w:val="auto"/>
          <w:szCs w:val="21"/>
          <w:highlight w:val="none"/>
        </w:rPr>
        <w:t>.2.2</w:t>
      </w:r>
      <w:r>
        <w:rPr>
          <w:rFonts w:hint="eastAsia" w:asciiTheme="minorEastAsia" w:hAnsiTheme="minorEastAsia" w:eastAsiaTheme="minorEastAsia" w:cstheme="minorEastAsia"/>
          <w:color w:val="auto"/>
          <w:szCs w:val="21"/>
          <w:highlight w:val="none"/>
          <w:lang w:val="en-US" w:eastAsia="zh-CN"/>
        </w:rPr>
        <w:t xml:space="preserve"> </w:t>
      </w:r>
      <w:r>
        <w:rPr>
          <w:rFonts w:hint="eastAsia" w:asciiTheme="minorEastAsia" w:hAnsiTheme="minorEastAsia" w:eastAsiaTheme="minorEastAsia" w:cstheme="minorEastAsia"/>
          <w:color w:val="auto"/>
          <w:szCs w:val="21"/>
          <w:highlight w:val="none"/>
        </w:rPr>
        <w:t>投诉人投诉时,应当提交投诉书和必要的证明材料，并按照被投诉采购人、采购代理机构（以下简称被投诉人）和与投诉事项有关的投标人数量提供投诉书的副本。投诉书应当包括下列内容：</w:t>
      </w:r>
    </w:p>
    <w:p w14:paraId="7DEF3822">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（1）投诉人和被投诉人的姓名或者名称、通讯地址、邮编、联系人及联系电话；</w:t>
      </w:r>
    </w:p>
    <w:p w14:paraId="5E8B9F92">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（2）质疑和质疑答复情况说明及相关证明材料；</w:t>
      </w:r>
    </w:p>
    <w:p w14:paraId="494BBC0B">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（3）具体、明确的投诉事项和与投诉事项相关的投诉请求；</w:t>
      </w:r>
    </w:p>
    <w:p w14:paraId="685AD0F2">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（4）事实依据；</w:t>
      </w:r>
    </w:p>
    <w:p w14:paraId="33574485">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（5）法律依据；</w:t>
      </w:r>
    </w:p>
    <w:p w14:paraId="79EF06C4">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（6）提起投诉的日期。</w:t>
      </w:r>
    </w:p>
    <w:p w14:paraId="49FB0553">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投诉人为自然人的，应当由本人签字；投诉人为法人或者其他组织的，应当由法定代表人、主要负责人，或者其授权代表签字或者盖章，并加盖单位章。</w:t>
      </w:r>
    </w:p>
    <w:p w14:paraId="1D18B2C2">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w:t>
      </w:r>
      <w:r>
        <w:rPr>
          <w:rFonts w:hint="eastAsia" w:asciiTheme="minorEastAsia" w:hAnsiTheme="minorEastAsia" w:eastAsiaTheme="minorEastAsia" w:cstheme="minorEastAsia"/>
          <w:color w:val="auto"/>
          <w:szCs w:val="21"/>
          <w:highlight w:val="none"/>
          <w:lang w:val="en-US" w:eastAsia="zh-CN"/>
        </w:rPr>
        <w:t>2</w:t>
      </w:r>
      <w:r>
        <w:rPr>
          <w:rFonts w:hint="eastAsia" w:asciiTheme="minorEastAsia" w:hAnsiTheme="minorEastAsia" w:eastAsiaTheme="minorEastAsia" w:cstheme="minorEastAsia"/>
          <w:color w:val="auto"/>
          <w:szCs w:val="21"/>
          <w:highlight w:val="none"/>
        </w:rPr>
        <w:t>.2.3 投诉书范本格式在中国政府采购网站（http://www.ccgp.gov.cn/）自行下载。</w:t>
      </w:r>
    </w:p>
    <w:p w14:paraId="04DE47EF">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w:t>
      </w:r>
      <w:r>
        <w:rPr>
          <w:rFonts w:hint="eastAsia" w:asciiTheme="minorEastAsia" w:hAnsiTheme="minorEastAsia" w:eastAsiaTheme="minorEastAsia" w:cstheme="minorEastAsia"/>
          <w:color w:val="auto"/>
          <w:szCs w:val="21"/>
          <w:highlight w:val="none"/>
          <w:lang w:val="en-US" w:eastAsia="zh-CN"/>
        </w:rPr>
        <w:t>2</w:t>
      </w:r>
      <w:r>
        <w:rPr>
          <w:rFonts w:hint="eastAsia" w:asciiTheme="minorEastAsia" w:hAnsiTheme="minorEastAsia" w:eastAsiaTheme="minorEastAsia" w:cstheme="minorEastAsia"/>
          <w:color w:val="auto"/>
          <w:szCs w:val="21"/>
          <w:highlight w:val="none"/>
        </w:rPr>
        <w:t>.2.4 投诉人提起投诉应当符合下列条件：</w:t>
      </w:r>
    </w:p>
    <w:p w14:paraId="028CABAB">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（1）提起投诉前已依法进行质疑；</w:t>
      </w:r>
    </w:p>
    <w:p w14:paraId="1A857826">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（2）投诉书内容符合财政部94号令的规定；</w:t>
      </w:r>
    </w:p>
    <w:p w14:paraId="6765F7C7">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（3）在投诉有效期限内提起投诉；</w:t>
      </w:r>
    </w:p>
    <w:p w14:paraId="434B189E">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（4）同一投诉事项未经财政部门投诉处理；</w:t>
      </w:r>
    </w:p>
    <w:p w14:paraId="016F7CA0">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（5）财政部规定的其他条件。</w:t>
      </w:r>
    </w:p>
    <w:p w14:paraId="7DE5337F">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w:t>
      </w:r>
      <w:r>
        <w:rPr>
          <w:rFonts w:hint="eastAsia" w:asciiTheme="minorEastAsia" w:hAnsiTheme="minorEastAsia" w:eastAsiaTheme="minorEastAsia" w:cstheme="minorEastAsia"/>
          <w:color w:val="auto"/>
          <w:szCs w:val="21"/>
          <w:highlight w:val="none"/>
          <w:lang w:val="en-US" w:eastAsia="zh-CN"/>
        </w:rPr>
        <w:t>2</w:t>
      </w:r>
      <w:r>
        <w:rPr>
          <w:rFonts w:hint="eastAsia" w:asciiTheme="minorEastAsia" w:hAnsiTheme="minorEastAsia" w:eastAsiaTheme="minorEastAsia" w:cstheme="minorEastAsia"/>
          <w:color w:val="auto"/>
          <w:szCs w:val="21"/>
          <w:highlight w:val="none"/>
        </w:rPr>
        <w:t>.2.5</w:t>
      </w:r>
      <w:r>
        <w:rPr>
          <w:rFonts w:hint="eastAsia" w:asciiTheme="minorEastAsia" w:hAnsiTheme="minorEastAsia" w:eastAsiaTheme="minorEastAsia" w:cstheme="minorEastAsia"/>
          <w:color w:val="auto"/>
          <w:szCs w:val="21"/>
          <w:highlight w:val="none"/>
          <w:lang w:val="en-US" w:eastAsia="zh-CN"/>
        </w:rPr>
        <w:t xml:space="preserve"> </w:t>
      </w:r>
      <w:r>
        <w:rPr>
          <w:rFonts w:hint="eastAsia" w:asciiTheme="minorEastAsia" w:hAnsiTheme="minorEastAsia" w:eastAsiaTheme="minorEastAsia" w:cstheme="minorEastAsia"/>
          <w:color w:val="auto"/>
          <w:szCs w:val="21"/>
          <w:highlight w:val="none"/>
        </w:rPr>
        <w:t>投诉人投诉的事项不得超出已质疑事项的范围，但基于质疑答复内容提出的投诉事项除外。</w:t>
      </w:r>
    </w:p>
    <w:p w14:paraId="0E3A360E">
      <w:pPr>
        <w:keepNext w:val="0"/>
        <w:keepLines w:val="0"/>
        <w:pageBreakBefore w:val="0"/>
        <w:kinsoku/>
        <w:wordWrap/>
        <w:overflowPunct/>
        <w:topLinePunct w:val="0"/>
        <w:autoSpaceDE/>
        <w:autoSpaceDN/>
        <w:bidi w:val="0"/>
        <w:adjustRightInd/>
        <w:snapToGrid/>
        <w:spacing w:before="240" w:beforeLines="100" w:after="120" w:afterLines="50" w:line="480" w:lineRule="exact"/>
        <w:jc w:val="center"/>
        <w:textAlignment w:val="auto"/>
        <w:outlineLvl w:val="1"/>
        <w:rPr>
          <w:rFonts w:hint="eastAsia" w:asciiTheme="minorEastAsia" w:hAnsiTheme="minorEastAsia" w:eastAsiaTheme="minorEastAsia" w:cstheme="minorEastAsia"/>
          <w:b/>
          <w:color w:val="auto"/>
          <w:sz w:val="36"/>
          <w:szCs w:val="36"/>
          <w:highlight w:val="none"/>
        </w:rPr>
      </w:pPr>
      <w:bookmarkStart w:id="181" w:name="_Toc3588"/>
      <w:r>
        <w:rPr>
          <w:rFonts w:hint="eastAsia" w:asciiTheme="minorEastAsia" w:hAnsiTheme="minorEastAsia" w:eastAsiaTheme="minorEastAsia" w:cstheme="minorEastAsia"/>
          <w:b/>
          <w:color w:val="auto"/>
          <w:sz w:val="36"/>
          <w:szCs w:val="36"/>
          <w:highlight w:val="none"/>
        </w:rPr>
        <w:t>1</w:t>
      </w:r>
      <w:r>
        <w:rPr>
          <w:rFonts w:hint="eastAsia" w:asciiTheme="minorEastAsia" w:hAnsiTheme="minorEastAsia" w:eastAsiaTheme="minorEastAsia" w:cstheme="minorEastAsia"/>
          <w:b/>
          <w:color w:val="auto"/>
          <w:sz w:val="36"/>
          <w:szCs w:val="36"/>
          <w:highlight w:val="none"/>
          <w:lang w:val="en-US" w:eastAsia="zh-CN"/>
        </w:rPr>
        <w:t>3</w:t>
      </w:r>
      <w:r>
        <w:rPr>
          <w:rFonts w:hint="eastAsia" w:asciiTheme="minorEastAsia" w:hAnsiTheme="minorEastAsia" w:eastAsiaTheme="minorEastAsia" w:cstheme="minorEastAsia"/>
          <w:b/>
          <w:color w:val="auto"/>
          <w:sz w:val="36"/>
          <w:szCs w:val="36"/>
          <w:highlight w:val="none"/>
        </w:rPr>
        <w:t>.其他</w:t>
      </w:r>
      <w:bookmarkEnd w:id="181"/>
    </w:p>
    <w:p w14:paraId="07E632B1">
      <w:pPr>
        <w:keepNext w:val="0"/>
        <w:keepLines w:val="0"/>
        <w:pageBreakBefore w:val="0"/>
        <w:kinsoku/>
        <w:wordWrap/>
        <w:overflowPunct/>
        <w:topLinePunct w:val="0"/>
        <w:autoSpaceDE/>
        <w:autoSpaceDN/>
        <w:bidi w:val="0"/>
        <w:adjustRightInd/>
        <w:snapToGrid/>
        <w:spacing w:before="120" w:beforeLines="50" w:after="120" w:afterLines="50" w:line="480" w:lineRule="exact"/>
        <w:jc w:val="left"/>
        <w:textAlignment w:val="auto"/>
        <w:rPr>
          <w:rFonts w:hint="eastAsia" w:asciiTheme="minorEastAsia" w:hAnsiTheme="minorEastAsia" w:eastAsiaTheme="minorEastAsia" w:cstheme="minorEastAsia"/>
          <w:b/>
          <w:color w:val="auto"/>
          <w:sz w:val="30"/>
          <w:szCs w:val="30"/>
          <w:highlight w:val="none"/>
        </w:rPr>
      </w:pPr>
      <w:r>
        <w:rPr>
          <w:rFonts w:hint="eastAsia" w:asciiTheme="minorEastAsia" w:hAnsiTheme="minorEastAsia" w:eastAsiaTheme="minorEastAsia" w:cstheme="minorEastAsia"/>
          <w:b/>
          <w:color w:val="auto"/>
          <w:sz w:val="30"/>
          <w:szCs w:val="30"/>
          <w:highlight w:val="none"/>
        </w:rPr>
        <w:t>1</w:t>
      </w:r>
      <w:r>
        <w:rPr>
          <w:rFonts w:hint="eastAsia" w:asciiTheme="minorEastAsia" w:hAnsiTheme="minorEastAsia" w:eastAsiaTheme="minorEastAsia" w:cstheme="minorEastAsia"/>
          <w:b/>
          <w:color w:val="auto"/>
          <w:sz w:val="30"/>
          <w:szCs w:val="30"/>
          <w:highlight w:val="none"/>
          <w:lang w:val="en-US" w:eastAsia="zh-CN"/>
        </w:rPr>
        <w:t>3</w:t>
      </w:r>
      <w:r>
        <w:rPr>
          <w:rFonts w:hint="eastAsia" w:asciiTheme="minorEastAsia" w:hAnsiTheme="minorEastAsia" w:eastAsiaTheme="minorEastAsia" w:cstheme="minorEastAsia"/>
          <w:b/>
          <w:color w:val="auto"/>
          <w:sz w:val="30"/>
          <w:szCs w:val="30"/>
          <w:highlight w:val="none"/>
        </w:rPr>
        <w:t>.1融资担保</w:t>
      </w:r>
    </w:p>
    <w:p w14:paraId="327BC208">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中标人为中小企业的可以自愿选择融资担保形式，为本采购项目进行融资。</w:t>
      </w:r>
    </w:p>
    <w:p w14:paraId="447F0994">
      <w:pPr>
        <w:keepNext w:val="0"/>
        <w:keepLines w:val="0"/>
        <w:pageBreakBefore w:val="0"/>
        <w:kinsoku/>
        <w:wordWrap/>
        <w:overflowPunct/>
        <w:topLinePunct w:val="0"/>
        <w:autoSpaceDE/>
        <w:autoSpaceDN/>
        <w:bidi w:val="0"/>
        <w:adjustRightInd/>
        <w:snapToGrid/>
        <w:spacing w:before="120" w:beforeLines="50" w:after="120" w:afterLines="50" w:line="480" w:lineRule="exact"/>
        <w:jc w:val="left"/>
        <w:textAlignment w:val="auto"/>
        <w:rPr>
          <w:rFonts w:hint="eastAsia" w:asciiTheme="minorEastAsia" w:hAnsiTheme="minorEastAsia" w:eastAsiaTheme="minorEastAsia" w:cstheme="minorEastAsia"/>
          <w:b/>
          <w:color w:val="auto"/>
          <w:sz w:val="30"/>
          <w:szCs w:val="30"/>
          <w:highlight w:val="none"/>
        </w:rPr>
      </w:pPr>
      <w:r>
        <w:rPr>
          <w:rFonts w:hint="eastAsia" w:asciiTheme="minorEastAsia" w:hAnsiTheme="minorEastAsia" w:eastAsiaTheme="minorEastAsia" w:cstheme="minorEastAsia"/>
          <w:b/>
          <w:color w:val="auto"/>
          <w:sz w:val="30"/>
          <w:szCs w:val="30"/>
          <w:highlight w:val="none"/>
        </w:rPr>
        <w:t>1</w:t>
      </w:r>
      <w:r>
        <w:rPr>
          <w:rFonts w:hint="eastAsia" w:asciiTheme="minorEastAsia" w:hAnsiTheme="minorEastAsia" w:eastAsiaTheme="minorEastAsia" w:cstheme="minorEastAsia"/>
          <w:b/>
          <w:color w:val="auto"/>
          <w:sz w:val="30"/>
          <w:szCs w:val="30"/>
          <w:highlight w:val="none"/>
          <w:lang w:val="en-US" w:eastAsia="zh-CN"/>
        </w:rPr>
        <w:t>3</w:t>
      </w:r>
      <w:r>
        <w:rPr>
          <w:rFonts w:hint="eastAsia" w:asciiTheme="minorEastAsia" w:hAnsiTheme="minorEastAsia" w:eastAsiaTheme="minorEastAsia" w:cstheme="minorEastAsia"/>
          <w:b/>
          <w:color w:val="auto"/>
          <w:sz w:val="30"/>
          <w:szCs w:val="30"/>
          <w:highlight w:val="none"/>
        </w:rPr>
        <w:t>.2 录音录像</w:t>
      </w:r>
    </w:p>
    <w:p w14:paraId="19DEE5E2">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宋体" w:hAnsi="宋体"/>
          <w:color w:val="auto"/>
          <w:szCs w:val="21"/>
          <w:highlight w:val="none"/>
        </w:rPr>
      </w:pPr>
      <w:r>
        <w:rPr>
          <w:rFonts w:hint="eastAsia" w:asciiTheme="minorEastAsia" w:hAnsiTheme="minorEastAsia" w:eastAsiaTheme="minorEastAsia" w:cstheme="minorEastAsia"/>
          <w:color w:val="auto"/>
          <w:szCs w:val="21"/>
          <w:highlight w:val="none"/>
        </w:rPr>
        <w:t>采购代理机构对开标、投标人资格审查和</w:t>
      </w:r>
      <w:r>
        <w:rPr>
          <w:rFonts w:hint="eastAsia" w:ascii="宋体" w:hAnsi="宋体"/>
          <w:color w:val="auto"/>
          <w:szCs w:val="21"/>
          <w:highlight w:val="none"/>
        </w:rPr>
        <w:t>评标过程进行全程录音录像、文字记录，并存档备查。</w:t>
      </w:r>
    </w:p>
    <w:p w14:paraId="1FD80CD0">
      <w:pPr>
        <w:pStyle w:val="4"/>
        <w:pageBreakBefore w:val="0"/>
        <w:widowControl w:val="0"/>
        <w:kinsoku/>
        <w:wordWrap/>
        <w:overflowPunct/>
        <w:topLinePunct w:val="0"/>
        <w:bidi w:val="0"/>
        <w:snapToGrid/>
        <w:spacing w:line="480" w:lineRule="exact"/>
        <w:ind w:firstLine="0"/>
        <w:jc w:val="center"/>
        <w:textAlignment w:val="auto"/>
        <w:rPr>
          <w:rFonts w:hint="eastAsia" w:ascii="黑体" w:hAnsi="宋体" w:eastAsia="黑体"/>
          <w:b/>
          <w:color w:val="auto"/>
          <w:kern w:val="44"/>
          <w:sz w:val="44"/>
          <w:szCs w:val="44"/>
          <w:highlight w:val="none"/>
        </w:rPr>
      </w:pPr>
    </w:p>
    <w:p w14:paraId="25A802C4">
      <w:pPr>
        <w:pStyle w:val="5"/>
        <w:rPr>
          <w:rFonts w:hint="eastAsia" w:ascii="黑体" w:hAnsi="宋体" w:eastAsia="黑体"/>
          <w:b/>
          <w:color w:val="auto"/>
          <w:kern w:val="44"/>
          <w:sz w:val="44"/>
          <w:szCs w:val="44"/>
          <w:highlight w:val="none"/>
        </w:rPr>
      </w:pPr>
    </w:p>
    <w:p w14:paraId="39FE2DC8">
      <w:pPr>
        <w:rPr>
          <w:rFonts w:hint="eastAsia" w:ascii="黑体" w:hAnsi="宋体" w:eastAsia="黑体"/>
          <w:b/>
          <w:color w:val="auto"/>
          <w:kern w:val="44"/>
          <w:sz w:val="44"/>
          <w:szCs w:val="44"/>
          <w:highlight w:val="none"/>
        </w:rPr>
      </w:pPr>
    </w:p>
    <w:p w14:paraId="41B46189">
      <w:pPr>
        <w:pStyle w:val="4"/>
        <w:rPr>
          <w:rFonts w:hint="eastAsia" w:ascii="黑体" w:hAnsi="宋体" w:eastAsia="黑体"/>
          <w:b/>
          <w:color w:val="auto"/>
          <w:kern w:val="44"/>
          <w:sz w:val="44"/>
          <w:szCs w:val="44"/>
          <w:highlight w:val="none"/>
        </w:rPr>
      </w:pPr>
    </w:p>
    <w:p w14:paraId="063BA483">
      <w:pPr>
        <w:pStyle w:val="5"/>
        <w:rPr>
          <w:rFonts w:hint="eastAsia" w:ascii="黑体" w:hAnsi="宋体" w:eastAsia="黑体"/>
          <w:b/>
          <w:color w:val="auto"/>
          <w:kern w:val="44"/>
          <w:sz w:val="44"/>
          <w:szCs w:val="44"/>
          <w:highlight w:val="none"/>
        </w:rPr>
      </w:pPr>
    </w:p>
    <w:p w14:paraId="326F38C8">
      <w:pPr>
        <w:rPr>
          <w:rFonts w:hint="eastAsia" w:ascii="黑体" w:hAnsi="宋体" w:eastAsia="黑体"/>
          <w:b/>
          <w:color w:val="auto"/>
          <w:kern w:val="44"/>
          <w:sz w:val="44"/>
          <w:szCs w:val="44"/>
          <w:highlight w:val="none"/>
        </w:rPr>
      </w:pPr>
    </w:p>
    <w:p w14:paraId="6FC4EAA5">
      <w:pPr>
        <w:pStyle w:val="4"/>
        <w:rPr>
          <w:rFonts w:hint="eastAsia" w:ascii="黑体" w:hAnsi="宋体" w:eastAsia="黑体"/>
          <w:b/>
          <w:color w:val="auto"/>
          <w:kern w:val="44"/>
          <w:sz w:val="44"/>
          <w:szCs w:val="44"/>
          <w:highlight w:val="none"/>
        </w:rPr>
      </w:pPr>
    </w:p>
    <w:p w14:paraId="5686CA04">
      <w:pPr>
        <w:rPr>
          <w:rFonts w:hint="eastAsia" w:ascii="黑体" w:hAnsi="宋体" w:eastAsia="黑体"/>
          <w:b/>
          <w:color w:val="auto"/>
          <w:kern w:val="44"/>
          <w:sz w:val="44"/>
          <w:szCs w:val="44"/>
          <w:highlight w:val="none"/>
          <w:lang w:eastAsia="zh-CN"/>
        </w:rPr>
      </w:pPr>
    </w:p>
    <w:p w14:paraId="05D4C80C">
      <w:pPr>
        <w:pStyle w:val="4"/>
        <w:rPr>
          <w:rFonts w:hint="eastAsia" w:ascii="黑体" w:hAnsi="宋体" w:eastAsia="黑体"/>
          <w:b/>
          <w:color w:val="auto"/>
          <w:kern w:val="44"/>
          <w:sz w:val="44"/>
          <w:szCs w:val="44"/>
          <w:highlight w:val="none"/>
          <w:lang w:eastAsia="zh-CN"/>
        </w:rPr>
      </w:pPr>
    </w:p>
    <w:p w14:paraId="3B0FCED6">
      <w:pPr>
        <w:pStyle w:val="5"/>
        <w:rPr>
          <w:rFonts w:hint="eastAsia" w:ascii="黑体" w:hAnsi="宋体" w:eastAsia="黑体"/>
          <w:b/>
          <w:color w:val="auto"/>
          <w:kern w:val="44"/>
          <w:sz w:val="44"/>
          <w:szCs w:val="44"/>
          <w:highlight w:val="none"/>
          <w:lang w:eastAsia="zh-CN"/>
        </w:rPr>
      </w:pPr>
    </w:p>
    <w:p w14:paraId="14C7943C">
      <w:pPr>
        <w:rPr>
          <w:rFonts w:hint="eastAsia" w:ascii="黑体" w:hAnsi="宋体" w:eastAsia="黑体"/>
          <w:b/>
          <w:color w:val="auto"/>
          <w:kern w:val="44"/>
          <w:sz w:val="44"/>
          <w:szCs w:val="44"/>
          <w:highlight w:val="none"/>
          <w:lang w:eastAsia="zh-CN"/>
        </w:rPr>
      </w:pPr>
    </w:p>
    <w:p w14:paraId="611C058D">
      <w:pPr>
        <w:pStyle w:val="4"/>
        <w:rPr>
          <w:rFonts w:hint="eastAsia" w:ascii="黑体" w:hAnsi="宋体" w:eastAsia="黑体"/>
          <w:b/>
          <w:color w:val="auto"/>
          <w:kern w:val="44"/>
          <w:sz w:val="44"/>
          <w:szCs w:val="44"/>
          <w:highlight w:val="none"/>
          <w:lang w:eastAsia="zh-CN"/>
        </w:rPr>
      </w:pPr>
    </w:p>
    <w:p w14:paraId="66EF3B9A">
      <w:pPr>
        <w:pStyle w:val="5"/>
        <w:rPr>
          <w:rFonts w:hint="eastAsia" w:ascii="黑体" w:hAnsi="宋体" w:eastAsia="黑体"/>
          <w:b/>
          <w:color w:val="auto"/>
          <w:kern w:val="44"/>
          <w:sz w:val="44"/>
          <w:szCs w:val="44"/>
          <w:highlight w:val="none"/>
          <w:lang w:eastAsia="zh-CN"/>
        </w:rPr>
      </w:pPr>
    </w:p>
    <w:p w14:paraId="625A873D">
      <w:pPr>
        <w:rPr>
          <w:rFonts w:hint="eastAsia"/>
          <w:highlight w:val="none"/>
          <w:lang w:eastAsia="zh-CN"/>
        </w:rPr>
      </w:pPr>
    </w:p>
    <w:p w14:paraId="72C4B5C0">
      <w:pPr>
        <w:pStyle w:val="4"/>
        <w:rPr>
          <w:rFonts w:hint="eastAsia" w:ascii="黑体" w:hAnsi="宋体" w:eastAsia="黑体"/>
          <w:b/>
          <w:color w:val="auto"/>
          <w:kern w:val="44"/>
          <w:sz w:val="44"/>
          <w:szCs w:val="44"/>
          <w:highlight w:val="none"/>
          <w:lang w:eastAsia="zh-CN"/>
        </w:rPr>
      </w:pPr>
    </w:p>
    <w:p w14:paraId="4BCA0C19">
      <w:pPr>
        <w:pStyle w:val="5"/>
        <w:rPr>
          <w:rFonts w:hint="eastAsia" w:ascii="黑体" w:hAnsi="宋体" w:eastAsia="黑体"/>
          <w:b/>
          <w:color w:val="auto"/>
          <w:kern w:val="44"/>
          <w:sz w:val="44"/>
          <w:szCs w:val="44"/>
          <w:highlight w:val="none"/>
          <w:lang w:eastAsia="zh-CN"/>
        </w:rPr>
      </w:pPr>
    </w:p>
    <w:p w14:paraId="4CA23D69">
      <w:pPr>
        <w:rPr>
          <w:rFonts w:hint="eastAsia" w:ascii="黑体" w:hAnsi="宋体" w:eastAsia="黑体"/>
          <w:b/>
          <w:color w:val="auto"/>
          <w:kern w:val="44"/>
          <w:sz w:val="44"/>
          <w:szCs w:val="44"/>
          <w:highlight w:val="none"/>
          <w:lang w:eastAsia="zh-CN"/>
        </w:rPr>
      </w:pPr>
    </w:p>
    <w:p w14:paraId="716F4664">
      <w:pPr>
        <w:pStyle w:val="4"/>
        <w:rPr>
          <w:rFonts w:hint="eastAsia" w:ascii="黑体" w:hAnsi="宋体" w:eastAsia="黑体"/>
          <w:b/>
          <w:color w:val="auto"/>
          <w:kern w:val="44"/>
          <w:sz w:val="44"/>
          <w:szCs w:val="44"/>
          <w:highlight w:val="none"/>
          <w:lang w:eastAsia="zh-CN"/>
        </w:rPr>
      </w:pPr>
    </w:p>
    <w:p w14:paraId="15646487">
      <w:pPr>
        <w:pStyle w:val="5"/>
        <w:rPr>
          <w:rFonts w:hint="eastAsia" w:ascii="黑体" w:hAnsi="宋体" w:eastAsia="黑体"/>
          <w:b/>
          <w:color w:val="auto"/>
          <w:kern w:val="44"/>
          <w:sz w:val="44"/>
          <w:szCs w:val="44"/>
          <w:highlight w:val="none"/>
          <w:lang w:eastAsia="zh-CN"/>
        </w:rPr>
      </w:pPr>
    </w:p>
    <w:p w14:paraId="11BB9522">
      <w:pPr>
        <w:rPr>
          <w:rFonts w:hint="eastAsia"/>
          <w:highlight w:val="none"/>
          <w:lang w:eastAsia="zh-CN"/>
        </w:rPr>
      </w:pPr>
    </w:p>
    <w:p w14:paraId="5BBEE4DD">
      <w:pPr>
        <w:rPr>
          <w:rFonts w:hint="eastAsia"/>
          <w:highlight w:val="none"/>
          <w:lang w:eastAsia="zh-CN"/>
        </w:rPr>
      </w:pPr>
    </w:p>
    <w:p w14:paraId="0FF7D575">
      <w:pPr>
        <w:rPr>
          <w:rFonts w:hint="eastAsia"/>
          <w:color w:val="auto"/>
          <w:highlight w:val="none"/>
        </w:rPr>
      </w:pPr>
    </w:p>
    <w:p w14:paraId="66726E6F">
      <w:pPr>
        <w:pStyle w:val="5"/>
        <w:rPr>
          <w:rFonts w:hint="eastAsia"/>
          <w:color w:val="auto"/>
          <w:highlight w:val="none"/>
        </w:rPr>
      </w:pPr>
    </w:p>
    <w:p w14:paraId="42B4345C">
      <w:pPr>
        <w:pStyle w:val="4"/>
        <w:pageBreakBefore w:val="0"/>
        <w:widowControl w:val="0"/>
        <w:kinsoku/>
        <w:wordWrap/>
        <w:overflowPunct/>
        <w:topLinePunct w:val="0"/>
        <w:bidi w:val="0"/>
        <w:snapToGrid/>
        <w:spacing w:line="480" w:lineRule="exact"/>
        <w:ind w:firstLine="0"/>
        <w:jc w:val="center"/>
        <w:textAlignment w:val="auto"/>
        <w:outlineLvl w:val="0"/>
        <w:rPr>
          <w:rFonts w:hint="eastAsia" w:ascii="黑体" w:hAnsi="宋体" w:eastAsia="黑体"/>
          <w:b/>
          <w:color w:val="auto"/>
          <w:kern w:val="44"/>
          <w:sz w:val="44"/>
          <w:szCs w:val="44"/>
          <w:highlight w:val="none"/>
        </w:rPr>
      </w:pPr>
      <w:bookmarkStart w:id="182" w:name="_Toc5672"/>
      <w:r>
        <w:rPr>
          <w:rFonts w:hint="eastAsia" w:ascii="黑体" w:hAnsi="宋体" w:eastAsia="黑体"/>
          <w:b/>
          <w:color w:val="auto"/>
          <w:kern w:val="44"/>
          <w:sz w:val="44"/>
          <w:szCs w:val="44"/>
          <w:highlight w:val="none"/>
        </w:rPr>
        <w:t>第三章</w:t>
      </w:r>
      <w:bookmarkStart w:id="183" w:name="_Toc217446093"/>
      <w:r>
        <w:rPr>
          <w:rFonts w:hint="eastAsia" w:ascii="黑体" w:hAnsi="宋体" w:eastAsia="黑体"/>
          <w:b/>
          <w:color w:val="auto"/>
          <w:kern w:val="44"/>
          <w:sz w:val="44"/>
          <w:szCs w:val="44"/>
          <w:highlight w:val="none"/>
          <w:lang w:val="en-US" w:eastAsia="zh-CN"/>
        </w:rPr>
        <w:t xml:space="preserve"> </w:t>
      </w:r>
      <w:r>
        <w:rPr>
          <w:rFonts w:hint="eastAsia" w:ascii="黑体" w:hAnsi="宋体" w:eastAsia="黑体"/>
          <w:b/>
          <w:color w:val="auto"/>
          <w:kern w:val="44"/>
          <w:sz w:val="44"/>
          <w:szCs w:val="44"/>
          <w:highlight w:val="none"/>
        </w:rPr>
        <w:t>评标办法</w:t>
      </w:r>
      <w:bookmarkEnd w:id="182"/>
    </w:p>
    <w:p w14:paraId="6F153E32">
      <w:pPr>
        <w:keepNext w:val="0"/>
        <w:keepLines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根据《中华人民共和国政府采购法》及其实施条例和《政府采购货物和服务招标投标管理办法》（财政部87号令）等法律法规规定，结合采购项目特点，</w:t>
      </w:r>
      <w:r>
        <w:rPr>
          <w:rFonts w:hint="eastAsia" w:ascii="宋体" w:hAnsi="宋体"/>
          <w:color w:val="auto"/>
          <w:szCs w:val="21"/>
          <w:highlight w:val="none"/>
          <w:lang w:val="en-US" w:eastAsia="zh-CN"/>
        </w:rPr>
        <w:t>特</w:t>
      </w:r>
      <w:r>
        <w:rPr>
          <w:rFonts w:hint="eastAsia" w:ascii="宋体" w:hAnsi="宋体"/>
          <w:color w:val="auto"/>
          <w:szCs w:val="21"/>
          <w:highlight w:val="none"/>
        </w:rPr>
        <w:t>制定本评标办法。</w:t>
      </w:r>
    </w:p>
    <w:p w14:paraId="28DFE223">
      <w:pPr>
        <w:keepNext w:val="0"/>
        <w:keepLines w:val="0"/>
        <w:pageBreakBefore w:val="0"/>
        <w:kinsoku/>
        <w:wordWrap/>
        <w:overflowPunct/>
        <w:topLinePunct w:val="0"/>
        <w:autoSpaceDE/>
        <w:autoSpaceDN/>
        <w:bidi w:val="0"/>
        <w:adjustRightInd/>
        <w:snapToGrid/>
        <w:spacing w:before="240" w:beforeLines="100" w:after="120" w:afterLines="50" w:line="480" w:lineRule="exact"/>
        <w:jc w:val="both"/>
        <w:textAlignment w:val="auto"/>
        <w:outlineLvl w:val="1"/>
        <w:rPr>
          <w:rFonts w:hint="eastAsia" w:asciiTheme="minorEastAsia" w:hAnsiTheme="minorEastAsia" w:eastAsiaTheme="minorEastAsia" w:cstheme="minorEastAsia"/>
          <w:b/>
          <w:color w:val="auto"/>
          <w:sz w:val="36"/>
          <w:szCs w:val="36"/>
          <w:highlight w:val="none"/>
        </w:rPr>
      </w:pPr>
      <w:bookmarkStart w:id="184" w:name="_Toc3434"/>
      <w:r>
        <w:rPr>
          <w:rFonts w:hint="eastAsia" w:asciiTheme="minorEastAsia" w:hAnsiTheme="minorEastAsia" w:eastAsiaTheme="minorEastAsia" w:cstheme="minorEastAsia"/>
          <w:b/>
          <w:color w:val="auto"/>
          <w:sz w:val="36"/>
          <w:szCs w:val="36"/>
          <w:highlight w:val="none"/>
        </w:rPr>
        <w:t>1.评标程序</w:t>
      </w:r>
      <w:bookmarkEnd w:id="184"/>
    </w:p>
    <w:p w14:paraId="1FB55E4A">
      <w:pPr>
        <w:keepNext w:val="0"/>
        <w:keepLines w:val="0"/>
        <w:widowControl w:val="0"/>
        <w:kinsoku/>
        <w:wordWrap/>
        <w:overflowPunct/>
        <w:topLinePunct w:val="0"/>
        <w:autoSpaceDE/>
        <w:autoSpaceDN/>
        <w:bidi w:val="0"/>
        <w:adjustRightInd/>
        <w:snapToGrid/>
        <w:spacing w:before="120" w:beforeLines="50" w:after="120" w:afterLines="50" w:line="480" w:lineRule="exact"/>
        <w:textAlignment w:val="auto"/>
        <w:rPr>
          <w:rFonts w:hint="eastAsia" w:ascii="宋体" w:hAnsi="宋体"/>
          <w:b/>
          <w:color w:val="auto"/>
          <w:sz w:val="30"/>
          <w:szCs w:val="30"/>
          <w:highlight w:val="none"/>
        </w:rPr>
      </w:pPr>
      <w:r>
        <w:rPr>
          <w:rFonts w:hint="eastAsia" w:ascii="宋体" w:hAnsi="宋体"/>
          <w:b/>
          <w:color w:val="auto"/>
          <w:sz w:val="30"/>
          <w:szCs w:val="30"/>
          <w:highlight w:val="none"/>
        </w:rPr>
        <w:t>1.1 评标按照下列程序进行：</w:t>
      </w:r>
    </w:p>
    <w:p w14:paraId="7AEBFD8C">
      <w:pPr>
        <w:keepNext w:val="0"/>
        <w:keepLines w:val="0"/>
        <w:widowControl w:val="0"/>
        <w:kinsoku/>
        <w:wordWrap/>
        <w:overflowPunct/>
        <w:topLinePunct w:val="0"/>
        <w:autoSpaceDE/>
        <w:autoSpaceDN/>
        <w:bidi w:val="0"/>
        <w:adjustRightInd/>
        <w:snapToGrid/>
        <w:spacing w:line="480" w:lineRule="exact"/>
        <w:ind w:firstLine="495"/>
        <w:textAlignment w:val="auto"/>
        <w:rPr>
          <w:rFonts w:hint="eastAsia" w:ascii="宋体" w:hAnsi="宋体"/>
          <w:color w:val="auto"/>
          <w:szCs w:val="21"/>
          <w:highlight w:val="none"/>
        </w:rPr>
      </w:pPr>
      <w:r>
        <w:rPr>
          <w:rFonts w:hint="eastAsia" w:ascii="宋体" w:hAnsi="宋体"/>
          <w:color w:val="auto"/>
          <w:szCs w:val="21"/>
          <w:highlight w:val="none"/>
        </w:rPr>
        <w:t>（1）投标文件符合性审查；</w:t>
      </w:r>
    </w:p>
    <w:p w14:paraId="6E7D27B0">
      <w:pPr>
        <w:keepNext w:val="0"/>
        <w:keepLines w:val="0"/>
        <w:widowControl w:val="0"/>
        <w:kinsoku/>
        <w:wordWrap/>
        <w:overflowPunct/>
        <w:topLinePunct w:val="0"/>
        <w:autoSpaceDE/>
        <w:autoSpaceDN/>
        <w:bidi w:val="0"/>
        <w:adjustRightInd/>
        <w:snapToGrid/>
        <w:spacing w:line="480" w:lineRule="exact"/>
        <w:ind w:firstLine="495"/>
        <w:textAlignment w:val="auto"/>
        <w:rPr>
          <w:rFonts w:hint="eastAsia" w:ascii="宋体" w:hAnsi="宋体"/>
          <w:color w:val="auto"/>
          <w:szCs w:val="21"/>
          <w:highlight w:val="none"/>
        </w:rPr>
      </w:pPr>
      <w:r>
        <w:rPr>
          <w:rFonts w:hint="eastAsia" w:ascii="宋体" w:hAnsi="宋体"/>
          <w:color w:val="auto"/>
          <w:szCs w:val="21"/>
          <w:highlight w:val="none"/>
        </w:rPr>
        <w:t>（2）投标文件澄清或说明；</w:t>
      </w:r>
    </w:p>
    <w:p w14:paraId="2BFEB562">
      <w:pPr>
        <w:keepNext w:val="0"/>
        <w:keepLines w:val="0"/>
        <w:widowControl w:val="0"/>
        <w:kinsoku/>
        <w:wordWrap/>
        <w:overflowPunct/>
        <w:topLinePunct w:val="0"/>
        <w:autoSpaceDE/>
        <w:autoSpaceDN/>
        <w:bidi w:val="0"/>
        <w:adjustRightInd/>
        <w:snapToGrid/>
        <w:spacing w:line="480" w:lineRule="exact"/>
        <w:ind w:firstLine="495"/>
        <w:textAlignment w:val="auto"/>
        <w:rPr>
          <w:rFonts w:hint="eastAsia" w:ascii="宋体" w:hAnsi="宋体"/>
          <w:color w:val="auto"/>
          <w:szCs w:val="21"/>
          <w:highlight w:val="none"/>
        </w:rPr>
      </w:pPr>
      <w:r>
        <w:rPr>
          <w:rFonts w:hint="eastAsia" w:ascii="宋体" w:hAnsi="宋体"/>
          <w:color w:val="auto"/>
          <w:szCs w:val="21"/>
          <w:highlight w:val="none"/>
        </w:rPr>
        <w:t>（3）投标文件比较与评价；</w:t>
      </w:r>
    </w:p>
    <w:p w14:paraId="2FD985DE">
      <w:pPr>
        <w:keepNext w:val="0"/>
        <w:keepLines w:val="0"/>
        <w:widowControl w:val="0"/>
        <w:kinsoku/>
        <w:wordWrap/>
        <w:overflowPunct/>
        <w:topLinePunct w:val="0"/>
        <w:autoSpaceDE/>
        <w:autoSpaceDN/>
        <w:bidi w:val="0"/>
        <w:adjustRightInd/>
        <w:snapToGrid/>
        <w:spacing w:line="480" w:lineRule="exact"/>
        <w:ind w:firstLine="495"/>
        <w:textAlignment w:val="auto"/>
        <w:rPr>
          <w:rFonts w:hint="eastAsia" w:ascii="宋体" w:hAnsi="宋体"/>
          <w:color w:val="auto"/>
          <w:szCs w:val="21"/>
          <w:highlight w:val="none"/>
        </w:rPr>
      </w:pPr>
      <w:r>
        <w:rPr>
          <w:rFonts w:hint="eastAsia" w:ascii="宋体" w:hAnsi="宋体"/>
          <w:color w:val="auto"/>
          <w:szCs w:val="21"/>
          <w:highlight w:val="none"/>
        </w:rPr>
        <w:t>（4）复核与核对评标结果；</w:t>
      </w:r>
    </w:p>
    <w:p w14:paraId="0457E9A8">
      <w:pPr>
        <w:keepNext w:val="0"/>
        <w:keepLines w:val="0"/>
        <w:widowControl w:val="0"/>
        <w:kinsoku/>
        <w:wordWrap/>
        <w:overflowPunct/>
        <w:topLinePunct w:val="0"/>
        <w:autoSpaceDE/>
        <w:autoSpaceDN/>
        <w:bidi w:val="0"/>
        <w:adjustRightInd/>
        <w:snapToGrid/>
        <w:spacing w:line="480" w:lineRule="exact"/>
        <w:ind w:firstLine="495"/>
        <w:textAlignment w:val="auto"/>
        <w:rPr>
          <w:rFonts w:hint="eastAsia" w:ascii="宋体" w:hAnsi="宋体"/>
          <w:color w:val="auto"/>
          <w:szCs w:val="21"/>
          <w:highlight w:val="none"/>
        </w:rPr>
      </w:pPr>
      <w:r>
        <w:rPr>
          <w:rFonts w:hint="eastAsia" w:ascii="宋体" w:hAnsi="宋体"/>
          <w:color w:val="auto"/>
          <w:szCs w:val="21"/>
          <w:highlight w:val="none"/>
        </w:rPr>
        <w:t>（5）确定中标候选人名单；</w:t>
      </w:r>
    </w:p>
    <w:p w14:paraId="26CB8F1F">
      <w:pPr>
        <w:keepNext w:val="0"/>
        <w:keepLines w:val="0"/>
        <w:widowControl w:val="0"/>
        <w:kinsoku/>
        <w:wordWrap/>
        <w:overflowPunct/>
        <w:topLinePunct w:val="0"/>
        <w:autoSpaceDE/>
        <w:autoSpaceDN/>
        <w:bidi w:val="0"/>
        <w:adjustRightInd/>
        <w:snapToGrid/>
        <w:spacing w:line="480" w:lineRule="exact"/>
        <w:ind w:firstLine="495"/>
        <w:textAlignment w:val="auto"/>
        <w:rPr>
          <w:rFonts w:hint="eastAsia" w:ascii="宋体" w:hAnsi="宋体"/>
          <w:color w:val="auto"/>
          <w:szCs w:val="21"/>
          <w:highlight w:val="none"/>
        </w:rPr>
      </w:pPr>
      <w:r>
        <w:rPr>
          <w:rFonts w:hint="eastAsia" w:ascii="宋体" w:hAnsi="宋体"/>
          <w:color w:val="auto"/>
          <w:szCs w:val="21"/>
          <w:highlight w:val="none"/>
        </w:rPr>
        <w:t>（6）</w:t>
      </w:r>
      <w:r>
        <w:rPr>
          <w:rFonts w:hint="eastAsia" w:ascii="宋体" w:hAnsi="宋体"/>
          <w:color w:val="auto"/>
          <w:szCs w:val="21"/>
          <w:highlight w:val="none"/>
          <w:lang w:val="en-US" w:eastAsia="zh-CN"/>
        </w:rPr>
        <w:t>出具</w:t>
      </w:r>
      <w:r>
        <w:rPr>
          <w:rFonts w:hint="eastAsia" w:ascii="宋体" w:hAnsi="宋体"/>
          <w:color w:val="auto"/>
          <w:szCs w:val="21"/>
          <w:highlight w:val="none"/>
        </w:rPr>
        <w:t>评标报告。</w:t>
      </w:r>
    </w:p>
    <w:p w14:paraId="3C684549">
      <w:pPr>
        <w:keepNext w:val="0"/>
        <w:keepLines w:val="0"/>
        <w:widowControl w:val="0"/>
        <w:kinsoku/>
        <w:wordWrap/>
        <w:overflowPunct/>
        <w:topLinePunct w:val="0"/>
        <w:autoSpaceDE/>
        <w:autoSpaceDN/>
        <w:bidi w:val="0"/>
        <w:adjustRightInd/>
        <w:snapToGrid/>
        <w:spacing w:before="120" w:beforeLines="50" w:after="120" w:afterLines="50" w:line="480" w:lineRule="exact"/>
        <w:textAlignment w:val="auto"/>
        <w:rPr>
          <w:rFonts w:hint="eastAsia" w:ascii="宋体" w:hAnsi="宋体"/>
          <w:b/>
          <w:color w:val="auto"/>
          <w:sz w:val="30"/>
          <w:szCs w:val="30"/>
          <w:highlight w:val="none"/>
        </w:rPr>
      </w:pPr>
      <w:r>
        <w:rPr>
          <w:rFonts w:hint="eastAsia" w:ascii="宋体" w:hAnsi="宋体"/>
          <w:b/>
          <w:color w:val="auto"/>
          <w:sz w:val="30"/>
          <w:szCs w:val="30"/>
          <w:highlight w:val="none"/>
        </w:rPr>
        <w:t>1.2 投标文件符合性审查</w:t>
      </w:r>
    </w:p>
    <w:p w14:paraId="5C5F8329">
      <w:pPr>
        <w:keepNext w:val="0"/>
        <w:keepLines w:val="0"/>
        <w:widowControl w:val="0"/>
        <w:kinsoku/>
        <w:wordWrap/>
        <w:overflowPunct/>
        <w:topLinePunct w:val="0"/>
        <w:autoSpaceDE/>
        <w:autoSpaceDN/>
        <w:bidi w:val="0"/>
        <w:adjustRightInd/>
        <w:snapToGrid/>
        <w:spacing w:line="480" w:lineRule="exact"/>
        <w:ind w:firstLine="411" w:firstLineChars="196"/>
        <w:textAlignment w:val="auto"/>
        <w:rPr>
          <w:rFonts w:hint="eastAsia" w:ascii="宋体" w:hAnsi="宋体"/>
          <w:color w:val="auto"/>
          <w:szCs w:val="21"/>
          <w:highlight w:val="none"/>
        </w:rPr>
      </w:pPr>
      <w:r>
        <w:rPr>
          <w:rFonts w:hint="eastAsia" w:ascii="宋体" w:hAnsi="宋体"/>
          <w:color w:val="auto"/>
          <w:szCs w:val="21"/>
          <w:highlight w:val="none"/>
        </w:rPr>
        <w:t>1.2.1 评标委员会依法对符合资格条件的投标人的投标文件进行符合性审查。评标委员会从投标文件的有效性、完整性和对招标文件的响应程度进行审查，以确定其是否对招标文件实质性内容作出响应</w:t>
      </w:r>
      <w:r>
        <w:rPr>
          <w:rFonts w:hint="eastAsia" w:ascii="宋体" w:hAnsi="宋体" w:cs="宋体"/>
          <w:color w:val="auto"/>
          <w:kern w:val="0"/>
          <w:szCs w:val="21"/>
          <w:highlight w:val="none"/>
        </w:rPr>
        <w:t>（采购人可根据具体项目的情况对实质性要求作特别的具体规定）</w:t>
      </w:r>
      <w:r>
        <w:rPr>
          <w:rFonts w:hint="eastAsia" w:ascii="宋体" w:hAnsi="宋体"/>
          <w:color w:val="auto"/>
          <w:szCs w:val="21"/>
          <w:highlight w:val="none"/>
        </w:rPr>
        <w:t>。</w:t>
      </w:r>
    </w:p>
    <w:p w14:paraId="48A9AF83">
      <w:pPr>
        <w:keepNext w:val="0"/>
        <w:keepLines w:val="0"/>
        <w:widowControl w:val="0"/>
        <w:kinsoku/>
        <w:wordWrap/>
        <w:overflowPunct/>
        <w:topLinePunct w:val="0"/>
        <w:autoSpaceDE/>
        <w:autoSpaceDN/>
        <w:bidi w:val="0"/>
        <w:adjustRightInd/>
        <w:snapToGrid/>
        <w:spacing w:after="120" w:afterLines="50" w:line="480" w:lineRule="exact"/>
        <w:ind w:firstLine="411" w:firstLineChars="196"/>
        <w:textAlignment w:val="auto"/>
        <w:rPr>
          <w:rFonts w:hint="eastAsia" w:ascii="宋体" w:hAnsi="宋体"/>
          <w:color w:val="auto"/>
          <w:szCs w:val="21"/>
          <w:highlight w:val="none"/>
        </w:rPr>
      </w:pPr>
      <w:r>
        <w:rPr>
          <w:rFonts w:hint="eastAsia" w:ascii="宋体" w:hAnsi="宋体"/>
          <w:color w:val="auto"/>
          <w:szCs w:val="21"/>
          <w:highlight w:val="none"/>
        </w:rPr>
        <w:t>1.2.2</w:t>
      </w:r>
      <w:r>
        <w:rPr>
          <w:rFonts w:hint="eastAsia" w:ascii="宋体" w:hAnsi="宋体"/>
          <w:color w:val="auto"/>
          <w:szCs w:val="21"/>
          <w:highlight w:val="none"/>
          <w:lang w:val="en-US" w:eastAsia="zh-CN"/>
        </w:rPr>
        <w:t xml:space="preserve"> </w:t>
      </w:r>
      <w:r>
        <w:rPr>
          <w:rFonts w:hint="eastAsia" w:ascii="宋体" w:hAnsi="宋体"/>
          <w:color w:val="auto"/>
          <w:szCs w:val="21"/>
          <w:highlight w:val="none"/>
        </w:rPr>
        <w:t>评标委员会按下列评审标准进行符合性审查：</w:t>
      </w:r>
    </w:p>
    <w:tbl>
      <w:tblPr>
        <w:tblStyle w:val="23"/>
        <w:tblW w:w="903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2"/>
        <w:gridCol w:w="8341"/>
      </w:tblGrid>
      <w:tr w14:paraId="4E61AB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jc w:val="center"/>
        </w:trPr>
        <w:tc>
          <w:tcPr>
            <w:tcW w:w="692" w:type="dxa"/>
            <w:noWrap w:val="0"/>
            <w:vAlign w:val="center"/>
          </w:tcPr>
          <w:p w14:paraId="35AFAF81">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heme="minorEastAsia" w:hAnsiTheme="minorEastAsia" w:eastAsiaTheme="minorEastAsia" w:cstheme="minorEastAsia"/>
                <w:b/>
                <w:bCs w:val="0"/>
                <w:color w:val="auto"/>
                <w:kern w:val="2"/>
                <w:sz w:val="21"/>
                <w:szCs w:val="21"/>
                <w:highlight w:val="none"/>
                <w:lang w:val="en-US" w:eastAsia="zh-CN" w:bidi="ar-SA"/>
              </w:rPr>
            </w:pPr>
            <w:r>
              <w:rPr>
                <w:rFonts w:hint="eastAsia" w:asciiTheme="minorEastAsia" w:hAnsiTheme="minorEastAsia" w:eastAsiaTheme="minorEastAsia" w:cstheme="minorEastAsia"/>
                <w:b/>
                <w:bCs w:val="0"/>
                <w:color w:val="auto"/>
                <w:kern w:val="2"/>
                <w:sz w:val="21"/>
                <w:szCs w:val="21"/>
                <w:highlight w:val="none"/>
                <w:lang w:val="en-US" w:eastAsia="zh-CN" w:bidi="ar-SA"/>
              </w:rPr>
              <w:t>序号</w:t>
            </w:r>
          </w:p>
        </w:tc>
        <w:tc>
          <w:tcPr>
            <w:tcW w:w="8341" w:type="dxa"/>
            <w:noWrap w:val="0"/>
            <w:vAlign w:val="center"/>
          </w:tcPr>
          <w:p w14:paraId="594B4901">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heme="minorEastAsia" w:hAnsiTheme="minorEastAsia" w:eastAsiaTheme="minorEastAsia" w:cstheme="minorEastAsia"/>
                <w:b/>
                <w:bCs w:val="0"/>
                <w:color w:val="auto"/>
                <w:kern w:val="2"/>
                <w:sz w:val="21"/>
                <w:szCs w:val="21"/>
                <w:highlight w:val="none"/>
                <w:lang w:val="en-US" w:eastAsia="zh-CN" w:bidi="ar-SA"/>
              </w:rPr>
            </w:pPr>
            <w:r>
              <w:rPr>
                <w:rFonts w:hint="eastAsia" w:asciiTheme="minorEastAsia" w:hAnsiTheme="minorEastAsia" w:eastAsiaTheme="minorEastAsia" w:cstheme="minorEastAsia"/>
                <w:b/>
                <w:bCs w:val="0"/>
                <w:color w:val="auto"/>
                <w:kern w:val="2"/>
                <w:sz w:val="21"/>
                <w:szCs w:val="21"/>
                <w:highlight w:val="none"/>
                <w:lang w:val="en-US" w:eastAsia="zh-CN" w:bidi="ar-SA"/>
              </w:rPr>
              <w:t>符合性审查要求</w:t>
            </w:r>
          </w:p>
        </w:tc>
      </w:tr>
      <w:tr w14:paraId="32F765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jc w:val="center"/>
        </w:trPr>
        <w:tc>
          <w:tcPr>
            <w:tcW w:w="692" w:type="dxa"/>
            <w:noWrap w:val="0"/>
            <w:vAlign w:val="center"/>
          </w:tcPr>
          <w:p w14:paraId="37353495">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heme="minorEastAsia" w:hAnsiTheme="minorEastAsia" w:eastAsiaTheme="minorEastAsia" w:cstheme="minorEastAsia"/>
                <w:b w:val="0"/>
                <w:bCs/>
                <w:color w:val="auto"/>
                <w:kern w:val="2"/>
                <w:sz w:val="21"/>
                <w:szCs w:val="21"/>
                <w:highlight w:val="none"/>
                <w:lang w:val="en-US" w:eastAsia="zh-CN" w:bidi="ar-SA"/>
              </w:rPr>
            </w:pPr>
            <w:r>
              <w:rPr>
                <w:rFonts w:hint="eastAsia" w:asciiTheme="minorEastAsia" w:hAnsiTheme="minorEastAsia" w:eastAsiaTheme="minorEastAsia" w:cstheme="minorEastAsia"/>
                <w:b w:val="0"/>
                <w:bCs/>
                <w:color w:val="auto"/>
                <w:kern w:val="2"/>
                <w:sz w:val="21"/>
                <w:szCs w:val="21"/>
                <w:highlight w:val="none"/>
                <w:lang w:val="en-US" w:eastAsia="zh-CN" w:bidi="ar-SA"/>
              </w:rPr>
              <w:t>1</w:t>
            </w:r>
          </w:p>
        </w:tc>
        <w:tc>
          <w:tcPr>
            <w:tcW w:w="8341" w:type="dxa"/>
            <w:noWrap w:val="0"/>
            <w:vAlign w:val="center"/>
          </w:tcPr>
          <w:p w14:paraId="214FCA72">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heme="minorEastAsia" w:hAnsiTheme="minorEastAsia" w:eastAsiaTheme="minorEastAsia" w:cstheme="minorEastAsia"/>
                <w:b w:val="0"/>
                <w:bCs/>
                <w:color w:val="auto"/>
                <w:kern w:val="2"/>
                <w:sz w:val="21"/>
                <w:szCs w:val="21"/>
                <w:highlight w:val="none"/>
                <w:lang w:val="en-US" w:eastAsia="zh-CN" w:bidi="ar-SA"/>
              </w:rPr>
            </w:pPr>
            <w:r>
              <w:rPr>
                <w:rFonts w:hint="eastAsia" w:asciiTheme="minorEastAsia" w:hAnsiTheme="minorEastAsia" w:eastAsiaTheme="minorEastAsia" w:cstheme="minorEastAsia"/>
                <w:color w:val="auto"/>
                <w:sz w:val="21"/>
                <w:szCs w:val="21"/>
                <w:highlight w:val="none"/>
              </w:rPr>
              <w:t>是否按</w:t>
            </w:r>
            <w:r>
              <w:rPr>
                <w:rFonts w:hint="eastAsia" w:asciiTheme="minorEastAsia" w:hAnsiTheme="minorEastAsia" w:eastAsiaTheme="minorEastAsia" w:cstheme="minorEastAsia"/>
                <w:color w:val="auto"/>
                <w:sz w:val="21"/>
                <w:szCs w:val="21"/>
                <w:highlight w:val="none"/>
                <w:lang w:val="en-US" w:eastAsia="zh-CN"/>
              </w:rPr>
              <w:t>招标</w:t>
            </w:r>
            <w:r>
              <w:rPr>
                <w:rFonts w:hint="eastAsia" w:asciiTheme="minorEastAsia" w:hAnsiTheme="minorEastAsia" w:eastAsiaTheme="minorEastAsia" w:cstheme="minorEastAsia"/>
                <w:color w:val="auto"/>
                <w:sz w:val="21"/>
                <w:szCs w:val="21"/>
                <w:highlight w:val="none"/>
              </w:rPr>
              <w:t>文件格式要求提供单位盖章及法定代表人或委托代理人签字（或签章）。</w:t>
            </w:r>
          </w:p>
        </w:tc>
      </w:tr>
      <w:tr w14:paraId="212BE6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692" w:type="dxa"/>
            <w:noWrap w:val="0"/>
            <w:vAlign w:val="center"/>
          </w:tcPr>
          <w:p w14:paraId="2FEC8716">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heme="minorEastAsia" w:hAnsiTheme="minorEastAsia" w:eastAsiaTheme="minorEastAsia" w:cstheme="minorEastAsia"/>
                <w:b w:val="0"/>
                <w:bCs/>
                <w:color w:val="auto"/>
                <w:kern w:val="2"/>
                <w:sz w:val="21"/>
                <w:szCs w:val="21"/>
                <w:highlight w:val="none"/>
                <w:lang w:val="en-US" w:eastAsia="zh-CN" w:bidi="ar-SA"/>
              </w:rPr>
            </w:pPr>
            <w:r>
              <w:rPr>
                <w:rFonts w:hint="eastAsia" w:asciiTheme="minorEastAsia" w:hAnsiTheme="minorEastAsia" w:eastAsiaTheme="minorEastAsia" w:cstheme="minorEastAsia"/>
                <w:b w:val="0"/>
                <w:bCs/>
                <w:color w:val="auto"/>
                <w:kern w:val="2"/>
                <w:sz w:val="21"/>
                <w:szCs w:val="21"/>
                <w:highlight w:val="none"/>
                <w:lang w:val="en-US" w:eastAsia="zh-CN" w:bidi="ar-SA"/>
              </w:rPr>
              <w:t>2</w:t>
            </w:r>
          </w:p>
        </w:tc>
        <w:tc>
          <w:tcPr>
            <w:tcW w:w="8341" w:type="dxa"/>
            <w:noWrap w:val="0"/>
            <w:vAlign w:val="center"/>
          </w:tcPr>
          <w:p w14:paraId="323AB1E6">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heme="minorEastAsia" w:hAnsiTheme="minorEastAsia" w:eastAsiaTheme="minorEastAsia" w:cstheme="minorEastAsia"/>
                <w:b w:val="0"/>
                <w:bCs/>
                <w:color w:val="auto"/>
                <w:kern w:val="2"/>
                <w:sz w:val="21"/>
                <w:szCs w:val="21"/>
                <w:highlight w:val="none"/>
                <w:lang w:val="en-US" w:eastAsia="zh-CN" w:bidi="ar-SA"/>
              </w:rPr>
            </w:pPr>
            <w:r>
              <w:rPr>
                <w:rFonts w:hint="eastAsia" w:asciiTheme="minorEastAsia" w:hAnsiTheme="minorEastAsia" w:eastAsiaTheme="minorEastAsia" w:cstheme="minorEastAsia"/>
                <w:color w:val="auto"/>
                <w:sz w:val="21"/>
                <w:szCs w:val="21"/>
                <w:highlight w:val="none"/>
              </w:rPr>
              <w:t>投标报价是否超过预算金</w:t>
            </w:r>
            <w:r>
              <w:rPr>
                <w:rFonts w:hint="eastAsia" w:asciiTheme="minorEastAsia" w:hAnsiTheme="minorEastAsia" w:eastAsiaTheme="minorEastAsia" w:cstheme="minorEastAsia"/>
                <w:color w:val="auto"/>
                <w:sz w:val="21"/>
                <w:szCs w:val="21"/>
                <w:highlight w:val="none"/>
                <w:lang w:val="en-US" w:eastAsia="zh-CN"/>
              </w:rPr>
              <w:t>额或最高限价。</w:t>
            </w:r>
          </w:p>
        </w:tc>
      </w:tr>
      <w:tr w14:paraId="7B2826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jc w:val="center"/>
        </w:trPr>
        <w:tc>
          <w:tcPr>
            <w:tcW w:w="692" w:type="dxa"/>
            <w:noWrap w:val="0"/>
            <w:vAlign w:val="center"/>
          </w:tcPr>
          <w:p w14:paraId="70B903EB">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heme="minorEastAsia" w:hAnsiTheme="minorEastAsia" w:eastAsiaTheme="minorEastAsia" w:cstheme="minorEastAsia"/>
                <w:b w:val="0"/>
                <w:bCs/>
                <w:color w:val="auto"/>
                <w:kern w:val="2"/>
                <w:sz w:val="21"/>
                <w:szCs w:val="21"/>
                <w:highlight w:val="none"/>
                <w:lang w:val="en-US" w:eastAsia="zh-CN" w:bidi="ar-SA"/>
              </w:rPr>
            </w:pPr>
            <w:r>
              <w:rPr>
                <w:rFonts w:hint="eastAsia" w:asciiTheme="minorEastAsia" w:hAnsiTheme="minorEastAsia" w:eastAsiaTheme="minorEastAsia" w:cstheme="minorEastAsia"/>
                <w:b w:val="0"/>
                <w:bCs/>
                <w:color w:val="auto"/>
                <w:kern w:val="2"/>
                <w:sz w:val="21"/>
                <w:szCs w:val="21"/>
                <w:highlight w:val="none"/>
                <w:lang w:val="en-US" w:eastAsia="zh-CN" w:bidi="ar-SA"/>
              </w:rPr>
              <w:t>3</w:t>
            </w:r>
          </w:p>
        </w:tc>
        <w:tc>
          <w:tcPr>
            <w:tcW w:w="8341" w:type="dxa"/>
            <w:noWrap w:val="0"/>
            <w:vAlign w:val="center"/>
          </w:tcPr>
          <w:p w14:paraId="7358ABC2">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heme="minorEastAsia" w:hAnsiTheme="minorEastAsia" w:eastAsiaTheme="minorEastAsia" w:cstheme="minorEastAsia"/>
                <w:b w:val="0"/>
                <w:bCs/>
                <w:color w:val="auto"/>
                <w:kern w:val="2"/>
                <w:sz w:val="21"/>
                <w:szCs w:val="21"/>
                <w:highlight w:val="none"/>
                <w:lang w:val="en-US" w:eastAsia="zh-CN" w:bidi="ar-SA"/>
              </w:rPr>
            </w:pPr>
            <w:r>
              <w:rPr>
                <w:rFonts w:hint="eastAsia" w:asciiTheme="minorEastAsia" w:hAnsiTheme="minorEastAsia" w:eastAsiaTheme="minorEastAsia" w:cstheme="minorEastAsia"/>
                <w:color w:val="auto"/>
                <w:sz w:val="21"/>
                <w:szCs w:val="21"/>
                <w:highlight w:val="none"/>
              </w:rPr>
              <w:t>评标委员会认为</w:t>
            </w:r>
            <w:r>
              <w:rPr>
                <w:rFonts w:hint="eastAsia" w:asciiTheme="minorEastAsia" w:hAnsiTheme="minorEastAsia" w:eastAsiaTheme="minorEastAsia" w:cstheme="minorEastAsia"/>
                <w:color w:val="auto"/>
                <w:sz w:val="21"/>
                <w:szCs w:val="21"/>
                <w:highlight w:val="none"/>
                <w:lang w:eastAsia="zh-CN"/>
              </w:rPr>
              <w:t>供应商</w:t>
            </w:r>
            <w:r>
              <w:rPr>
                <w:rFonts w:hint="eastAsia" w:asciiTheme="minorEastAsia" w:hAnsiTheme="minorEastAsia" w:eastAsiaTheme="minorEastAsia" w:cstheme="minorEastAsia"/>
                <w:color w:val="auto"/>
                <w:sz w:val="21"/>
                <w:szCs w:val="21"/>
                <w:highlight w:val="none"/>
              </w:rPr>
              <w:t>的报价明显低于其他通过符合性审查</w:t>
            </w:r>
            <w:r>
              <w:rPr>
                <w:rFonts w:hint="eastAsia" w:asciiTheme="minorEastAsia" w:hAnsiTheme="minorEastAsia" w:eastAsiaTheme="minorEastAsia" w:cstheme="minorEastAsia"/>
                <w:color w:val="auto"/>
                <w:sz w:val="21"/>
                <w:szCs w:val="21"/>
                <w:highlight w:val="none"/>
                <w:lang w:eastAsia="zh-CN"/>
              </w:rPr>
              <w:t>供应商</w:t>
            </w:r>
            <w:r>
              <w:rPr>
                <w:rFonts w:hint="eastAsia" w:asciiTheme="minorEastAsia" w:hAnsiTheme="minorEastAsia" w:eastAsiaTheme="minorEastAsia" w:cstheme="minorEastAsia"/>
                <w:color w:val="auto"/>
                <w:sz w:val="21"/>
                <w:szCs w:val="21"/>
                <w:highlight w:val="none"/>
              </w:rPr>
              <w:t>的报价，有可能影响产品质量或者不能诚信履约的，应当要求其在评标现场合理的时间内提供书面说明，必要时提交相关证明材料；</w:t>
            </w:r>
            <w:r>
              <w:rPr>
                <w:rFonts w:hint="eastAsia" w:asciiTheme="minorEastAsia" w:hAnsiTheme="minorEastAsia" w:eastAsiaTheme="minorEastAsia" w:cstheme="minorEastAsia"/>
                <w:color w:val="auto"/>
                <w:sz w:val="21"/>
                <w:szCs w:val="21"/>
                <w:highlight w:val="none"/>
                <w:lang w:eastAsia="zh-CN"/>
              </w:rPr>
              <w:t>供应商</w:t>
            </w:r>
            <w:r>
              <w:rPr>
                <w:rFonts w:hint="eastAsia" w:asciiTheme="minorEastAsia" w:hAnsiTheme="minorEastAsia" w:eastAsiaTheme="minorEastAsia" w:cstheme="minorEastAsia"/>
                <w:color w:val="auto"/>
                <w:sz w:val="21"/>
                <w:szCs w:val="21"/>
                <w:highlight w:val="none"/>
              </w:rPr>
              <w:t>不能证明其报价合理性的，评标委员会应当将其作为无效投标处理</w:t>
            </w:r>
            <w:r>
              <w:rPr>
                <w:rFonts w:hint="eastAsia" w:asciiTheme="minorEastAsia" w:hAnsiTheme="minorEastAsia" w:eastAsiaTheme="minorEastAsia" w:cstheme="minorEastAsia"/>
                <w:color w:val="auto"/>
                <w:sz w:val="21"/>
                <w:szCs w:val="21"/>
                <w:highlight w:val="none"/>
                <w:lang w:eastAsia="zh-CN"/>
              </w:rPr>
              <w:t>。</w:t>
            </w:r>
          </w:p>
        </w:tc>
      </w:tr>
      <w:tr w14:paraId="3396C9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jc w:val="center"/>
        </w:trPr>
        <w:tc>
          <w:tcPr>
            <w:tcW w:w="692" w:type="dxa"/>
            <w:noWrap w:val="0"/>
            <w:vAlign w:val="center"/>
          </w:tcPr>
          <w:p w14:paraId="76CDE8F8">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heme="minorEastAsia" w:hAnsiTheme="minorEastAsia" w:eastAsiaTheme="minorEastAsia" w:cstheme="minorEastAsia"/>
                <w:b w:val="0"/>
                <w:bCs/>
                <w:color w:val="auto"/>
                <w:kern w:val="2"/>
                <w:sz w:val="21"/>
                <w:szCs w:val="21"/>
                <w:highlight w:val="none"/>
                <w:lang w:val="en-US" w:eastAsia="zh-CN" w:bidi="ar-SA"/>
              </w:rPr>
            </w:pPr>
            <w:r>
              <w:rPr>
                <w:rFonts w:hint="eastAsia" w:asciiTheme="minorEastAsia" w:hAnsiTheme="minorEastAsia" w:eastAsiaTheme="minorEastAsia" w:cstheme="minorEastAsia"/>
                <w:b w:val="0"/>
                <w:bCs/>
                <w:color w:val="auto"/>
                <w:kern w:val="2"/>
                <w:sz w:val="21"/>
                <w:szCs w:val="21"/>
                <w:highlight w:val="none"/>
                <w:lang w:val="en-US" w:eastAsia="zh-CN" w:bidi="ar-SA"/>
              </w:rPr>
              <w:t>4</w:t>
            </w:r>
          </w:p>
        </w:tc>
        <w:tc>
          <w:tcPr>
            <w:tcW w:w="8341" w:type="dxa"/>
            <w:noWrap w:val="0"/>
            <w:vAlign w:val="center"/>
          </w:tcPr>
          <w:p w14:paraId="147A63ED">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val="0"/>
                <w:bCs/>
                <w:color w:val="auto"/>
                <w:kern w:val="2"/>
                <w:sz w:val="21"/>
                <w:szCs w:val="21"/>
                <w:highlight w:val="none"/>
                <w:lang w:val="en-US" w:eastAsia="zh-CN" w:bidi="ar-SA"/>
              </w:rPr>
              <w:t>投标有效期（90日历日）是否满足</w:t>
            </w:r>
            <w:r>
              <w:rPr>
                <w:rFonts w:hint="eastAsia" w:asciiTheme="minorEastAsia" w:hAnsiTheme="minorEastAsia" w:eastAsiaTheme="minorEastAsia" w:cstheme="minorEastAsia"/>
                <w:color w:val="auto"/>
                <w:sz w:val="21"/>
                <w:szCs w:val="21"/>
                <w:highlight w:val="none"/>
                <w:lang w:val="en-US" w:eastAsia="zh-CN"/>
              </w:rPr>
              <w:t>招标</w:t>
            </w:r>
            <w:r>
              <w:rPr>
                <w:rFonts w:hint="eastAsia" w:asciiTheme="minorEastAsia" w:hAnsiTheme="minorEastAsia" w:eastAsiaTheme="minorEastAsia" w:cstheme="minorEastAsia"/>
                <w:b w:val="0"/>
                <w:bCs/>
                <w:color w:val="auto"/>
                <w:kern w:val="2"/>
                <w:sz w:val="21"/>
                <w:szCs w:val="21"/>
                <w:highlight w:val="none"/>
                <w:lang w:val="en-US" w:eastAsia="zh-CN" w:bidi="ar-SA"/>
              </w:rPr>
              <w:t>文件要求的。</w:t>
            </w:r>
          </w:p>
        </w:tc>
      </w:tr>
      <w:tr w14:paraId="2ABD27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692" w:type="dxa"/>
            <w:noWrap w:val="0"/>
            <w:vAlign w:val="center"/>
          </w:tcPr>
          <w:p w14:paraId="3886D2AE">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heme="minorEastAsia" w:hAnsiTheme="minorEastAsia" w:eastAsiaTheme="minorEastAsia" w:cstheme="minorEastAsia"/>
                <w:b w:val="0"/>
                <w:bCs/>
                <w:color w:val="auto"/>
                <w:kern w:val="2"/>
                <w:sz w:val="21"/>
                <w:szCs w:val="21"/>
                <w:highlight w:val="none"/>
                <w:lang w:val="en-US" w:eastAsia="zh-CN" w:bidi="ar-SA"/>
              </w:rPr>
            </w:pPr>
            <w:r>
              <w:rPr>
                <w:rFonts w:hint="eastAsia" w:asciiTheme="minorEastAsia" w:hAnsiTheme="minorEastAsia" w:eastAsiaTheme="minorEastAsia" w:cstheme="minorEastAsia"/>
                <w:b w:val="0"/>
                <w:bCs/>
                <w:color w:val="auto"/>
                <w:kern w:val="2"/>
                <w:sz w:val="21"/>
                <w:szCs w:val="21"/>
                <w:highlight w:val="none"/>
                <w:lang w:val="en-US" w:eastAsia="zh-CN" w:bidi="ar-SA"/>
              </w:rPr>
              <w:t>5</w:t>
            </w:r>
          </w:p>
        </w:tc>
        <w:tc>
          <w:tcPr>
            <w:tcW w:w="8341" w:type="dxa"/>
            <w:noWrap w:val="0"/>
            <w:vAlign w:val="center"/>
          </w:tcPr>
          <w:p w14:paraId="683EF35E">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heme="minorEastAsia" w:hAnsiTheme="minorEastAsia" w:eastAsiaTheme="minorEastAsia" w:cstheme="minorEastAsia"/>
                <w:b w:val="0"/>
                <w:bCs/>
                <w:color w:val="auto"/>
                <w:kern w:val="2"/>
                <w:sz w:val="21"/>
                <w:szCs w:val="21"/>
                <w:highlight w:val="none"/>
                <w:lang w:val="en-US" w:eastAsia="zh-CN" w:bidi="ar-SA"/>
              </w:rPr>
            </w:pPr>
            <w:r>
              <w:rPr>
                <w:rFonts w:hint="eastAsia" w:asciiTheme="minorEastAsia" w:hAnsiTheme="minorEastAsia" w:eastAsiaTheme="minorEastAsia" w:cstheme="minorEastAsia"/>
                <w:b w:val="0"/>
                <w:bCs/>
                <w:color w:val="auto"/>
                <w:kern w:val="2"/>
                <w:sz w:val="21"/>
                <w:szCs w:val="21"/>
                <w:highlight w:val="none"/>
                <w:lang w:val="en-US" w:eastAsia="zh-CN" w:bidi="ar-SA"/>
              </w:rPr>
              <w:t>投标人所报项目合同履行期限</w:t>
            </w:r>
            <w:r>
              <w:rPr>
                <w:rFonts w:hint="eastAsia" w:asciiTheme="minorEastAsia" w:hAnsiTheme="minorEastAsia" w:eastAsiaTheme="minorEastAsia" w:cstheme="minorEastAsia"/>
                <w:b w:val="0"/>
                <w:bCs/>
                <w:color w:val="auto"/>
                <w:kern w:val="2"/>
                <w:sz w:val="21"/>
                <w:szCs w:val="21"/>
                <w:highlight w:val="none"/>
                <w:lang w:val="zh-CN" w:eastAsia="zh-CN" w:bidi="ar-SA"/>
              </w:rPr>
              <w:t>、</w:t>
            </w:r>
            <w:r>
              <w:rPr>
                <w:rFonts w:hint="eastAsia" w:asciiTheme="minorEastAsia" w:hAnsiTheme="minorEastAsia" w:eastAsiaTheme="minorEastAsia" w:cstheme="minorEastAsia"/>
                <w:b w:val="0"/>
                <w:bCs/>
                <w:color w:val="auto"/>
                <w:kern w:val="2"/>
                <w:sz w:val="21"/>
                <w:szCs w:val="21"/>
                <w:highlight w:val="none"/>
                <w:lang w:val="en-US" w:eastAsia="zh-CN" w:bidi="ar-SA"/>
              </w:rPr>
              <w:t>质保期限是否满足招标文件规定期限的。</w:t>
            </w:r>
          </w:p>
        </w:tc>
      </w:tr>
      <w:tr w14:paraId="678D15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92" w:type="dxa"/>
            <w:noWrap w:val="0"/>
            <w:vAlign w:val="center"/>
          </w:tcPr>
          <w:p w14:paraId="47039083">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heme="minorEastAsia" w:hAnsiTheme="minorEastAsia" w:eastAsiaTheme="minorEastAsia" w:cstheme="minorEastAsia"/>
                <w:b w:val="0"/>
                <w:bCs/>
                <w:color w:val="auto"/>
                <w:kern w:val="2"/>
                <w:sz w:val="21"/>
                <w:szCs w:val="21"/>
                <w:highlight w:val="none"/>
                <w:lang w:val="en-US" w:eastAsia="zh-CN" w:bidi="ar-SA"/>
              </w:rPr>
            </w:pPr>
            <w:r>
              <w:rPr>
                <w:rFonts w:hint="eastAsia" w:asciiTheme="minorEastAsia" w:hAnsiTheme="minorEastAsia" w:eastAsiaTheme="minorEastAsia" w:cstheme="minorEastAsia"/>
                <w:b w:val="0"/>
                <w:bCs/>
                <w:color w:val="auto"/>
                <w:kern w:val="2"/>
                <w:sz w:val="21"/>
                <w:szCs w:val="21"/>
                <w:highlight w:val="none"/>
                <w:lang w:val="en-US" w:eastAsia="zh-CN" w:bidi="ar-SA"/>
              </w:rPr>
              <w:t>6</w:t>
            </w:r>
          </w:p>
        </w:tc>
        <w:tc>
          <w:tcPr>
            <w:tcW w:w="8341" w:type="dxa"/>
            <w:noWrap w:val="0"/>
            <w:vAlign w:val="center"/>
          </w:tcPr>
          <w:p w14:paraId="07F7A38A">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heme="minorEastAsia" w:hAnsiTheme="minorEastAsia" w:eastAsiaTheme="minorEastAsia" w:cstheme="minorEastAsia"/>
                <w:bCs/>
                <w:color w:val="auto"/>
                <w:sz w:val="21"/>
                <w:szCs w:val="21"/>
                <w:highlight w:val="none"/>
                <w:lang w:val="en-US" w:eastAsia="zh-CN"/>
              </w:rPr>
            </w:pPr>
            <w:r>
              <w:rPr>
                <w:rFonts w:hint="eastAsia" w:asciiTheme="minorEastAsia" w:hAnsiTheme="minorEastAsia" w:eastAsiaTheme="minorEastAsia" w:cstheme="minorEastAsia"/>
                <w:bCs/>
                <w:color w:val="auto"/>
                <w:sz w:val="21"/>
                <w:szCs w:val="21"/>
                <w:highlight w:val="none"/>
                <w:lang w:val="en-US" w:eastAsia="zh-CN"/>
              </w:rPr>
              <w:t>投标文件是否存在其它不符合法律法规或招标文件规定的其它投标无效条款。</w:t>
            </w:r>
          </w:p>
        </w:tc>
      </w:tr>
      <w:tr w14:paraId="3732CA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8" w:hRule="atLeast"/>
          <w:jc w:val="center"/>
        </w:trPr>
        <w:tc>
          <w:tcPr>
            <w:tcW w:w="9033" w:type="dxa"/>
            <w:gridSpan w:val="2"/>
            <w:noWrap w:val="0"/>
            <w:vAlign w:val="center"/>
          </w:tcPr>
          <w:p w14:paraId="572A0F2D">
            <w:pPr>
              <w:spacing w:line="440" w:lineRule="exact"/>
              <w:rPr>
                <w:rFonts w:hint="eastAsia" w:asciiTheme="minorEastAsia" w:hAnsiTheme="minorEastAsia" w:eastAsiaTheme="minorEastAsia" w:cstheme="minorEastAsia"/>
                <w:b w:val="0"/>
                <w:bCs/>
                <w:color w:val="auto"/>
                <w:kern w:val="2"/>
                <w:sz w:val="21"/>
                <w:szCs w:val="21"/>
                <w:highlight w:val="none"/>
                <w:lang w:val="en-US" w:eastAsia="zh-CN" w:bidi="ar-SA"/>
              </w:rPr>
            </w:pPr>
            <w:r>
              <w:rPr>
                <w:rFonts w:hint="eastAsia" w:asciiTheme="minorEastAsia" w:hAnsiTheme="minorEastAsia" w:eastAsiaTheme="minorEastAsia" w:cstheme="minorEastAsia"/>
                <w:color w:val="auto"/>
                <w:sz w:val="21"/>
                <w:szCs w:val="21"/>
                <w:highlight w:val="none"/>
              </w:rPr>
              <w:t>说明：评标</w:t>
            </w:r>
            <w:r>
              <w:rPr>
                <w:rFonts w:hint="eastAsia" w:asciiTheme="minorEastAsia" w:hAnsiTheme="minorEastAsia" w:eastAsiaTheme="minorEastAsia" w:cstheme="minorEastAsia"/>
                <w:color w:val="auto"/>
                <w:sz w:val="21"/>
                <w:szCs w:val="21"/>
                <w:highlight w:val="none"/>
                <w:lang w:val="en-US" w:eastAsia="zh-CN"/>
              </w:rPr>
              <w:t>委员会</w:t>
            </w:r>
            <w:r>
              <w:rPr>
                <w:rFonts w:hint="eastAsia" w:asciiTheme="minorEastAsia" w:hAnsiTheme="minorEastAsia" w:eastAsiaTheme="minorEastAsia" w:cstheme="minorEastAsia"/>
                <w:color w:val="auto"/>
                <w:sz w:val="21"/>
                <w:szCs w:val="21"/>
                <w:highlight w:val="none"/>
              </w:rPr>
              <w:t>在开标时对供应商在商务技术部分上传的投标响应文件进行审查，以上各项有1项不合格，评审不予通过，作为</w:t>
            </w:r>
            <w:r>
              <w:rPr>
                <w:rFonts w:hint="eastAsia" w:asciiTheme="minorEastAsia" w:hAnsiTheme="minorEastAsia" w:eastAsiaTheme="minorEastAsia" w:cstheme="minorEastAsia"/>
                <w:b w:val="0"/>
                <w:bCs/>
                <w:color w:val="auto"/>
                <w:kern w:val="2"/>
                <w:sz w:val="21"/>
                <w:szCs w:val="21"/>
                <w:highlight w:val="none"/>
                <w:lang w:val="en-US" w:eastAsia="zh-CN" w:bidi="ar-SA"/>
              </w:rPr>
              <w:t>符合性审查</w:t>
            </w:r>
            <w:r>
              <w:rPr>
                <w:rFonts w:hint="eastAsia" w:asciiTheme="minorEastAsia" w:hAnsiTheme="minorEastAsia" w:eastAsiaTheme="minorEastAsia" w:cstheme="minorEastAsia"/>
                <w:color w:val="auto"/>
                <w:sz w:val="21"/>
                <w:szCs w:val="21"/>
                <w:highlight w:val="none"/>
              </w:rPr>
              <w:t>未</w:t>
            </w:r>
            <w:r>
              <w:rPr>
                <w:rFonts w:hint="eastAsia" w:asciiTheme="minorEastAsia" w:hAnsiTheme="minorEastAsia" w:eastAsiaTheme="minorEastAsia" w:cstheme="minorEastAsia"/>
                <w:color w:val="auto"/>
                <w:sz w:val="21"/>
                <w:szCs w:val="21"/>
                <w:highlight w:val="none"/>
                <w:lang w:val="en-US" w:eastAsia="zh-CN"/>
              </w:rPr>
              <w:t>通过</w:t>
            </w:r>
            <w:r>
              <w:rPr>
                <w:rFonts w:hint="eastAsia" w:asciiTheme="minorEastAsia" w:hAnsiTheme="minorEastAsia" w:eastAsiaTheme="minorEastAsia" w:cstheme="minorEastAsia"/>
                <w:color w:val="auto"/>
                <w:sz w:val="21"/>
                <w:szCs w:val="21"/>
                <w:highlight w:val="none"/>
              </w:rPr>
              <w:t>。未通过符合性检查的投标文件，不得进入后续评标环节。</w:t>
            </w:r>
          </w:p>
        </w:tc>
      </w:tr>
    </w:tbl>
    <w:p w14:paraId="1D86C7A5">
      <w:pPr>
        <w:keepNext w:val="0"/>
        <w:keepLines w:val="0"/>
        <w:widowControl w:val="0"/>
        <w:kinsoku/>
        <w:wordWrap/>
        <w:overflowPunct/>
        <w:topLinePunct w:val="0"/>
        <w:autoSpaceDE/>
        <w:autoSpaceDN/>
        <w:bidi w:val="0"/>
        <w:adjustRightInd/>
        <w:snapToGrid/>
        <w:spacing w:before="120" w:beforeLines="50" w:after="120" w:afterLines="50" w:line="480" w:lineRule="exact"/>
        <w:textAlignment w:val="auto"/>
        <w:rPr>
          <w:rFonts w:hint="eastAsia" w:ascii="宋体" w:hAnsi="宋体"/>
          <w:b/>
          <w:color w:val="auto"/>
          <w:sz w:val="30"/>
          <w:szCs w:val="30"/>
          <w:highlight w:val="none"/>
        </w:rPr>
      </w:pPr>
      <w:r>
        <w:rPr>
          <w:rFonts w:hint="eastAsia" w:ascii="宋体" w:hAnsi="宋体"/>
          <w:b/>
          <w:color w:val="auto"/>
          <w:sz w:val="30"/>
          <w:szCs w:val="30"/>
          <w:highlight w:val="none"/>
        </w:rPr>
        <w:t>1.3 投标文件的澄清</w:t>
      </w:r>
    </w:p>
    <w:p w14:paraId="27B67E9F">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1.3.1为有助于投标文件的审查、比较和评价，评标委员会可以书面形式</w:t>
      </w:r>
      <w:r>
        <w:rPr>
          <w:rFonts w:hint="eastAsia"/>
          <w:color w:val="auto"/>
          <w:sz w:val="21"/>
          <w:szCs w:val="21"/>
          <w:highlight w:val="none"/>
          <w:lang w:val="zh-CN"/>
        </w:rPr>
        <w:t>或政采云平台</w:t>
      </w:r>
      <w:r>
        <w:rPr>
          <w:rFonts w:hint="eastAsia" w:ascii="宋体" w:hAnsi="宋体"/>
          <w:color w:val="auto"/>
          <w:szCs w:val="21"/>
          <w:highlight w:val="none"/>
        </w:rPr>
        <w:t>要求投标人对其投标文件中含义不明确、同类问题表述不一致或者有明显文字和计算错误的内容作必要的澄清、说明或者补正。有关澄清、说明或者补正应以书面形式</w:t>
      </w:r>
      <w:r>
        <w:rPr>
          <w:rFonts w:hint="eastAsia" w:ascii="宋体" w:hAnsi="宋体"/>
          <w:color w:val="auto"/>
          <w:szCs w:val="21"/>
          <w:highlight w:val="none"/>
          <w:lang w:val="zh-CN"/>
        </w:rPr>
        <w:t>或政采云平台</w:t>
      </w:r>
      <w:r>
        <w:rPr>
          <w:rFonts w:hint="eastAsia" w:ascii="宋体" w:hAnsi="宋体"/>
          <w:color w:val="auto"/>
          <w:szCs w:val="21"/>
          <w:highlight w:val="none"/>
        </w:rPr>
        <w:t>提交，并由其法定代表人或委托代理人签字。评标委员会不接受投标人主动提出的澄清、说明或者补正。</w:t>
      </w:r>
    </w:p>
    <w:p w14:paraId="36A46EE9">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1.3.2 投标人的澄清、说明或者补正不得超出投标文件的范围或者改变投标文件的实质性内容，并构成为投标文件的组成部分。</w:t>
      </w:r>
    </w:p>
    <w:p w14:paraId="5A8F5061">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1.3.3 评标委员会对投标人提交的澄清、说明或者补正有疑问的，可以要求投标人进一步澄清、说明或者补正，直至满足评标委员会的要求。</w:t>
      </w:r>
    </w:p>
    <w:p w14:paraId="5521E0E8">
      <w:pPr>
        <w:keepNext w:val="0"/>
        <w:keepLines w:val="0"/>
        <w:pageBreakBefore w:val="0"/>
        <w:kinsoku/>
        <w:wordWrap/>
        <w:overflowPunct/>
        <w:topLinePunct w:val="0"/>
        <w:bidi w:val="0"/>
        <w:spacing w:before="120" w:beforeLines="50" w:after="120" w:afterLines="50" w:line="480" w:lineRule="exact"/>
        <w:jc w:val="left"/>
        <w:rPr>
          <w:rFonts w:hint="eastAsia" w:ascii="宋体" w:hAnsi="宋体"/>
          <w:b/>
          <w:color w:val="auto"/>
          <w:sz w:val="30"/>
          <w:szCs w:val="30"/>
          <w:highlight w:val="none"/>
        </w:rPr>
      </w:pPr>
      <w:r>
        <w:rPr>
          <w:rFonts w:hint="eastAsia" w:ascii="宋体" w:hAnsi="宋体"/>
          <w:b/>
          <w:color w:val="auto"/>
          <w:sz w:val="30"/>
          <w:szCs w:val="30"/>
          <w:highlight w:val="none"/>
        </w:rPr>
        <w:t>1.4 投标文件比较与评价</w:t>
      </w:r>
    </w:p>
    <w:p w14:paraId="1227F3FE">
      <w:pPr>
        <w:keepNext w:val="0"/>
        <w:keepLines w:val="0"/>
        <w:pageBreakBefore w:val="0"/>
        <w:tabs>
          <w:tab w:val="left" w:pos="0"/>
        </w:tabs>
        <w:kinsoku/>
        <w:wordWrap/>
        <w:overflowPunct/>
        <w:topLinePunct w:val="0"/>
        <w:bidi w:val="0"/>
        <w:adjustRightInd w:val="0"/>
        <w:snapToGrid w:val="0"/>
        <w:spacing w:before="120" w:beforeLines="50" w:line="480" w:lineRule="exact"/>
        <w:ind w:firstLine="420" w:firstLineChars="200"/>
        <w:rPr>
          <w:rFonts w:hint="eastAsia" w:ascii="宋体" w:hAnsi="宋体"/>
          <w:color w:val="auto"/>
          <w:szCs w:val="21"/>
          <w:highlight w:val="none"/>
        </w:rPr>
      </w:pPr>
      <w:r>
        <w:rPr>
          <w:rFonts w:hint="eastAsia" w:ascii="宋体" w:hAnsi="宋体"/>
          <w:color w:val="auto"/>
          <w:szCs w:val="21"/>
          <w:highlight w:val="none"/>
        </w:rPr>
        <w:t xml:space="preserve">1.4.1 </w:t>
      </w:r>
      <w:r>
        <w:rPr>
          <w:rFonts w:hint="eastAsia" w:ascii="宋体" w:hAnsi="宋体"/>
          <w:bCs/>
          <w:color w:val="auto"/>
          <w:szCs w:val="21"/>
          <w:highlight w:val="none"/>
        </w:rPr>
        <w:t>评标委员会应按照招标文件中规定的评标方法</w:t>
      </w:r>
      <w:r>
        <w:rPr>
          <w:rFonts w:hint="eastAsia" w:ascii="宋体" w:hAnsi="宋体"/>
          <w:color w:val="auto"/>
          <w:szCs w:val="21"/>
          <w:highlight w:val="none"/>
        </w:rPr>
        <w:t>和标准，</w:t>
      </w:r>
      <w:r>
        <w:rPr>
          <w:rFonts w:hint="eastAsia" w:ascii="宋体" w:hAnsi="宋体"/>
          <w:bCs/>
          <w:color w:val="auto"/>
          <w:szCs w:val="21"/>
          <w:highlight w:val="none"/>
        </w:rPr>
        <w:t>对</w:t>
      </w:r>
      <w:r>
        <w:rPr>
          <w:rFonts w:hint="eastAsia" w:ascii="宋体" w:hAnsi="宋体"/>
          <w:color w:val="auto"/>
          <w:szCs w:val="21"/>
          <w:highlight w:val="none"/>
        </w:rPr>
        <w:t>符合性检查</w:t>
      </w:r>
      <w:r>
        <w:rPr>
          <w:rFonts w:hint="eastAsia" w:ascii="宋体" w:hAnsi="宋体"/>
          <w:bCs/>
          <w:color w:val="auto"/>
          <w:szCs w:val="21"/>
          <w:highlight w:val="none"/>
        </w:rPr>
        <w:t>通过的投标文件进行商务和技术评估，综合比较与评价。</w:t>
      </w:r>
    </w:p>
    <w:p w14:paraId="594C8508">
      <w:pPr>
        <w:keepNext w:val="0"/>
        <w:keepLines w:val="0"/>
        <w:pageBreakBefore w:val="0"/>
        <w:kinsoku/>
        <w:wordWrap/>
        <w:overflowPunct/>
        <w:topLinePunct w:val="0"/>
        <w:bidi w:val="0"/>
        <w:spacing w:line="480" w:lineRule="exact"/>
        <w:ind w:firstLine="411" w:firstLineChars="196"/>
        <w:rPr>
          <w:rFonts w:hint="eastAsia" w:ascii="宋体" w:hAnsi="宋体"/>
          <w:color w:val="auto"/>
          <w:szCs w:val="21"/>
          <w:highlight w:val="none"/>
        </w:rPr>
      </w:pPr>
      <w:r>
        <w:rPr>
          <w:rFonts w:hint="eastAsia" w:ascii="宋体" w:hAnsi="宋体"/>
          <w:color w:val="auto"/>
          <w:szCs w:val="21"/>
          <w:highlight w:val="none"/>
        </w:rPr>
        <w:t>1.4.2 如果投标文件没有实质性响应招标文件的要求，评标委员会将予以拒绝。投标人不得通过修正或撤销不合要求的偏离或保留，从而使其投标成为实质性响应的投标。</w:t>
      </w:r>
    </w:p>
    <w:p w14:paraId="256D8D50">
      <w:pPr>
        <w:keepNext w:val="0"/>
        <w:keepLines w:val="0"/>
        <w:pageBreakBefore w:val="0"/>
        <w:kinsoku/>
        <w:wordWrap/>
        <w:overflowPunct/>
        <w:topLinePunct w:val="0"/>
        <w:bidi w:val="0"/>
        <w:spacing w:before="120" w:beforeLines="50" w:line="480" w:lineRule="exact"/>
        <w:rPr>
          <w:rFonts w:hint="eastAsia" w:ascii="宋体" w:hAnsi="宋体"/>
          <w:b/>
          <w:color w:val="auto"/>
          <w:sz w:val="30"/>
          <w:szCs w:val="30"/>
          <w:highlight w:val="none"/>
        </w:rPr>
      </w:pPr>
      <w:r>
        <w:rPr>
          <w:rFonts w:hint="eastAsia" w:ascii="宋体" w:hAnsi="宋体"/>
          <w:b/>
          <w:color w:val="auto"/>
          <w:sz w:val="30"/>
          <w:szCs w:val="30"/>
          <w:highlight w:val="none"/>
        </w:rPr>
        <w:t>1.5 复核与核对评标结果</w:t>
      </w:r>
    </w:p>
    <w:p w14:paraId="119F29F9">
      <w:pPr>
        <w:keepNext w:val="0"/>
        <w:keepLines w:val="0"/>
        <w:pageBreakBefore w:val="0"/>
        <w:kinsoku/>
        <w:wordWrap/>
        <w:overflowPunct/>
        <w:topLinePunct w:val="0"/>
        <w:bidi w:val="0"/>
        <w:spacing w:before="120" w:beforeLines="50" w:line="480" w:lineRule="exact"/>
        <w:ind w:firstLine="420" w:firstLineChars="200"/>
        <w:rPr>
          <w:rFonts w:hint="eastAsia" w:ascii="宋体" w:hAnsi="宋体"/>
          <w:color w:val="auto"/>
          <w:szCs w:val="21"/>
          <w:highlight w:val="none"/>
        </w:rPr>
      </w:pPr>
      <w:r>
        <w:rPr>
          <w:rFonts w:hint="eastAsia" w:ascii="宋体" w:hAnsi="宋体"/>
          <w:color w:val="auto"/>
          <w:szCs w:val="21"/>
          <w:highlight w:val="none"/>
        </w:rPr>
        <w:t>1.5.1 评分汇总结束后，评标委员会应当进行复核，特别要对拟推荐中标候选人的、报价最低的、投标文件被认定无效的进行重点复核。</w:t>
      </w:r>
    </w:p>
    <w:p w14:paraId="041B82BA">
      <w:pPr>
        <w:pStyle w:val="37"/>
        <w:keepNext w:val="0"/>
        <w:keepLines w:val="0"/>
        <w:pageBreakBefore w:val="0"/>
        <w:kinsoku/>
        <w:wordWrap/>
        <w:overflowPunct/>
        <w:topLinePunct w:val="0"/>
        <w:bidi w:val="0"/>
        <w:spacing w:line="480" w:lineRule="exact"/>
        <w:ind w:firstLine="420" w:firstLineChars="200"/>
        <w:rPr>
          <w:rFonts w:hint="eastAsia" w:ascii="宋体" w:hAnsi="宋体"/>
          <w:color w:val="auto"/>
          <w:highlight w:val="none"/>
        </w:rPr>
      </w:pPr>
      <w:r>
        <w:rPr>
          <w:rFonts w:hint="eastAsia" w:ascii="宋体" w:hAnsi="宋体"/>
          <w:color w:val="auto"/>
          <w:highlight w:val="none"/>
        </w:rPr>
        <w:t>1.5.2 评标结果汇总完成后，</w:t>
      </w:r>
      <w:r>
        <w:rPr>
          <w:rFonts w:ascii="宋体" w:hAnsi="宋体"/>
          <w:color w:val="auto"/>
          <w:highlight w:val="none"/>
        </w:rPr>
        <w:t>评标报告签署前，</w:t>
      </w:r>
      <w:r>
        <w:rPr>
          <w:rFonts w:hint="eastAsia" w:ascii="宋体" w:hAnsi="宋体"/>
          <w:color w:val="auto"/>
          <w:highlight w:val="none"/>
        </w:rPr>
        <w:t>采购代理机构应当</w:t>
      </w:r>
      <w:r>
        <w:rPr>
          <w:rFonts w:ascii="宋体" w:hAnsi="宋体"/>
          <w:bCs/>
          <w:color w:val="auto"/>
          <w:highlight w:val="none"/>
        </w:rPr>
        <w:t>核对评标结果，</w:t>
      </w:r>
      <w:r>
        <w:rPr>
          <w:rFonts w:ascii="宋体" w:hAnsi="宋体"/>
          <w:color w:val="auto"/>
          <w:highlight w:val="none"/>
        </w:rPr>
        <w:t>除下列情形外，任何人不得修改评标结果：</w:t>
      </w:r>
    </w:p>
    <w:p w14:paraId="162EFA80">
      <w:pPr>
        <w:keepNext w:val="0"/>
        <w:keepLines w:val="0"/>
        <w:pageBreakBefore w:val="0"/>
        <w:kinsoku/>
        <w:wordWrap/>
        <w:overflowPunct/>
        <w:topLinePunct w:val="0"/>
        <w:bidi w:val="0"/>
        <w:spacing w:line="480" w:lineRule="exact"/>
        <w:ind w:firstLine="420" w:firstLineChars="200"/>
        <w:rPr>
          <w:rFonts w:hint="eastAsia" w:ascii="宋体" w:hAnsi="宋体"/>
          <w:color w:val="auto"/>
          <w:szCs w:val="21"/>
          <w:highlight w:val="none"/>
        </w:rPr>
      </w:pPr>
      <w:r>
        <w:rPr>
          <w:rFonts w:ascii="宋体" w:hAnsi="宋体"/>
          <w:color w:val="auto"/>
          <w:szCs w:val="21"/>
          <w:highlight w:val="none"/>
        </w:rPr>
        <w:t>（</w:t>
      </w:r>
      <w:r>
        <w:rPr>
          <w:rFonts w:hint="eastAsia" w:ascii="宋体" w:hAnsi="宋体"/>
          <w:color w:val="auto"/>
          <w:szCs w:val="21"/>
          <w:highlight w:val="none"/>
        </w:rPr>
        <w:t>1</w:t>
      </w:r>
      <w:r>
        <w:rPr>
          <w:rFonts w:ascii="宋体" w:hAnsi="宋体"/>
          <w:color w:val="auto"/>
          <w:szCs w:val="21"/>
          <w:highlight w:val="none"/>
        </w:rPr>
        <w:t>）分值汇总计算错误的；</w:t>
      </w:r>
    </w:p>
    <w:p w14:paraId="6B4ACBE2">
      <w:pPr>
        <w:keepNext w:val="0"/>
        <w:keepLines w:val="0"/>
        <w:pageBreakBefore w:val="0"/>
        <w:kinsoku/>
        <w:wordWrap/>
        <w:overflowPunct/>
        <w:topLinePunct w:val="0"/>
        <w:bidi w:val="0"/>
        <w:spacing w:line="480" w:lineRule="exact"/>
        <w:ind w:firstLine="420" w:firstLineChars="200"/>
        <w:rPr>
          <w:rFonts w:hint="eastAsia" w:ascii="宋体" w:hAnsi="宋体"/>
          <w:color w:val="auto"/>
          <w:szCs w:val="21"/>
          <w:highlight w:val="none"/>
        </w:rPr>
      </w:pPr>
      <w:r>
        <w:rPr>
          <w:rFonts w:ascii="宋体" w:hAnsi="宋体"/>
          <w:color w:val="auto"/>
          <w:szCs w:val="21"/>
          <w:highlight w:val="none"/>
        </w:rPr>
        <w:t>（</w:t>
      </w:r>
      <w:r>
        <w:rPr>
          <w:rFonts w:hint="eastAsia" w:ascii="宋体" w:hAnsi="宋体"/>
          <w:color w:val="auto"/>
          <w:szCs w:val="21"/>
          <w:highlight w:val="none"/>
        </w:rPr>
        <w:t>2</w:t>
      </w:r>
      <w:r>
        <w:rPr>
          <w:rFonts w:ascii="宋体" w:hAnsi="宋体"/>
          <w:color w:val="auto"/>
          <w:szCs w:val="21"/>
          <w:highlight w:val="none"/>
        </w:rPr>
        <w:t>）分项评分超出评分标准范围的；</w:t>
      </w:r>
    </w:p>
    <w:p w14:paraId="5DC15B7B">
      <w:pPr>
        <w:keepNext w:val="0"/>
        <w:keepLines w:val="0"/>
        <w:pageBreakBefore w:val="0"/>
        <w:kinsoku/>
        <w:wordWrap/>
        <w:overflowPunct/>
        <w:topLinePunct w:val="0"/>
        <w:bidi w:val="0"/>
        <w:spacing w:line="480" w:lineRule="exact"/>
        <w:ind w:firstLine="420" w:firstLineChars="200"/>
        <w:rPr>
          <w:rFonts w:hint="eastAsia" w:ascii="宋体" w:hAnsi="宋体"/>
          <w:color w:val="auto"/>
          <w:szCs w:val="21"/>
          <w:highlight w:val="none"/>
        </w:rPr>
      </w:pPr>
      <w:r>
        <w:rPr>
          <w:rFonts w:ascii="宋体" w:hAnsi="宋体"/>
          <w:color w:val="auto"/>
          <w:szCs w:val="21"/>
          <w:highlight w:val="none"/>
        </w:rPr>
        <w:t>（</w:t>
      </w:r>
      <w:r>
        <w:rPr>
          <w:rFonts w:hint="eastAsia" w:ascii="宋体" w:hAnsi="宋体"/>
          <w:color w:val="auto"/>
          <w:szCs w:val="21"/>
          <w:highlight w:val="none"/>
        </w:rPr>
        <w:t>3</w:t>
      </w:r>
      <w:r>
        <w:rPr>
          <w:rFonts w:ascii="宋体" w:hAnsi="宋体"/>
          <w:color w:val="auto"/>
          <w:szCs w:val="21"/>
          <w:highlight w:val="none"/>
        </w:rPr>
        <w:t>）评标委员会对客观评审因素评分不一致的；</w:t>
      </w:r>
    </w:p>
    <w:p w14:paraId="2BE16AFC">
      <w:pPr>
        <w:keepNext w:val="0"/>
        <w:keepLines w:val="0"/>
        <w:pageBreakBefore w:val="0"/>
        <w:kinsoku/>
        <w:wordWrap/>
        <w:overflowPunct/>
        <w:topLinePunct w:val="0"/>
        <w:bidi w:val="0"/>
        <w:spacing w:line="480" w:lineRule="exact"/>
        <w:ind w:firstLine="420" w:firstLineChars="200"/>
        <w:rPr>
          <w:rFonts w:hint="eastAsia" w:ascii="宋体" w:hAnsi="宋体"/>
          <w:color w:val="auto"/>
          <w:szCs w:val="21"/>
          <w:highlight w:val="none"/>
        </w:rPr>
      </w:pPr>
      <w:r>
        <w:rPr>
          <w:rFonts w:ascii="宋体" w:hAnsi="宋体"/>
          <w:color w:val="auto"/>
          <w:szCs w:val="21"/>
          <w:highlight w:val="none"/>
        </w:rPr>
        <w:t>（</w:t>
      </w:r>
      <w:r>
        <w:rPr>
          <w:rFonts w:hint="eastAsia" w:ascii="宋体" w:hAnsi="宋体"/>
          <w:color w:val="auto"/>
          <w:szCs w:val="21"/>
          <w:highlight w:val="none"/>
        </w:rPr>
        <w:t>4</w:t>
      </w:r>
      <w:r>
        <w:rPr>
          <w:rFonts w:ascii="宋体" w:hAnsi="宋体"/>
          <w:color w:val="auto"/>
          <w:szCs w:val="21"/>
          <w:highlight w:val="none"/>
        </w:rPr>
        <w:t>）经评标委员会认定评分畸高、畸低的。</w:t>
      </w:r>
    </w:p>
    <w:p w14:paraId="24D951B9">
      <w:pPr>
        <w:keepNext w:val="0"/>
        <w:keepLines w:val="0"/>
        <w:pageBreakBefore w:val="0"/>
        <w:kinsoku/>
        <w:wordWrap/>
        <w:overflowPunct/>
        <w:topLinePunct w:val="0"/>
        <w:bidi w:val="0"/>
        <w:spacing w:before="120" w:beforeLines="50" w:after="120" w:afterLines="50" w:line="480" w:lineRule="exact"/>
        <w:rPr>
          <w:rFonts w:hint="eastAsia" w:ascii="宋体" w:hAnsi="宋体"/>
          <w:b/>
          <w:color w:val="auto"/>
          <w:sz w:val="30"/>
          <w:szCs w:val="30"/>
          <w:highlight w:val="none"/>
        </w:rPr>
      </w:pPr>
      <w:r>
        <w:rPr>
          <w:rFonts w:hint="eastAsia" w:ascii="宋体" w:hAnsi="宋体"/>
          <w:b/>
          <w:color w:val="auto"/>
          <w:sz w:val="30"/>
          <w:szCs w:val="30"/>
          <w:highlight w:val="none"/>
        </w:rPr>
        <w:t>1.6 确定中标候选人名单</w:t>
      </w:r>
    </w:p>
    <w:p w14:paraId="27340882">
      <w:pPr>
        <w:keepNext w:val="0"/>
        <w:keepLines w:val="0"/>
        <w:pageBreakBefore w:val="0"/>
        <w:kinsoku/>
        <w:wordWrap/>
        <w:overflowPunct/>
        <w:topLinePunct w:val="0"/>
        <w:bidi w:val="0"/>
        <w:spacing w:before="120" w:beforeLines="50" w:line="480" w:lineRule="exact"/>
        <w:ind w:firstLine="420" w:firstLineChars="200"/>
        <w:rPr>
          <w:rFonts w:hint="eastAsia" w:ascii="宋体" w:hAnsi="宋体"/>
          <w:color w:val="auto"/>
          <w:szCs w:val="21"/>
          <w:highlight w:val="none"/>
        </w:rPr>
      </w:pPr>
      <w:r>
        <w:rPr>
          <w:rFonts w:hint="eastAsia" w:ascii="宋体" w:hAnsi="宋体"/>
          <w:color w:val="auto"/>
          <w:szCs w:val="21"/>
          <w:highlight w:val="none"/>
        </w:rPr>
        <w:t>定标及定标程序祥见第二章第9.1、9.2条款。</w:t>
      </w:r>
    </w:p>
    <w:p w14:paraId="2A04E762">
      <w:pPr>
        <w:keepNext w:val="0"/>
        <w:keepLines w:val="0"/>
        <w:pageBreakBefore w:val="0"/>
        <w:kinsoku/>
        <w:wordWrap/>
        <w:overflowPunct/>
        <w:topLinePunct w:val="0"/>
        <w:bidi w:val="0"/>
        <w:spacing w:before="120" w:beforeLines="50" w:after="120" w:afterLines="50" w:line="480" w:lineRule="exact"/>
        <w:rPr>
          <w:rFonts w:hint="eastAsia" w:ascii="宋体" w:hAnsi="宋体"/>
          <w:b/>
          <w:color w:val="auto"/>
          <w:sz w:val="30"/>
          <w:szCs w:val="30"/>
          <w:highlight w:val="none"/>
        </w:rPr>
      </w:pPr>
      <w:r>
        <w:rPr>
          <w:rFonts w:hint="eastAsia" w:ascii="宋体" w:hAnsi="宋体"/>
          <w:b/>
          <w:color w:val="auto"/>
          <w:sz w:val="30"/>
          <w:szCs w:val="30"/>
          <w:highlight w:val="none"/>
        </w:rPr>
        <w:t xml:space="preserve">1.7 </w:t>
      </w:r>
      <w:r>
        <w:rPr>
          <w:rFonts w:hint="eastAsia" w:ascii="宋体" w:hAnsi="宋体"/>
          <w:b/>
          <w:color w:val="auto"/>
          <w:sz w:val="30"/>
          <w:szCs w:val="30"/>
          <w:highlight w:val="none"/>
          <w:lang w:val="en-US" w:eastAsia="zh-CN"/>
        </w:rPr>
        <w:t>出具</w:t>
      </w:r>
      <w:r>
        <w:rPr>
          <w:rFonts w:hint="eastAsia" w:ascii="宋体" w:hAnsi="宋体"/>
          <w:b/>
          <w:color w:val="auto"/>
          <w:sz w:val="30"/>
          <w:szCs w:val="30"/>
          <w:highlight w:val="none"/>
        </w:rPr>
        <w:t>评标报告</w:t>
      </w:r>
    </w:p>
    <w:p w14:paraId="6A051E12">
      <w:pPr>
        <w:keepNext w:val="0"/>
        <w:keepLines w:val="0"/>
        <w:pageBreakBefore w:val="0"/>
        <w:widowControl/>
        <w:kinsoku/>
        <w:wordWrap/>
        <w:overflowPunct/>
        <w:topLinePunct w:val="0"/>
        <w:bidi w:val="0"/>
        <w:spacing w:line="480" w:lineRule="exact"/>
        <w:ind w:firstLine="420" w:firstLineChars="200"/>
        <w:jc w:val="left"/>
        <w:rPr>
          <w:rFonts w:hint="eastAsia" w:ascii="宋体" w:hAnsi="宋体" w:cs="宋体"/>
          <w:color w:val="auto"/>
          <w:kern w:val="0"/>
          <w:szCs w:val="21"/>
          <w:highlight w:val="none"/>
        </w:rPr>
      </w:pPr>
      <w:r>
        <w:rPr>
          <w:rFonts w:hint="eastAsia" w:ascii="宋体" w:hAnsi="宋体"/>
          <w:color w:val="auto"/>
          <w:szCs w:val="21"/>
          <w:highlight w:val="none"/>
        </w:rPr>
        <w:t>1.7.1 评标委员会在确定中标候选人名单后，</w:t>
      </w:r>
      <w:r>
        <w:rPr>
          <w:rFonts w:hint="eastAsia" w:ascii="宋体" w:hAnsi="宋体"/>
          <w:color w:val="auto"/>
          <w:szCs w:val="21"/>
          <w:highlight w:val="none"/>
          <w:lang w:val="en-US" w:eastAsia="zh-CN"/>
        </w:rPr>
        <w:t>在政采云平台打印</w:t>
      </w:r>
      <w:r>
        <w:rPr>
          <w:rFonts w:hint="eastAsia" w:ascii="宋体" w:hAnsi="宋体"/>
          <w:color w:val="auto"/>
          <w:szCs w:val="21"/>
          <w:highlight w:val="none"/>
        </w:rPr>
        <w:t>评标报告并向采购人出具。</w:t>
      </w:r>
    </w:p>
    <w:p w14:paraId="78B928B8">
      <w:pPr>
        <w:keepNext w:val="0"/>
        <w:keepLines w:val="0"/>
        <w:pageBreakBefore w:val="0"/>
        <w:widowControl/>
        <w:kinsoku/>
        <w:wordWrap/>
        <w:overflowPunct/>
        <w:topLinePunct w:val="0"/>
        <w:bidi w:val="0"/>
        <w:spacing w:line="480" w:lineRule="exact"/>
        <w:ind w:firstLine="480"/>
        <w:jc w:val="left"/>
        <w:rPr>
          <w:rFonts w:hint="eastAsia" w:asciiTheme="minorEastAsia" w:hAnsiTheme="minorEastAsia" w:eastAsiaTheme="minorEastAsia" w:cstheme="minorEastAsia"/>
          <w:color w:val="auto"/>
          <w:kern w:val="0"/>
          <w:szCs w:val="21"/>
          <w:highlight w:val="none"/>
        </w:rPr>
      </w:pPr>
      <w:r>
        <w:rPr>
          <w:rFonts w:hint="eastAsia" w:ascii="宋体" w:hAnsi="宋体" w:cs="宋体"/>
          <w:color w:val="auto"/>
          <w:kern w:val="0"/>
          <w:szCs w:val="21"/>
          <w:highlight w:val="none"/>
        </w:rPr>
        <w:t>1.7.2 评标委员会成员应当对评标报告予以签字确认，对评标过程有不同意见的，应当在评标报告中写明并说明理由。签字但未写明不同意见或者未说明理由的，视同无意见。拒不签字又未另</w:t>
      </w:r>
      <w:r>
        <w:rPr>
          <w:rFonts w:hint="eastAsia" w:asciiTheme="minorEastAsia" w:hAnsiTheme="minorEastAsia" w:eastAsiaTheme="minorEastAsia" w:cstheme="minorEastAsia"/>
          <w:color w:val="auto"/>
          <w:kern w:val="0"/>
          <w:szCs w:val="21"/>
          <w:highlight w:val="none"/>
        </w:rPr>
        <w:t>行书面说明其不同意见和理由的，视同同意评标报告。</w:t>
      </w:r>
    </w:p>
    <w:p w14:paraId="07919DF6">
      <w:pPr>
        <w:keepNext w:val="0"/>
        <w:keepLines w:val="0"/>
        <w:pageBreakBefore w:val="0"/>
        <w:kinsoku/>
        <w:wordWrap/>
        <w:overflowPunct/>
        <w:topLinePunct w:val="0"/>
        <w:autoSpaceDE/>
        <w:autoSpaceDN/>
        <w:bidi w:val="0"/>
        <w:adjustRightInd/>
        <w:snapToGrid/>
        <w:spacing w:before="240" w:beforeLines="100" w:after="120" w:afterLines="50" w:line="480" w:lineRule="exact"/>
        <w:jc w:val="both"/>
        <w:textAlignment w:val="auto"/>
        <w:outlineLvl w:val="1"/>
        <w:rPr>
          <w:rFonts w:hint="eastAsia" w:asciiTheme="minorEastAsia" w:hAnsiTheme="minorEastAsia" w:eastAsiaTheme="minorEastAsia" w:cstheme="minorEastAsia"/>
          <w:b/>
          <w:color w:val="auto"/>
          <w:sz w:val="36"/>
          <w:szCs w:val="36"/>
          <w:highlight w:val="none"/>
        </w:rPr>
      </w:pPr>
      <w:bookmarkStart w:id="185" w:name="_Toc23816"/>
      <w:r>
        <w:rPr>
          <w:rFonts w:hint="eastAsia" w:asciiTheme="minorEastAsia" w:hAnsiTheme="minorEastAsia" w:eastAsiaTheme="minorEastAsia" w:cstheme="minorEastAsia"/>
          <w:b/>
          <w:color w:val="auto"/>
          <w:sz w:val="36"/>
          <w:szCs w:val="36"/>
          <w:highlight w:val="none"/>
        </w:rPr>
        <w:t>2.评标方法</w:t>
      </w:r>
      <w:bookmarkEnd w:id="185"/>
    </w:p>
    <w:p w14:paraId="64743F88">
      <w:pPr>
        <w:pStyle w:val="4"/>
        <w:keepNext w:val="0"/>
        <w:keepLines w:val="0"/>
        <w:pageBreakBefore w:val="0"/>
        <w:kinsoku/>
        <w:wordWrap/>
        <w:overflowPunct/>
        <w:topLinePunct w:val="0"/>
        <w:bidi w:val="0"/>
        <w:spacing w:before="120" w:beforeLines="50" w:after="120" w:afterLines="50" w:line="480" w:lineRule="exact"/>
        <w:ind w:firstLine="0"/>
        <w:rPr>
          <w:rFonts w:hint="eastAsia" w:asciiTheme="minorEastAsia" w:hAnsiTheme="minorEastAsia" w:eastAsiaTheme="minorEastAsia" w:cstheme="minorEastAsia"/>
          <w:b/>
          <w:color w:val="auto"/>
          <w:sz w:val="30"/>
          <w:szCs w:val="30"/>
          <w:highlight w:val="none"/>
        </w:rPr>
      </w:pPr>
      <w:r>
        <w:rPr>
          <w:rFonts w:hint="eastAsia" w:asciiTheme="minorEastAsia" w:hAnsiTheme="minorEastAsia" w:eastAsiaTheme="minorEastAsia" w:cstheme="minorEastAsia"/>
          <w:b/>
          <w:color w:val="auto"/>
          <w:sz w:val="30"/>
          <w:szCs w:val="30"/>
          <w:highlight w:val="none"/>
        </w:rPr>
        <w:t>2.1</w:t>
      </w:r>
      <w:r>
        <w:rPr>
          <w:rFonts w:hint="eastAsia" w:asciiTheme="minorEastAsia" w:hAnsiTheme="minorEastAsia" w:eastAsiaTheme="minorEastAsia" w:cstheme="minorEastAsia"/>
          <w:b/>
          <w:color w:val="auto"/>
          <w:sz w:val="30"/>
          <w:szCs w:val="30"/>
          <w:highlight w:val="none"/>
          <w:lang w:val="en-US" w:eastAsia="zh-CN"/>
        </w:rPr>
        <w:t xml:space="preserve"> </w:t>
      </w:r>
      <w:r>
        <w:rPr>
          <w:rFonts w:hint="eastAsia" w:asciiTheme="minorEastAsia" w:hAnsiTheme="minorEastAsia" w:eastAsiaTheme="minorEastAsia" w:cstheme="minorEastAsia"/>
          <w:b/>
          <w:color w:val="auto"/>
          <w:sz w:val="30"/>
          <w:szCs w:val="30"/>
          <w:highlight w:val="none"/>
        </w:rPr>
        <w:t>综合评分法</w:t>
      </w:r>
    </w:p>
    <w:p w14:paraId="7EECC2F4">
      <w:pPr>
        <w:keepNext w:val="0"/>
        <w:keepLines w:val="0"/>
        <w:pageBreakBefore w:val="0"/>
        <w:widowControl/>
        <w:kinsoku/>
        <w:wordWrap/>
        <w:overflowPunct/>
        <w:topLinePunct w:val="0"/>
        <w:bidi w:val="0"/>
        <w:spacing w:line="480" w:lineRule="exact"/>
        <w:ind w:firstLine="420" w:firstLineChars="200"/>
        <w:jc w:val="left"/>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szCs w:val="21"/>
          <w:highlight w:val="none"/>
        </w:rPr>
        <w:t>本采购项目评标方法采用综合评分法。即</w:t>
      </w:r>
      <w:r>
        <w:rPr>
          <w:rFonts w:hint="eastAsia" w:asciiTheme="minorEastAsia" w:hAnsiTheme="minorEastAsia" w:eastAsiaTheme="minorEastAsia" w:cstheme="minorEastAsia"/>
          <w:color w:val="auto"/>
          <w:kern w:val="0"/>
          <w:szCs w:val="21"/>
          <w:highlight w:val="none"/>
        </w:rPr>
        <w:t>投标文件满足招标文件全部实质性要求，且按照评审因素的量化指标评审得分最高的投标人为中标候选人的评标方法。</w:t>
      </w:r>
    </w:p>
    <w:p w14:paraId="56F44631">
      <w:pPr>
        <w:keepNext w:val="0"/>
        <w:keepLines w:val="0"/>
        <w:pageBreakBefore w:val="0"/>
        <w:widowControl/>
        <w:kinsoku/>
        <w:wordWrap/>
        <w:overflowPunct/>
        <w:topLinePunct w:val="0"/>
        <w:autoSpaceDE w:val="0"/>
        <w:autoSpaceDN w:val="0"/>
        <w:bidi w:val="0"/>
        <w:spacing w:before="120" w:beforeLines="50" w:after="120" w:afterLines="50" w:line="480" w:lineRule="exact"/>
        <w:ind w:right="51"/>
        <w:textAlignment w:val="bottom"/>
        <w:rPr>
          <w:rFonts w:hint="eastAsia" w:asciiTheme="minorEastAsia" w:hAnsiTheme="minorEastAsia" w:eastAsiaTheme="minorEastAsia" w:cstheme="minorEastAsia"/>
          <w:b/>
          <w:color w:val="auto"/>
          <w:sz w:val="30"/>
          <w:szCs w:val="30"/>
          <w:highlight w:val="none"/>
        </w:rPr>
      </w:pPr>
      <w:r>
        <w:rPr>
          <w:rFonts w:hint="eastAsia" w:asciiTheme="minorEastAsia" w:hAnsiTheme="minorEastAsia" w:eastAsiaTheme="minorEastAsia" w:cstheme="minorEastAsia"/>
          <w:b/>
          <w:color w:val="auto"/>
          <w:sz w:val="30"/>
          <w:szCs w:val="30"/>
          <w:highlight w:val="none"/>
        </w:rPr>
        <w:t>2.2 评标细则及标准</w:t>
      </w:r>
    </w:p>
    <w:p w14:paraId="2F1C8C4C">
      <w:pPr>
        <w:pStyle w:val="12"/>
        <w:keepNext w:val="0"/>
        <w:keepLines w:val="0"/>
        <w:pageBreakBefore w:val="0"/>
        <w:kinsoku/>
        <w:wordWrap/>
        <w:overflowPunct/>
        <w:topLinePunct w:val="0"/>
        <w:bidi w:val="0"/>
        <w:adjustRightInd w:val="0"/>
        <w:snapToGrid w:val="0"/>
        <w:spacing w:line="480" w:lineRule="exact"/>
        <w:ind w:firstLine="420" w:firstLineChars="200"/>
        <w:rPr>
          <w:rFonts w:hint="eastAsia" w:hAnsi="宋体"/>
          <w:bCs/>
          <w:color w:val="auto"/>
          <w:highlight w:val="none"/>
        </w:rPr>
      </w:pPr>
      <w:r>
        <w:rPr>
          <w:rFonts w:hint="eastAsia" w:hAnsi="宋体"/>
          <w:color w:val="auto"/>
          <w:highlight w:val="none"/>
        </w:rPr>
        <w:t xml:space="preserve">2.2.1 </w:t>
      </w:r>
      <w:r>
        <w:rPr>
          <w:rFonts w:hint="eastAsia" w:hAnsi="宋体"/>
          <w:bCs/>
          <w:color w:val="auto"/>
          <w:highlight w:val="none"/>
        </w:rPr>
        <w:t>评标委员会将综合分析投标人的各项评审因素，而不以单项评审因素的优劣评选出中标人。对所有投标人的投标评估，都采用相同的程序和标准，严格按照招标文件的要求和条件进行。</w:t>
      </w:r>
    </w:p>
    <w:p w14:paraId="48B03D9F">
      <w:pPr>
        <w:keepNext w:val="0"/>
        <w:keepLines w:val="0"/>
        <w:pageBreakBefore w:val="0"/>
        <w:tabs>
          <w:tab w:val="left" w:pos="0"/>
        </w:tabs>
        <w:kinsoku/>
        <w:wordWrap/>
        <w:overflowPunct/>
        <w:topLinePunct w:val="0"/>
        <w:bidi w:val="0"/>
        <w:adjustRightInd w:val="0"/>
        <w:snapToGrid w:val="0"/>
        <w:spacing w:line="480" w:lineRule="exact"/>
        <w:ind w:firstLine="420" w:firstLineChars="200"/>
        <w:rPr>
          <w:rFonts w:hint="eastAsia" w:ascii="宋体" w:hAnsi="宋体"/>
          <w:color w:val="auto"/>
          <w:szCs w:val="21"/>
          <w:highlight w:val="none"/>
        </w:rPr>
      </w:pPr>
      <w:r>
        <w:rPr>
          <w:rFonts w:hint="eastAsia" w:ascii="宋体" w:hAnsi="宋体"/>
          <w:color w:val="auto"/>
          <w:szCs w:val="21"/>
          <w:highlight w:val="none"/>
        </w:rPr>
        <w:t>2.2.2 评审因素包括：</w:t>
      </w:r>
      <w:r>
        <w:rPr>
          <w:rFonts w:hint="eastAsia" w:ascii="宋体" w:hAnsi="宋体"/>
          <w:b/>
          <w:bCs/>
          <w:color w:val="auto"/>
          <w:szCs w:val="21"/>
          <w:highlight w:val="none"/>
        </w:rPr>
        <w:t>投标报价、技术要求、商务</w:t>
      </w:r>
      <w:r>
        <w:rPr>
          <w:rFonts w:hint="eastAsia" w:ascii="宋体" w:hAnsi="宋体"/>
          <w:b/>
          <w:bCs/>
          <w:color w:val="auto"/>
          <w:szCs w:val="21"/>
          <w:highlight w:val="none"/>
          <w:lang w:eastAsia="zh-CN"/>
        </w:rPr>
        <w:t>要求</w:t>
      </w:r>
      <w:r>
        <w:rPr>
          <w:rFonts w:hint="eastAsia" w:ascii="宋体" w:hAnsi="宋体" w:cs="宋体"/>
          <w:color w:val="auto"/>
          <w:kern w:val="0"/>
          <w:szCs w:val="21"/>
          <w:highlight w:val="none"/>
        </w:rPr>
        <w:t>等</w:t>
      </w:r>
      <w:r>
        <w:rPr>
          <w:rFonts w:hint="eastAsia" w:ascii="宋体" w:hAnsi="宋体"/>
          <w:color w:val="auto"/>
          <w:szCs w:val="21"/>
          <w:highlight w:val="none"/>
        </w:rPr>
        <w:t>对招标文件的响应程度，以及相应的比重或者权值等，但不包括“投标人须知”第3.1条</w:t>
      </w:r>
      <w:r>
        <w:rPr>
          <w:rFonts w:hint="eastAsia" w:ascii="宋体" w:hAnsi="宋体" w:cs="宋体"/>
          <w:color w:val="auto"/>
          <w:kern w:val="0"/>
          <w:szCs w:val="21"/>
          <w:highlight w:val="none"/>
          <w:lang w:val="zh-CN"/>
        </w:rPr>
        <w:t>款</w:t>
      </w:r>
      <w:r>
        <w:rPr>
          <w:rFonts w:hint="eastAsia" w:ascii="宋体" w:hAnsi="宋体"/>
          <w:color w:val="auto"/>
          <w:szCs w:val="21"/>
          <w:highlight w:val="none"/>
        </w:rPr>
        <w:t>规定的投标人资格条件。</w:t>
      </w:r>
    </w:p>
    <w:p w14:paraId="603CD024">
      <w:pPr>
        <w:pStyle w:val="12"/>
        <w:keepNext w:val="0"/>
        <w:keepLines w:val="0"/>
        <w:pageBreakBefore w:val="0"/>
        <w:kinsoku/>
        <w:wordWrap/>
        <w:overflowPunct/>
        <w:topLinePunct w:val="0"/>
        <w:bidi w:val="0"/>
        <w:adjustRightInd w:val="0"/>
        <w:snapToGrid w:val="0"/>
        <w:spacing w:line="480" w:lineRule="exact"/>
        <w:ind w:left="810" w:leftChars="203" w:hanging="384" w:hangingChars="183"/>
        <w:rPr>
          <w:rFonts w:hint="eastAsia" w:hAnsi="宋体"/>
          <w:bCs/>
          <w:color w:val="auto"/>
          <w:highlight w:val="none"/>
        </w:rPr>
      </w:pPr>
      <w:r>
        <w:rPr>
          <w:rFonts w:hint="eastAsia" w:hAnsi="宋体"/>
          <w:bCs/>
          <w:color w:val="auto"/>
          <w:highlight w:val="none"/>
        </w:rPr>
        <w:t>2.2.3 评标委员会按以下操作程序对投标人的投标文件进行综合评分：</w:t>
      </w:r>
    </w:p>
    <w:p w14:paraId="565E3B97">
      <w:pPr>
        <w:pStyle w:val="14"/>
        <w:keepNext w:val="0"/>
        <w:keepLines w:val="0"/>
        <w:pageBreakBefore w:val="0"/>
        <w:widowControl/>
        <w:tabs>
          <w:tab w:val="left" w:pos="1506"/>
        </w:tabs>
        <w:kinsoku/>
        <w:wordWrap/>
        <w:overflowPunct/>
        <w:topLinePunct w:val="0"/>
        <w:bidi w:val="0"/>
        <w:adjustRightInd w:val="0"/>
        <w:snapToGrid w:val="0"/>
        <w:spacing w:line="480" w:lineRule="exact"/>
        <w:ind w:left="0" w:leftChars="0" w:firstLine="420" w:firstLineChars="200"/>
        <w:rPr>
          <w:rFonts w:ascii="宋体" w:hAnsi="宋体"/>
          <w:bCs/>
          <w:color w:val="auto"/>
          <w:sz w:val="21"/>
          <w:szCs w:val="21"/>
          <w:highlight w:val="none"/>
        </w:rPr>
      </w:pPr>
      <w:r>
        <w:rPr>
          <w:rFonts w:hint="eastAsia" w:ascii="宋体" w:hAnsi="宋体"/>
          <w:bCs/>
          <w:color w:val="auto"/>
          <w:sz w:val="21"/>
          <w:szCs w:val="21"/>
          <w:highlight w:val="none"/>
        </w:rPr>
        <w:t>2.2.3.1 根据招标文件和评标原则，按《综合评分明细表》所列评分因素和各评分因素的权重进行评标。</w:t>
      </w:r>
    </w:p>
    <w:p w14:paraId="5093B244">
      <w:pPr>
        <w:keepNext w:val="0"/>
        <w:keepLines w:val="0"/>
        <w:pageBreakBefore w:val="0"/>
        <w:kinsoku/>
        <w:wordWrap/>
        <w:overflowPunct/>
        <w:topLinePunct w:val="0"/>
        <w:bidi w:val="0"/>
        <w:spacing w:line="480" w:lineRule="exact"/>
        <w:ind w:firstLine="420" w:firstLineChars="200"/>
        <w:rPr>
          <w:rFonts w:hint="eastAsia" w:ascii="宋体" w:hAnsi="宋体"/>
          <w:color w:val="auto"/>
          <w:szCs w:val="21"/>
          <w:highlight w:val="none"/>
        </w:rPr>
      </w:pPr>
      <w:r>
        <w:rPr>
          <w:rFonts w:hint="eastAsia" w:ascii="宋体" w:hAnsi="宋体"/>
          <w:color w:val="auto"/>
          <w:szCs w:val="21"/>
          <w:highlight w:val="none"/>
        </w:rPr>
        <w:t>2.2.3.2</w:t>
      </w:r>
      <w:r>
        <w:rPr>
          <w:rFonts w:hint="eastAsia" w:ascii="宋体" w:hAnsi="宋体"/>
          <w:color w:val="auto"/>
          <w:szCs w:val="21"/>
          <w:highlight w:val="none"/>
          <w:lang w:val="en-US" w:eastAsia="zh-CN"/>
        </w:rPr>
        <w:t xml:space="preserve"> 根据</w:t>
      </w:r>
      <w:r>
        <w:rPr>
          <w:rFonts w:hint="eastAsia" w:ascii="宋体" w:hAnsi="宋体"/>
          <w:color w:val="auto"/>
          <w:szCs w:val="21"/>
          <w:highlight w:val="none"/>
        </w:rPr>
        <w:t>财政部87号令第五十五条和财库【2020】46号文件的规定，以本次满足投标文件要求的</w:t>
      </w:r>
      <w:r>
        <w:rPr>
          <w:rFonts w:hint="eastAsia" w:ascii="宋体" w:hAnsi="宋体"/>
          <w:b/>
          <w:bCs/>
          <w:color w:val="auto"/>
          <w:szCs w:val="21"/>
          <w:highlight w:val="none"/>
        </w:rPr>
        <w:t>最低投标评审价</w:t>
      </w:r>
      <w:r>
        <w:rPr>
          <w:rFonts w:hint="eastAsia" w:ascii="宋体" w:hAnsi="宋体"/>
          <w:color w:val="auto"/>
          <w:szCs w:val="21"/>
          <w:highlight w:val="none"/>
        </w:rPr>
        <w:t>为评标基准价，其价格为满分。</w:t>
      </w:r>
    </w:p>
    <w:p w14:paraId="3BFC1355">
      <w:pPr>
        <w:pStyle w:val="14"/>
        <w:keepNext w:val="0"/>
        <w:keepLines w:val="0"/>
        <w:pageBreakBefore w:val="0"/>
        <w:widowControl/>
        <w:tabs>
          <w:tab w:val="left" w:pos="1506"/>
        </w:tabs>
        <w:kinsoku/>
        <w:wordWrap/>
        <w:overflowPunct/>
        <w:topLinePunct w:val="0"/>
        <w:bidi w:val="0"/>
        <w:adjustRightInd w:val="0"/>
        <w:snapToGrid w:val="0"/>
        <w:spacing w:line="480" w:lineRule="exact"/>
        <w:ind w:left="0" w:leftChars="0" w:firstLine="420" w:firstLineChars="200"/>
        <w:rPr>
          <w:rFonts w:hint="eastAsia" w:ascii="宋体" w:hAnsi="宋体"/>
          <w:bCs/>
          <w:color w:val="auto"/>
          <w:sz w:val="21"/>
          <w:szCs w:val="21"/>
          <w:highlight w:val="none"/>
        </w:rPr>
      </w:pPr>
      <w:r>
        <w:rPr>
          <w:rFonts w:hint="eastAsia" w:ascii="宋体" w:hAnsi="宋体"/>
          <w:bCs/>
          <w:color w:val="auto"/>
          <w:sz w:val="21"/>
          <w:szCs w:val="21"/>
          <w:highlight w:val="none"/>
        </w:rPr>
        <w:t>如果同一包为单一产品，或同一包为多种产品，全部符合中小企业政策优惠条件的（即小微企业自身生产或中小企业代理的小微企业生产的产品），对总报价进行调整，调整后的报价作为投标评审价。投标评审价按下列公示计算：</w:t>
      </w:r>
    </w:p>
    <w:p w14:paraId="05B5DC72">
      <w:pPr>
        <w:pStyle w:val="14"/>
        <w:keepNext w:val="0"/>
        <w:keepLines w:val="0"/>
        <w:pageBreakBefore w:val="0"/>
        <w:widowControl/>
        <w:tabs>
          <w:tab w:val="left" w:pos="1506"/>
        </w:tabs>
        <w:kinsoku/>
        <w:wordWrap/>
        <w:overflowPunct/>
        <w:topLinePunct w:val="0"/>
        <w:bidi w:val="0"/>
        <w:adjustRightInd w:val="0"/>
        <w:snapToGrid w:val="0"/>
        <w:spacing w:line="480" w:lineRule="exact"/>
        <w:ind w:left="0" w:leftChars="0" w:firstLine="420" w:firstLineChars="200"/>
        <w:rPr>
          <w:rFonts w:hint="eastAsia" w:ascii="宋体" w:hAnsi="宋体"/>
          <w:bCs/>
          <w:color w:val="auto"/>
          <w:sz w:val="21"/>
          <w:szCs w:val="21"/>
          <w:highlight w:val="none"/>
        </w:rPr>
      </w:pPr>
      <w:r>
        <w:rPr>
          <w:rFonts w:hint="eastAsia" w:ascii="宋体" w:hAnsi="宋体"/>
          <w:bCs/>
          <w:color w:val="auto"/>
          <w:sz w:val="21"/>
          <w:szCs w:val="21"/>
          <w:highlight w:val="none"/>
        </w:rPr>
        <w:t>投标评审价=投标报价×（1-投标报价折扣幅度）</w:t>
      </w:r>
    </w:p>
    <w:p w14:paraId="0F5E02AE">
      <w:pPr>
        <w:pStyle w:val="14"/>
        <w:keepNext w:val="0"/>
        <w:keepLines w:val="0"/>
        <w:pageBreakBefore w:val="0"/>
        <w:widowControl/>
        <w:tabs>
          <w:tab w:val="left" w:pos="1506"/>
        </w:tabs>
        <w:kinsoku/>
        <w:wordWrap/>
        <w:overflowPunct/>
        <w:topLinePunct w:val="0"/>
        <w:bidi w:val="0"/>
        <w:adjustRightInd w:val="0"/>
        <w:snapToGrid w:val="0"/>
        <w:spacing w:line="480" w:lineRule="exact"/>
        <w:ind w:left="0" w:leftChars="0" w:firstLine="420" w:firstLineChars="200"/>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bCs/>
          <w:color w:val="auto"/>
          <w:sz w:val="21"/>
          <w:szCs w:val="21"/>
          <w:highlight w:val="none"/>
        </w:rPr>
        <w:t>2.2.3.3 由评标委员会成员独立地根据各项因素的评分标准，结合每个投标人的实际情况，分别就投标报价以外的各项评审因素对每个投标人独立打分。</w:t>
      </w:r>
    </w:p>
    <w:p w14:paraId="2D13A725">
      <w:pPr>
        <w:pStyle w:val="14"/>
        <w:keepNext w:val="0"/>
        <w:keepLines w:val="0"/>
        <w:pageBreakBefore w:val="0"/>
        <w:widowControl/>
        <w:tabs>
          <w:tab w:val="left" w:pos="1506"/>
        </w:tabs>
        <w:kinsoku/>
        <w:wordWrap/>
        <w:overflowPunct/>
        <w:topLinePunct w:val="0"/>
        <w:bidi w:val="0"/>
        <w:adjustRightInd w:val="0"/>
        <w:snapToGrid w:val="0"/>
        <w:spacing w:line="480" w:lineRule="exact"/>
        <w:ind w:left="0" w:leftChars="0" w:firstLine="420" w:firstLineChars="200"/>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bCs/>
          <w:color w:val="auto"/>
          <w:sz w:val="21"/>
          <w:szCs w:val="21"/>
          <w:highlight w:val="none"/>
        </w:rPr>
        <w:t>2.2.3.4 将所有评审因素所得实际评审分数相加，即为该投标人的评审总得分。评审总得分按下例公式计算：</w:t>
      </w:r>
    </w:p>
    <w:p w14:paraId="0CC6AECF">
      <w:pPr>
        <w:pStyle w:val="14"/>
        <w:keepNext w:val="0"/>
        <w:keepLines w:val="0"/>
        <w:pageBreakBefore w:val="0"/>
        <w:widowControl/>
        <w:tabs>
          <w:tab w:val="left" w:pos="1506"/>
        </w:tabs>
        <w:kinsoku/>
        <w:wordWrap/>
        <w:overflowPunct/>
        <w:topLinePunct w:val="0"/>
        <w:bidi w:val="0"/>
        <w:adjustRightInd w:val="0"/>
        <w:snapToGrid w:val="0"/>
        <w:spacing w:line="480" w:lineRule="exact"/>
        <w:ind w:left="0" w:leftChars="0" w:firstLine="420" w:firstLineChars="200"/>
        <w:rPr>
          <w:rFonts w:hint="eastAsia" w:asciiTheme="minorEastAsia" w:hAnsiTheme="minorEastAsia" w:eastAsiaTheme="minorEastAsia" w:cstheme="minorEastAsia"/>
          <w:bCs/>
          <w:color w:val="auto"/>
          <w:sz w:val="21"/>
          <w:szCs w:val="21"/>
          <w:highlight w:val="none"/>
          <w:lang w:val="en-US" w:eastAsia="zh-CN"/>
        </w:rPr>
      </w:pPr>
      <w:r>
        <w:rPr>
          <w:rFonts w:hint="eastAsia" w:asciiTheme="minorEastAsia" w:hAnsiTheme="minorEastAsia" w:eastAsiaTheme="minorEastAsia" w:cstheme="minorEastAsia"/>
          <w:bCs/>
          <w:color w:val="auto"/>
          <w:sz w:val="21"/>
          <w:szCs w:val="21"/>
          <w:highlight w:val="none"/>
          <w:lang w:val="en-US" w:eastAsia="zh-CN"/>
        </w:rPr>
        <w:t>评审总得分＝F1＋F2＋……＋Fn</w:t>
      </w:r>
    </w:p>
    <w:p w14:paraId="6D970792">
      <w:pPr>
        <w:pStyle w:val="14"/>
        <w:keepNext w:val="0"/>
        <w:keepLines w:val="0"/>
        <w:pageBreakBefore w:val="0"/>
        <w:widowControl/>
        <w:tabs>
          <w:tab w:val="left" w:pos="1506"/>
        </w:tabs>
        <w:kinsoku/>
        <w:wordWrap/>
        <w:overflowPunct/>
        <w:topLinePunct w:val="0"/>
        <w:bidi w:val="0"/>
        <w:adjustRightInd w:val="0"/>
        <w:snapToGrid w:val="0"/>
        <w:spacing w:line="480" w:lineRule="exact"/>
        <w:ind w:left="0" w:leftChars="0" w:firstLine="420" w:firstLineChars="200"/>
        <w:rPr>
          <w:rFonts w:hint="eastAsia" w:asciiTheme="minorEastAsia" w:hAnsiTheme="minorEastAsia" w:eastAsiaTheme="minorEastAsia" w:cstheme="minorEastAsia"/>
          <w:bCs/>
          <w:color w:val="auto"/>
          <w:sz w:val="21"/>
          <w:szCs w:val="21"/>
          <w:highlight w:val="none"/>
          <w:lang w:val="en-US" w:eastAsia="zh-CN"/>
        </w:rPr>
      </w:pPr>
      <w:r>
        <w:rPr>
          <w:rFonts w:hint="eastAsia" w:asciiTheme="minorEastAsia" w:hAnsiTheme="minorEastAsia" w:eastAsiaTheme="minorEastAsia" w:cstheme="minorEastAsia"/>
          <w:bCs/>
          <w:color w:val="auto"/>
          <w:sz w:val="21"/>
          <w:szCs w:val="21"/>
          <w:highlight w:val="none"/>
          <w:lang w:val="en-US" w:eastAsia="zh-CN"/>
        </w:rPr>
        <w:t>F1、F2……Fn分别为各项评审因素的汇总得分</w:t>
      </w:r>
    </w:p>
    <w:p w14:paraId="4C0FD90E">
      <w:pPr>
        <w:pStyle w:val="14"/>
        <w:keepNext w:val="0"/>
        <w:keepLines w:val="0"/>
        <w:pageBreakBefore w:val="0"/>
        <w:widowControl/>
        <w:tabs>
          <w:tab w:val="left" w:pos="1506"/>
        </w:tabs>
        <w:kinsoku/>
        <w:wordWrap/>
        <w:overflowPunct/>
        <w:topLinePunct w:val="0"/>
        <w:bidi w:val="0"/>
        <w:adjustRightInd w:val="0"/>
        <w:snapToGrid w:val="0"/>
        <w:spacing w:line="480" w:lineRule="exact"/>
        <w:ind w:left="0" w:leftChars="0" w:firstLine="420" w:firstLineChars="200"/>
        <w:rPr>
          <w:rFonts w:hint="eastAsia" w:asciiTheme="minorEastAsia" w:hAnsiTheme="minorEastAsia" w:eastAsiaTheme="minorEastAsia" w:cstheme="minorEastAsia"/>
          <w:bCs/>
          <w:color w:val="auto"/>
          <w:sz w:val="21"/>
          <w:szCs w:val="21"/>
          <w:highlight w:val="none"/>
          <w:lang w:val="en-US" w:eastAsia="zh-CN"/>
        </w:rPr>
      </w:pPr>
      <w:r>
        <w:rPr>
          <w:rFonts w:hint="eastAsia" w:asciiTheme="minorEastAsia" w:hAnsiTheme="minorEastAsia" w:eastAsiaTheme="minorEastAsia" w:cstheme="minorEastAsia"/>
          <w:bCs/>
          <w:color w:val="auto"/>
          <w:sz w:val="21"/>
          <w:szCs w:val="21"/>
          <w:highlight w:val="none"/>
          <w:lang w:val="en-US" w:eastAsia="zh-CN"/>
        </w:rPr>
        <w:t>2.2.3.5 评审过程中，不得去掉报价中的最高报价和最低报价。</w:t>
      </w:r>
    </w:p>
    <w:p w14:paraId="1DF9F69A">
      <w:pPr>
        <w:keepNext w:val="0"/>
        <w:keepLines w:val="0"/>
        <w:pageBreakBefore w:val="0"/>
        <w:kinsoku/>
        <w:wordWrap/>
        <w:overflowPunct/>
        <w:topLinePunct w:val="0"/>
        <w:bidi w:val="0"/>
        <w:spacing w:line="480" w:lineRule="exact"/>
        <w:ind w:firstLine="422" w:firstLineChars="200"/>
        <w:rPr>
          <w:rFonts w:hint="eastAsia" w:asciiTheme="minorEastAsia" w:hAnsiTheme="minorEastAsia" w:eastAsiaTheme="minorEastAsia" w:cstheme="minorEastAsia"/>
          <w:b/>
          <w:color w:val="auto"/>
          <w:szCs w:val="21"/>
          <w:highlight w:val="none"/>
        </w:rPr>
      </w:pPr>
      <w:r>
        <w:rPr>
          <w:rFonts w:hint="eastAsia" w:asciiTheme="minorEastAsia" w:hAnsiTheme="minorEastAsia" w:eastAsiaTheme="minorEastAsia" w:cstheme="minorEastAsia"/>
          <w:b/>
          <w:color w:val="auto"/>
          <w:szCs w:val="21"/>
          <w:highlight w:val="none"/>
        </w:rPr>
        <w:t>2.2.4 小型和微型企业货物（产品）的报价折扣幅度标准：</w:t>
      </w:r>
    </w:p>
    <w:p w14:paraId="51FC6572">
      <w:pPr>
        <w:pStyle w:val="14"/>
        <w:keepNext w:val="0"/>
        <w:keepLines w:val="0"/>
        <w:pageBreakBefore w:val="0"/>
        <w:widowControl/>
        <w:tabs>
          <w:tab w:val="left" w:pos="1506"/>
        </w:tabs>
        <w:kinsoku/>
        <w:wordWrap/>
        <w:overflowPunct/>
        <w:topLinePunct w:val="0"/>
        <w:bidi w:val="0"/>
        <w:adjustRightInd w:val="0"/>
        <w:snapToGrid w:val="0"/>
        <w:spacing w:line="480" w:lineRule="exact"/>
        <w:ind w:left="0" w:leftChars="0" w:firstLine="422" w:firstLineChars="200"/>
        <w:rPr>
          <w:rFonts w:hint="eastAsia" w:asciiTheme="minorEastAsia" w:hAnsiTheme="minorEastAsia" w:eastAsiaTheme="minorEastAsia" w:cstheme="minorEastAsia"/>
          <w:color w:val="auto"/>
          <w:kern w:val="2"/>
          <w:sz w:val="21"/>
          <w:szCs w:val="21"/>
          <w:highlight w:val="none"/>
          <w:lang w:val="en-US" w:eastAsia="zh-CN" w:bidi="ar-SA"/>
        </w:rPr>
      </w:pPr>
      <w:r>
        <w:rPr>
          <w:rFonts w:hint="eastAsia" w:asciiTheme="minorEastAsia" w:hAnsiTheme="minorEastAsia" w:eastAsiaTheme="minorEastAsia" w:cstheme="minorEastAsia"/>
          <w:b/>
          <w:bCs/>
          <w:color w:val="auto"/>
          <w:kern w:val="2"/>
          <w:sz w:val="21"/>
          <w:szCs w:val="21"/>
          <w:highlight w:val="none"/>
          <w:lang w:val="en-US" w:eastAsia="zh-CN" w:bidi="ar-SA"/>
        </w:rPr>
        <w:t>2.2.4.1 对小型、微型企业生产的货物（产品）投标价格给予</w:t>
      </w:r>
      <w:r>
        <w:rPr>
          <w:rFonts w:hint="eastAsia" w:asciiTheme="minorEastAsia" w:hAnsiTheme="minorEastAsia" w:eastAsiaTheme="minorEastAsia" w:cstheme="minorEastAsia"/>
          <w:b/>
          <w:bCs/>
          <w:color w:val="auto"/>
          <w:kern w:val="2"/>
          <w:sz w:val="21"/>
          <w:szCs w:val="21"/>
          <w:highlight w:val="none"/>
          <w:u w:val="single"/>
          <w:lang w:val="en-US" w:eastAsia="zh-CN" w:bidi="ar-SA"/>
        </w:rPr>
        <w:t>10%</w:t>
      </w:r>
      <w:r>
        <w:rPr>
          <w:rFonts w:hint="eastAsia" w:asciiTheme="minorEastAsia" w:hAnsiTheme="minorEastAsia" w:eastAsiaTheme="minorEastAsia" w:cstheme="minorEastAsia"/>
          <w:b/>
          <w:bCs/>
          <w:color w:val="auto"/>
          <w:kern w:val="2"/>
          <w:sz w:val="21"/>
          <w:szCs w:val="21"/>
          <w:highlight w:val="none"/>
          <w:lang w:val="en-US" w:eastAsia="zh-CN" w:bidi="ar-SA"/>
        </w:rPr>
        <w:t>（10%-20%）的折扣。</w:t>
      </w:r>
    </w:p>
    <w:p w14:paraId="4744CA57">
      <w:pPr>
        <w:pStyle w:val="14"/>
        <w:keepNext w:val="0"/>
        <w:keepLines w:val="0"/>
        <w:pageBreakBefore w:val="0"/>
        <w:widowControl/>
        <w:tabs>
          <w:tab w:val="left" w:pos="1506"/>
        </w:tabs>
        <w:kinsoku/>
        <w:wordWrap/>
        <w:overflowPunct/>
        <w:topLinePunct w:val="0"/>
        <w:bidi w:val="0"/>
        <w:adjustRightInd w:val="0"/>
        <w:snapToGrid w:val="0"/>
        <w:spacing w:line="480" w:lineRule="exact"/>
        <w:ind w:left="0" w:leftChars="0" w:firstLine="420" w:firstLineChars="200"/>
        <w:rPr>
          <w:rFonts w:hint="eastAsia" w:asciiTheme="minorEastAsia" w:hAnsiTheme="minorEastAsia" w:eastAsiaTheme="minorEastAsia" w:cstheme="minorEastAsia"/>
          <w:color w:val="auto"/>
          <w:kern w:val="2"/>
          <w:sz w:val="21"/>
          <w:szCs w:val="21"/>
          <w:highlight w:val="none"/>
          <w:lang w:val="en-US" w:eastAsia="zh-CN" w:bidi="ar-SA"/>
        </w:rPr>
      </w:pPr>
      <w:r>
        <w:rPr>
          <w:rFonts w:hint="eastAsia" w:asciiTheme="minorEastAsia" w:hAnsiTheme="minorEastAsia" w:eastAsiaTheme="minorEastAsia" w:cstheme="minorEastAsia"/>
          <w:color w:val="auto"/>
          <w:kern w:val="2"/>
          <w:sz w:val="21"/>
          <w:szCs w:val="21"/>
          <w:highlight w:val="none"/>
          <w:lang w:val="en-US" w:eastAsia="zh-CN" w:bidi="ar-SA"/>
        </w:rPr>
        <w:t>2.2.4.2 参加联合体投标的小型、微型企业，联合协议中约定，小型、微型企业的协议合同金额占到联合体协议合同总金额30%以上的，可给予联合体4%~6%的价格折扣。</w:t>
      </w:r>
    </w:p>
    <w:p w14:paraId="5420C44C">
      <w:pPr>
        <w:pStyle w:val="14"/>
        <w:keepNext w:val="0"/>
        <w:keepLines w:val="0"/>
        <w:pageBreakBefore w:val="0"/>
        <w:widowControl/>
        <w:tabs>
          <w:tab w:val="left" w:pos="1506"/>
        </w:tabs>
        <w:kinsoku/>
        <w:wordWrap/>
        <w:overflowPunct/>
        <w:topLinePunct w:val="0"/>
        <w:bidi w:val="0"/>
        <w:adjustRightInd w:val="0"/>
        <w:snapToGrid w:val="0"/>
        <w:spacing w:line="480" w:lineRule="exact"/>
        <w:ind w:left="0" w:leftChars="0" w:firstLine="420" w:firstLineChars="200"/>
        <w:rPr>
          <w:rFonts w:hint="eastAsia" w:asciiTheme="minorEastAsia" w:hAnsiTheme="minorEastAsia" w:eastAsiaTheme="minorEastAsia" w:cstheme="minorEastAsia"/>
          <w:bCs/>
          <w:color w:val="auto"/>
          <w:sz w:val="21"/>
          <w:szCs w:val="21"/>
          <w:highlight w:val="none"/>
          <w:lang w:val="en-US" w:eastAsia="zh-CN"/>
        </w:rPr>
      </w:pPr>
      <w:r>
        <w:rPr>
          <w:rFonts w:hint="eastAsia" w:asciiTheme="minorEastAsia" w:hAnsiTheme="minorEastAsia" w:eastAsiaTheme="minorEastAsia" w:cstheme="minorEastAsia"/>
          <w:bCs/>
          <w:color w:val="auto"/>
          <w:sz w:val="21"/>
          <w:szCs w:val="21"/>
          <w:highlight w:val="none"/>
          <w:lang w:val="en-US" w:eastAsia="zh-CN"/>
        </w:rPr>
        <w:t>2.2.4.3 小、微企业提供本企业生产的产品或中小型企业（代理商）代理的小、微企业生产的产品可享受报价折扣条件；中小型企业（代理商）代理的中型及以上企业生产的产品不享受报价折扣条件。</w:t>
      </w:r>
    </w:p>
    <w:p w14:paraId="095D8FBE">
      <w:pPr>
        <w:keepNext w:val="0"/>
        <w:keepLines w:val="0"/>
        <w:pageBreakBefore w:val="0"/>
        <w:kinsoku/>
        <w:wordWrap/>
        <w:overflowPunct/>
        <w:topLinePunct w:val="0"/>
        <w:bidi w:val="0"/>
        <w:spacing w:line="48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2.2.5 非实质性偏离是指投标文件在实质上响应招标文件的要求，但在个别地方存在一些不规则、不一致、不完整的内容，并且澄清、说明或者补正这些内容不会改变投标文件的实质性内容。以下情况属于非实质性偏离：</w:t>
      </w:r>
    </w:p>
    <w:p w14:paraId="22330327">
      <w:pPr>
        <w:keepNext w:val="0"/>
        <w:keepLines w:val="0"/>
        <w:pageBreakBefore w:val="0"/>
        <w:kinsoku/>
        <w:wordWrap/>
        <w:overflowPunct/>
        <w:topLinePunct w:val="0"/>
        <w:bidi w:val="0"/>
        <w:spacing w:line="48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（1）文字表述的内容含义不明确；</w:t>
      </w:r>
    </w:p>
    <w:p w14:paraId="7CB0F3FA">
      <w:pPr>
        <w:keepNext w:val="0"/>
        <w:keepLines w:val="0"/>
        <w:pageBreakBefore w:val="0"/>
        <w:kinsoku/>
        <w:wordWrap/>
        <w:overflowPunct/>
        <w:topLinePunct w:val="0"/>
        <w:bidi w:val="0"/>
        <w:spacing w:line="48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（2）同类问题表述不一致；</w:t>
      </w:r>
    </w:p>
    <w:p w14:paraId="58C10859">
      <w:pPr>
        <w:keepNext w:val="0"/>
        <w:keepLines w:val="0"/>
        <w:pageBreakBefore w:val="0"/>
        <w:kinsoku/>
        <w:wordWrap/>
        <w:overflowPunct/>
        <w:topLinePunct w:val="0"/>
        <w:bidi w:val="0"/>
        <w:spacing w:line="48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（3）有明显文字和计算错误；</w:t>
      </w:r>
    </w:p>
    <w:p w14:paraId="57104F29">
      <w:pPr>
        <w:keepNext w:val="0"/>
        <w:keepLines w:val="0"/>
        <w:pageBreakBefore w:val="0"/>
        <w:kinsoku/>
        <w:wordWrap/>
        <w:overflowPunct/>
        <w:topLinePunct w:val="0"/>
        <w:bidi w:val="0"/>
        <w:spacing w:line="48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（4）提供的技术信息和数据资料不完整；</w:t>
      </w:r>
    </w:p>
    <w:p w14:paraId="2B5FF728">
      <w:pPr>
        <w:keepNext w:val="0"/>
        <w:keepLines w:val="0"/>
        <w:pageBreakBefore w:val="0"/>
        <w:kinsoku/>
        <w:wordWrap/>
        <w:overflowPunct/>
        <w:topLinePunct w:val="0"/>
        <w:bidi w:val="0"/>
        <w:spacing w:line="48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（5）投标文件未按招标文件要求进行装订或未编制目录、页码；</w:t>
      </w:r>
    </w:p>
    <w:p w14:paraId="1BD689BD">
      <w:pPr>
        <w:keepNext w:val="0"/>
        <w:keepLines w:val="0"/>
        <w:pageBreakBefore w:val="0"/>
        <w:kinsoku/>
        <w:wordWrap/>
        <w:overflowPunct/>
        <w:topLinePunct w:val="0"/>
        <w:bidi w:val="0"/>
        <w:spacing w:line="48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（6）评标委员会认定的其他非实质性偏离。</w:t>
      </w:r>
    </w:p>
    <w:p w14:paraId="210CE579">
      <w:pPr>
        <w:keepNext w:val="0"/>
        <w:keepLines w:val="0"/>
        <w:pageBreakBefore w:val="0"/>
        <w:kinsoku/>
        <w:wordWrap/>
        <w:overflowPunct/>
        <w:topLinePunct w:val="0"/>
        <w:bidi w:val="0"/>
        <w:spacing w:line="48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投标文件有上述（1）至（4）情形之一的，评标委员会应当书面要求投标人在规定的时间内予以澄清、说明或补正。投标人拒不或在规定的时间内没有进行澄清、说明或补正或澄清、说明、补正的内容也不能说明问题的，视为投标文件制作不规范，按每一项非实质性偏离进行扣分处理，直至该项分值扣完为止。</w:t>
      </w:r>
    </w:p>
    <w:p w14:paraId="57BBC8B2">
      <w:pPr>
        <w:pStyle w:val="11"/>
        <w:keepNext w:val="0"/>
        <w:keepLines w:val="0"/>
        <w:pageBreakBefore w:val="0"/>
        <w:tabs>
          <w:tab w:val="left" w:pos="600"/>
        </w:tabs>
        <w:kinsoku/>
        <w:wordWrap/>
        <w:overflowPunct/>
        <w:topLinePunct w:val="0"/>
        <w:bidi w:val="0"/>
        <w:spacing w:before="240" w:beforeLines="100" w:line="480" w:lineRule="exact"/>
        <w:ind w:firstLine="0"/>
        <w:jc w:val="center"/>
        <w:rPr>
          <w:rFonts w:hint="eastAsia" w:ascii="宋体" w:hAnsi="宋体"/>
          <w:b/>
          <w:color w:val="auto"/>
          <w:szCs w:val="32"/>
          <w:highlight w:val="none"/>
        </w:rPr>
      </w:pPr>
      <w:r>
        <w:rPr>
          <w:rFonts w:hint="eastAsia" w:ascii="宋体" w:hAnsi="宋体"/>
          <w:b/>
          <w:color w:val="auto"/>
          <w:szCs w:val="32"/>
          <w:highlight w:val="none"/>
        </w:rPr>
        <w:t>综合评分明细表</w:t>
      </w:r>
    </w:p>
    <w:tbl>
      <w:tblPr>
        <w:tblStyle w:val="23"/>
        <w:tblW w:w="98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90"/>
        <w:gridCol w:w="1258"/>
        <w:gridCol w:w="1926"/>
        <w:gridCol w:w="5992"/>
      </w:tblGrid>
      <w:tr w14:paraId="3478B8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jc w:val="center"/>
        </w:trPr>
        <w:tc>
          <w:tcPr>
            <w:tcW w:w="490" w:type="dxa"/>
            <w:noWrap w:val="0"/>
            <w:vAlign w:val="center"/>
          </w:tcPr>
          <w:p w14:paraId="0973DC69">
            <w:pPr>
              <w:pStyle w:val="11"/>
              <w:keepNext w:val="0"/>
              <w:keepLines w:val="0"/>
              <w:pageBreakBefore w:val="0"/>
              <w:tabs>
                <w:tab w:val="left" w:pos="600"/>
              </w:tabs>
              <w:kinsoku/>
              <w:wordWrap/>
              <w:overflowPunct/>
              <w:topLinePunct w:val="0"/>
              <w:bidi w:val="0"/>
              <w:spacing w:line="360" w:lineRule="auto"/>
              <w:ind w:left="0" w:right="0" w:firstLine="0"/>
              <w:jc w:val="center"/>
              <w:textAlignment w:val="auto"/>
              <w:rPr>
                <w:rFonts w:hint="eastAsia" w:asciiTheme="minorEastAsia" w:hAnsiTheme="minorEastAsia" w:eastAsiaTheme="minorEastAsia" w:cstheme="minorEastAsia"/>
                <w:color w:val="auto"/>
                <w:sz w:val="22"/>
                <w:szCs w:val="22"/>
                <w:highlight w:val="none"/>
              </w:rPr>
            </w:pPr>
            <w:r>
              <w:rPr>
                <w:rFonts w:hint="eastAsia" w:asciiTheme="minorEastAsia" w:hAnsiTheme="minorEastAsia" w:eastAsiaTheme="minorEastAsia" w:cstheme="minorEastAsia"/>
                <w:color w:val="auto"/>
                <w:sz w:val="22"/>
                <w:szCs w:val="22"/>
                <w:highlight w:val="none"/>
              </w:rPr>
              <w:t>序号</w:t>
            </w:r>
          </w:p>
        </w:tc>
        <w:tc>
          <w:tcPr>
            <w:tcW w:w="1258" w:type="dxa"/>
            <w:noWrap w:val="0"/>
            <w:vAlign w:val="center"/>
          </w:tcPr>
          <w:p w14:paraId="79944025">
            <w:pPr>
              <w:pStyle w:val="11"/>
              <w:keepNext w:val="0"/>
              <w:keepLines w:val="0"/>
              <w:pageBreakBefore w:val="0"/>
              <w:tabs>
                <w:tab w:val="left" w:pos="600"/>
              </w:tabs>
              <w:kinsoku/>
              <w:wordWrap/>
              <w:overflowPunct/>
              <w:topLinePunct w:val="0"/>
              <w:bidi w:val="0"/>
              <w:spacing w:line="360" w:lineRule="auto"/>
              <w:ind w:left="0" w:right="0" w:firstLine="0"/>
              <w:jc w:val="center"/>
              <w:textAlignment w:val="auto"/>
              <w:rPr>
                <w:rFonts w:hint="eastAsia" w:asciiTheme="minorEastAsia" w:hAnsiTheme="minorEastAsia" w:eastAsiaTheme="minorEastAsia" w:cstheme="minorEastAsia"/>
                <w:color w:val="auto"/>
                <w:sz w:val="22"/>
                <w:szCs w:val="22"/>
                <w:highlight w:val="none"/>
              </w:rPr>
            </w:pPr>
            <w:r>
              <w:rPr>
                <w:rFonts w:hint="eastAsia" w:asciiTheme="minorEastAsia" w:hAnsiTheme="minorEastAsia" w:eastAsiaTheme="minorEastAsia" w:cstheme="minorEastAsia"/>
                <w:color w:val="auto"/>
                <w:sz w:val="22"/>
                <w:szCs w:val="22"/>
                <w:highlight w:val="none"/>
              </w:rPr>
              <w:t>评审因素</w:t>
            </w:r>
          </w:p>
        </w:tc>
        <w:tc>
          <w:tcPr>
            <w:tcW w:w="1926" w:type="dxa"/>
            <w:noWrap w:val="0"/>
            <w:vAlign w:val="center"/>
          </w:tcPr>
          <w:p w14:paraId="728923AF">
            <w:pPr>
              <w:pStyle w:val="11"/>
              <w:keepNext w:val="0"/>
              <w:keepLines w:val="0"/>
              <w:pageBreakBefore w:val="0"/>
              <w:tabs>
                <w:tab w:val="left" w:pos="600"/>
              </w:tabs>
              <w:kinsoku/>
              <w:wordWrap/>
              <w:overflowPunct/>
              <w:topLinePunct w:val="0"/>
              <w:bidi w:val="0"/>
              <w:spacing w:line="360" w:lineRule="auto"/>
              <w:ind w:left="0" w:right="0" w:firstLine="0"/>
              <w:jc w:val="center"/>
              <w:textAlignment w:val="auto"/>
              <w:rPr>
                <w:rFonts w:hint="eastAsia" w:asciiTheme="minorEastAsia" w:hAnsiTheme="minorEastAsia" w:eastAsiaTheme="minorEastAsia" w:cstheme="minorEastAsia"/>
                <w:color w:val="auto"/>
                <w:sz w:val="22"/>
                <w:szCs w:val="22"/>
                <w:highlight w:val="none"/>
              </w:rPr>
            </w:pPr>
            <w:r>
              <w:rPr>
                <w:rFonts w:hint="eastAsia" w:asciiTheme="minorEastAsia" w:hAnsiTheme="minorEastAsia" w:eastAsiaTheme="minorEastAsia" w:cstheme="minorEastAsia"/>
                <w:color w:val="auto"/>
                <w:sz w:val="22"/>
                <w:szCs w:val="22"/>
                <w:highlight w:val="none"/>
              </w:rPr>
              <w:t>分值</w:t>
            </w:r>
          </w:p>
        </w:tc>
        <w:tc>
          <w:tcPr>
            <w:tcW w:w="5992" w:type="dxa"/>
            <w:noWrap w:val="0"/>
            <w:vAlign w:val="center"/>
          </w:tcPr>
          <w:p w14:paraId="5F21B3AD">
            <w:pPr>
              <w:pStyle w:val="11"/>
              <w:keepNext w:val="0"/>
              <w:keepLines w:val="0"/>
              <w:pageBreakBefore w:val="0"/>
              <w:tabs>
                <w:tab w:val="left" w:pos="600"/>
              </w:tabs>
              <w:kinsoku/>
              <w:wordWrap/>
              <w:overflowPunct/>
              <w:topLinePunct w:val="0"/>
              <w:bidi w:val="0"/>
              <w:spacing w:line="360" w:lineRule="auto"/>
              <w:ind w:left="0" w:right="0" w:firstLine="0"/>
              <w:jc w:val="center"/>
              <w:textAlignment w:val="auto"/>
              <w:rPr>
                <w:rFonts w:hint="eastAsia" w:asciiTheme="minorEastAsia" w:hAnsiTheme="minorEastAsia" w:eastAsiaTheme="minorEastAsia" w:cstheme="minorEastAsia"/>
                <w:color w:val="auto"/>
                <w:sz w:val="22"/>
                <w:szCs w:val="22"/>
                <w:highlight w:val="none"/>
              </w:rPr>
            </w:pPr>
            <w:r>
              <w:rPr>
                <w:rFonts w:hint="eastAsia" w:asciiTheme="minorEastAsia" w:hAnsiTheme="minorEastAsia" w:eastAsiaTheme="minorEastAsia" w:cstheme="minorEastAsia"/>
                <w:color w:val="auto"/>
                <w:sz w:val="22"/>
                <w:szCs w:val="22"/>
                <w:highlight w:val="none"/>
              </w:rPr>
              <w:t>评审标准</w:t>
            </w:r>
          </w:p>
        </w:tc>
      </w:tr>
      <w:tr w14:paraId="3A3FF9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0" w:hRule="atLeast"/>
          <w:jc w:val="center"/>
        </w:trPr>
        <w:tc>
          <w:tcPr>
            <w:tcW w:w="490" w:type="dxa"/>
            <w:noWrap w:val="0"/>
            <w:vAlign w:val="center"/>
          </w:tcPr>
          <w:p w14:paraId="75270152">
            <w:pPr>
              <w:pStyle w:val="11"/>
              <w:keepNext w:val="0"/>
              <w:keepLines w:val="0"/>
              <w:pageBreakBefore w:val="0"/>
              <w:tabs>
                <w:tab w:val="left" w:pos="600"/>
              </w:tabs>
              <w:kinsoku/>
              <w:wordWrap/>
              <w:overflowPunct/>
              <w:topLinePunct w:val="0"/>
              <w:bidi w:val="0"/>
              <w:spacing w:line="360" w:lineRule="auto"/>
              <w:ind w:left="0" w:right="0" w:firstLine="0"/>
              <w:jc w:val="center"/>
              <w:textAlignment w:val="auto"/>
              <w:rPr>
                <w:rFonts w:hint="eastAsia" w:asciiTheme="minorEastAsia" w:hAnsiTheme="minorEastAsia" w:eastAsiaTheme="minorEastAsia" w:cstheme="minorEastAsia"/>
                <w:color w:val="auto"/>
                <w:sz w:val="22"/>
                <w:szCs w:val="22"/>
                <w:highlight w:val="none"/>
              </w:rPr>
            </w:pPr>
            <w:r>
              <w:rPr>
                <w:rFonts w:hint="eastAsia" w:asciiTheme="minorEastAsia" w:hAnsiTheme="minorEastAsia" w:eastAsiaTheme="minorEastAsia" w:cstheme="minorEastAsia"/>
                <w:color w:val="auto"/>
                <w:sz w:val="22"/>
                <w:szCs w:val="22"/>
                <w:highlight w:val="none"/>
              </w:rPr>
              <w:t>1</w:t>
            </w:r>
          </w:p>
        </w:tc>
        <w:tc>
          <w:tcPr>
            <w:tcW w:w="1258" w:type="dxa"/>
            <w:noWrap w:val="0"/>
            <w:vAlign w:val="center"/>
          </w:tcPr>
          <w:p w14:paraId="5EE6AFAE">
            <w:pPr>
              <w:pStyle w:val="11"/>
              <w:keepNext w:val="0"/>
              <w:keepLines w:val="0"/>
              <w:pageBreakBefore w:val="0"/>
              <w:tabs>
                <w:tab w:val="left" w:pos="600"/>
              </w:tabs>
              <w:kinsoku/>
              <w:wordWrap/>
              <w:overflowPunct/>
              <w:topLinePunct w:val="0"/>
              <w:bidi w:val="0"/>
              <w:spacing w:line="360" w:lineRule="auto"/>
              <w:ind w:left="0" w:right="0" w:firstLine="0"/>
              <w:jc w:val="center"/>
              <w:textAlignment w:val="auto"/>
              <w:rPr>
                <w:rFonts w:hint="eastAsia" w:asciiTheme="minorEastAsia" w:hAnsiTheme="minorEastAsia" w:eastAsiaTheme="minorEastAsia" w:cstheme="minorEastAsia"/>
                <w:color w:val="auto"/>
                <w:sz w:val="22"/>
                <w:szCs w:val="22"/>
                <w:highlight w:val="none"/>
              </w:rPr>
            </w:pPr>
          </w:p>
          <w:p w14:paraId="2F66C648">
            <w:pPr>
              <w:pStyle w:val="11"/>
              <w:keepNext w:val="0"/>
              <w:keepLines w:val="0"/>
              <w:pageBreakBefore w:val="0"/>
              <w:tabs>
                <w:tab w:val="left" w:pos="600"/>
              </w:tabs>
              <w:kinsoku/>
              <w:wordWrap/>
              <w:overflowPunct/>
              <w:topLinePunct w:val="0"/>
              <w:bidi w:val="0"/>
              <w:spacing w:line="360" w:lineRule="auto"/>
              <w:ind w:left="0" w:right="0" w:firstLine="0"/>
              <w:jc w:val="center"/>
              <w:textAlignment w:val="auto"/>
              <w:rPr>
                <w:rFonts w:hint="eastAsia" w:asciiTheme="minorEastAsia" w:hAnsiTheme="minorEastAsia" w:eastAsiaTheme="minorEastAsia" w:cstheme="minorEastAsia"/>
                <w:color w:val="auto"/>
                <w:sz w:val="22"/>
                <w:szCs w:val="22"/>
                <w:highlight w:val="none"/>
              </w:rPr>
            </w:pPr>
            <w:r>
              <w:rPr>
                <w:rFonts w:hint="eastAsia" w:asciiTheme="minorEastAsia" w:hAnsiTheme="minorEastAsia" w:eastAsiaTheme="minorEastAsia" w:cstheme="minorEastAsia"/>
                <w:color w:val="auto"/>
                <w:sz w:val="22"/>
                <w:szCs w:val="22"/>
                <w:highlight w:val="none"/>
              </w:rPr>
              <w:t>投标报价</w:t>
            </w:r>
          </w:p>
          <w:p w14:paraId="47E37009">
            <w:pPr>
              <w:pStyle w:val="11"/>
              <w:keepNext w:val="0"/>
              <w:keepLines w:val="0"/>
              <w:pageBreakBefore w:val="0"/>
              <w:tabs>
                <w:tab w:val="left" w:pos="600"/>
              </w:tabs>
              <w:kinsoku/>
              <w:wordWrap/>
              <w:overflowPunct/>
              <w:topLinePunct w:val="0"/>
              <w:bidi w:val="0"/>
              <w:spacing w:line="360" w:lineRule="auto"/>
              <w:ind w:left="0" w:right="0" w:firstLine="0"/>
              <w:jc w:val="center"/>
              <w:textAlignment w:val="auto"/>
              <w:rPr>
                <w:rFonts w:hint="eastAsia" w:asciiTheme="minorEastAsia" w:hAnsiTheme="minorEastAsia" w:eastAsiaTheme="minorEastAsia" w:cstheme="minorEastAsia"/>
                <w:color w:val="auto"/>
                <w:sz w:val="22"/>
                <w:szCs w:val="22"/>
                <w:highlight w:val="none"/>
              </w:rPr>
            </w:pPr>
          </w:p>
        </w:tc>
        <w:tc>
          <w:tcPr>
            <w:tcW w:w="1926" w:type="dxa"/>
            <w:noWrap w:val="0"/>
            <w:vAlign w:val="center"/>
          </w:tcPr>
          <w:p w14:paraId="7671DB3C">
            <w:pPr>
              <w:pStyle w:val="11"/>
              <w:keepNext w:val="0"/>
              <w:keepLines w:val="0"/>
              <w:pageBreakBefore w:val="0"/>
              <w:tabs>
                <w:tab w:val="left" w:pos="600"/>
              </w:tabs>
              <w:kinsoku/>
              <w:wordWrap/>
              <w:overflowPunct/>
              <w:topLinePunct w:val="0"/>
              <w:bidi w:val="0"/>
              <w:spacing w:line="360" w:lineRule="auto"/>
              <w:ind w:left="0" w:right="0" w:firstLine="0"/>
              <w:jc w:val="center"/>
              <w:textAlignment w:val="auto"/>
              <w:rPr>
                <w:rFonts w:hint="eastAsia" w:asciiTheme="minorEastAsia" w:hAnsiTheme="minorEastAsia" w:eastAsiaTheme="minorEastAsia" w:cstheme="minorEastAsia"/>
                <w:color w:val="auto"/>
                <w:sz w:val="22"/>
                <w:szCs w:val="22"/>
                <w:highlight w:val="none"/>
              </w:rPr>
            </w:pPr>
            <w:r>
              <w:rPr>
                <w:rFonts w:hint="eastAsia" w:asciiTheme="minorEastAsia" w:hAnsiTheme="minorEastAsia" w:eastAsiaTheme="minorEastAsia" w:cstheme="minorEastAsia"/>
                <w:color w:val="auto"/>
                <w:sz w:val="22"/>
                <w:szCs w:val="22"/>
                <w:highlight w:val="none"/>
              </w:rPr>
              <w:t>投标报</w:t>
            </w:r>
            <w:r>
              <w:rPr>
                <w:rFonts w:hint="eastAsia" w:asciiTheme="minorEastAsia" w:hAnsiTheme="minorEastAsia" w:eastAsiaTheme="minorEastAsia" w:cstheme="minorEastAsia"/>
                <w:color w:val="auto"/>
                <w:sz w:val="22"/>
                <w:szCs w:val="22"/>
                <w:highlight w:val="none"/>
                <w:lang w:val="en-US" w:eastAsia="zh-CN"/>
              </w:rPr>
              <w:t>价</w:t>
            </w:r>
            <w:r>
              <w:rPr>
                <w:rFonts w:hint="eastAsia" w:asciiTheme="minorEastAsia" w:hAnsiTheme="minorEastAsia" w:eastAsiaTheme="minorEastAsia" w:cstheme="minorEastAsia"/>
                <w:i w:val="0"/>
                <w:color w:val="auto"/>
                <w:kern w:val="2"/>
                <w:sz w:val="22"/>
                <w:szCs w:val="22"/>
                <w:highlight w:val="none"/>
                <w:lang w:val="en-US" w:eastAsia="zh-CN" w:bidi="ar-SA"/>
              </w:rPr>
              <w:t>（30分）</w:t>
            </w:r>
          </w:p>
        </w:tc>
        <w:tc>
          <w:tcPr>
            <w:tcW w:w="5992" w:type="dxa"/>
            <w:noWrap w:val="0"/>
            <w:vAlign w:val="center"/>
          </w:tcPr>
          <w:p w14:paraId="370AC4CC">
            <w:pPr>
              <w:pStyle w:val="11"/>
              <w:keepNext w:val="0"/>
              <w:keepLines w:val="0"/>
              <w:pageBreakBefore w:val="0"/>
              <w:tabs>
                <w:tab w:val="left" w:pos="600"/>
              </w:tabs>
              <w:kinsoku/>
              <w:wordWrap/>
              <w:overflowPunct/>
              <w:topLinePunct w:val="0"/>
              <w:bidi w:val="0"/>
              <w:spacing w:line="360" w:lineRule="auto"/>
              <w:ind w:left="0" w:right="0" w:firstLine="0"/>
              <w:jc w:val="left"/>
              <w:textAlignment w:val="auto"/>
              <w:rPr>
                <w:rFonts w:hint="eastAsia" w:asciiTheme="minorEastAsia" w:hAnsiTheme="minorEastAsia" w:eastAsiaTheme="minorEastAsia" w:cstheme="minorEastAsia"/>
                <w:color w:val="auto"/>
                <w:sz w:val="22"/>
                <w:szCs w:val="22"/>
                <w:highlight w:val="none"/>
              </w:rPr>
            </w:pPr>
            <w:r>
              <w:rPr>
                <w:rFonts w:hint="eastAsia" w:asciiTheme="minorEastAsia" w:hAnsiTheme="minorEastAsia" w:eastAsiaTheme="minorEastAsia" w:cstheme="minorEastAsia"/>
                <w:color w:val="auto"/>
                <w:sz w:val="22"/>
                <w:szCs w:val="22"/>
                <w:highlight w:val="none"/>
              </w:rPr>
              <w:t>价格分采用低价优先法计算，即满足招标文件要求且投标价格最低的投标报价为评标基准价，其价格分为满分。其他供应商的价格分统一按照下列公式计算：投标报价得分=（评标基准价/投标报价）×价格权值（即30%）×100</w:t>
            </w:r>
            <w:r>
              <w:rPr>
                <w:rFonts w:hint="eastAsia" w:asciiTheme="minorEastAsia" w:hAnsiTheme="minorEastAsia" w:eastAsiaTheme="minorEastAsia" w:cstheme="minorEastAsia"/>
                <w:color w:val="auto"/>
                <w:sz w:val="22"/>
                <w:szCs w:val="22"/>
                <w:highlight w:val="none"/>
                <w:lang w:eastAsia="zh-CN"/>
              </w:rPr>
              <w:t>。</w:t>
            </w:r>
            <w:r>
              <w:rPr>
                <w:rFonts w:hint="eastAsia" w:asciiTheme="minorEastAsia" w:hAnsiTheme="minorEastAsia" w:eastAsiaTheme="minorEastAsia" w:cstheme="minorEastAsia"/>
                <w:color w:val="auto"/>
                <w:sz w:val="22"/>
                <w:szCs w:val="22"/>
                <w:highlight w:val="none"/>
              </w:rPr>
              <w:t>符合招标文件规定的小微企业、监狱企业、残疾人福利性单位优惠条件的供应商，价格给予10%的扣除，用扣除后的价格参与评审。</w:t>
            </w:r>
          </w:p>
        </w:tc>
      </w:tr>
      <w:tr w14:paraId="2C6D1C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90" w:type="dxa"/>
            <w:vMerge w:val="restart"/>
            <w:noWrap w:val="0"/>
            <w:vAlign w:val="center"/>
          </w:tcPr>
          <w:p w14:paraId="0592EB3C">
            <w:pPr>
              <w:pStyle w:val="11"/>
              <w:keepNext w:val="0"/>
              <w:keepLines w:val="0"/>
              <w:pageBreakBefore w:val="0"/>
              <w:tabs>
                <w:tab w:val="left" w:pos="600"/>
              </w:tabs>
              <w:kinsoku/>
              <w:wordWrap/>
              <w:overflowPunct/>
              <w:topLinePunct w:val="0"/>
              <w:bidi w:val="0"/>
              <w:spacing w:line="360" w:lineRule="auto"/>
              <w:ind w:left="0" w:right="0" w:firstLine="0"/>
              <w:jc w:val="center"/>
              <w:textAlignment w:val="auto"/>
              <w:rPr>
                <w:rFonts w:hint="eastAsia" w:asciiTheme="minorEastAsia" w:hAnsiTheme="minorEastAsia" w:eastAsiaTheme="minorEastAsia" w:cstheme="minorEastAsia"/>
                <w:color w:val="auto"/>
                <w:sz w:val="22"/>
                <w:szCs w:val="22"/>
                <w:highlight w:val="none"/>
                <w:lang w:val="en-US" w:eastAsia="zh-CN"/>
              </w:rPr>
            </w:pPr>
            <w:r>
              <w:rPr>
                <w:rFonts w:hint="eastAsia" w:asciiTheme="minorEastAsia" w:hAnsiTheme="minorEastAsia" w:eastAsiaTheme="minorEastAsia" w:cstheme="minorEastAsia"/>
                <w:color w:val="auto"/>
                <w:sz w:val="22"/>
                <w:szCs w:val="22"/>
                <w:highlight w:val="none"/>
                <w:lang w:val="en-US" w:eastAsia="zh-CN"/>
              </w:rPr>
              <w:t>2</w:t>
            </w:r>
          </w:p>
        </w:tc>
        <w:tc>
          <w:tcPr>
            <w:tcW w:w="1258" w:type="dxa"/>
            <w:vMerge w:val="restart"/>
            <w:noWrap w:val="0"/>
            <w:vAlign w:val="center"/>
          </w:tcPr>
          <w:p w14:paraId="2B67EC7C">
            <w:pPr>
              <w:keepNext w:val="0"/>
              <w:keepLines w:val="0"/>
              <w:pageBreakBefore w:val="0"/>
              <w:widowControl/>
              <w:suppressLineNumbers w:val="0"/>
              <w:kinsoku/>
              <w:wordWrap/>
              <w:overflowPunct/>
              <w:topLinePunct w:val="0"/>
              <w:bidi w:val="0"/>
              <w:spacing w:line="360" w:lineRule="auto"/>
              <w:ind w:left="0" w:right="0" w:firstLine="0"/>
              <w:jc w:val="center"/>
              <w:textAlignment w:val="auto"/>
              <w:rPr>
                <w:rFonts w:hint="eastAsia" w:asciiTheme="minorEastAsia" w:hAnsiTheme="minorEastAsia" w:eastAsiaTheme="minorEastAsia" w:cstheme="minorEastAsia"/>
                <w:color w:val="auto"/>
                <w:sz w:val="22"/>
                <w:szCs w:val="22"/>
                <w:highlight w:val="none"/>
              </w:rPr>
            </w:pPr>
            <w:r>
              <w:rPr>
                <w:rFonts w:hint="eastAsia" w:asciiTheme="minorEastAsia" w:hAnsiTheme="minorEastAsia" w:eastAsiaTheme="minorEastAsia" w:cstheme="minorEastAsia"/>
                <w:color w:val="auto"/>
                <w:sz w:val="22"/>
                <w:szCs w:val="22"/>
                <w:highlight w:val="none"/>
              </w:rPr>
              <w:t>技术评审</w:t>
            </w:r>
          </w:p>
        </w:tc>
        <w:tc>
          <w:tcPr>
            <w:tcW w:w="1926" w:type="dxa"/>
            <w:noWrap w:val="0"/>
            <w:vAlign w:val="center"/>
          </w:tcPr>
          <w:p w14:paraId="4FA4E74B">
            <w:pPr>
              <w:keepNext w:val="0"/>
              <w:keepLines w:val="0"/>
              <w:pageBreakBefore w:val="0"/>
              <w:kinsoku/>
              <w:wordWrap/>
              <w:overflowPunct/>
              <w:topLinePunct w:val="0"/>
              <w:autoSpaceDE/>
              <w:autoSpaceDN/>
              <w:bidi w:val="0"/>
              <w:adjustRightInd/>
              <w:snapToGrid/>
              <w:spacing w:line="360" w:lineRule="auto"/>
              <w:ind w:left="0" w:right="0" w:firstLine="0" w:firstLineChars="0"/>
              <w:jc w:val="center"/>
              <w:textAlignment w:val="auto"/>
              <w:rPr>
                <w:rFonts w:hint="eastAsia" w:asciiTheme="minorEastAsia" w:hAnsiTheme="minorEastAsia" w:eastAsiaTheme="minorEastAsia" w:cstheme="minorEastAsia"/>
                <w:color w:val="auto"/>
                <w:sz w:val="22"/>
                <w:szCs w:val="22"/>
                <w:highlight w:val="none"/>
              </w:rPr>
            </w:pPr>
            <w:r>
              <w:rPr>
                <w:rFonts w:hint="eastAsia" w:asciiTheme="minorEastAsia" w:hAnsiTheme="minorEastAsia" w:eastAsiaTheme="minorEastAsia" w:cstheme="minorEastAsia"/>
                <w:color w:val="auto"/>
                <w:sz w:val="22"/>
                <w:szCs w:val="22"/>
                <w:highlight w:val="none"/>
              </w:rPr>
              <w:t xml:space="preserve">采购需求响应程度 </w:t>
            </w:r>
            <w:r>
              <w:rPr>
                <w:rFonts w:hint="eastAsia" w:asciiTheme="minorEastAsia" w:hAnsiTheme="minorEastAsia" w:eastAsiaTheme="minorEastAsia" w:cstheme="minorEastAsia"/>
                <w:i w:val="0"/>
                <w:color w:val="auto"/>
                <w:kern w:val="2"/>
                <w:sz w:val="22"/>
                <w:szCs w:val="22"/>
                <w:highlight w:val="none"/>
                <w:lang w:val="en-US" w:eastAsia="zh-CN" w:bidi="ar-SA"/>
              </w:rPr>
              <w:t>（28分）</w:t>
            </w:r>
          </w:p>
        </w:tc>
        <w:tc>
          <w:tcPr>
            <w:tcW w:w="5992" w:type="dxa"/>
            <w:noWrap w:val="0"/>
            <w:vAlign w:val="top"/>
          </w:tcPr>
          <w:p w14:paraId="089F8272">
            <w:pPr>
              <w:keepNext w:val="0"/>
              <w:keepLines w:val="0"/>
              <w:pageBreakBefore w:val="0"/>
              <w:widowControl/>
              <w:suppressLineNumbers w:val="0"/>
              <w:kinsoku/>
              <w:wordWrap/>
              <w:overflowPunct/>
              <w:topLinePunct w:val="0"/>
              <w:bidi w:val="0"/>
              <w:spacing w:line="360" w:lineRule="auto"/>
              <w:ind w:left="0" w:right="0" w:firstLine="0"/>
              <w:jc w:val="left"/>
              <w:textAlignment w:val="auto"/>
              <w:rPr>
                <w:rFonts w:hint="eastAsia" w:asciiTheme="minorEastAsia" w:hAnsiTheme="minorEastAsia" w:eastAsiaTheme="minorEastAsia" w:cstheme="minorEastAsia"/>
                <w:color w:val="auto"/>
                <w:sz w:val="22"/>
                <w:szCs w:val="22"/>
                <w:highlight w:val="none"/>
              </w:rPr>
            </w:pPr>
            <w:r>
              <w:rPr>
                <w:rFonts w:hint="eastAsia" w:asciiTheme="minorEastAsia" w:hAnsiTheme="minorEastAsia" w:eastAsiaTheme="minorEastAsia" w:cstheme="minorEastAsia"/>
                <w:color w:val="auto"/>
                <w:sz w:val="22"/>
                <w:szCs w:val="22"/>
                <w:highlight w:val="none"/>
              </w:rPr>
              <w:t>所投产品的技术指标评审：</w:t>
            </w:r>
          </w:p>
          <w:p w14:paraId="0FF93026">
            <w:pPr>
              <w:keepNext w:val="0"/>
              <w:keepLines w:val="0"/>
              <w:pageBreakBefore w:val="0"/>
              <w:widowControl/>
              <w:suppressLineNumbers w:val="0"/>
              <w:kinsoku/>
              <w:wordWrap/>
              <w:overflowPunct/>
              <w:topLinePunct w:val="0"/>
              <w:bidi w:val="0"/>
              <w:spacing w:line="360" w:lineRule="auto"/>
              <w:ind w:left="0" w:right="0" w:firstLine="0"/>
              <w:jc w:val="left"/>
              <w:textAlignment w:val="auto"/>
              <w:rPr>
                <w:rFonts w:hint="eastAsia" w:asciiTheme="minorEastAsia" w:hAnsiTheme="minorEastAsia" w:eastAsiaTheme="minorEastAsia" w:cstheme="minorEastAsia"/>
                <w:color w:val="auto"/>
                <w:sz w:val="22"/>
                <w:szCs w:val="22"/>
                <w:highlight w:val="none"/>
              </w:rPr>
            </w:pPr>
            <w:r>
              <w:rPr>
                <w:rFonts w:hint="eastAsia" w:asciiTheme="minorEastAsia" w:hAnsiTheme="minorEastAsia" w:eastAsiaTheme="minorEastAsia" w:cstheme="minorEastAsia"/>
                <w:color w:val="auto"/>
                <w:sz w:val="22"/>
                <w:szCs w:val="22"/>
                <w:highlight w:val="none"/>
              </w:rPr>
              <w:t>1.“▲”号技术参数响应（无偏离）得</w:t>
            </w:r>
            <w:r>
              <w:rPr>
                <w:rFonts w:hint="eastAsia" w:asciiTheme="minorEastAsia" w:hAnsiTheme="minorEastAsia" w:eastAsiaTheme="minorEastAsia" w:cstheme="minorEastAsia"/>
                <w:color w:val="auto"/>
                <w:sz w:val="22"/>
                <w:szCs w:val="22"/>
                <w:highlight w:val="none"/>
                <w:lang w:val="en-US" w:eastAsia="zh-CN"/>
              </w:rPr>
              <w:t>18</w:t>
            </w:r>
            <w:r>
              <w:rPr>
                <w:rFonts w:hint="eastAsia" w:asciiTheme="minorEastAsia" w:hAnsiTheme="minorEastAsia" w:eastAsiaTheme="minorEastAsia" w:cstheme="minorEastAsia"/>
                <w:color w:val="auto"/>
                <w:sz w:val="22"/>
                <w:szCs w:val="22"/>
                <w:highlight w:val="none"/>
              </w:rPr>
              <w:t>分，有一项不满足</w:t>
            </w:r>
            <w:r>
              <w:rPr>
                <w:rFonts w:hint="eastAsia" w:asciiTheme="minorEastAsia" w:hAnsiTheme="minorEastAsia" w:eastAsiaTheme="minorEastAsia" w:cstheme="minorEastAsia"/>
                <w:color w:val="auto"/>
                <w:sz w:val="22"/>
                <w:szCs w:val="22"/>
                <w:highlight w:val="none"/>
                <w:lang w:eastAsia="zh-CN"/>
              </w:rPr>
              <w:t>（</w:t>
            </w:r>
            <w:r>
              <w:rPr>
                <w:rFonts w:hint="eastAsia" w:asciiTheme="minorEastAsia" w:hAnsiTheme="minorEastAsia" w:eastAsiaTheme="minorEastAsia" w:cstheme="minorEastAsia"/>
                <w:color w:val="auto"/>
                <w:sz w:val="22"/>
                <w:szCs w:val="22"/>
                <w:highlight w:val="none"/>
              </w:rPr>
              <w:t>负偏离</w:t>
            </w:r>
            <w:r>
              <w:rPr>
                <w:rFonts w:hint="eastAsia" w:asciiTheme="minorEastAsia" w:hAnsiTheme="minorEastAsia" w:eastAsiaTheme="minorEastAsia" w:cstheme="minorEastAsia"/>
                <w:color w:val="auto"/>
                <w:sz w:val="22"/>
                <w:szCs w:val="22"/>
                <w:highlight w:val="none"/>
                <w:lang w:eastAsia="zh-CN"/>
              </w:rPr>
              <w:t>）</w:t>
            </w:r>
            <w:r>
              <w:rPr>
                <w:rFonts w:hint="eastAsia" w:asciiTheme="minorEastAsia" w:hAnsiTheme="minorEastAsia" w:eastAsiaTheme="minorEastAsia" w:cstheme="minorEastAsia"/>
                <w:color w:val="auto"/>
                <w:sz w:val="22"/>
                <w:szCs w:val="22"/>
                <w:highlight w:val="none"/>
              </w:rPr>
              <w:t>扣</w:t>
            </w:r>
            <w:r>
              <w:rPr>
                <w:rFonts w:hint="eastAsia" w:asciiTheme="minorEastAsia" w:hAnsiTheme="minorEastAsia" w:eastAsiaTheme="minorEastAsia" w:cstheme="minorEastAsia"/>
                <w:color w:val="auto"/>
                <w:sz w:val="22"/>
                <w:szCs w:val="22"/>
                <w:highlight w:val="none"/>
                <w:lang w:val="en-US" w:eastAsia="zh-CN"/>
              </w:rPr>
              <w:t>1</w:t>
            </w:r>
            <w:r>
              <w:rPr>
                <w:rFonts w:hint="eastAsia" w:asciiTheme="minorEastAsia" w:hAnsiTheme="minorEastAsia" w:eastAsiaTheme="minorEastAsia" w:cstheme="minorEastAsia"/>
                <w:color w:val="auto"/>
                <w:sz w:val="22"/>
                <w:szCs w:val="22"/>
                <w:highlight w:val="none"/>
              </w:rPr>
              <w:t>分，扣完为止。</w:t>
            </w:r>
          </w:p>
          <w:p w14:paraId="67CBECAB">
            <w:pPr>
              <w:keepNext w:val="0"/>
              <w:keepLines w:val="0"/>
              <w:pageBreakBefore w:val="0"/>
              <w:widowControl/>
              <w:suppressLineNumbers w:val="0"/>
              <w:kinsoku/>
              <w:wordWrap/>
              <w:overflowPunct/>
              <w:topLinePunct w:val="0"/>
              <w:bidi w:val="0"/>
              <w:spacing w:line="360" w:lineRule="auto"/>
              <w:ind w:left="0" w:right="0" w:firstLine="0"/>
              <w:jc w:val="left"/>
              <w:textAlignment w:val="auto"/>
              <w:rPr>
                <w:rFonts w:hint="eastAsia" w:asciiTheme="minorEastAsia" w:hAnsiTheme="minorEastAsia" w:eastAsiaTheme="minorEastAsia" w:cstheme="minorEastAsia"/>
                <w:color w:val="auto"/>
                <w:sz w:val="22"/>
                <w:szCs w:val="22"/>
                <w:highlight w:val="none"/>
              </w:rPr>
            </w:pPr>
            <w:r>
              <w:rPr>
                <w:rFonts w:hint="eastAsia" w:asciiTheme="minorEastAsia" w:hAnsiTheme="minorEastAsia" w:eastAsiaTheme="minorEastAsia" w:cstheme="minorEastAsia"/>
                <w:color w:val="auto"/>
                <w:sz w:val="22"/>
                <w:szCs w:val="22"/>
                <w:highlight w:val="none"/>
                <w:lang w:val="en-US" w:eastAsia="zh-CN"/>
              </w:rPr>
              <w:t>2</w:t>
            </w:r>
            <w:r>
              <w:rPr>
                <w:rFonts w:hint="eastAsia" w:asciiTheme="minorEastAsia" w:hAnsiTheme="minorEastAsia" w:eastAsiaTheme="minorEastAsia" w:cstheme="minorEastAsia"/>
                <w:color w:val="auto"/>
                <w:sz w:val="22"/>
                <w:szCs w:val="22"/>
                <w:highlight w:val="none"/>
              </w:rPr>
              <w:t>.非“▲”响应（无偏离）得</w:t>
            </w:r>
            <w:r>
              <w:rPr>
                <w:rFonts w:hint="eastAsia" w:asciiTheme="minorEastAsia" w:hAnsiTheme="minorEastAsia" w:eastAsiaTheme="minorEastAsia" w:cstheme="minorEastAsia"/>
                <w:color w:val="auto"/>
                <w:sz w:val="22"/>
                <w:szCs w:val="22"/>
                <w:highlight w:val="none"/>
                <w:lang w:val="en-US" w:eastAsia="zh-CN"/>
              </w:rPr>
              <w:t>10</w:t>
            </w:r>
            <w:r>
              <w:rPr>
                <w:rFonts w:hint="eastAsia" w:asciiTheme="minorEastAsia" w:hAnsiTheme="minorEastAsia" w:eastAsiaTheme="minorEastAsia" w:cstheme="minorEastAsia"/>
                <w:color w:val="auto"/>
                <w:sz w:val="22"/>
                <w:szCs w:val="22"/>
                <w:highlight w:val="none"/>
              </w:rPr>
              <w:t>分。有一项负偏离扣</w:t>
            </w:r>
            <w:r>
              <w:rPr>
                <w:rFonts w:hint="eastAsia" w:asciiTheme="minorEastAsia" w:hAnsiTheme="minorEastAsia" w:eastAsiaTheme="minorEastAsia" w:cstheme="minorEastAsia"/>
                <w:color w:val="auto"/>
                <w:sz w:val="22"/>
                <w:szCs w:val="22"/>
                <w:highlight w:val="none"/>
                <w:lang w:val="en-US" w:eastAsia="zh-CN"/>
              </w:rPr>
              <w:t>0.5</w:t>
            </w:r>
            <w:r>
              <w:rPr>
                <w:rFonts w:hint="eastAsia" w:asciiTheme="minorEastAsia" w:hAnsiTheme="minorEastAsia" w:eastAsiaTheme="minorEastAsia" w:cstheme="minorEastAsia"/>
                <w:color w:val="auto"/>
                <w:sz w:val="22"/>
                <w:szCs w:val="22"/>
                <w:highlight w:val="none"/>
              </w:rPr>
              <w:t>分，扣完为止。</w:t>
            </w:r>
          </w:p>
          <w:p w14:paraId="1546A905">
            <w:pPr>
              <w:keepNext w:val="0"/>
              <w:keepLines w:val="0"/>
              <w:pageBreakBefore w:val="0"/>
              <w:widowControl/>
              <w:suppressLineNumbers w:val="0"/>
              <w:kinsoku/>
              <w:wordWrap/>
              <w:overflowPunct/>
              <w:topLinePunct w:val="0"/>
              <w:bidi w:val="0"/>
              <w:spacing w:line="360" w:lineRule="auto"/>
              <w:ind w:left="0" w:right="0" w:firstLine="0"/>
              <w:jc w:val="left"/>
              <w:textAlignment w:val="auto"/>
              <w:rPr>
                <w:rFonts w:hint="eastAsia" w:asciiTheme="minorEastAsia" w:hAnsiTheme="minorEastAsia" w:eastAsiaTheme="minorEastAsia" w:cstheme="minorEastAsia"/>
                <w:color w:val="auto"/>
                <w:sz w:val="22"/>
                <w:szCs w:val="22"/>
                <w:highlight w:val="none"/>
                <w:lang w:val="en-US" w:eastAsia="zh-CN"/>
              </w:rPr>
            </w:pPr>
            <w:r>
              <w:rPr>
                <w:rFonts w:hint="eastAsia" w:asciiTheme="minorEastAsia" w:hAnsiTheme="minorEastAsia" w:eastAsiaTheme="minorEastAsia" w:cstheme="minorEastAsia"/>
                <w:color w:val="auto"/>
                <w:sz w:val="22"/>
                <w:szCs w:val="22"/>
                <w:highlight w:val="none"/>
                <w:lang w:val="en-US" w:eastAsia="zh-CN"/>
              </w:rPr>
              <w:t>备注：“▲”号技术参数须提供真实有效的相关证明资料或材料进行佐证并在技术偏离表“备注”栏中标明页码（相关证明资料或材料包括但不限于产品技术白皮书、第三方检测报告、宣传彩页等），未提供有效支持依据的可按负偏离扣分处理。非“▲”技术参数佐证材料形式不做要求。</w:t>
            </w:r>
          </w:p>
        </w:tc>
      </w:tr>
      <w:tr w14:paraId="211DDB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jc w:val="center"/>
        </w:trPr>
        <w:tc>
          <w:tcPr>
            <w:tcW w:w="490" w:type="dxa"/>
            <w:vMerge w:val="continue"/>
            <w:noWrap w:val="0"/>
            <w:vAlign w:val="center"/>
          </w:tcPr>
          <w:p w14:paraId="3F3F0C08">
            <w:pPr>
              <w:pStyle w:val="11"/>
              <w:keepNext w:val="0"/>
              <w:keepLines w:val="0"/>
              <w:pageBreakBefore w:val="0"/>
              <w:tabs>
                <w:tab w:val="left" w:pos="600"/>
              </w:tabs>
              <w:kinsoku/>
              <w:wordWrap/>
              <w:overflowPunct/>
              <w:topLinePunct w:val="0"/>
              <w:bidi w:val="0"/>
              <w:spacing w:line="360" w:lineRule="auto"/>
              <w:ind w:left="0" w:right="0" w:firstLine="0"/>
              <w:jc w:val="center"/>
              <w:textAlignment w:val="auto"/>
              <w:rPr>
                <w:rFonts w:hint="eastAsia" w:asciiTheme="minorEastAsia" w:hAnsiTheme="minorEastAsia" w:eastAsiaTheme="minorEastAsia" w:cstheme="minorEastAsia"/>
                <w:color w:val="auto"/>
                <w:sz w:val="22"/>
                <w:szCs w:val="22"/>
                <w:highlight w:val="none"/>
                <w:lang w:val="en-US" w:eastAsia="zh-CN"/>
              </w:rPr>
            </w:pPr>
          </w:p>
        </w:tc>
        <w:tc>
          <w:tcPr>
            <w:tcW w:w="1258" w:type="dxa"/>
            <w:vMerge w:val="continue"/>
            <w:noWrap w:val="0"/>
            <w:vAlign w:val="center"/>
          </w:tcPr>
          <w:p w14:paraId="5DFB86A6">
            <w:pPr>
              <w:keepNext w:val="0"/>
              <w:keepLines w:val="0"/>
              <w:pageBreakBefore w:val="0"/>
              <w:widowControl/>
              <w:suppressLineNumbers w:val="0"/>
              <w:kinsoku/>
              <w:wordWrap/>
              <w:overflowPunct/>
              <w:topLinePunct w:val="0"/>
              <w:bidi w:val="0"/>
              <w:spacing w:line="360" w:lineRule="auto"/>
              <w:ind w:left="0" w:right="0" w:firstLine="0"/>
              <w:jc w:val="center"/>
              <w:textAlignment w:val="auto"/>
              <w:rPr>
                <w:rFonts w:hint="eastAsia" w:asciiTheme="minorEastAsia" w:hAnsiTheme="minorEastAsia" w:eastAsiaTheme="minorEastAsia" w:cstheme="minorEastAsia"/>
                <w:color w:val="auto"/>
                <w:sz w:val="22"/>
                <w:szCs w:val="22"/>
                <w:highlight w:val="none"/>
              </w:rPr>
            </w:pPr>
          </w:p>
        </w:tc>
        <w:tc>
          <w:tcPr>
            <w:tcW w:w="1926" w:type="dxa"/>
            <w:noWrap w:val="0"/>
            <w:vAlign w:val="center"/>
          </w:tcPr>
          <w:p w14:paraId="0596EC5E">
            <w:pPr>
              <w:keepNext w:val="0"/>
              <w:keepLines w:val="0"/>
              <w:pageBreakBefore w:val="0"/>
              <w:kinsoku/>
              <w:wordWrap/>
              <w:overflowPunct/>
              <w:topLinePunct w:val="0"/>
              <w:autoSpaceDE/>
              <w:autoSpaceDN/>
              <w:bidi w:val="0"/>
              <w:adjustRightInd/>
              <w:snapToGrid/>
              <w:spacing w:line="360" w:lineRule="auto"/>
              <w:ind w:left="0" w:right="0" w:firstLine="0" w:firstLineChars="0"/>
              <w:jc w:val="center"/>
              <w:textAlignment w:val="auto"/>
              <w:rPr>
                <w:rFonts w:hint="eastAsia" w:asciiTheme="minorEastAsia" w:hAnsiTheme="minorEastAsia" w:eastAsiaTheme="minorEastAsia" w:cstheme="minorEastAsia"/>
                <w:color w:val="auto"/>
                <w:sz w:val="22"/>
                <w:szCs w:val="22"/>
                <w:highlight w:val="none"/>
              </w:rPr>
            </w:pPr>
            <w:r>
              <w:rPr>
                <w:rFonts w:hint="eastAsia" w:asciiTheme="minorEastAsia" w:hAnsiTheme="minorEastAsia" w:eastAsiaTheme="minorEastAsia" w:cstheme="minorEastAsia"/>
                <w:color w:val="auto"/>
                <w:sz w:val="22"/>
                <w:szCs w:val="22"/>
                <w:highlight w:val="none"/>
              </w:rPr>
              <w:t>实施方案</w:t>
            </w:r>
            <w:r>
              <w:rPr>
                <w:rFonts w:hint="eastAsia" w:asciiTheme="minorEastAsia" w:hAnsiTheme="minorEastAsia" w:eastAsiaTheme="minorEastAsia" w:cstheme="minorEastAsia"/>
                <w:i w:val="0"/>
                <w:color w:val="auto"/>
                <w:kern w:val="2"/>
                <w:sz w:val="22"/>
                <w:szCs w:val="22"/>
                <w:highlight w:val="none"/>
                <w:lang w:val="en-US" w:eastAsia="zh-CN" w:bidi="ar-SA"/>
              </w:rPr>
              <w:t>（12分）</w:t>
            </w:r>
          </w:p>
        </w:tc>
        <w:tc>
          <w:tcPr>
            <w:tcW w:w="5992" w:type="dxa"/>
            <w:noWrap w:val="0"/>
            <w:vAlign w:val="top"/>
          </w:tcPr>
          <w:p w14:paraId="1ED5E152">
            <w:pPr>
              <w:keepNext w:val="0"/>
              <w:keepLines w:val="0"/>
              <w:pageBreakBefore w:val="0"/>
              <w:kinsoku/>
              <w:wordWrap/>
              <w:overflowPunct/>
              <w:topLinePunct w:val="0"/>
              <w:autoSpaceDE w:val="0"/>
              <w:autoSpaceDN w:val="0"/>
              <w:bidi w:val="0"/>
              <w:adjustRightInd w:val="0"/>
              <w:snapToGrid w:val="0"/>
              <w:spacing w:line="360" w:lineRule="auto"/>
              <w:ind w:left="0" w:right="0" w:firstLine="0"/>
              <w:textAlignment w:val="auto"/>
              <w:rPr>
                <w:rFonts w:hint="eastAsia" w:asciiTheme="minorEastAsia" w:hAnsiTheme="minorEastAsia" w:eastAsiaTheme="minorEastAsia" w:cstheme="minorEastAsia"/>
                <w:color w:val="auto"/>
                <w:sz w:val="22"/>
                <w:szCs w:val="22"/>
                <w:highlight w:val="none"/>
                <w:lang w:eastAsia="zh-CN"/>
              </w:rPr>
            </w:pPr>
            <w:r>
              <w:rPr>
                <w:rFonts w:hint="eastAsia" w:asciiTheme="minorEastAsia" w:hAnsiTheme="minorEastAsia" w:eastAsiaTheme="minorEastAsia" w:cstheme="minorEastAsia"/>
                <w:color w:val="auto"/>
                <w:sz w:val="22"/>
                <w:szCs w:val="22"/>
                <w:highlight w:val="none"/>
                <w:lang w:eastAsia="zh-CN"/>
              </w:rPr>
              <w:t>评标委员会根据各投标供应商提供的针对本项目制定的实施方案进行综合打分：（</w:t>
            </w:r>
            <w:r>
              <w:rPr>
                <w:rFonts w:hint="eastAsia" w:asciiTheme="minorEastAsia" w:hAnsiTheme="minorEastAsia" w:eastAsiaTheme="minorEastAsia" w:cstheme="minorEastAsia"/>
                <w:color w:val="auto"/>
                <w:sz w:val="22"/>
                <w:szCs w:val="22"/>
                <w:highlight w:val="none"/>
                <w:lang w:val="en-US" w:eastAsia="zh-CN"/>
              </w:rPr>
              <w:t>1</w:t>
            </w:r>
            <w:r>
              <w:rPr>
                <w:rFonts w:hint="eastAsia" w:asciiTheme="minorEastAsia" w:hAnsiTheme="minorEastAsia" w:eastAsiaTheme="minorEastAsia" w:cstheme="minorEastAsia"/>
                <w:color w:val="auto"/>
                <w:sz w:val="22"/>
                <w:szCs w:val="22"/>
                <w:highlight w:val="none"/>
                <w:lang w:eastAsia="zh-CN"/>
              </w:rPr>
              <w:t>）设备生产/采购方案；（</w:t>
            </w:r>
            <w:r>
              <w:rPr>
                <w:rFonts w:hint="eastAsia" w:asciiTheme="minorEastAsia" w:hAnsiTheme="minorEastAsia" w:eastAsiaTheme="minorEastAsia" w:cstheme="minorEastAsia"/>
                <w:color w:val="auto"/>
                <w:sz w:val="22"/>
                <w:szCs w:val="22"/>
                <w:highlight w:val="none"/>
                <w:lang w:val="en-US" w:eastAsia="zh-CN"/>
              </w:rPr>
              <w:t>2</w:t>
            </w:r>
            <w:r>
              <w:rPr>
                <w:rFonts w:hint="eastAsia" w:asciiTheme="minorEastAsia" w:hAnsiTheme="minorEastAsia" w:eastAsiaTheme="minorEastAsia" w:cstheme="minorEastAsia"/>
                <w:color w:val="auto"/>
                <w:sz w:val="22"/>
                <w:szCs w:val="22"/>
                <w:highlight w:val="none"/>
                <w:lang w:eastAsia="zh-CN"/>
              </w:rPr>
              <w:t>）项目进度保障方案；（</w:t>
            </w:r>
            <w:r>
              <w:rPr>
                <w:rFonts w:hint="eastAsia" w:asciiTheme="minorEastAsia" w:hAnsiTheme="minorEastAsia" w:eastAsiaTheme="minorEastAsia" w:cstheme="minorEastAsia"/>
                <w:color w:val="auto"/>
                <w:sz w:val="22"/>
                <w:szCs w:val="22"/>
                <w:highlight w:val="none"/>
                <w:lang w:val="en-US" w:eastAsia="zh-CN"/>
              </w:rPr>
              <w:t>3</w:t>
            </w:r>
            <w:r>
              <w:rPr>
                <w:rFonts w:hint="eastAsia" w:asciiTheme="minorEastAsia" w:hAnsiTheme="minorEastAsia" w:eastAsiaTheme="minorEastAsia" w:cstheme="minorEastAsia"/>
                <w:color w:val="auto"/>
                <w:sz w:val="22"/>
                <w:szCs w:val="22"/>
                <w:highlight w:val="none"/>
                <w:lang w:eastAsia="zh-CN"/>
              </w:rPr>
              <w:t>）设备运输配送及装卸安装方案；（</w:t>
            </w:r>
            <w:r>
              <w:rPr>
                <w:rFonts w:hint="eastAsia" w:asciiTheme="minorEastAsia" w:hAnsiTheme="minorEastAsia" w:eastAsiaTheme="minorEastAsia" w:cstheme="minorEastAsia"/>
                <w:color w:val="auto"/>
                <w:sz w:val="22"/>
                <w:szCs w:val="22"/>
                <w:highlight w:val="none"/>
                <w:lang w:val="en-US" w:eastAsia="zh-CN"/>
              </w:rPr>
              <w:t>4</w:t>
            </w:r>
            <w:r>
              <w:rPr>
                <w:rFonts w:hint="eastAsia" w:asciiTheme="minorEastAsia" w:hAnsiTheme="minorEastAsia" w:eastAsiaTheme="minorEastAsia" w:cstheme="minorEastAsia"/>
                <w:color w:val="auto"/>
                <w:sz w:val="22"/>
                <w:szCs w:val="22"/>
                <w:highlight w:val="none"/>
                <w:lang w:eastAsia="zh-CN"/>
              </w:rPr>
              <w:t>）实施团队保障方案；（</w:t>
            </w:r>
            <w:r>
              <w:rPr>
                <w:rFonts w:hint="eastAsia" w:asciiTheme="minorEastAsia" w:hAnsiTheme="minorEastAsia" w:eastAsiaTheme="minorEastAsia" w:cstheme="minorEastAsia"/>
                <w:color w:val="auto"/>
                <w:sz w:val="22"/>
                <w:szCs w:val="22"/>
                <w:highlight w:val="none"/>
                <w:lang w:val="en-US" w:eastAsia="zh-CN"/>
              </w:rPr>
              <w:t>5</w:t>
            </w:r>
            <w:r>
              <w:rPr>
                <w:rFonts w:hint="eastAsia" w:asciiTheme="minorEastAsia" w:hAnsiTheme="minorEastAsia" w:eastAsiaTheme="minorEastAsia" w:cstheme="minorEastAsia"/>
                <w:color w:val="auto"/>
                <w:sz w:val="22"/>
                <w:szCs w:val="22"/>
                <w:highlight w:val="none"/>
                <w:lang w:eastAsia="zh-CN"/>
              </w:rPr>
              <w:t>）安全文明施工保障方案；（</w:t>
            </w:r>
            <w:r>
              <w:rPr>
                <w:rFonts w:hint="eastAsia" w:asciiTheme="minorEastAsia" w:hAnsiTheme="minorEastAsia" w:eastAsiaTheme="minorEastAsia" w:cstheme="minorEastAsia"/>
                <w:color w:val="auto"/>
                <w:sz w:val="22"/>
                <w:szCs w:val="22"/>
                <w:highlight w:val="none"/>
                <w:lang w:val="en-US" w:eastAsia="zh-CN"/>
              </w:rPr>
              <w:t>6</w:t>
            </w:r>
            <w:r>
              <w:rPr>
                <w:rFonts w:hint="eastAsia" w:asciiTheme="minorEastAsia" w:hAnsiTheme="minorEastAsia" w:eastAsiaTheme="minorEastAsia" w:cstheme="minorEastAsia"/>
                <w:color w:val="auto"/>
                <w:sz w:val="22"/>
                <w:szCs w:val="22"/>
                <w:highlight w:val="none"/>
                <w:lang w:eastAsia="zh-CN"/>
              </w:rPr>
              <w:t>）</w:t>
            </w:r>
            <w:r>
              <w:rPr>
                <w:rFonts w:hint="eastAsia" w:asciiTheme="minorEastAsia" w:hAnsiTheme="minorEastAsia" w:eastAsiaTheme="minorEastAsia" w:cstheme="minorEastAsia"/>
                <w:i w:val="0"/>
                <w:iCs w:val="0"/>
                <w:color w:val="auto"/>
                <w:sz w:val="22"/>
                <w:szCs w:val="22"/>
                <w:highlight w:val="none"/>
                <w:lang w:val="en-US" w:eastAsia="zh-CN"/>
              </w:rPr>
              <w:t>验收方案等。</w:t>
            </w:r>
          </w:p>
          <w:p w14:paraId="7C4C4CEF">
            <w:pPr>
              <w:keepNext w:val="0"/>
              <w:keepLines w:val="0"/>
              <w:pageBreakBefore w:val="0"/>
              <w:kinsoku/>
              <w:wordWrap/>
              <w:overflowPunct/>
              <w:topLinePunct w:val="0"/>
              <w:autoSpaceDE w:val="0"/>
              <w:autoSpaceDN w:val="0"/>
              <w:bidi w:val="0"/>
              <w:adjustRightInd w:val="0"/>
              <w:snapToGrid w:val="0"/>
              <w:spacing w:line="360" w:lineRule="auto"/>
              <w:ind w:left="0" w:right="0" w:firstLine="0"/>
              <w:textAlignment w:val="auto"/>
              <w:rPr>
                <w:rFonts w:hint="eastAsia" w:asciiTheme="minorEastAsia" w:hAnsiTheme="minorEastAsia" w:eastAsiaTheme="minorEastAsia" w:cstheme="minorEastAsia"/>
                <w:sz w:val="22"/>
                <w:szCs w:val="22"/>
                <w:highlight w:val="none"/>
                <w:lang w:val="zh-CN" w:eastAsia="zh-CN"/>
              </w:rPr>
            </w:pPr>
            <w:r>
              <w:rPr>
                <w:rFonts w:hint="eastAsia" w:asciiTheme="minorEastAsia" w:hAnsiTheme="minorEastAsia" w:eastAsiaTheme="minorEastAsia" w:cstheme="minorEastAsia"/>
                <w:sz w:val="22"/>
                <w:szCs w:val="22"/>
                <w:highlight w:val="none"/>
                <w:lang w:val="zh-CN" w:eastAsia="zh-CN"/>
              </w:rPr>
              <w:t>以上方案内容完整清晰明确、科学合理，满足项目实际需求的，每项计2分，最高得12分，不提供不得分。每有一项内容不完整或每有一处不具有针对性或逻辑性错误或不满足项目实际需求的扣1分，扣完为止。</w:t>
            </w:r>
          </w:p>
        </w:tc>
      </w:tr>
      <w:tr w14:paraId="4BF0E1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1" w:hRule="atLeast"/>
          <w:jc w:val="center"/>
        </w:trPr>
        <w:tc>
          <w:tcPr>
            <w:tcW w:w="490" w:type="dxa"/>
            <w:vMerge w:val="continue"/>
            <w:noWrap w:val="0"/>
            <w:vAlign w:val="center"/>
          </w:tcPr>
          <w:p w14:paraId="6EA2A91B">
            <w:pPr>
              <w:pStyle w:val="11"/>
              <w:keepNext w:val="0"/>
              <w:keepLines w:val="0"/>
              <w:pageBreakBefore w:val="0"/>
              <w:tabs>
                <w:tab w:val="left" w:pos="600"/>
              </w:tabs>
              <w:kinsoku/>
              <w:wordWrap/>
              <w:overflowPunct/>
              <w:topLinePunct w:val="0"/>
              <w:bidi w:val="0"/>
              <w:spacing w:line="360" w:lineRule="auto"/>
              <w:ind w:left="0" w:right="0" w:firstLine="0"/>
              <w:jc w:val="center"/>
              <w:textAlignment w:val="auto"/>
              <w:rPr>
                <w:rFonts w:hint="eastAsia" w:asciiTheme="minorEastAsia" w:hAnsiTheme="minorEastAsia" w:eastAsiaTheme="minorEastAsia" w:cstheme="minorEastAsia"/>
                <w:color w:val="auto"/>
                <w:sz w:val="22"/>
                <w:szCs w:val="22"/>
                <w:highlight w:val="none"/>
                <w:lang w:val="en-US" w:eastAsia="zh-CN"/>
              </w:rPr>
            </w:pPr>
          </w:p>
        </w:tc>
        <w:tc>
          <w:tcPr>
            <w:tcW w:w="1258" w:type="dxa"/>
            <w:vMerge w:val="continue"/>
            <w:noWrap w:val="0"/>
            <w:vAlign w:val="center"/>
          </w:tcPr>
          <w:p w14:paraId="4D1ED9ED">
            <w:pPr>
              <w:keepNext w:val="0"/>
              <w:keepLines w:val="0"/>
              <w:pageBreakBefore w:val="0"/>
              <w:widowControl/>
              <w:suppressLineNumbers w:val="0"/>
              <w:kinsoku/>
              <w:wordWrap/>
              <w:overflowPunct/>
              <w:topLinePunct w:val="0"/>
              <w:bidi w:val="0"/>
              <w:spacing w:line="360" w:lineRule="auto"/>
              <w:ind w:left="0" w:right="0" w:firstLine="0"/>
              <w:jc w:val="center"/>
              <w:textAlignment w:val="auto"/>
              <w:rPr>
                <w:rFonts w:hint="eastAsia" w:asciiTheme="minorEastAsia" w:hAnsiTheme="minorEastAsia" w:eastAsiaTheme="minorEastAsia" w:cstheme="minorEastAsia"/>
                <w:color w:val="auto"/>
                <w:sz w:val="22"/>
                <w:szCs w:val="22"/>
                <w:highlight w:val="none"/>
              </w:rPr>
            </w:pPr>
          </w:p>
        </w:tc>
        <w:tc>
          <w:tcPr>
            <w:tcW w:w="1926" w:type="dxa"/>
            <w:noWrap w:val="0"/>
            <w:vAlign w:val="center"/>
          </w:tcPr>
          <w:p w14:paraId="2073DB0A">
            <w:pPr>
              <w:keepNext w:val="0"/>
              <w:keepLines w:val="0"/>
              <w:pageBreakBefore w:val="0"/>
              <w:widowControl/>
              <w:suppressLineNumbers w:val="0"/>
              <w:kinsoku/>
              <w:wordWrap/>
              <w:overflowPunct/>
              <w:topLinePunct w:val="0"/>
              <w:bidi w:val="0"/>
              <w:spacing w:line="360" w:lineRule="auto"/>
              <w:jc w:val="center"/>
              <w:textAlignment w:val="center"/>
              <w:rPr>
                <w:rFonts w:hint="eastAsia" w:asciiTheme="minorEastAsia" w:hAnsiTheme="minorEastAsia" w:eastAsiaTheme="minorEastAsia" w:cstheme="minorEastAsia"/>
                <w:color w:val="auto"/>
                <w:sz w:val="22"/>
                <w:szCs w:val="22"/>
                <w:highlight w:val="none"/>
              </w:rPr>
            </w:pPr>
            <w:r>
              <w:rPr>
                <w:rFonts w:hint="eastAsia" w:asciiTheme="minorEastAsia" w:hAnsiTheme="minorEastAsia" w:eastAsiaTheme="minorEastAsia" w:cstheme="minorEastAsia"/>
                <w:color w:val="auto"/>
                <w:sz w:val="22"/>
                <w:szCs w:val="22"/>
                <w:highlight w:val="none"/>
              </w:rPr>
              <w:t>质量保证措施</w:t>
            </w:r>
            <w:r>
              <w:rPr>
                <w:rFonts w:hint="eastAsia" w:asciiTheme="minorEastAsia" w:hAnsiTheme="minorEastAsia" w:eastAsiaTheme="minorEastAsia" w:cstheme="minorEastAsia"/>
                <w:color w:val="auto"/>
                <w:sz w:val="22"/>
                <w:szCs w:val="22"/>
                <w:highlight w:val="none"/>
                <w:lang w:val="en-US" w:eastAsia="zh-CN"/>
              </w:rPr>
              <w:t>（8分）</w:t>
            </w:r>
          </w:p>
        </w:tc>
        <w:tc>
          <w:tcPr>
            <w:tcW w:w="5992" w:type="dxa"/>
            <w:noWrap w:val="0"/>
            <w:vAlign w:val="center"/>
          </w:tcPr>
          <w:p w14:paraId="2AB88E57">
            <w:pPr>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0"/>
              <w:textAlignment w:val="auto"/>
              <w:rPr>
                <w:rFonts w:hint="eastAsia" w:asciiTheme="minorEastAsia" w:hAnsiTheme="minorEastAsia" w:eastAsiaTheme="minorEastAsia" w:cstheme="minorEastAsia"/>
                <w:color w:val="auto"/>
                <w:sz w:val="22"/>
                <w:szCs w:val="22"/>
                <w:highlight w:val="none"/>
                <w:lang w:val="en-US" w:eastAsia="zh-CN"/>
              </w:rPr>
            </w:pPr>
            <w:r>
              <w:rPr>
                <w:rFonts w:hint="eastAsia" w:asciiTheme="minorEastAsia" w:hAnsiTheme="minorEastAsia" w:eastAsiaTheme="minorEastAsia" w:cstheme="minorEastAsia"/>
                <w:color w:val="auto"/>
                <w:sz w:val="22"/>
                <w:szCs w:val="22"/>
                <w:highlight w:val="none"/>
                <w:lang w:val="en-US" w:eastAsia="zh-CN"/>
              </w:rPr>
              <w:t>评标委员会根据各投标人提供的针对本项目制定的产品质量保障措施方案进行综合比较打分（①质量保障目标②质量管理措施③质量保障制度④质量控制流程等内容）：方案工作内容全面、完整、详细合理，贴合本项目方案得8分；方案工作基本内容全面、基本完整得5分；方案工作内容不够全面、不够完整的得2分；不提供方案不得分。</w:t>
            </w:r>
          </w:p>
        </w:tc>
      </w:tr>
      <w:tr w14:paraId="06D8E6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490" w:type="dxa"/>
            <w:vMerge w:val="continue"/>
            <w:noWrap w:val="0"/>
            <w:vAlign w:val="center"/>
          </w:tcPr>
          <w:p w14:paraId="03D57B42">
            <w:pPr>
              <w:pStyle w:val="11"/>
              <w:keepNext w:val="0"/>
              <w:keepLines w:val="0"/>
              <w:pageBreakBefore w:val="0"/>
              <w:tabs>
                <w:tab w:val="left" w:pos="600"/>
              </w:tabs>
              <w:kinsoku/>
              <w:wordWrap/>
              <w:overflowPunct/>
              <w:topLinePunct w:val="0"/>
              <w:bidi w:val="0"/>
              <w:spacing w:line="360" w:lineRule="auto"/>
              <w:ind w:left="0" w:right="0" w:firstLine="0"/>
              <w:jc w:val="center"/>
              <w:textAlignment w:val="auto"/>
              <w:rPr>
                <w:rFonts w:hint="eastAsia" w:asciiTheme="minorEastAsia" w:hAnsiTheme="minorEastAsia" w:eastAsiaTheme="minorEastAsia" w:cstheme="minorEastAsia"/>
                <w:color w:val="auto"/>
                <w:sz w:val="22"/>
                <w:szCs w:val="22"/>
                <w:highlight w:val="none"/>
                <w:lang w:val="en-US" w:eastAsia="zh-CN"/>
              </w:rPr>
            </w:pPr>
          </w:p>
        </w:tc>
        <w:tc>
          <w:tcPr>
            <w:tcW w:w="1258" w:type="dxa"/>
            <w:vMerge w:val="continue"/>
            <w:noWrap w:val="0"/>
            <w:vAlign w:val="center"/>
          </w:tcPr>
          <w:p w14:paraId="3177D41F">
            <w:pPr>
              <w:keepNext w:val="0"/>
              <w:keepLines w:val="0"/>
              <w:pageBreakBefore w:val="0"/>
              <w:widowControl/>
              <w:suppressLineNumbers w:val="0"/>
              <w:kinsoku/>
              <w:wordWrap/>
              <w:overflowPunct/>
              <w:topLinePunct w:val="0"/>
              <w:bidi w:val="0"/>
              <w:spacing w:line="360" w:lineRule="auto"/>
              <w:ind w:left="0" w:right="0" w:firstLine="0"/>
              <w:jc w:val="center"/>
              <w:textAlignment w:val="auto"/>
              <w:rPr>
                <w:rFonts w:hint="eastAsia" w:asciiTheme="minorEastAsia" w:hAnsiTheme="minorEastAsia" w:eastAsiaTheme="minorEastAsia" w:cstheme="minorEastAsia"/>
                <w:color w:val="auto"/>
                <w:sz w:val="22"/>
                <w:szCs w:val="22"/>
                <w:highlight w:val="none"/>
              </w:rPr>
            </w:pPr>
          </w:p>
        </w:tc>
        <w:tc>
          <w:tcPr>
            <w:tcW w:w="1926" w:type="dxa"/>
            <w:noWrap w:val="0"/>
            <w:vAlign w:val="center"/>
          </w:tcPr>
          <w:p w14:paraId="69732DCA">
            <w:pPr>
              <w:keepNext w:val="0"/>
              <w:keepLines w:val="0"/>
              <w:pageBreakBefore w:val="0"/>
              <w:kinsoku/>
              <w:wordWrap/>
              <w:overflowPunct/>
              <w:topLinePunct w:val="0"/>
              <w:autoSpaceDE/>
              <w:autoSpaceDN/>
              <w:bidi w:val="0"/>
              <w:adjustRightInd/>
              <w:snapToGrid/>
              <w:spacing w:line="360" w:lineRule="auto"/>
              <w:ind w:left="0" w:leftChars="0" w:right="0" w:rightChars="0" w:firstLine="0" w:firstLineChars="0"/>
              <w:jc w:val="center"/>
              <w:textAlignment w:val="auto"/>
              <w:rPr>
                <w:rFonts w:hint="eastAsia" w:asciiTheme="minorEastAsia" w:hAnsiTheme="minorEastAsia" w:eastAsiaTheme="minorEastAsia" w:cstheme="minorEastAsia"/>
                <w:color w:val="auto"/>
                <w:sz w:val="22"/>
                <w:szCs w:val="22"/>
                <w:highlight w:val="none"/>
              </w:rPr>
            </w:pPr>
            <w:r>
              <w:rPr>
                <w:rFonts w:hint="eastAsia" w:asciiTheme="minorEastAsia" w:hAnsiTheme="minorEastAsia" w:eastAsiaTheme="minorEastAsia" w:cstheme="minorEastAsia"/>
                <w:color w:val="auto"/>
                <w:sz w:val="22"/>
                <w:szCs w:val="22"/>
                <w:highlight w:val="none"/>
                <w:lang w:val="en-US" w:eastAsia="zh-CN"/>
              </w:rPr>
              <w:t>培训方案（8分）</w:t>
            </w:r>
          </w:p>
        </w:tc>
        <w:tc>
          <w:tcPr>
            <w:tcW w:w="5992" w:type="dxa"/>
            <w:noWrap w:val="0"/>
            <w:vAlign w:val="top"/>
          </w:tcPr>
          <w:p w14:paraId="2B2761A2">
            <w:pPr>
              <w:pStyle w:val="10"/>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left"/>
              <w:textAlignment w:val="auto"/>
              <w:rPr>
                <w:rFonts w:hint="eastAsia" w:asciiTheme="minorEastAsia" w:hAnsiTheme="minorEastAsia" w:eastAsiaTheme="minorEastAsia" w:cstheme="minorEastAsia"/>
                <w:color w:val="auto"/>
                <w:sz w:val="22"/>
                <w:szCs w:val="22"/>
                <w:highlight w:val="none"/>
              </w:rPr>
            </w:pPr>
            <w:r>
              <w:rPr>
                <w:rFonts w:hint="eastAsia" w:asciiTheme="minorEastAsia" w:hAnsiTheme="minorEastAsia" w:eastAsiaTheme="minorEastAsia" w:cstheme="minorEastAsia"/>
                <w:color w:val="auto"/>
                <w:sz w:val="22"/>
                <w:szCs w:val="22"/>
                <w:highlight w:val="none"/>
              </w:rPr>
              <w:t>评标</w:t>
            </w:r>
            <w:r>
              <w:rPr>
                <w:rFonts w:hint="eastAsia" w:asciiTheme="minorEastAsia" w:hAnsiTheme="minorEastAsia" w:eastAsiaTheme="minorEastAsia" w:cstheme="minorEastAsia"/>
                <w:color w:val="auto"/>
                <w:sz w:val="22"/>
                <w:szCs w:val="22"/>
                <w:highlight w:val="none"/>
                <w:lang w:val="en-US" w:eastAsia="zh-CN"/>
              </w:rPr>
              <w:t>委员会根据各投标供应商提供的针对本项目制定的项目培训方案进行打分（包含但不限于①培训需求分析、②培训计划、方式及内容、③培训针对性及培训质量保证、④</w:t>
            </w:r>
            <w:r>
              <w:rPr>
                <w:rFonts w:hint="eastAsia" w:asciiTheme="minorEastAsia" w:hAnsiTheme="minorEastAsia" w:eastAsiaTheme="minorEastAsia" w:cstheme="minorEastAsia"/>
                <w:color w:val="auto"/>
                <w:sz w:val="22"/>
                <w:szCs w:val="22"/>
                <w:highlight w:val="none"/>
              </w:rPr>
              <w:t>培训效果评估及反馈机制</w:t>
            </w:r>
            <w:r>
              <w:rPr>
                <w:rFonts w:hint="eastAsia" w:asciiTheme="minorEastAsia" w:hAnsiTheme="minorEastAsia" w:eastAsiaTheme="minorEastAsia" w:cstheme="minorEastAsia"/>
                <w:color w:val="auto"/>
                <w:sz w:val="22"/>
                <w:szCs w:val="22"/>
                <w:highlight w:val="none"/>
                <w:lang w:val="en-US" w:eastAsia="zh-CN"/>
              </w:rPr>
              <w:t>等内容）：供应商提供详细的培训方案且完善合理得8分；供应商提供合理的培训方案且基本完善得5分；供应商提供不够完善的培训方案得2分。方案差或不提供方案不得分。</w:t>
            </w:r>
          </w:p>
        </w:tc>
      </w:tr>
      <w:tr w14:paraId="74EAC7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8" w:hRule="atLeast"/>
          <w:jc w:val="center"/>
        </w:trPr>
        <w:tc>
          <w:tcPr>
            <w:tcW w:w="490" w:type="dxa"/>
            <w:vMerge w:val="restart"/>
            <w:noWrap w:val="0"/>
            <w:vAlign w:val="center"/>
          </w:tcPr>
          <w:p w14:paraId="394957DA">
            <w:pPr>
              <w:pStyle w:val="11"/>
              <w:keepNext w:val="0"/>
              <w:keepLines w:val="0"/>
              <w:pageBreakBefore w:val="0"/>
              <w:tabs>
                <w:tab w:val="left" w:pos="600"/>
              </w:tabs>
              <w:kinsoku/>
              <w:wordWrap/>
              <w:overflowPunct/>
              <w:topLinePunct w:val="0"/>
              <w:bidi w:val="0"/>
              <w:spacing w:line="360" w:lineRule="auto"/>
              <w:ind w:left="0" w:right="0" w:firstLine="0"/>
              <w:jc w:val="center"/>
              <w:textAlignment w:val="auto"/>
              <w:rPr>
                <w:rFonts w:hint="eastAsia" w:asciiTheme="minorEastAsia" w:hAnsiTheme="minorEastAsia" w:eastAsiaTheme="minorEastAsia" w:cstheme="minorEastAsia"/>
                <w:color w:val="auto"/>
                <w:sz w:val="22"/>
                <w:szCs w:val="22"/>
                <w:highlight w:val="none"/>
                <w:lang w:val="en-US" w:eastAsia="zh-CN"/>
              </w:rPr>
            </w:pPr>
            <w:r>
              <w:rPr>
                <w:rFonts w:hint="eastAsia" w:asciiTheme="minorEastAsia" w:hAnsiTheme="minorEastAsia" w:eastAsiaTheme="minorEastAsia" w:cstheme="minorEastAsia"/>
                <w:color w:val="auto"/>
                <w:sz w:val="22"/>
                <w:szCs w:val="22"/>
                <w:highlight w:val="none"/>
                <w:lang w:val="en-US" w:eastAsia="zh-CN"/>
              </w:rPr>
              <w:t>3</w:t>
            </w:r>
          </w:p>
        </w:tc>
        <w:tc>
          <w:tcPr>
            <w:tcW w:w="1258" w:type="dxa"/>
            <w:vMerge w:val="restart"/>
            <w:noWrap w:val="0"/>
            <w:vAlign w:val="center"/>
          </w:tcPr>
          <w:p w14:paraId="19402E3B">
            <w:pPr>
              <w:pStyle w:val="11"/>
              <w:keepNext w:val="0"/>
              <w:keepLines w:val="0"/>
              <w:pageBreakBefore w:val="0"/>
              <w:tabs>
                <w:tab w:val="left" w:pos="600"/>
              </w:tabs>
              <w:kinsoku/>
              <w:wordWrap/>
              <w:overflowPunct/>
              <w:topLinePunct w:val="0"/>
              <w:bidi w:val="0"/>
              <w:spacing w:line="360" w:lineRule="auto"/>
              <w:ind w:left="0" w:right="0" w:firstLine="0" w:firstLineChars="0"/>
              <w:jc w:val="center"/>
              <w:textAlignment w:val="auto"/>
              <w:rPr>
                <w:rFonts w:hint="eastAsia" w:asciiTheme="minorEastAsia" w:hAnsiTheme="minorEastAsia" w:eastAsiaTheme="minorEastAsia" w:cstheme="minorEastAsia"/>
                <w:color w:val="auto"/>
                <w:kern w:val="2"/>
                <w:sz w:val="22"/>
                <w:szCs w:val="22"/>
                <w:highlight w:val="none"/>
                <w:lang w:val="en-US" w:eastAsia="zh-CN" w:bidi="ar-SA"/>
              </w:rPr>
            </w:pPr>
            <w:r>
              <w:rPr>
                <w:rFonts w:hint="eastAsia" w:asciiTheme="minorEastAsia" w:hAnsiTheme="minorEastAsia" w:eastAsiaTheme="minorEastAsia" w:cstheme="minorEastAsia"/>
                <w:color w:val="auto"/>
                <w:kern w:val="2"/>
                <w:sz w:val="22"/>
                <w:szCs w:val="22"/>
                <w:highlight w:val="none"/>
                <w:lang w:val="en-US" w:eastAsia="zh-CN" w:bidi="ar-SA"/>
              </w:rPr>
              <w:t xml:space="preserve">商务评审   </w:t>
            </w:r>
          </w:p>
        </w:tc>
        <w:tc>
          <w:tcPr>
            <w:tcW w:w="1926" w:type="dxa"/>
            <w:noWrap w:val="0"/>
            <w:vAlign w:val="center"/>
          </w:tcPr>
          <w:p w14:paraId="7E6CB7E6">
            <w:pPr>
              <w:keepNext w:val="0"/>
              <w:keepLines w:val="0"/>
              <w:pageBreakBefore w:val="0"/>
              <w:kinsoku/>
              <w:wordWrap/>
              <w:overflowPunct/>
              <w:topLinePunct w:val="0"/>
              <w:autoSpaceDE/>
              <w:autoSpaceDN/>
              <w:bidi w:val="0"/>
              <w:adjustRightInd/>
              <w:snapToGrid/>
              <w:spacing w:line="360" w:lineRule="auto"/>
              <w:ind w:left="0" w:right="0" w:firstLine="0" w:firstLineChars="0"/>
              <w:jc w:val="center"/>
              <w:textAlignment w:val="auto"/>
              <w:rPr>
                <w:rFonts w:hint="eastAsia" w:asciiTheme="minorEastAsia" w:hAnsiTheme="minorEastAsia" w:eastAsiaTheme="minorEastAsia" w:cstheme="minorEastAsia"/>
                <w:color w:val="auto"/>
                <w:sz w:val="22"/>
                <w:szCs w:val="22"/>
                <w:highlight w:val="none"/>
              </w:rPr>
            </w:pPr>
            <w:r>
              <w:rPr>
                <w:rFonts w:hint="eastAsia" w:asciiTheme="minorEastAsia" w:hAnsiTheme="minorEastAsia" w:eastAsiaTheme="minorEastAsia" w:cstheme="minorEastAsia"/>
                <w:color w:val="auto"/>
                <w:sz w:val="22"/>
                <w:szCs w:val="22"/>
                <w:highlight w:val="none"/>
              </w:rPr>
              <w:t>售后服务方案</w:t>
            </w:r>
          </w:p>
          <w:p w14:paraId="1C22EB6D">
            <w:pPr>
              <w:pStyle w:val="53"/>
              <w:keepNext w:val="0"/>
              <w:keepLines w:val="0"/>
              <w:pageBreakBefore w:val="0"/>
              <w:kinsoku/>
              <w:wordWrap/>
              <w:overflowPunct/>
              <w:topLinePunct w:val="0"/>
              <w:bidi w:val="0"/>
              <w:spacing w:line="360" w:lineRule="auto"/>
              <w:ind w:left="0" w:leftChars="0" w:right="0" w:firstLine="0"/>
              <w:jc w:val="center"/>
              <w:textAlignment w:val="auto"/>
              <w:rPr>
                <w:rFonts w:hint="eastAsia" w:asciiTheme="minorEastAsia" w:hAnsiTheme="minorEastAsia" w:eastAsiaTheme="minorEastAsia" w:cstheme="minorEastAsia"/>
                <w:color w:val="auto"/>
                <w:spacing w:val="-9"/>
                <w:sz w:val="22"/>
                <w:szCs w:val="22"/>
                <w:highlight w:val="none"/>
                <w:lang w:val="en-US"/>
              </w:rPr>
            </w:pPr>
            <w:r>
              <w:rPr>
                <w:rFonts w:hint="eastAsia" w:asciiTheme="minorEastAsia" w:hAnsiTheme="minorEastAsia" w:eastAsiaTheme="minorEastAsia" w:cstheme="minorEastAsia"/>
                <w:i w:val="0"/>
                <w:color w:val="auto"/>
                <w:kern w:val="2"/>
                <w:sz w:val="22"/>
                <w:szCs w:val="22"/>
                <w:highlight w:val="none"/>
                <w:lang w:val="en-US" w:eastAsia="zh-CN" w:bidi="ar-SA"/>
              </w:rPr>
              <w:t>（12分）</w:t>
            </w:r>
          </w:p>
        </w:tc>
        <w:tc>
          <w:tcPr>
            <w:tcW w:w="5992" w:type="dxa"/>
            <w:noWrap w:val="0"/>
            <w:vAlign w:val="top"/>
          </w:tcPr>
          <w:p w14:paraId="1EDCF872">
            <w:pPr>
              <w:keepNext w:val="0"/>
              <w:keepLines w:val="0"/>
              <w:pageBreakBefore w:val="0"/>
              <w:kinsoku/>
              <w:wordWrap/>
              <w:overflowPunct/>
              <w:topLinePunct w:val="0"/>
              <w:autoSpaceDE w:val="0"/>
              <w:autoSpaceDN w:val="0"/>
              <w:bidi w:val="0"/>
              <w:adjustRightInd w:val="0"/>
              <w:snapToGrid w:val="0"/>
              <w:spacing w:line="360" w:lineRule="auto"/>
              <w:ind w:left="0" w:right="0" w:firstLine="0"/>
              <w:textAlignment w:val="auto"/>
              <w:rPr>
                <w:rFonts w:hint="eastAsia" w:asciiTheme="minorEastAsia" w:hAnsiTheme="minorEastAsia" w:eastAsiaTheme="minorEastAsia" w:cstheme="minorEastAsia"/>
                <w:color w:val="auto"/>
                <w:sz w:val="22"/>
                <w:szCs w:val="22"/>
                <w:highlight w:val="none"/>
                <w:lang w:eastAsia="zh-CN"/>
              </w:rPr>
            </w:pPr>
            <w:r>
              <w:rPr>
                <w:rFonts w:hint="eastAsia" w:asciiTheme="minorEastAsia" w:hAnsiTheme="minorEastAsia" w:eastAsiaTheme="minorEastAsia" w:cstheme="minorEastAsia"/>
                <w:color w:val="auto"/>
                <w:sz w:val="22"/>
                <w:szCs w:val="22"/>
                <w:highlight w:val="none"/>
                <w:lang w:eastAsia="zh-CN"/>
              </w:rPr>
              <w:t>评标</w:t>
            </w:r>
            <w:r>
              <w:rPr>
                <w:rFonts w:hint="eastAsia" w:asciiTheme="minorEastAsia" w:hAnsiTheme="minorEastAsia" w:eastAsiaTheme="minorEastAsia" w:cstheme="minorEastAsia"/>
                <w:color w:val="auto"/>
                <w:sz w:val="22"/>
                <w:szCs w:val="22"/>
                <w:highlight w:val="none"/>
                <w:lang w:val="en-US" w:eastAsia="zh-CN"/>
              </w:rPr>
              <w:t>委员会</w:t>
            </w:r>
            <w:r>
              <w:rPr>
                <w:rFonts w:hint="eastAsia" w:asciiTheme="minorEastAsia" w:hAnsiTheme="minorEastAsia" w:eastAsiaTheme="minorEastAsia" w:cstheme="minorEastAsia"/>
                <w:color w:val="auto"/>
                <w:kern w:val="0"/>
                <w:sz w:val="22"/>
                <w:szCs w:val="22"/>
                <w:highlight w:val="none"/>
                <w:lang w:val="en-US" w:eastAsia="zh-CN" w:bidi="ar"/>
              </w:rPr>
              <w:t>根据各投标供应商提供的</w:t>
            </w:r>
            <w:r>
              <w:rPr>
                <w:rFonts w:hint="eastAsia" w:asciiTheme="minorEastAsia" w:hAnsiTheme="minorEastAsia" w:eastAsiaTheme="minorEastAsia" w:cstheme="minorEastAsia"/>
                <w:color w:val="auto"/>
                <w:sz w:val="22"/>
                <w:szCs w:val="22"/>
                <w:highlight w:val="none"/>
              </w:rPr>
              <w:t>针对本项目制定的售后服务方案进行综合</w:t>
            </w:r>
            <w:r>
              <w:rPr>
                <w:rFonts w:hint="eastAsia" w:asciiTheme="minorEastAsia" w:hAnsiTheme="minorEastAsia" w:eastAsiaTheme="minorEastAsia" w:cstheme="minorEastAsia"/>
                <w:color w:val="auto"/>
                <w:sz w:val="22"/>
                <w:szCs w:val="22"/>
                <w:highlight w:val="none"/>
                <w:lang w:val="en-US" w:eastAsia="zh-CN"/>
              </w:rPr>
              <w:t>打分：（1）</w:t>
            </w:r>
            <w:r>
              <w:rPr>
                <w:rFonts w:hint="eastAsia" w:asciiTheme="minorEastAsia" w:hAnsiTheme="minorEastAsia" w:eastAsiaTheme="minorEastAsia" w:cstheme="minorEastAsia"/>
                <w:color w:val="auto"/>
                <w:sz w:val="22"/>
                <w:szCs w:val="22"/>
                <w:highlight w:val="none"/>
              </w:rPr>
              <w:t>售后服务保障措施</w:t>
            </w:r>
            <w:r>
              <w:rPr>
                <w:rFonts w:hint="eastAsia" w:asciiTheme="minorEastAsia" w:hAnsiTheme="minorEastAsia" w:eastAsiaTheme="minorEastAsia" w:cstheme="minorEastAsia"/>
                <w:color w:val="auto"/>
                <w:sz w:val="22"/>
                <w:szCs w:val="22"/>
                <w:highlight w:val="none"/>
                <w:lang w:val="en-US" w:eastAsia="zh-CN"/>
              </w:rPr>
              <w:t>；（2）</w:t>
            </w:r>
            <w:r>
              <w:rPr>
                <w:rFonts w:hint="eastAsia" w:asciiTheme="minorEastAsia" w:hAnsiTheme="minorEastAsia" w:eastAsiaTheme="minorEastAsia" w:cstheme="minorEastAsia"/>
                <w:color w:val="auto"/>
                <w:sz w:val="22"/>
                <w:szCs w:val="22"/>
                <w:highlight w:val="none"/>
              </w:rPr>
              <w:t>售后服务人员配置</w:t>
            </w:r>
            <w:r>
              <w:rPr>
                <w:rFonts w:hint="eastAsia" w:asciiTheme="minorEastAsia" w:hAnsiTheme="minorEastAsia" w:eastAsiaTheme="minorEastAsia" w:cstheme="minorEastAsia"/>
                <w:color w:val="auto"/>
                <w:sz w:val="22"/>
                <w:szCs w:val="22"/>
                <w:highlight w:val="none"/>
                <w:lang w:val="en-US" w:eastAsia="zh-CN"/>
              </w:rPr>
              <w:t>；（3）</w:t>
            </w:r>
            <w:r>
              <w:rPr>
                <w:rFonts w:hint="eastAsia" w:asciiTheme="minorEastAsia" w:hAnsiTheme="minorEastAsia" w:eastAsiaTheme="minorEastAsia" w:cstheme="minorEastAsia"/>
                <w:color w:val="auto"/>
                <w:sz w:val="22"/>
                <w:szCs w:val="22"/>
                <w:highlight w:val="none"/>
              </w:rPr>
              <w:t>售后维修方案</w:t>
            </w:r>
            <w:r>
              <w:rPr>
                <w:rFonts w:hint="eastAsia" w:asciiTheme="minorEastAsia" w:hAnsiTheme="minorEastAsia" w:eastAsiaTheme="minorEastAsia" w:cstheme="minorEastAsia"/>
                <w:color w:val="auto"/>
                <w:sz w:val="22"/>
                <w:szCs w:val="22"/>
                <w:highlight w:val="none"/>
                <w:lang w:val="en-US" w:eastAsia="zh-CN"/>
              </w:rPr>
              <w:t>；（4）</w:t>
            </w:r>
            <w:r>
              <w:rPr>
                <w:rFonts w:hint="eastAsia" w:asciiTheme="minorEastAsia" w:hAnsiTheme="minorEastAsia" w:eastAsiaTheme="minorEastAsia" w:cstheme="minorEastAsia"/>
                <w:color w:val="auto"/>
                <w:sz w:val="22"/>
                <w:szCs w:val="22"/>
                <w:highlight w:val="none"/>
              </w:rPr>
              <w:t>定期维护保养</w:t>
            </w:r>
            <w:r>
              <w:rPr>
                <w:rFonts w:hint="eastAsia" w:asciiTheme="minorEastAsia" w:hAnsiTheme="minorEastAsia" w:eastAsiaTheme="minorEastAsia" w:cstheme="minorEastAsia"/>
                <w:color w:val="auto"/>
                <w:sz w:val="22"/>
                <w:szCs w:val="22"/>
                <w:highlight w:val="none"/>
                <w:lang w:eastAsia="zh-CN"/>
              </w:rPr>
              <w:t>、</w:t>
            </w:r>
            <w:r>
              <w:rPr>
                <w:rFonts w:hint="eastAsia" w:asciiTheme="minorEastAsia" w:hAnsiTheme="minorEastAsia" w:eastAsiaTheme="minorEastAsia" w:cstheme="minorEastAsia"/>
                <w:color w:val="auto"/>
                <w:sz w:val="22"/>
                <w:szCs w:val="22"/>
                <w:highlight w:val="none"/>
                <w:lang w:val="en-US" w:eastAsia="zh-CN"/>
              </w:rPr>
              <w:t>巡检</w:t>
            </w:r>
            <w:r>
              <w:rPr>
                <w:rFonts w:hint="eastAsia" w:asciiTheme="minorEastAsia" w:hAnsiTheme="minorEastAsia" w:eastAsiaTheme="minorEastAsia" w:cstheme="minorEastAsia"/>
                <w:color w:val="auto"/>
                <w:sz w:val="22"/>
                <w:szCs w:val="22"/>
                <w:highlight w:val="none"/>
              </w:rPr>
              <w:t>方案</w:t>
            </w:r>
            <w:r>
              <w:rPr>
                <w:rFonts w:hint="eastAsia" w:asciiTheme="minorEastAsia" w:hAnsiTheme="minorEastAsia" w:eastAsiaTheme="minorEastAsia" w:cstheme="minorEastAsia"/>
                <w:color w:val="auto"/>
                <w:sz w:val="22"/>
                <w:szCs w:val="22"/>
                <w:highlight w:val="none"/>
                <w:lang w:val="en-US" w:eastAsia="zh-CN"/>
              </w:rPr>
              <w:t>；（5）</w:t>
            </w:r>
            <w:r>
              <w:rPr>
                <w:rFonts w:hint="eastAsia" w:asciiTheme="minorEastAsia" w:hAnsiTheme="minorEastAsia" w:eastAsiaTheme="minorEastAsia" w:cstheme="minorEastAsia"/>
                <w:color w:val="auto"/>
                <w:sz w:val="22"/>
                <w:szCs w:val="22"/>
                <w:highlight w:val="none"/>
              </w:rPr>
              <w:t>产品调换货方案</w:t>
            </w:r>
            <w:r>
              <w:rPr>
                <w:rFonts w:hint="eastAsia" w:asciiTheme="minorEastAsia" w:hAnsiTheme="minorEastAsia" w:eastAsiaTheme="minorEastAsia" w:cstheme="minorEastAsia"/>
                <w:color w:val="auto"/>
                <w:sz w:val="22"/>
                <w:szCs w:val="22"/>
                <w:highlight w:val="none"/>
                <w:lang w:val="en-US" w:eastAsia="zh-CN"/>
              </w:rPr>
              <w:t>；（6）</w:t>
            </w:r>
            <w:r>
              <w:rPr>
                <w:rFonts w:hint="eastAsia" w:asciiTheme="minorEastAsia" w:hAnsiTheme="minorEastAsia" w:eastAsiaTheme="minorEastAsia" w:cstheme="minorEastAsia"/>
                <w:color w:val="auto"/>
                <w:sz w:val="22"/>
                <w:szCs w:val="22"/>
                <w:highlight w:val="none"/>
              </w:rPr>
              <w:t>应急预案等</w:t>
            </w:r>
            <w:r>
              <w:rPr>
                <w:rFonts w:hint="eastAsia" w:asciiTheme="minorEastAsia" w:hAnsiTheme="minorEastAsia" w:eastAsiaTheme="minorEastAsia" w:cstheme="minorEastAsia"/>
                <w:color w:val="auto"/>
                <w:sz w:val="22"/>
                <w:szCs w:val="22"/>
                <w:highlight w:val="none"/>
                <w:lang w:eastAsia="zh-CN"/>
              </w:rPr>
              <w:t>。</w:t>
            </w:r>
          </w:p>
          <w:p w14:paraId="5781C595">
            <w:pPr>
              <w:keepNext w:val="0"/>
              <w:keepLines w:val="0"/>
              <w:pageBreakBefore w:val="0"/>
              <w:kinsoku/>
              <w:wordWrap/>
              <w:overflowPunct/>
              <w:topLinePunct w:val="0"/>
              <w:autoSpaceDE w:val="0"/>
              <w:autoSpaceDN w:val="0"/>
              <w:bidi w:val="0"/>
              <w:adjustRightInd w:val="0"/>
              <w:snapToGrid w:val="0"/>
              <w:spacing w:line="360" w:lineRule="auto"/>
              <w:ind w:left="0" w:right="0" w:firstLine="0"/>
              <w:textAlignment w:val="auto"/>
              <w:rPr>
                <w:rFonts w:hint="eastAsia" w:asciiTheme="minorEastAsia" w:hAnsiTheme="minorEastAsia" w:eastAsiaTheme="minorEastAsia" w:cstheme="minorEastAsia"/>
                <w:color w:val="auto"/>
                <w:sz w:val="22"/>
                <w:szCs w:val="22"/>
                <w:highlight w:val="none"/>
              </w:rPr>
            </w:pPr>
            <w:r>
              <w:rPr>
                <w:rFonts w:hint="eastAsia" w:asciiTheme="minorEastAsia" w:hAnsiTheme="minorEastAsia" w:eastAsiaTheme="minorEastAsia" w:cstheme="minorEastAsia"/>
                <w:i w:val="0"/>
                <w:iCs w:val="0"/>
                <w:color w:val="auto"/>
                <w:sz w:val="22"/>
                <w:szCs w:val="22"/>
                <w:highlight w:val="none"/>
                <w:lang w:val="en-US" w:eastAsia="zh-CN"/>
              </w:rPr>
              <w:t>以上方案内容完整清晰明确、科学合理，满足项目实际需求的，每项计2分，最高得12分，不提供不得分。每有一项内容不完整或每有一处不具有针对性或逻辑性错误或不满足项目实际需求的扣1分，扣完为止。</w:t>
            </w:r>
          </w:p>
        </w:tc>
      </w:tr>
      <w:tr w14:paraId="597C13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8" w:hRule="atLeast"/>
          <w:jc w:val="center"/>
        </w:trPr>
        <w:tc>
          <w:tcPr>
            <w:tcW w:w="490" w:type="dxa"/>
            <w:vMerge w:val="continue"/>
            <w:noWrap w:val="0"/>
            <w:vAlign w:val="center"/>
          </w:tcPr>
          <w:p w14:paraId="15EA6B4E">
            <w:pPr>
              <w:pStyle w:val="11"/>
              <w:keepNext w:val="0"/>
              <w:keepLines w:val="0"/>
              <w:pageBreakBefore w:val="0"/>
              <w:tabs>
                <w:tab w:val="left" w:pos="600"/>
              </w:tabs>
              <w:kinsoku/>
              <w:wordWrap/>
              <w:overflowPunct/>
              <w:topLinePunct w:val="0"/>
              <w:bidi w:val="0"/>
              <w:spacing w:line="360" w:lineRule="auto"/>
              <w:ind w:left="0" w:right="0" w:firstLine="0"/>
              <w:jc w:val="center"/>
              <w:textAlignment w:val="auto"/>
              <w:rPr>
                <w:rFonts w:hint="eastAsia" w:asciiTheme="minorEastAsia" w:hAnsiTheme="minorEastAsia" w:eastAsiaTheme="minorEastAsia" w:cstheme="minorEastAsia"/>
                <w:color w:val="auto"/>
                <w:sz w:val="22"/>
                <w:szCs w:val="22"/>
                <w:highlight w:val="none"/>
                <w:lang w:val="en-US" w:eastAsia="zh-CN"/>
              </w:rPr>
            </w:pPr>
          </w:p>
        </w:tc>
        <w:tc>
          <w:tcPr>
            <w:tcW w:w="1258" w:type="dxa"/>
            <w:vMerge w:val="continue"/>
            <w:noWrap w:val="0"/>
            <w:vAlign w:val="center"/>
          </w:tcPr>
          <w:p w14:paraId="2F64468D">
            <w:pPr>
              <w:pStyle w:val="11"/>
              <w:keepNext w:val="0"/>
              <w:keepLines w:val="0"/>
              <w:pageBreakBefore w:val="0"/>
              <w:tabs>
                <w:tab w:val="left" w:pos="600"/>
              </w:tabs>
              <w:kinsoku/>
              <w:wordWrap/>
              <w:overflowPunct/>
              <w:topLinePunct w:val="0"/>
              <w:bidi w:val="0"/>
              <w:spacing w:line="360" w:lineRule="auto"/>
              <w:ind w:left="0" w:right="0" w:firstLine="0" w:firstLineChars="0"/>
              <w:jc w:val="center"/>
              <w:textAlignment w:val="auto"/>
              <w:rPr>
                <w:rFonts w:hint="eastAsia" w:asciiTheme="minorEastAsia" w:hAnsiTheme="minorEastAsia" w:eastAsiaTheme="minorEastAsia" w:cstheme="minorEastAsia"/>
                <w:color w:val="auto"/>
                <w:kern w:val="2"/>
                <w:sz w:val="22"/>
                <w:szCs w:val="22"/>
                <w:highlight w:val="none"/>
                <w:lang w:val="en-US" w:eastAsia="zh-CN" w:bidi="ar-SA"/>
              </w:rPr>
            </w:pPr>
          </w:p>
        </w:tc>
        <w:tc>
          <w:tcPr>
            <w:tcW w:w="1926" w:type="dxa"/>
            <w:noWrap w:val="0"/>
            <w:vAlign w:val="center"/>
          </w:tcPr>
          <w:p w14:paraId="242A55ED">
            <w:pPr>
              <w:pStyle w:val="53"/>
              <w:keepNext w:val="0"/>
              <w:keepLines w:val="0"/>
              <w:pageBreakBefore w:val="0"/>
              <w:kinsoku/>
              <w:wordWrap/>
              <w:overflowPunct/>
              <w:topLinePunct w:val="0"/>
              <w:bidi w:val="0"/>
              <w:spacing w:line="360" w:lineRule="auto"/>
              <w:ind w:left="0" w:right="0" w:firstLine="0"/>
              <w:jc w:val="center"/>
              <w:textAlignment w:val="auto"/>
              <w:rPr>
                <w:rFonts w:hint="eastAsia" w:asciiTheme="minorEastAsia" w:hAnsiTheme="minorEastAsia" w:eastAsiaTheme="minorEastAsia" w:cstheme="minorEastAsia"/>
                <w:color w:val="auto"/>
                <w:sz w:val="22"/>
                <w:szCs w:val="22"/>
                <w:highlight w:val="none"/>
              </w:rPr>
            </w:pPr>
            <w:r>
              <w:rPr>
                <w:rFonts w:hint="eastAsia" w:asciiTheme="minorEastAsia" w:hAnsiTheme="minorEastAsia" w:eastAsiaTheme="minorEastAsia" w:cstheme="minorEastAsia"/>
                <w:color w:val="auto"/>
                <w:spacing w:val="-9"/>
                <w:sz w:val="22"/>
                <w:szCs w:val="22"/>
                <w:highlight w:val="none"/>
                <w:lang w:val="en-US" w:eastAsia="zh-CN"/>
              </w:rPr>
              <w:t>类似</w:t>
            </w:r>
            <w:r>
              <w:rPr>
                <w:rFonts w:hint="eastAsia" w:asciiTheme="minorEastAsia" w:hAnsiTheme="minorEastAsia" w:eastAsiaTheme="minorEastAsia" w:cstheme="minorEastAsia"/>
                <w:color w:val="auto"/>
                <w:spacing w:val="-9"/>
                <w:sz w:val="22"/>
                <w:szCs w:val="22"/>
                <w:highlight w:val="none"/>
              </w:rPr>
              <w:t>项目</w:t>
            </w:r>
            <w:r>
              <w:rPr>
                <w:rFonts w:hint="eastAsia" w:asciiTheme="minorEastAsia" w:hAnsiTheme="minorEastAsia" w:eastAsiaTheme="minorEastAsia" w:cstheme="minorEastAsia"/>
                <w:color w:val="auto"/>
                <w:spacing w:val="-6"/>
                <w:sz w:val="22"/>
                <w:szCs w:val="22"/>
                <w:highlight w:val="none"/>
              </w:rPr>
              <w:t>经验</w:t>
            </w:r>
          </w:p>
          <w:p w14:paraId="16A76597">
            <w:pPr>
              <w:pStyle w:val="53"/>
              <w:keepNext w:val="0"/>
              <w:keepLines w:val="0"/>
              <w:pageBreakBefore w:val="0"/>
              <w:kinsoku/>
              <w:wordWrap/>
              <w:overflowPunct/>
              <w:topLinePunct w:val="0"/>
              <w:bidi w:val="0"/>
              <w:spacing w:line="360" w:lineRule="auto"/>
              <w:ind w:left="0" w:leftChars="0" w:right="0" w:firstLine="0"/>
              <w:jc w:val="center"/>
              <w:textAlignment w:val="auto"/>
              <w:rPr>
                <w:rFonts w:hint="eastAsia" w:asciiTheme="minorEastAsia" w:hAnsiTheme="minorEastAsia" w:eastAsiaTheme="minorEastAsia" w:cstheme="minorEastAsia"/>
                <w:color w:val="auto"/>
                <w:sz w:val="22"/>
                <w:szCs w:val="22"/>
                <w:highlight w:val="none"/>
              </w:rPr>
            </w:pPr>
            <w:r>
              <w:rPr>
                <w:rFonts w:hint="eastAsia" w:asciiTheme="minorEastAsia" w:hAnsiTheme="minorEastAsia" w:eastAsiaTheme="minorEastAsia" w:cstheme="minorEastAsia"/>
                <w:color w:val="auto"/>
                <w:spacing w:val="-9"/>
                <w:sz w:val="22"/>
                <w:szCs w:val="22"/>
                <w:highlight w:val="none"/>
              </w:rPr>
              <w:t>（</w:t>
            </w:r>
            <w:r>
              <w:rPr>
                <w:rFonts w:hint="eastAsia" w:asciiTheme="minorEastAsia" w:hAnsiTheme="minorEastAsia" w:eastAsiaTheme="minorEastAsia" w:cstheme="minorEastAsia"/>
                <w:color w:val="auto"/>
                <w:spacing w:val="-9"/>
                <w:sz w:val="22"/>
                <w:szCs w:val="22"/>
                <w:highlight w:val="none"/>
                <w:lang w:val="en-US" w:eastAsia="zh-CN"/>
              </w:rPr>
              <w:t>2</w:t>
            </w:r>
            <w:r>
              <w:rPr>
                <w:rFonts w:hint="eastAsia" w:asciiTheme="minorEastAsia" w:hAnsiTheme="minorEastAsia" w:eastAsiaTheme="minorEastAsia" w:cstheme="minorEastAsia"/>
                <w:color w:val="auto"/>
                <w:spacing w:val="-9"/>
                <w:sz w:val="22"/>
                <w:szCs w:val="22"/>
                <w:highlight w:val="none"/>
              </w:rPr>
              <w:t>分）</w:t>
            </w:r>
          </w:p>
        </w:tc>
        <w:tc>
          <w:tcPr>
            <w:tcW w:w="5992" w:type="dxa"/>
            <w:noWrap w:val="0"/>
            <w:vAlign w:val="top"/>
          </w:tcPr>
          <w:p w14:paraId="0D5F0F98">
            <w:pPr>
              <w:keepNext w:val="0"/>
              <w:keepLines w:val="0"/>
              <w:pageBreakBefore w:val="0"/>
              <w:kinsoku/>
              <w:wordWrap/>
              <w:overflowPunct/>
              <w:topLinePunct w:val="0"/>
              <w:autoSpaceDE w:val="0"/>
              <w:autoSpaceDN w:val="0"/>
              <w:bidi w:val="0"/>
              <w:adjustRightInd w:val="0"/>
              <w:snapToGrid w:val="0"/>
              <w:spacing w:line="360" w:lineRule="auto"/>
              <w:ind w:left="0" w:right="0" w:firstLine="0"/>
              <w:textAlignment w:val="auto"/>
              <w:rPr>
                <w:rFonts w:hint="eastAsia" w:asciiTheme="minorEastAsia" w:hAnsiTheme="minorEastAsia" w:eastAsiaTheme="minorEastAsia" w:cstheme="minorEastAsia"/>
                <w:color w:val="auto"/>
                <w:kern w:val="2"/>
                <w:sz w:val="22"/>
                <w:szCs w:val="22"/>
                <w:highlight w:val="none"/>
                <w:lang w:val="zh-CN" w:eastAsia="zh-CN" w:bidi="ar-SA"/>
              </w:rPr>
            </w:pPr>
            <w:r>
              <w:rPr>
                <w:rFonts w:hint="eastAsia" w:asciiTheme="minorEastAsia" w:hAnsiTheme="minorEastAsia" w:eastAsiaTheme="minorEastAsia" w:cstheme="minorEastAsia"/>
                <w:color w:val="auto"/>
                <w:sz w:val="22"/>
                <w:szCs w:val="22"/>
                <w:highlight w:val="none"/>
                <w:lang w:eastAsia="zh-CN"/>
              </w:rPr>
              <w:t>评标委员会</w:t>
            </w:r>
            <w:r>
              <w:rPr>
                <w:rFonts w:hint="eastAsia" w:asciiTheme="minorEastAsia" w:hAnsiTheme="minorEastAsia" w:eastAsiaTheme="minorEastAsia" w:cstheme="minorEastAsia"/>
                <w:color w:val="auto"/>
                <w:kern w:val="0"/>
                <w:sz w:val="22"/>
                <w:szCs w:val="22"/>
                <w:highlight w:val="none"/>
                <w:lang w:val="en-US" w:eastAsia="zh-CN" w:bidi="ar"/>
              </w:rPr>
              <w:t>根据各投标供应商提供的2021年1月1日至今类似业绩进行打分，每提供1项得1分，总分不超过2分（附合同或中标（或成交）通知书复印件加盖企业公章）。</w:t>
            </w:r>
          </w:p>
        </w:tc>
      </w:tr>
    </w:tbl>
    <w:p w14:paraId="6CCFA9A7">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olor w:val="auto"/>
          <w:highlight w:val="none"/>
        </w:rPr>
      </w:pPr>
      <w:r>
        <w:rPr>
          <w:rFonts w:hint="eastAsia"/>
          <w:color w:val="auto"/>
          <w:highlight w:val="none"/>
        </w:rPr>
        <w:t>注：1采用综合评分法的，评标结果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w:t>
      </w:r>
    </w:p>
    <w:p w14:paraId="5FB1A4DA">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olor w:val="auto"/>
          <w:highlight w:val="none"/>
        </w:rPr>
      </w:pPr>
      <w:r>
        <w:rPr>
          <w:rFonts w:hint="eastAsia"/>
          <w:color w:val="auto"/>
          <w:highlight w:val="none"/>
        </w:rPr>
        <w:t>2.评委需要严格按照以上方法赋分，不得超过分数界限赋分。</w:t>
      </w:r>
    </w:p>
    <w:p w14:paraId="6131AAD6">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olor w:val="auto"/>
          <w:highlight w:val="none"/>
        </w:rPr>
      </w:pPr>
      <w:r>
        <w:rPr>
          <w:rFonts w:hint="eastAsia"/>
          <w:color w:val="auto"/>
          <w:highlight w:val="none"/>
        </w:rPr>
        <w:t>3.最低报价不是中标的唯一依据。</w:t>
      </w:r>
    </w:p>
    <w:p w14:paraId="658AA194">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b/>
          <w:color w:val="auto"/>
          <w:sz w:val="30"/>
          <w:szCs w:val="30"/>
          <w:highlight w:val="none"/>
        </w:rPr>
      </w:pPr>
      <w:r>
        <w:rPr>
          <w:rFonts w:hint="eastAsia" w:ascii="宋体" w:hAnsi="宋体"/>
          <w:b/>
          <w:color w:val="auto"/>
          <w:sz w:val="30"/>
          <w:szCs w:val="30"/>
          <w:highlight w:val="none"/>
        </w:rPr>
        <w:t>2.3</w:t>
      </w:r>
      <w:r>
        <w:rPr>
          <w:rFonts w:hint="eastAsia" w:ascii="宋体" w:hAnsi="宋体"/>
          <w:b/>
          <w:color w:val="auto"/>
          <w:sz w:val="30"/>
          <w:szCs w:val="30"/>
          <w:highlight w:val="none"/>
          <w:lang w:val="en-US" w:eastAsia="zh-CN"/>
        </w:rPr>
        <w:t xml:space="preserve"> </w:t>
      </w:r>
      <w:r>
        <w:rPr>
          <w:rFonts w:hint="eastAsia" w:ascii="宋体" w:hAnsi="宋体"/>
          <w:b/>
          <w:color w:val="auto"/>
          <w:sz w:val="30"/>
          <w:szCs w:val="30"/>
          <w:highlight w:val="none"/>
        </w:rPr>
        <w:t>无效投标的认定</w:t>
      </w:r>
    </w:p>
    <w:p w14:paraId="5EDDE573">
      <w:pPr>
        <w:keepNext w:val="0"/>
        <w:keepLines w:val="0"/>
        <w:pageBreakBefore w:val="0"/>
        <w:widowControl w:val="0"/>
        <w:kinsoku/>
        <w:wordWrap/>
        <w:overflowPunct/>
        <w:topLinePunct w:val="0"/>
        <w:autoSpaceDE/>
        <w:autoSpaceDN/>
        <w:bidi w:val="0"/>
        <w:adjustRightInd/>
        <w:snapToGrid/>
        <w:spacing w:line="480" w:lineRule="exact"/>
        <w:ind w:firstLine="422" w:firstLineChars="200"/>
        <w:textAlignment w:val="auto"/>
        <w:rPr>
          <w:rFonts w:hint="eastAsia"/>
          <w:b/>
          <w:bCs/>
          <w:color w:val="auto"/>
          <w:highlight w:val="none"/>
        </w:rPr>
      </w:pPr>
      <w:r>
        <w:rPr>
          <w:rFonts w:hint="eastAsia"/>
          <w:b/>
          <w:bCs/>
          <w:color w:val="auto"/>
          <w:highlight w:val="none"/>
        </w:rPr>
        <w:t>在评标过程中，出现下列情形之一的，投标无效：</w:t>
      </w:r>
    </w:p>
    <w:p w14:paraId="7903B62B">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olor w:val="auto"/>
          <w:highlight w:val="none"/>
        </w:rPr>
      </w:pPr>
      <w:r>
        <w:rPr>
          <w:rFonts w:hint="eastAsia"/>
          <w:color w:val="auto"/>
          <w:highlight w:val="none"/>
        </w:rPr>
        <w:t>（1）</w:t>
      </w:r>
      <w:r>
        <w:rPr>
          <w:rFonts w:hint="eastAsia"/>
          <w:color w:val="auto"/>
          <w:highlight w:val="none"/>
          <w:lang w:val="en-US" w:eastAsia="zh-CN"/>
        </w:rPr>
        <w:t>投标</w:t>
      </w:r>
      <w:r>
        <w:rPr>
          <w:rFonts w:hint="eastAsia"/>
          <w:color w:val="auto"/>
          <w:highlight w:val="none"/>
        </w:rPr>
        <w:t>截止时间过后递交的</w:t>
      </w:r>
      <w:r>
        <w:rPr>
          <w:rFonts w:hint="eastAsia"/>
          <w:color w:val="auto"/>
          <w:highlight w:val="none"/>
          <w:lang w:val="en-US" w:eastAsia="zh-CN"/>
        </w:rPr>
        <w:t>电子响应</w:t>
      </w:r>
      <w:r>
        <w:rPr>
          <w:rFonts w:hint="eastAsia"/>
          <w:color w:val="auto"/>
          <w:highlight w:val="none"/>
        </w:rPr>
        <w:t>文件；</w:t>
      </w:r>
    </w:p>
    <w:p w14:paraId="61A94177">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olor w:val="auto"/>
          <w:highlight w:val="none"/>
        </w:rPr>
      </w:pPr>
      <w:r>
        <w:rPr>
          <w:rFonts w:hint="eastAsia"/>
          <w:color w:val="auto"/>
          <w:highlight w:val="none"/>
        </w:rPr>
        <w:t>（2）应交未交投标保证金</w:t>
      </w:r>
      <w:r>
        <w:rPr>
          <w:rFonts w:hint="eastAsia"/>
          <w:color w:val="auto"/>
          <w:highlight w:val="none"/>
          <w:lang w:eastAsia="zh-CN"/>
        </w:rPr>
        <w:t>的</w:t>
      </w:r>
      <w:r>
        <w:rPr>
          <w:rFonts w:hint="eastAsia"/>
          <w:color w:val="auto"/>
          <w:highlight w:val="none"/>
        </w:rPr>
        <w:t>；</w:t>
      </w:r>
    </w:p>
    <w:p w14:paraId="4AE24538">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olor w:val="auto"/>
          <w:highlight w:val="none"/>
        </w:rPr>
      </w:pPr>
      <w:r>
        <w:rPr>
          <w:rFonts w:hint="eastAsia"/>
          <w:color w:val="auto"/>
          <w:highlight w:val="none"/>
        </w:rPr>
        <w:t>（3）不具备</w:t>
      </w:r>
      <w:r>
        <w:rPr>
          <w:rFonts w:hint="eastAsia"/>
          <w:color w:val="auto"/>
          <w:highlight w:val="none"/>
          <w:lang w:val="en-US" w:eastAsia="zh-CN"/>
        </w:rPr>
        <w:t>招标</w:t>
      </w:r>
      <w:r>
        <w:rPr>
          <w:rFonts w:hint="eastAsia"/>
          <w:color w:val="auto"/>
          <w:highlight w:val="none"/>
        </w:rPr>
        <w:t>文件中规定资格要求</w:t>
      </w:r>
      <w:r>
        <w:rPr>
          <w:rFonts w:hint="eastAsia"/>
          <w:color w:val="auto"/>
          <w:highlight w:val="none"/>
          <w:lang w:val="en-US" w:eastAsia="zh-CN"/>
        </w:rPr>
        <w:t>或</w:t>
      </w:r>
      <w:r>
        <w:rPr>
          <w:rFonts w:hint="eastAsia"/>
          <w:color w:val="auto"/>
          <w:highlight w:val="none"/>
        </w:rPr>
        <w:t>资格要求</w:t>
      </w:r>
      <w:r>
        <w:rPr>
          <w:rFonts w:hint="eastAsia"/>
          <w:color w:val="auto"/>
          <w:highlight w:val="none"/>
          <w:lang w:val="en-US" w:eastAsia="zh-CN"/>
        </w:rPr>
        <w:t>资料提供不全</w:t>
      </w:r>
      <w:r>
        <w:rPr>
          <w:rFonts w:hint="eastAsia"/>
          <w:color w:val="auto"/>
          <w:highlight w:val="none"/>
        </w:rPr>
        <w:t>的；</w:t>
      </w:r>
    </w:p>
    <w:p w14:paraId="079B85F8">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olor w:val="auto"/>
          <w:highlight w:val="none"/>
        </w:rPr>
      </w:pPr>
      <w:r>
        <w:rPr>
          <w:rFonts w:hint="eastAsia"/>
          <w:color w:val="auto"/>
          <w:highlight w:val="none"/>
        </w:rPr>
        <w:t>（4）未提供《开标一览表》的</w:t>
      </w:r>
      <w:r>
        <w:rPr>
          <w:rFonts w:hint="eastAsia"/>
          <w:color w:val="auto"/>
          <w:highlight w:val="none"/>
          <w:lang w:val="en-US" w:eastAsia="zh-CN"/>
        </w:rPr>
        <w:t>，投标报价不符合报价要求的</w:t>
      </w:r>
      <w:r>
        <w:rPr>
          <w:rFonts w:hint="eastAsia"/>
          <w:color w:val="auto"/>
          <w:highlight w:val="none"/>
        </w:rPr>
        <w:t>；</w:t>
      </w:r>
    </w:p>
    <w:p w14:paraId="042934A8">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olor w:val="auto"/>
          <w:highlight w:val="none"/>
        </w:rPr>
      </w:pPr>
      <w:r>
        <w:rPr>
          <w:rFonts w:hint="eastAsia"/>
          <w:color w:val="auto"/>
          <w:highlight w:val="none"/>
        </w:rPr>
        <w:t>（5）</w:t>
      </w:r>
      <w:r>
        <w:rPr>
          <w:rFonts w:hint="eastAsia"/>
          <w:color w:val="auto"/>
          <w:highlight w:val="none"/>
          <w:lang w:val="en-US" w:eastAsia="zh-CN"/>
        </w:rPr>
        <w:t>响应</w:t>
      </w:r>
      <w:r>
        <w:rPr>
          <w:rFonts w:hint="eastAsia"/>
          <w:color w:val="auto"/>
          <w:highlight w:val="none"/>
        </w:rPr>
        <w:t>文件未按照</w:t>
      </w:r>
      <w:r>
        <w:rPr>
          <w:rFonts w:hint="eastAsia"/>
          <w:color w:val="auto"/>
          <w:highlight w:val="none"/>
          <w:lang w:val="en-US" w:eastAsia="zh-CN"/>
        </w:rPr>
        <w:t>招标</w:t>
      </w:r>
      <w:r>
        <w:rPr>
          <w:rFonts w:hint="eastAsia"/>
          <w:color w:val="auto"/>
          <w:highlight w:val="none"/>
        </w:rPr>
        <w:t>文件规定要求签署、盖章的；</w:t>
      </w:r>
    </w:p>
    <w:p w14:paraId="6C1C6492">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olor w:val="auto"/>
          <w:highlight w:val="none"/>
          <w:lang w:eastAsia="zh-CN"/>
        </w:rPr>
      </w:pPr>
      <w:r>
        <w:rPr>
          <w:rFonts w:hint="eastAsia"/>
          <w:color w:val="auto"/>
          <w:highlight w:val="none"/>
        </w:rPr>
        <w:t>（6）投标报价超过</w:t>
      </w:r>
      <w:r>
        <w:rPr>
          <w:rFonts w:hint="eastAsia"/>
          <w:color w:val="auto"/>
          <w:highlight w:val="none"/>
          <w:lang w:val="en-US" w:eastAsia="zh-CN"/>
        </w:rPr>
        <w:t>招标</w:t>
      </w:r>
      <w:r>
        <w:rPr>
          <w:rFonts w:hint="eastAsia"/>
          <w:color w:val="auto"/>
          <w:highlight w:val="none"/>
        </w:rPr>
        <w:t>文件中规定的</w:t>
      </w:r>
      <w:r>
        <w:rPr>
          <w:rFonts w:hint="eastAsia"/>
          <w:color w:val="auto"/>
          <w:highlight w:val="none"/>
          <w:lang w:val="en-US" w:eastAsia="zh-CN"/>
        </w:rPr>
        <w:t>预算金额或最高限价</w:t>
      </w:r>
      <w:r>
        <w:rPr>
          <w:rFonts w:hint="eastAsia"/>
          <w:color w:val="auto"/>
          <w:highlight w:val="none"/>
        </w:rPr>
        <w:t>的</w:t>
      </w:r>
      <w:r>
        <w:rPr>
          <w:rFonts w:hint="eastAsia"/>
          <w:color w:val="auto"/>
          <w:highlight w:val="none"/>
          <w:lang w:eastAsia="zh-CN"/>
        </w:rPr>
        <w:t>；</w:t>
      </w:r>
    </w:p>
    <w:p w14:paraId="29B2A273">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olor w:val="auto"/>
          <w:highlight w:val="none"/>
        </w:rPr>
      </w:pPr>
      <w:r>
        <w:rPr>
          <w:rFonts w:hint="eastAsia"/>
          <w:color w:val="auto"/>
          <w:highlight w:val="none"/>
        </w:rPr>
        <w:t>（7）投标文件载明的采购项目</w:t>
      </w:r>
      <w:r>
        <w:rPr>
          <w:rFonts w:hint="eastAsia" w:ascii="宋体" w:hAnsi="宋体" w:eastAsia="宋体" w:cs="宋体"/>
          <w:color w:val="auto"/>
          <w:highlight w:val="none"/>
        </w:rPr>
        <w:t>合同履行期限</w:t>
      </w:r>
      <w:r>
        <w:rPr>
          <w:rFonts w:hint="eastAsia"/>
          <w:color w:val="auto"/>
          <w:highlight w:val="none"/>
          <w:lang w:eastAsia="zh-CN"/>
        </w:rPr>
        <w:t>、</w:t>
      </w:r>
      <w:r>
        <w:rPr>
          <w:rFonts w:hint="eastAsia"/>
          <w:color w:val="auto"/>
          <w:highlight w:val="none"/>
          <w:lang w:val="en-US" w:eastAsia="zh-CN"/>
        </w:rPr>
        <w:t>质保期限不符合采购</w:t>
      </w:r>
      <w:r>
        <w:rPr>
          <w:rFonts w:hint="eastAsia"/>
          <w:color w:val="auto"/>
          <w:highlight w:val="none"/>
        </w:rPr>
        <w:t>文件规定期限的；</w:t>
      </w:r>
    </w:p>
    <w:p w14:paraId="3C33EE53">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olor w:val="auto"/>
          <w:highlight w:val="none"/>
        </w:rPr>
      </w:pPr>
      <w:r>
        <w:rPr>
          <w:rFonts w:hint="eastAsia"/>
          <w:color w:val="auto"/>
          <w:highlight w:val="none"/>
        </w:rPr>
        <w:t>（8）评标过程中拒绝澄清相关事宜和问题的；</w:t>
      </w:r>
    </w:p>
    <w:p w14:paraId="14A2CE6C">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olor w:val="auto"/>
          <w:highlight w:val="none"/>
        </w:rPr>
      </w:pPr>
      <w:r>
        <w:rPr>
          <w:rFonts w:hint="eastAsia"/>
          <w:color w:val="auto"/>
          <w:highlight w:val="none"/>
        </w:rPr>
        <w:t>（9）</w:t>
      </w:r>
      <w:r>
        <w:rPr>
          <w:rFonts w:hint="eastAsia"/>
          <w:color w:val="auto"/>
          <w:highlight w:val="none"/>
          <w:lang w:val="en-US" w:eastAsia="zh-CN"/>
        </w:rPr>
        <w:t>响应</w:t>
      </w:r>
      <w:r>
        <w:rPr>
          <w:rFonts w:hint="eastAsia"/>
          <w:color w:val="auto"/>
          <w:highlight w:val="none"/>
        </w:rPr>
        <w:t>文件不真实，有欺骗行为的；</w:t>
      </w:r>
    </w:p>
    <w:p w14:paraId="4EB52C6C">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olor w:val="auto"/>
          <w:highlight w:val="none"/>
        </w:rPr>
      </w:pPr>
      <w:r>
        <w:rPr>
          <w:rFonts w:hint="eastAsia"/>
          <w:color w:val="auto"/>
          <w:highlight w:val="none"/>
        </w:rPr>
        <w:t>（10）</w:t>
      </w:r>
      <w:r>
        <w:rPr>
          <w:rFonts w:hint="eastAsia"/>
          <w:color w:val="auto"/>
          <w:highlight w:val="none"/>
          <w:lang w:val="en-US" w:eastAsia="zh-CN"/>
        </w:rPr>
        <w:t>响应</w:t>
      </w:r>
      <w:r>
        <w:rPr>
          <w:rFonts w:hint="eastAsia"/>
          <w:color w:val="auto"/>
          <w:highlight w:val="none"/>
        </w:rPr>
        <w:t>文件含有</w:t>
      </w:r>
      <w:r>
        <w:rPr>
          <w:rFonts w:hint="eastAsia"/>
          <w:color w:val="auto"/>
          <w:highlight w:val="none"/>
          <w:lang w:val="en-US" w:eastAsia="zh-CN"/>
        </w:rPr>
        <w:t>采购</w:t>
      </w:r>
      <w:r>
        <w:rPr>
          <w:rFonts w:hint="eastAsia"/>
          <w:color w:val="auto"/>
          <w:highlight w:val="none"/>
        </w:rPr>
        <w:t>人和采购代理机构不能接受的条件的；</w:t>
      </w:r>
    </w:p>
    <w:p w14:paraId="4081B0AA">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olor w:val="auto"/>
          <w:highlight w:val="none"/>
        </w:rPr>
      </w:pPr>
      <w:r>
        <w:rPr>
          <w:rFonts w:hint="eastAsia"/>
          <w:color w:val="auto"/>
          <w:highlight w:val="none"/>
        </w:rPr>
        <w:t>（11）响应文件未按照</w:t>
      </w:r>
      <w:r>
        <w:rPr>
          <w:rFonts w:hint="eastAsia"/>
          <w:color w:val="auto"/>
          <w:highlight w:val="none"/>
          <w:lang w:val="en-US" w:eastAsia="zh-CN"/>
        </w:rPr>
        <w:t>招标</w:t>
      </w:r>
      <w:r>
        <w:rPr>
          <w:rFonts w:hint="eastAsia"/>
          <w:color w:val="auto"/>
          <w:highlight w:val="none"/>
        </w:rPr>
        <w:t>文件要求顺序编制的；</w:t>
      </w:r>
    </w:p>
    <w:p w14:paraId="6EE229EE">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olor w:val="auto"/>
          <w:highlight w:val="none"/>
        </w:rPr>
      </w:pPr>
      <w:r>
        <w:rPr>
          <w:rFonts w:hint="eastAsia"/>
          <w:color w:val="auto"/>
          <w:highlight w:val="none"/>
        </w:rPr>
        <w:t>（1</w:t>
      </w:r>
      <w:r>
        <w:rPr>
          <w:rFonts w:hint="eastAsia"/>
          <w:color w:val="auto"/>
          <w:highlight w:val="none"/>
          <w:lang w:val="en-US" w:eastAsia="zh-CN"/>
        </w:rPr>
        <w:t>2</w:t>
      </w:r>
      <w:r>
        <w:rPr>
          <w:rFonts w:hint="eastAsia"/>
          <w:color w:val="auto"/>
          <w:highlight w:val="none"/>
        </w:rPr>
        <w:t>）不符合</w:t>
      </w:r>
      <w:r>
        <w:rPr>
          <w:rFonts w:hint="eastAsia"/>
          <w:color w:val="auto"/>
          <w:highlight w:val="none"/>
          <w:lang w:val="en-US" w:eastAsia="zh-CN"/>
        </w:rPr>
        <w:t>招标</w:t>
      </w:r>
      <w:r>
        <w:rPr>
          <w:rFonts w:hint="eastAsia"/>
          <w:color w:val="auto"/>
          <w:highlight w:val="none"/>
        </w:rPr>
        <w:t>文件规定的其他实质性要求的；</w:t>
      </w:r>
    </w:p>
    <w:p w14:paraId="016F15E4">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olor w:val="auto"/>
          <w:highlight w:val="none"/>
          <w:lang w:eastAsia="zh-CN"/>
        </w:rPr>
      </w:pPr>
      <w:r>
        <w:rPr>
          <w:rFonts w:hint="eastAsia"/>
          <w:color w:val="auto"/>
          <w:highlight w:val="none"/>
        </w:rPr>
        <w:t>（13）响应文件未关联目录</w:t>
      </w:r>
      <w:r>
        <w:rPr>
          <w:rFonts w:hint="eastAsia"/>
          <w:color w:val="auto"/>
          <w:highlight w:val="none"/>
          <w:lang w:eastAsia="zh-CN"/>
        </w:rPr>
        <w:t>；</w:t>
      </w:r>
    </w:p>
    <w:p w14:paraId="51329F6D">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olor w:val="auto"/>
          <w:highlight w:val="none"/>
          <w:lang w:val="en-US" w:eastAsia="zh-CN"/>
        </w:rPr>
      </w:pPr>
      <w:r>
        <w:rPr>
          <w:rFonts w:hint="eastAsia"/>
          <w:color w:val="auto"/>
          <w:highlight w:val="none"/>
          <w:lang w:eastAsia="zh-CN"/>
        </w:rPr>
        <w:t>（</w:t>
      </w:r>
      <w:r>
        <w:rPr>
          <w:rFonts w:hint="eastAsia"/>
          <w:color w:val="auto"/>
          <w:highlight w:val="none"/>
          <w:lang w:val="en-US" w:eastAsia="zh-CN"/>
        </w:rPr>
        <w:t>14</w:t>
      </w:r>
      <w:r>
        <w:rPr>
          <w:rFonts w:hint="eastAsia"/>
          <w:color w:val="auto"/>
          <w:highlight w:val="none"/>
          <w:lang w:eastAsia="zh-CN"/>
        </w:rPr>
        <w:t>）</w:t>
      </w:r>
      <w:r>
        <w:rPr>
          <w:rFonts w:hint="eastAsia"/>
          <w:color w:val="auto"/>
          <w:highlight w:val="none"/>
          <w:lang w:val="en-US" w:eastAsia="zh-CN"/>
        </w:rPr>
        <w:t>符合性审查未通过的；</w:t>
      </w:r>
    </w:p>
    <w:p w14:paraId="0111D397">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olor w:val="auto"/>
          <w:highlight w:val="none"/>
          <w:lang w:eastAsia="zh-CN"/>
        </w:rPr>
      </w:pPr>
      <w:r>
        <w:rPr>
          <w:rFonts w:hint="eastAsia"/>
          <w:color w:val="auto"/>
          <w:highlight w:val="none"/>
          <w:lang w:val="en-US" w:eastAsia="zh-CN"/>
        </w:rPr>
        <w:t>（15）</w:t>
      </w:r>
      <w:r>
        <w:rPr>
          <w:rFonts w:hint="eastAsia"/>
          <w:color w:val="auto"/>
          <w:highlight w:val="none"/>
        </w:rPr>
        <w:t>投标货物（产品）不符合强制执行的国家标准、行业标准的</w:t>
      </w:r>
      <w:r>
        <w:rPr>
          <w:rFonts w:hint="eastAsia"/>
          <w:color w:val="auto"/>
          <w:highlight w:val="none"/>
          <w:lang w:eastAsia="zh-CN"/>
        </w:rPr>
        <w:t>；</w:t>
      </w:r>
    </w:p>
    <w:p w14:paraId="5ADE8674">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olor w:val="auto"/>
          <w:highlight w:val="none"/>
          <w:lang w:val="en-US" w:eastAsia="zh-CN"/>
        </w:rPr>
      </w:pPr>
      <w:r>
        <w:rPr>
          <w:rFonts w:hint="eastAsia"/>
          <w:color w:val="auto"/>
          <w:highlight w:val="none"/>
          <w:lang w:eastAsia="zh-CN"/>
        </w:rPr>
        <w:t>（</w:t>
      </w:r>
      <w:r>
        <w:rPr>
          <w:rFonts w:hint="eastAsia"/>
          <w:color w:val="auto"/>
          <w:highlight w:val="none"/>
          <w:lang w:val="en-US" w:eastAsia="zh-CN"/>
        </w:rPr>
        <w:t>16）投标文件的关键内容字迹模糊和无法辨认的；</w:t>
      </w:r>
    </w:p>
    <w:p w14:paraId="485D43EE">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olor w:val="auto"/>
          <w:highlight w:val="none"/>
          <w:lang w:val="en-US" w:eastAsia="zh-CN"/>
        </w:rPr>
      </w:pPr>
      <w:r>
        <w:rPr>
          <w:rFonts w:hint="eastAsia"/>
          <w:color w:val="auto"/>
          <w:highlight w:val="none"/>
          <w:lang w:eastAsia="zh-CN"/>
        </w:rPr>
        <w:t>（</w:t>
      </w:r>
      <w:r>
        <w:rPr>
          <w:rFonts w:hint="eastAsia"/>
          <w:color w:val="auto"/>
          <w:highlight w:val="none"/>
          <w:lang w:val="en-US" w:eastAsia="zh-CN"/>
        </w:rPr>
        <w:t>17</w:t>
      </w:r>
      <w:r>
        <w:rPr>
          <w:rFonts w:hint="eastAsia"/>
          <w:color w:val="auto"/>
          <w:highlight w:val="none"/>
          <w:lang w:eastAsia="zh-CN"/>
        </w:rPr>
        <w:t>）</w:t>
      </w:r>
      <w:r>
        <w:rPr>
          <w:rFonts w:hint="eastAsia"/>
          <w:color w:val="auto"/>
          <w:highlight w:val="none"/>
        </w:rPr>
        <w:t>投标内容出现漏项或数量与要求不符的；</w:t>
      </w:r>
    </w:p>
    <w:p w14:paraId="4547237F">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olor w:val="auto"/>
          <w:highlight w:val="none"/>
          <w:lang w:val="en-US" w:eastAsia="zh-CN"/>
        </w:rPr>
      </w:pPr>
      <w:r>
        <w:rPr>
          <w:rFonts w:hint="eastAsia"/>
          <w:color w:val="auto"/>
          <w:highlight w:val="none"/>
          <w:lang w:val="en-US" w:eastAsia="zh-CN"/>
        </w:rPr>
        <w:t>（18）法律法规和招标文件规定的其他情形的；</w:t>
      </w:r>
    </w:p>
    <w:p w14:paraId="312C5143">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eastAsia="宋体"/>
          <w:color w:val="auto"/>
          <w:highlight w:val="none"/>
          <w:lang w:eastAsia="zh-CN"/>
        </w:rPr>
      </w:pPr>
      <w:r>
        <w:rPr>
          <w:rFonts w:hint="eastAsia"/>
          <w:color w:val="auto"/>
          <w:highlight w:val="none"/>
        </w:rPr>
        <w:t>（1</w:t>
      </w:r>
      <w:r>
        <w:rPr>
          <w:rFonts w:hint="eastAsia"/>
          <w:color w:val="auto"/>
          <w:highlight w:val="none"/>
          <w:lang w:val="en-US" w:eastAsia="zh-CN"/>
        </w:rPr>
        <w:t>9</w:t>
      </w:r>
      <w:r>
        <w:rPr>
          <w:rFonts w:hint="eastAsia"/>
          <w:color w:val="auto"/>
          <w:highlight w:val="none"/>
        </w:rPr>
        <w:t>）投标货物（产品）不是国家强制节能产品品目清单中的产品（如有）</w:t>
      </w:r>
      <w:r>
        <w:rPr>
          <w:rFonts w:hint="eastAsia"/>
          <w:color w:val="auto"/>
          <w:highlight w:val="none"/>
          <w:lang w:val="en-US" w:eastAsia="zh-CN"/>
        </w:rPr>
        <w:t>。</w:t>
      </w:r>
    </w:p>
    <w:p w14:paraId="474735DA">
      <w:pPr>
        <w:keepNext w:val="0"/>
        <w:keepLines w:val="0"/>
        <w:pageBreakBefore w:val="0"/>
        <w:widowControl/>
        <w:kinsoku/>
        <w:wordWrap/>
        <w:overflowPunct/>
        <w:topLinePunct w:val="0"/>
        <w:autoSpaceDE w:val="0"/>
        <w:autoSpaceDN w:val="0"/>
        <w:bidi w:val="0"/>
        <w:adjustRightInd/>
        <w:snapToGrid/>
        <w:spacing w:before="120" w:beforeLines="50" w:after="120" w:afterLines="50" w:line="480" w:lineRule="exact"/>
        <w:ind w:right="51"/>
        <w:textAlignment w:val="bottom"/>
        <w:rPr>
          <w:rFonts w:hint="eastAsia" w:ascii="宋体" w:hAnsi="宋体"/>
          <w:b/>
          <w:color w:val="auto"/>
          <w:sz w:val="30"/>
          <w:szCs w:val="30"/>
          <w:highlight w:val="none"/>
        </w:rPr>
      </w:pPr>
      <w:r>
        <w:rPr>
          <w:rFonts w:hint="eastAsia" w:ascii="宋体" w:hAnsi="宋体"/>
          <w:b/>
          <w:color w:val="auto"/>
          <w:sz w:val="30"/>
          <w:szCs w:val="30"/>
          <w:highlight w:val="none"/>
        </w:rPr>
        <w:t>2.4</w:t>
      </w:r>
      <w:r>
        <w:rPr>
          <w:rFonts w:hint="eastAsia" w:ascii="宋体" w:hAnsi="宋体"/>
          <w:b/>
          <w:color w:val="auto"/>
          <w:sz w:val="30"/>
          <w:szCs w:val="30"/>
          <w:highlight w:val="none"/>
          <w:lang w:val="en-US" w:eastAsia="zh-CN"/>
        </w:rPr>
        <w:t xml:space="preserve"> </w:t>
      </w:r>
      <w:r>
        <w:rPr>
          <w:rFonts w:hint="eastAsia" w:ascii="宋体" w:hAnsi="宋体"/>
          <w:b/>
          <w:color w:val="auto"/>
          <w:sz w:val="30"/>
          <w:szCs w:val="30"/>
          <w:highlight w:val="none"/>
        </w:rPr>
        <w:t>特殊情况的处理</w:t>
      </w:r>
    </w:p>
    <w:p w14:paraId="61ABF019">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olor w:val="auto"/>
          <w:highlight w:val="none"/>
        </w:rPr>
      </w:pPr>
      <w:r>
        <w:rPr>
          <w:rFonts w:hint="eastAsia"/>
          <w:color w:val="auto"/>
          <w:highlight w:val="none"/>
        </w:rPr>
        <w:t>2.4.1 投标文件中如果出现计算错误，可按以下原则进行修正：</w:t>
      </w:r>
    </w:p>
    <w:p w14:paraId="5B11C778">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olor w:val="auto"/>
          <w:highlight w:val="none"/>
        </w:rPr>
      </w:pPr>
      <w:r>
        <w:rPr>
          <w:rFonts w:hint="eastAsia"/>
          <w:color w:val="auto"/>
          <w:highlight w:val="none"/>
        </w:rPr>
        <w:t>（1）投标文件中的大写金额与小写金额不一致的，以大写金额为准；</w:t>
      </w:r>
    </w:p>
    <w:p w14:paraId="53433DDA">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olor w:val="auto"/>
          <w:highlight w:val="none"/>
        </w:rPr>
      </w:pPr>
      <w:r>
        <w:rPr>
          <w:rFonts w:hint="eastAsia"/>
          <w:color w:val="auto"/>
          <w:highlight w:val="none"/>
        </w:rPr>
        <w:t>（2）投标文件中的总价金额与按单价计算的汇总金额不一致的，以单价计算的汇总金额为准；</w:t>
      </w:r>
    </w:p>
    <w:p w14:paraId="1E7BB408">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olor w:val="auto"/>
          <w:highlight w:val="none"/>
        </w:rPr>
      </w:pPr>
      <w:r>
        <w:rPr>
          <w:rFonts w:hint="eastAsia"/>
          <w:color w:val="auto"/>
          <w:highlight w:val="none"/>
        </w:rPr>
        <w:t>（3）投标文件中的单价金额有明显小数点错误的，以总价为准，并修改单价；</w:t>
      </w:r>
    </w:p>
    <w:p w14:paraId="21A3ED76">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olor w:val="auto"/>
          <w:highlight w:val="none"/>
        </w:rPr>
      </w:pPr>
      <w:r>
        <w:rPr>
          <w:rFonts w:hint="eastAsia"/>
          <w:color w:val="auto"/>
          <w:highlight w:val="none"/>
        </w:rPr>
        <w:t>（4）投标文件中有关分项表内容与“开标一览表”不一致的，以“开标一览表”为准；</w:t>
      </w:r>
    </w:p>
    <w:p w14:paraId="63EBC681">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olor w:val="auto"/>
          <w:highlight w:val="none"/>
        </w:rPr>
      </w:pPr>
      <w:r>
        <w:rPr>
          <w:rFonts w:hint="eastAsia"/>
          <w:color w:val="auto"/>
          <w:highlight w:val="none"/>
        </w:rPr>
        <w:t>（5）投标文件中图表与文字表述不一致的，以文字表述为准；</w:t>
      </w:r>
    </w:p>
    <w:p w14:paraId="66CDF1C3">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olor w:val="auto"/>
          <w:highlight w:val="none"/>
        </w:rPr>
      </w:pPr>
      <w:r>
        <w:rPr>
          <w:rFonts w:hint="eastAsia"/>
          <w:color w:val="auto"/>
          <w:highlight w:val="none"/>
        </w:rPr>
        <w:t>（</w:t>
      </w:r>
      <w:r>
        <w:rPr>
          <w:rFonts w:hint="eastAsia"/>
          <w:color w:val="auto"/>
          <w:highlight w:val="none"/>
          <w:lang w:val="en-US" w:eastAsia="zh-CN"/>
        </w:rPr>
        <w:t>6</w:t>
      </w:r>
      <w:r>
        <w:rPr>
          <w:rFonts w:hint="eastAsia"/>
          <w:color w:val="auto"/>
          <w:highlight w:val="none"/>
        </w:rPr>
        <w:t>）对不同文字文本投标文件的解释发生异议的，以中文文本为准。</w:t>
      </w:r>
    </w:p>
    <w:p w14:paraId="41F6A8C1">
      <w:pPr>
        <w:keepNext w:val="0"/>
        <w:keepLines w:val="0"/>
        <w:pageBreakBefore w:val="0"/>
        <w:widowControl/>
        <w:kinsoku/>
        <w:wordWrap/>
        <w:overflowPunct/>
        <w:topLinePunct w:val="0"/>
        <w:autoSpaceDE w:val="0"/>
        <w:autoSpaceDN w:val="0"/>
        <w:bidi w:val="0"/>
        <w:adjustRightInd/>
        <w:snapToGrid/>
        <w:spacing w:line="480" w:lineRule="exact"/>
        <w:ind w:right="51" w:firstLine="422" w:firstLineChars="200"/>
        <w:textAlignment w:val="bottom"/>
        <w:rPr>
          <w:rFonts w:hint="eastAsia" w:ascii="宋体" w:hAnsi="宋体"/>
          <w:b/>
          <w:color w:val="auto"/>
          <w:szCs w:val="21"/>
          <w:highlight w:val="none"/>
        </w:rPr>
      </w:pPr>
      <w:r>
        <w:rPr>
          <w:rFonts w:hint="eastAsia" w:ascii="宋体" w:hAnsi="宋体"/>
          <w:b/>
          <w:color w:val="auto"/>
          <w:szCs w:val="21"/>
          <w:highlight w:val="none"/>
        </w:rPr>
        <w:t>按上述修正错误的方法调整的投标报价应对投标人具有约束力。如果投标人不接受修正后的价格，其投标将被拒绝。</w:t>
      </w:r>
    </w:p>
    <w:p w14:paraId="1A9552F5">
      <w:pPr>
        <w:keepNext w:val="0"/>
        <w:keepLines w:val="0"/>
        <w:pageBreakBefore w:val="0"/>
        <w:widowControl/>
        <w:kinsoku/>
        <w:wordWrap/>
        <w:overflowPunct/>
        <w:topLinePunct w:val="0"/>
        <w:autoSpaceDE w:val="0"/>
        <w:autoSpaceDN w:val="0"/>
        <w:bidi w:val="0"/>
        <w:adjustRightInd/>
        <w:snapToGrid/>
        <w:spacing w:line="480" w:lineRule="exact"/>
        <w:ind w:right="53" w:firstLine="420" w:firstLineChars="200"/>
        <w:textAlignment w:val="bottom"/>
        <w:rPr>
          <w:rFonts w:hint="eastAsia" w:ascii="宋体" w:hAnsi="宋体"/>
          <w:color w:val="auto"/>
          <w:szCs w:val="21"/>
          <w:highlight w:val="none"/>
        </w:rPr>
      </w:pPr>
      <w:r>
        <w:rPr>
          <w:rFonts w:hint="eastAsia" w:ascii="宋体" w:hAnsi="宋体"/>
          <w:color w:val="auto"/>
          <w:szCs w:val="21"/>
          <w:highlight w:val="none"/>
        </w:rPr>
        <w:t>2.4.2 投标文件中，若某项有不合理报价（或零报价、漏报价）的，经评标委员会评审后，此项得分为零，不参与投标报价分值的计算。</w:t>
      </w:r>
    </w:p>
    <w:p w14:paraId="74F2F2FD">
      <w:pPr>
        <w:keepNext w:val="0"/>
        <w:keepLines w:val="0"/>
        <w:pageBreakBefore w:val="0"/>
        <w:widowControl/>
        <w:kinsoku/>
        <w:wordWrap/>
        <w:overflowPunct/>
        <w:topLinePunct w:val="0"/>
        <w:autoSpaceDE w:val="0"/>
        <w:autoSpaceDN w:val="0"/>
        <w:bidi w:val="0"/>
        <w:adjustRightInd/>
        <w:snapToGrid/>
        <w:spacing w:line="480" w:lineRule="exact"/>
        <w:ind w:right="53" w:firstLine="420" w:firstLineChars="200"/>
        <w:textAlignment w:val="bottom"/>
        <w:rPr>
          <w:rFonts w:hint="eastAsia" w:ascii="宋体" w:hAnsi="宋体"/>
          <w:color w:val="auto"/>
          <w:szCs w:val="21"/>
          <w:highlight w:val="none"/>
        </w:rPr>
      </w:pPr>
      <w:r>
        <w:rPr>
          <w:rFonts w:hint="eastAsia" w:ascii="宋体" w:hAnsi="宋体"/>
          <w:color w:val="auto"/>
          <w:szCs w:val="21"/>
          <w:highlight w:val="none"/>
        </w:rPr>
        <w:t>2.4.3 评标委员会成员打分超过得分界限或未按本办法赋分时，该评标委员会成员的打分，按废票处理。</w:t>
      </w:r>
    </w:p>
    <w:p w14:paraId="7C3E0CB9">
      <w:pPr>
        <w:keepNext w:val="0"/>
        <w:keepLines w:val="0"/>
        <w:pageBreakBefore w:val="0"/>
        <w:widowControl/>
        <w:kinsoku/>
        <w:wordWrap/>
        <w:overflowPunct/>
        <w:topLinePunct w:val="0"/>
        <w:autoSpaceDE w:val="0"/>
        <w:autoSpaceDN w:val="0"/>
        <w:bidi w:val="0"/>
        <w:adjustRightInd/>
        <w:snapToGrid/>
        <w:spacing w:line="480" w:lineRule="exact"/>
        <w:ind w:right="53" w:firstLine="420" w:firstLineChars="200"/>
        <w:textAlignment w:val="bottom"/>
        <w:rPr>
          <w:rFonts w:hint="eastAsia" w:ascii="宋体" w:hAnsi="宋体"/>
          <w:color w:val="auto"/>
          <w:szCs w:val="21"/>
          <w:highlight w:val="none"/>
        </w:rPr>
      </w:pPr>
      <w:r>
        <w:rPr>
          <w:rFonts w:hint="eastAsia" w:ascii="宋体" w:hAnsi="宋体"/>
          <w:color w:val="auto"/>
          <w:szCs w:val="21"/>
          <w:highlight w:val="none"/>
        </w:rPr>
        <w:t>2.4.4 评标过程中，各种数字的计算结果，均保留两位小数，第三位“四舍五入”，但计算百分数时应精确到千分位，万分位“四舍五入”。</w:t>
      </w:r>
    </w:p>
    <w:p w14:paraId="5C15B1CD">
      <w:pPr>
        <w:keepNext w:val="0"/>
        <w:keepLines w:val="0"/>
        <w:pageBreakBefore w:val="0"/>
        <w:widowControl/>
        <w:kinsoku/>
        <w:wordWrap/>
        <w:overflowPunct/>
        <w:topLinePunct w:val="0"/>
        <w:bidi w:val="0"/>
        <w:adjustRightInd/>
        <w:snapToGrid/>
        <w:spacing w:line="480" w:lineRule="exact"/>
        <w:ind w:firstLine="422" w:firstLineChars="200"/>
        <w:jc w:val="left"/>
        <w:rPr>
          <w:rFonts w:hint="eastAsia" w:ascii="宋体" w:hAnsi="宋体"/>
          <w:b/>
          <w:color w:val="auto"/>
          <w:szCs w:val="21"/>
          <w:highlight w:val="none"/>
        </w:rPr>
      </w:pPr>
      <w:r>
        <w:rPr>
          <w:rFonts w:hint="eastAsia" w:ascii="宋体" w:hAnsi="宋体"/>
          <w:b/>
          <w:color w:val="auto"/>
          <w:szCs w:val="21"/>
          <w:highlight w:val="none"/>
        </w:rPr>
        <w:t>2.4.5 相同品牌的处理</w:t>
      </w:r>
    </w:p>
    <w:p w14:paraId="708417C2">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olor w:val="auto"/>
          <w:highlight w:val="none"/>
        </w:rPr>
      </w:pPr>
      <w:r>
        <w:rPr>
          <w:rFonts w:hint="eastAsia"/>
          <w:color w:val="auto"/>
          <w:highlight w:val="none"/>
        </w:rPr>
        <w:t>2.4.5.1 核心产品提供相同品牌产品且通过资格审查、符合性审查的不同投标人参加同一合同项下投标的，按一家投标人计算，评审后得分最高的同品牌投标人获得中标人推荐资格；评审得分相同的，由采购人或者采购人委托评标委员会按照招标文件规定的方式确定一个投标人获得中标人推荐资格，招标文件未规定的采取随机抽取方式确定，其他同品牌投标人不作为中标候选人。</w:t>
      </w:r>
    </w:p>
    <w:p w14:paraId="6373CA3B">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olor w:val="auto"/>
          <w:highlight w:val="none"/>
        </w:rPr>
      </w:pPr>
      <w:r>
        <w:rPr>
          <w:rFonts w:hint="eastAsia"/>
          <w:color w:val="auto"/>
          <w:highlight w:val="none"/>
        </w:rPr>
        <w:t>2.4.5.2 非单一产品采购项目中，多家投标人提供的核心产品品牌相同的，视为提供相同品牌产品。采购人根据采购项目技术构成、产品价格比重等合理确定核心产品。</w:t>
      </w:r>
    </w:p>
    <w:p w14:paraId="370C97B6">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olor w:val="auto"/>
          <w:highlight w:val="none"/>
        </w:rPr>
      </w:pPr>
      <w:r>
        <w:rPr>
          <w:rFonts w:hint="eastAsia"/>
          <w:color w:val="auto"/>
          <w:highlight w:val="none"/>
        </w:rPr>
        <w:t>2.4.6 评标过程中，若出现本评标办法以外的特殊情况时，将暂停评标，待评委会商榷后，再进行评定。</w:t>
      </w:r>
    </w:p>
    <w:p w14:paraId="3C91872F">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olor w:val="auto"/>
          <w:highlight w:val="none"/>
        </w:rPr>
      </w:pPr>
      <w:r>
        <w:rPr>
          <w:rFonts w:hint="eastAsia"/>
          <w:color w:val="auto"/>
          <w:highlight w:val="none"/>
        </w:rPr>
        <w:t>2.4.7 评标报告签署后，采购人或者采购代理机构发现存在本章第1.5.2条款情形之一的，应当组织原评标委员会进行重新评审，重新评审改变中标结果的，书面报告本级财政部门。</w:t>
      </w:r>
    </w:p>
    <w:p w14:paraId="6B1C27C4">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olor w:val="auto"/>
          <w:highlight w:val="none"/>
        </w:rPr>
      </w:pPr>
      <w:r>
        <w:rPr>
          <w:rFonts w:hint="eastAsia"/>
          <w:color w:val="auto"/>
          <w:highlight w:val="none"/>
        </w:rPr>
        <w:t>投标人对本章第1.5.2条（1）情形提出质疑的，采购代理机构应当组织原评标委员会进行重新评审，重新评审改变中标结果的，应当书面报告本级财政部门。</w:t>
      </w:r>
    </w:p>
    <w:p w14:paraId="26DBA30E">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olor w:val="auto"/>
          <w:highlight w:val="none"/>
        </w:rPr>
      </w:pPr>
      <w:r>
        <w:rPr>
          <w:rFonts w:hint="eastAsia"/>
          <w:color w:val="auto"/>
          <w:highlight w:val="none"/>
        </w:rPr>
        <w:t>2.4.8 评标过程中，若出现合格投标人只有2家时，采购人可以选择以下其中一种方式：</w:t>
      </w:r>
    </w:p>
    <w:p w14:paraId="56B64671">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olor w:val="auto"/>
          <w:highlight w:val="none"/>
        </w:rPr>
      </w:pPr>
      <w:r>
        <w:rPr>
          <w:rFonts w:hint="eastAsia"/>
          <w:color w:val="auto"/>
          <w:highlight w:val="none"/>
        </w:rPr>
        <w:t>（1）本次招标按废标处理；</w:t>
      </w:r>
    </w:p>
    <w:p w14:paraId="7ED699CF">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olor w:val="auto"/>
          <w:highlight w:val="none"/>
        </w:rPr>
      </w:pPr>
      <w:r>
        <w:rPr>
          <w:rFonts w:hint="eastAsia"/>
          <w:color w:val="auto"/>
          <w:highlight w:val="none"/>
        </w:rPr>
        <w:t>（2）按照财政部《货物和服务招标投标管理办法》（87号令）第43条规定，改作竞争性谈判采购方式，继续采购活动。</w:t>
      </w:r>
    </w:p>
    <w:p w14:paraId="72F31C25">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olor w:val="auto"/>
          <w:highlight w:val="none"/>
        </w:rPr>
      </w:pPr>
      <w:r>
        <w:rPr>
          <w:rFonts w:hint="eastAsia"/>
          <w:color w:val="auto"/>
          <w:highlight w:val="none"/>
        </w:rPr>
        <w:t>2.4.9 采购人若选择竞争性谈判采购方式继续采购活动时，应当按下列程序进行：</w:t>
      </w:r>
    </w:p>
    <w:p w14:paraId="0B5AFF4F">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olor w:val="auto"/>
          <w:highlight w:val="none"/>
        </w:rPr>
      </w:pPr>
      <w:r>
        <w:rPr>
          <w:rFonts w:hint="eastAsia"/>
          <w:color w:val="auto"/>
          <w:highlight w:val="none"/>
        </w:rPr>
        <w:t>（1）由评标委员会出具招标文件没有不合理条款、招标程序符合规定的书面意见并签署；</w:t>
      </w:r>
    </w:p>
    <w:p w14:paraId="7DC1C0A5">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olor w:val="auto"/>
          <w:highlight w:val="none"/>
        </w:rPr>
      </w:pPr>
      <w:r>
        <w:rPr>
          <w:rFonts w:hint="eastAsia"/>
          <w:color w:val="auto"/>
          <w:highlight w:val="none"/>
        </w:rPr>
        <w:t>（2）由采购人按规定向财政部门提出申请变更采购方式；</w:t>
      </w:r>
    </w:p>
    <w:p w14:paraId="6104B1F2">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olor w:val="auto"/>
          <w:highlight w:val="none"/>
        </w:rPr>
      </w:pPr>
      <w:r>
        <w:rPr>
          <w:rFonts w:hint="eastAsia"/>
          <w:color w:val="auto"/>
          <w:highlight w:val="none"/>
        </w:rPr>
        <w:t>（3）采购代理机构根据财政部门批准的竞争性谈判采购方式，编制竞争性谈判文件，并直接向这2家合格投标人提供竞争性谈判文件；</w:t>
      </w:r>
    </w:p>
    <w:p w14:paraId="5E2D29E0">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olor w:val="auto"/>
          <w:highlight w:val="none"/>
        </w:rPr>
      </w:pPr>
      <w:r>
        <w:rPr>
          <w:rFonts w:hint="eastAsia"/>
          <w:color w:val="auto"/>
          <w:highlight w:val="none"/>
        </w:rPr>
        <w:t>（4）采购代理机构将根据竞争性谈判文件规定的时间、地点组织竞争性谈判小组直接与这2家合格投标人进行竞争性谈判。</w:t>
      </w:r>
    </w:p>
    <w:p w14:paraId="5D352A2D">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olor w:val="auto"/>
          <w:highlight w:val="none"/>
        </w:rPr>
      </w:pPr>
      <w:r>
        <w:rPr>
          <w:rFonts w:hint="eastAsia"/>
          <w:color w:val="auto"/>
          <w:highlight w:val="none"/>
        </w:rPr>
        <w:t>2.4.10 评标争议处理原则</w:t>
      </w:r>
    </w:p>
    <w:p w14:paraId="0D770DCD">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olor w:val="auto"/>
          <w:highlight w:val="none"/>
        </w:rPr>
      </w:pPr>
      <w:r>
        <w:rPr>
          <w:rFonts w:hint="eastAsia"/>
          <w:color w:val="auto"/>
          <w:highlight w:val="none"/>
        </w:rPr>
        <w:t>评标委员会在评审过程中，对投标文件符合性审查、对投标人投标文件做无效投标处理及其他需要共同认定的事项存在争议的，应当以少数服从多数的原则做出结论，但不得违反法律法规和招标文件的规定。有不同意见的评标委员会成员认为认定过程和结果不符合法律法规或者招标文件规定的，应当及时向采购人书面反映，采购人收到书面反映后，应当及时向同级财政部门报告依法处理。</w:t>
      </w:r>
    </w:p>
    <w:p w14:paraId="3218BBCC">
      <w:pPr>
        <w:pStyle w:val="4"/>
        <w:pageBreakBefore w:val="0"/>
        <w:widowControl w:val="0"/>
        <w:kinsoku/>
        <w:wordWrap/>
        <w:overflowPunct/>
        <w:topLinePunct w:val="0"/>
        <w:bidi w:val="0"/>
        <w:snapToGrid/>
        <w:spacing w:line="480" w:lineRule="exact"/>
        <w:ind w:firstLine="0"/>
        <w:jc w:val="center"/>
        <w:textAlignment w:val="auto"/>
        <w:outlineLvl w:val="0"/>
        <w:rPr>
          <w:rFonts w:hint="eastAsia" w:ascii="黑体" w:hAnsi="宋体" w:eastAsia="黑体" w:cs="Times New Roman"/>
          <w:b/>
          <w:color w:val="auto"/>
          <w:kern w:val="44"/>
          <w:sz w:val="44"/>
          <w:szCs w:val="44"/>
          <w:highlight w:val="none"/>
          <w:lang w:val="en-US" w:eastAsia="zh-CN"/>
        </w:rPr>
      </w:pPr>
      <w:r>
        <w:rPr>
          <w:rFonts w:ascii="黑体" w:hAnsi="宋体"/>
          <w:color w:val="auto"/>
          <w:sz w:val="44"/>
          <w:szCs w:val="44"/>
          <w:highlight w:val="none"/>
        </w:rPr>
        <w:br w:type="page"/>
      </w:r>
      <w:bookmarkStart w:id="186" w:name="_Toc24751"/>
      <w:r>
        <w:rPr>
          <w:rFonts w:hint="eastAsia" w:ascii="黑体" w:hAnsi="宋体" w:eastAsia="黑体" w:cs="Times New Roman"/>
          <w:b/>
          <w:color w:val="auto"/>
          <w:kern w:val="44"/>
          <w:sz w:val="44"/>
          <w:szCs w:val="44"/>
          <w:highlight w:val="none"/>
          <w:lang w:val="en-US" w:eastAsia="zh-CN"/>
        </w:rPr>
        <w:t>第四章</w:t>
      </w:r>
      <w:r>
        <w:rPr>
          <w:rFonts w:hint="eastAsia" w:ascii="黑体" w:hAnsi="宋体"/>
          <w:color w:val="auto"/>
          <w:sz w:val="44"/>
          <w:szCs w:val="44"/>
          <w:highlight w:val="none"/>
          <w:lang w:val="en-US" w:eastAsia="zh-CN"/>
        </w:rPr>
        <w:t xml:space="preserve"> </w:t>
      </w:r>
      <w:r>
        <w:rPr>
          <w:rFonts w:hint="eastAsia" w:ascii="黑体" w:hAnsi="宋体" w:eastAsia="黑体" w:cs="Times New Roman"/>
          <w:b/>
          <w:color w:val="auto"/>
          <w:kern w:val="44"/>
          <w:sz w:val="44"/>
          <w:szCs w:val="44"/>
          <w:highlight w:val="none"/>
          <w:lang w:val="en-US" w:eastAsia="zh-CN"/>
        </w:rPr>
        <w:t>采购内容及要求</w:t>
      </w:r>
      <w:bookmarkEnd w:id="183"/>
      <w:bookmarkEnd w:id="186"/>
    </w:p>
    <w:p w14:paraId="327B9FFB">
      <w:pPr>
        <w:pStyle w:val="4"/>
        <w:pageBreakBefore w:val="0"/>
        <w:widowControl w:val="0"/>
        <w:kinsoku/>
        <w:wordWrap/>
        <w:overflowPunct/>
        <w:topLinePunct w:val="0"/>
        <w:bidi w:val="0"/>
        <w:snapToGrid/>
        <w:spacing w:line="480" w:lineRule="exact"/>
        <w:ind w:firstLine="0"/>
        <w:jc w:val="center"/>
        <w:textAlignment w:val="auto"/>
        <w:outlineLvl w:val="1"/>
        <w:rPr>
          <w:rFonts w:hint="eastAsia" w:ascii="黑体" w:hAnsi="宋体" w:eastAsia="黑体" w:cs="Times New Roman"/>
          <w:b/>
          <w:color w:val="auto"/>
          <w:kern w:val="44"/>
          <w:sz w:val="36"/>
          <w:szCs w:val="36"/>
          <w:highlight w:val="none"/>
        </w:rPr>
      </w:pPr>
      <w:bookmarkStart w:id="187" w:name="_Toc1573"/>
      <w:bookmarkStart w:id="188" w:name="_Toc217446094"/>
      <w:r>
        <w:rPr>
          <w:rFonts w:hint="eastAsia" w:ascii="黑体" w:hAnsi="宋体" w:eastAsia="黑体" w:cs="Times New Roman"/>
          <w:b/>
          <w:color w:val="auto"/>
          <w:kern w:val="44"/>
          <w:sz w:val="36"/>
          <w:szCs w:val="36"/>
          <w:highlight w:val="none"/>
          <w:lang w:val="en-US" w:eastAsia="zh-CN"/>
        </w:rPr>
        <w:t xml:space="preserve">第一部分 </w:t>
      </w:r>
      <w:r>
        <w:rPr>
          <w:rFonts w:hint="eastAsia" w:ascii="黑体" w:hAnsi="宋体" w:eastAsia="黑体" w:cs="Times New Roman"/>
          <w:b/>
          <w:color w:val="auto"/>
          <w:kern w:val="44"/>
          <w:sz w:val="36"/>
          <w:szCs w:val="36"/>
          <w:highlight w:val="none"/>
        </w:rPr>
        <w:t>采购货物清单及技术参数</w:t>
      </w:r>
      <w:bookmarkEnd w:id="187"/>
    </w:p>
    <w:p w14:paraId="6EC14261">
      <w:pPr>
        <w:keepNext w:val="0"/>
        <w:keepLines w:val="0"/>
        <w:pageBreakBefore w:val="0"/>
        <w:kinsoku/>
        <w:wordWrap/>
        <w:overflowPunct/>
        <w:topLinePunct w:val="0"/>
        <w:autoSpaceDE/>
        <w:autoSpaceDN/>
        <w:bidi w:val="0"/>
        <w:adjustRightInd/>
        <w:snapToGrid/>
        <w:spacing w:line="480" w:lineRule="exact"/>
        <w:textAlignment w:val="auto"/>
        <w:rPr>
          <w:rFonts w:hint="eastAsia" w:eastAsia="宋体"/>
          <w:b/>
          <w:bCs/>
          <w:color w:val="auto"/>
          <w:sz w:val="28"/>
          <w:szCs w:val="36"/>
          <w:highlight w:val="none"/>
          <w:lang w:val="en-US" w:eastAsia="zh-CN"/>
        </w:rPr>
      </w:pPr>
      <w:r>
        <w:rPr>
          <w:rFonts w:hint="eastAsia" w:eastAsia="宋体"/>
          <w:b/>
          <w:bCs/>
          <w:color w:val="auto"/>
          <w:sz w:val="28"/>
          <w:szCs w:val="36"/>
          <w:highlight w:val="none"/>
          <w:lang w:val="en-US" w:eastAsia="zh-CN"/>
        </w:rPr>
        <w:t>一、项目说明：</w:t>
      </w:r>
    </w:p>
    <w:p w14:paraId="613CA675">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eastAsia="宋体"/>
          <w:color w:val="auto"/>
          <w:highlight w:val="none"/>
        </w:rPr>
      </w:pPr>
      <w:r>
        <w:rPr>
          <w:rFonts w:hint="eastAsia" w:eastAsia="宋体"/>
          <w:color w:val="auto"/>
          <w:highlight w:val="none"/>
          <w:lang w:eastAsia="zh-CN"/>
        </w:rPr>
        <w:t>（</w:t>
      </w:r>
      <w:r>
        <w:rPr>
          <w:rFonts w:hint="eastAsia" w:eastAsia="宋体"/>
          <w:color w:val="auto"/>
          <w:highlight w:val="none"/>
          <w:lang w:val="en-US" w:eastAsia="zh-CN"/>
        </w:rPr>
        <w:t>1</w:t>
      </w:r>
      <w:r>
        <w:rPr>
          <w:rFonts w:hint="eastAsia" w:eastAsia="宋体"/>
          <w:color w:val="auto"/>
          <w:highlight w:val="none"/>
          <w:lang w:eastAsia="zh-CN"/>
        </w:rPr>
        <w:t>）</w:t>
      </w:r>
      <w:r>
        <w:rPr>
          <w:rFonts w:hint="eastAsia" w:eastAsia="宋体"/>
          <w:color w:val="auto"/>
          <w:highlight w:val="none"/>
        </w:rPr>
        <w:t>供应商应保证货物是全新、未使用过的</w:t>
      </w:r>
      <w:r>
        <w:rPr>
          <w:rFonts w:hint="eastAsia" w:eastAsia="宋体"/>
          <w:color w:val="auto"/>
          <w:highlight w:val="none"/>
          <w:lang w:val="en-US" w:eastAsia="zh-CN"/>
        </w:rPr>
        <w:t>原装合格正品</w:t>
      </w:r>
      <w:r>
        <w:rPr>
          <w:rFonts w:hint="eastAsia" w:eastAsia="宋体"/>
          <w:color w:val="auto"/>
          <w:highlight w:val="none"/>
        </w:rPr>
        <w:t>。并完全符合</w:t>
      </w:r>
      <w:r>
        <w:rPr>
          <w:rFonts w:hint="eastAsia"/>
          <w:color w:val="auto"/>
          <w:highlight w:val="none"/>
          <w:lang w:val="en-US" w:eastAsia="zh-CN"/>
        </w:rPr>
        <w:t>招标文件</w:t>
      </w:r>
      <w:r>
        <w:rPr>
          <w:rFonts w:hint="eastAsia" w:eastAsia="宋体"/>
          <w:color w:val="auto"/>
          <w:highlight w:val="none"/>
        </w:rPr>
        <w:t>规定的质量、规格和性能的要求。供应商应保证所提供的货物经正确安装、正常运转和保养后，在其使用寿命期内应具有满意的性能。在货物质量保证期内供应商应对由于材料的缺陷而发生的任何不足或者故障负责。</w:t>
      </w:r>
    </w:p>
    <w:p w14:paraId="01CD941B">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eastAsia="宋体"/>
          <w:color w:val="auto"/>
          <w:highlight w:val="none"/>
        </w:rPr>
      </w:pPr>
      <w:r>
        <w:rPr>
          <w:rFonts w:hint="eastAsia" w:eastAsia="宋体"/>
          <w:color w:val="auto"/>
          <w:highlight w:val="none"/>
          <w:lang w:eastAsia="zh-CN"/>
        </w:rPr>
        <w:t>（</w:t>
      </w:r>
      <w:r>
        <w:rPr>
          <w:rFonts w:hint="eastAsia" w:eastAsia="宋体"/>
          <w:color w:val="auto"/>
          <w:highlight w:val="none"/>
          <w:lang w:val="en-US" w:eastAsia="zh-CN"/>
        </w:rPr>
        <w:t>2</w:t>
      </w:r>
      <w:r>
        <w:rPr>
          <w:rFonts w:hint="eastAsia" w:eastAsia="宋体"/>
          <w:color w:val="auto"/>
          <w:highlight w:val="none"/>
          <w:lang w:eastAsia="zh-CN"/>
        </w:rPr>
        <w:t>）</w:t>
      </w:r>
      <w:r>
        <w:rPr>
          <w:rFonts w:hint="eastAsia" w:eastAsia="宋体"/>
          <w:color w:val="auto"/>
          <w:highlight w:val="none"/>
        </w:rPr>
        <w:t>货物必须为合格产品，质量达到国家有关标准，供应商供货时应当提供有关货物的合格证明材料等。</w:t>
      </w:r>
    </w:p>
    <w:p w14:paraId="0242B407">
      <w:pPr>
        <w:keepNext w:val="0"/>
        <w:keepLines w:val="0"/>
        <w:pageBreakBefore w:val="0"/>
        <w:kinsoku/>
        <w:wordWrap/>
        <w:overflowPunct/>
        <w:topLinePunct w:val="0"/>
        <w:autoSpaceDE/>
        <w:autoSpaceDN/>
        <w:bidi w:val="0"/>
        <w:adjustRightInd/>
        <w:snapToGrid/>
        <w:spacing w:line="480" w:lineRule="exact"/>
        <w:textAlignment w:val="auto"/>
        <w:rPr>
          <w:rFonts w:hint="eastAsia" w:ascii="Times New Roman" w:hAnsi="Times New Roman" w:eastAsia="宋体" w:cs="Times New Roman"/>
          <w:b/>
          <w:bCs/>
          <w:color w:val="auto"/>
          <w:sz w:val="28"/>
          <w:szCs w:val="36"/>
          <w:highlight w:val="none"/>
          <w:lang w:val="en-US" w:eastAsia="zh-CN"/>
        </w:rPr>
      </w:pPr>
      <w:r>
        <w:rPr>
          <w:rFonts w:hint="eastAsia" w:ascii="Times New Roman" w:hAnsi="Times New Roman" w:eastAsia="宋体" w:cs="Times New Roman"/>
          <w:b/>
          <w:bCs/>
          <w:color w:val="auto"/>
          <w:sz w:val="28"/>
          <w:szCs w:val="36"/>
          <w:highlight w:val="none"/>
          <w:lang w:val="en-US" w:eastAsia="zh-CN"/>
        </w:rPr>
        <w:t>二、采购技术参数要求：</w:t>
      </w:r>
    </w:p>
    <w:tbl>
      <w:tblPr>
        <w:tblStyle w:val="23"/>
        <w:tblW w:w="5227"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91"/>
        <w:gridCol w:w="1066"/>
        <w:gridCol w:w="6377"/>
        <w:gridCol w:w="704"/>
        <w:gridCol w:w="754"/>
      </w:tblGrid>
      <w:tr w14:paraId="028D7D4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5000" w:type="pct"/>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EEE8FD">
            <w:pPr>
              <w:jc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8"/>
                <w:szCs w:val="28"/>
                <w:highlight w:val="none"/>
                <w:u w:val="none"/>
                <w:lang w:val="en-US" w:eastAsia="zh-CN" w:bidi="ar"/>
              </w:rPr>
              <w:t>第六标段（办公设备及教学配套设施）</w:t>
            </w:r>
          </w:p>
        </w:tc>
      </w:tr>
      <w:tr w14:paraId="4868F0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5000" w:type="pct"/>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F3608A">
            <w:pP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一、办公设备</w:t>
            </w:r>
          </w:p>
        </w:tc>
      </w:tr>
      <w:tr w14:paraId="50FA96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DE4DC1">
            <w:pPr>
              <w:keepNext w:val="0"/>
              <w:keepLines w:val="0"/>
              <w:widowControl/>
              <w:suppressLineNumbers w:val="0"/>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序号</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7C2E0F">
            <w:pPr>
              <w:keepNext w:val="0"/>
              <w:keepLines w:val="0"/>
              <w:widowControl/>
              <w:suppressLineNumbers w:val="0"/>
              <w:jc w:val="left"/>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名称</w:t>
            </w:r>
          </w:p>
        </w:tc>
        <w:tc>
          <w:tcPr>
            <w:tcW w:w="3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B7BB76">
            <w:pPr>
              <w:keepNext w:val="0"/>
              <w:keepLines w:val="0"/>
              <w:widowControl/>
              <w:suppressLineNumbers w:val="0"/>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技术参数</w:t>
            </w: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30E8C2">
            <w:pPr>
              <w:keepNext w:val="0"/>
              <w:keepLines w:val="0"/>
              <w:widowControl/>
              <w:suppressLineNumbers w:val="0"/>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单位</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EFEED0">
            <w:pPr>
              <w:keepNext w:val="0"/>
              <w:keepLines w:val="0"/>
              <w:widowControl/>
              <w:suppressLineNumbers w:val="0"/>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数量</w:t>
            </w:r>
          </w:p>
        </w:tc>
      </w:tr>
      <w:tr w14:paraId="5E4D4E4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B9557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208C26">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会议桌1</w:t>
            </w:r>
          </w:p>
        </w:tc>
        <w:tc>
          <w:tcPr>
            <w:tcW w:w="3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B3ECD4">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会议桌规格：L5000mm*W1800mm*H760mm±20mm</w:t>
            </w:r>
          </w:p>
          <w:p w14:paraId="2D8E7C16">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刨花板：采用刨花板(实木颗粒板)做基材，经防腐、防虫环保处理，含水率≤8%；静曲强度≥11Mpa；弹性模量≥2000Mpa；板面握螺钉力≥900N、板边握螺钉力≥600N；甲醛释放量≤0.015mg/m³；苯、甲苯、二甲苯，总挥发性有机物（TVOC)未检出；总挥发性有机化合物未检出。符合GB/T 4897-2015《刨花板》标准；GB/T 17657《人造板及饰面人造板理化性能试验方法》；GB/T 39600-2021《人造板及其制品甲醛释放量分级》；GB/T 35601-2017《绿色产品评价 人造板和木质地板》；GB 18580-2017《室内装饰装修材料人造板及其制品中甲醛释放限量》；GB/T 29899-2013《人造板及其制品中有机化合物释放量试验方法小型释放舱法》；QB/T 4371-2012《家具抗菌性能的评价》；HJ 571-2010《环境标志产品技术要求 人造板及其制品》标准。</w:t>
            </w:r>
          </w:p>
          <w:p w14:paraId="2D38EC85">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2.热熔胶：采用热熔胶，苯未检出，游离甲醛≤0.50g/kg，苯≤0.50g/kg，甲苯+二甲苯≤150g/kg，总挥发性有机物≤100g/L，符合GB 18583-2008《室内装饰装修材料 胶粘剂中有害物质限量》标准。</w:t>
            </w:r>
          </w:p>
          <w:p w14:paraId="38B74E15">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3.PVC封边条：采用2mm厚PVC封边条，理化性能（塑料封边条—耐老化72h无开裂、塑料封边条—耐光色牢度≥4级）；有害物质限量（甲醛释放量、氯乙烯单体、多溴联苯、多溴二苯醚、塑料封边条可迁移元素8项：钡（Ba）、镉（Cd）、铬（Cr）、汞（Hg）、铅（Pb）、砷（As）、硒（Se）、锑（Sb）不得检出；邻苯二甲酸酯（DBP、BBP、DEHP、DNOP、DINP、DIDP）的总量不得检出；符合QB/T 4463-2013《家具用封边条技术要求》、GB 28481-2012《塑料家具中有害物质限量》标准。</w:t>
            </w:r>
          </w:p>
          <w:p w14:paraId="22FDEC1B">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三合一：采用五金配件，紧密拼接，牢固，间隙小，且均匀。三合一偏心连接件偏心体抗压强度应≥270N；三合一偏心连接件预埋螺母抗拉强度应≥630N；三合一偏心连接件中连接螺杆螺纹与预埋螺母的抗拉强度应≥810N；三合偏心连接件中偏心体与连接螺杆的扭矩≥7.0N·m，符合GB/T 28203-2011《家具用连接件技术要求及试验方法》标准。</w:t>
            </w: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43D03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张</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D51B2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r>
      <w:tr w14:paraId="52D359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BD01E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67CBFE">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会议桌2</w:t>
            </w:r>
          </w:p>
        </w:tc>
        <w:tc>
          <w:tcPr>
            <w:tcW w:w="3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0C37E0">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会议桌规格：L4200mm*W1500mm*H760mm±20mm</w:t>
            </w:r>
          </w:p>
          <w:p w14:paraId="4B4E48ED">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刨花板：采用刨花板(实木颗粒板)做基材，经防腐、防虫环保处理，含水率≤8%；静曲强度≥11Mpa；弹性模量≥2000Mpa；板面握螺钉力≥900N、板边握螺钉力≥600N；甲醛释放量≤0.015mg/m³；苯、甲苯、二甲苯，总挥发性有机物（TVOC)未检出；总挥发性有机化合物未检出。符合GB/T 4897-2015《刨花板》标准；GB/T 17657《人造板及饰面人造板理化性能试验方法》；GB/T 39600-2021《人造板及其制品甲醛释放量分级》；GB/T 35601-2017《绿色产品评价 人造板和木质地板》；GB 18580-2017《室内装饰装修材料人造板及其制品中甲醛释放限量》；GB/T 29899-2013《人造板及其制品中有机化合物释放量试验方法小型释放舱法》；QB/T 4371-2012《家具抗菌性能的评价》；HJ 571-2010《环境标志产品技术要求 人造板及其制品》标准。</w:t>
            </w:r>
          </w:p>
          <w:p w14:paraId="2564D04B">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2.热熔胶：采用热熔胶，苯未检出，游离甲醛≤0.50g/kg，苯≤0.50g/kg，甲苯+二甲苯≤150g/kg，总挥发性有机物≤100g/L，符合GB 18583-2008《室内装饰装修材料 胶粘剂中有害物质限量》标准。</w:t>
            </w:r>
          </w:p>
          <w:p w14:paraId="62E3F57D">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3.PVC封边条：采用2mm厚PVC封边条，理化性能（塑料封边条—耐老化72h无开裂、塑料封边条—耐光色牢度≥4级）；有害物质限量（甲醛释放量、氯乙烯单体、多溴联苯、多溴二苯醚、塑料封边条可迁移元素8项：钡（Ba）、镉（Cd）、铬（Cr）、汞（Hg）、铅（Pb）、砷（As）、硒（Se）、锑（Sb）不得检出；邻苯二甲酸酯（DBP、BBP、DEHP、DNOP、DINP、DIDP）的总量不得检出；符合QB/T 4463-2013《家具用封边条技术要求》、GB 28481-2012《塑料家具中有害物质限量》标准。</w:t>
            </w:r>
          </w:p>
          <w:p w14:paraId="3935B7B9">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三合一：采用五金配件，紧密拼接，牢固，间隙小，且均匀。三合一偏心连接件偏心体抗压强度应≥270N；三合一偏心连接件预埋螺母抗拉强度应≥630N；三合一偏心连接件中连接螺杆螺纹与预埋螺母的抗拉强度应≥810N；三合偏心连接件中偏心体与连接螺杆的扭矩≥7.0N·m，符合GB/T 28203-2011《家具用连接件技术要求及试验方法》标准。</w:t>
            </w: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BBFAB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张</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5CE3D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w:t>
            </w:r>
          </w:p>
        </w:tc>
      </w:tr>
      <w:tr w14:paraId="779E5D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65019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DD84C7">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会议椅（网布）</w:t>
            </w:r>
          </w:p>
        </w:tc>
        <w:tc>
          <w:tcPr>
            <w:tcW w:w="3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660C69">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会议椅规格：≥L585mm*W580mm*H950mm±20mm</w:t>
            </w:r>
          </w:p>
          <w:p w14:paraId="7F2CE089">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背靠：PP玻纤背筐，过BIFMA拉背测试</w:t>
            </w:r>
            <w:r>
              <w:rPr>
                <w:rFonts w:hint="eastAsia" w:ascii="宋体" w:hAnsi="宋体" w:cs="宋体"/>
                <w:i w:val="0"/>
                <w:iCs w:val="0"/>
                <w:color w:val="auto"/>
                <w:kern w:val="0"/>
                <w:sz w:val="20"/>
                <w:szCs w:val="20"/>
                <w:highlight w:val="none"/>
                <w:u w:val="none"/>
                <w:lang w:val="en-US" w:eastAsia="zh-CN" w:bidi="ar"/>
              </w:rPr>
              <w:t>≥</w:t>
            </w:r>
            <w:r>
              <w:rPr>
                <w:rFonts w:hint="eastAsia" w:ascii="宋体" w:hAnsi="宋体" w:eastAsia="宋体" w:cs="宋体"/>
                <w:i w:val="0"/>
                <w:iCs w:val="0"/>
                <w:color w:val="auto"/>
                <w:kern w:val="0"/>
                <w:sz w:val="20"/>
                <w:szCs w:val="20"/>
                <w:highlight w:val="none"/>
                <w:u w:val="none"/>
                <w:lang w:val="en-US" w:eastAsia="zh-CN" w:bidi="ar"/>
              </w:rPr>
              <w:t>102KG</w:t>
            </w:r>
          </w:p>
          <w:p w14:paraId="0A1D0EE9">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扶手：PP玻纤连体固定扶手</w:t>
            </w:r>
          </w:p>
          <w:p w14:paraId="02C2F705">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坐垫：</w:t>
            </w:r>
            <w:r>
              <w:rPr>
                <w:rFonts w:hint="eastAsia" w:ascii="宋体" w:hAnsi="宋体" w:cs="宋体"/>
                <w:i w:val="0"/>
                <w:iCs w:val="0"/>
                <w:color w:val="auto"/>
                <w:kern w:val="0"/>
                <w:sz w:val="20"/>
                <w:szCs w:val="20"/>
                <w:highlight w:val="none"/>
                <w:u w:val="none"/>
                <w:lang w:val="en-US" w:eastAsia="zh-CN" w:bidi="ar"/>
              </w:rPr>
              <w:t>≥</w:t>
            </w:r>
            <w:r>
              <w:rPr>
                <w:rFonts w:hint="eastAsia" w:ascii="宋体" w:hAnsi="宋体" w:eastAsia="宋体" w:cs="宋体"/>
                <w:i w:val="0"/>
                <w:iCs w:val="0"/>
                <w:color w:val="auto"/>
                <w:kern w:val="0"/>
                <w:sz w:val="20"/>
                <w:szCs w:val="20"/>
                <w:highlight w:val="none"/>
                <w:u w:val="none"/>
                <w:lang w:val="en-US" w:eastAsia="zh-CN" w:bidi="ar"/>
              </w:rPr>
              <w:t>42密度中软高弹切割海绵</w:t>
            </w:r>
          </w:p>
          <w:p w14:paraId="1827DC76">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椅架：</w:t>
            </w:r>
            <w:r>
              <w:rPr>
                <w:rFonts w:hint="eastAsia" w:ascii="宋体" w:hAnsi="宋体" w:cs="宋体"/>
                <w:i w:val="0"/>
                <w:iCs w:val="0"/>
                <w:color w:val="auto"/>
                <w:kern w:val="0"/>
                <w:sz w:val="20"/>
                <w:szCs w:val="20"/>
                <w:highlight w:val="none"/>
                <w:u w:val="none"/>
                <w:lang w:val="en-US" w:eastAsia="zh-CN" w:bidi="ar"/>
              </w:rPr>
              <w:t>≥</w:t>
            </w:r>
            <w:r>
              <w:rPr>
                <w:rFonts w:hint="eastAsia" w:ascii="宋体" w:hAnsi="宋体" w:eastAsia="宋体" w:cs="宋体"/>
                <w:i w:val="0"/>
                <w:iCs w:val="0"/>
                <w:color w:val="auto"/>
                <w:kern w:val="0"/>
                <w:sz w:val="20"/>
                <w:szCs w:val="20"/>
                <w:highlight w:val="none"/>
                <w:u w:val="none"/>
                <w:lang w:val="en-US" w:eastAsia="zh-CN" w:bidi="ar"/>
              </w:rPr>
              <w:t>25圆管2.0厚</w:t>
            </w: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17075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把</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3BF5D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60</w:t>
            </w:r>
          </w:p>
        </w:tc>
      </w:tr>
      <w:tr w14:paraId="169620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48F87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644B39">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触控一体机</w:t>
            </w:r>
          </w:p>
        </w:tc>
        <w:tc>
          <w:tcPr>
            <w:tcW w:w="3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CB976B">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≥98寸一体机</w:t>
            </w:r>
          </w:p>
          <w:p w14:paraId="10CBBBCE">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一、整机参数：</w:t>
            </w:r>
          </w:p>
          <w:p w14:paraId="31152F57">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整机采用一体设计，外部无任何可见内部功能模块连接线。整机采用全金属外壳设计，边角采用弧形设计，表面无尖锐边缘或凸起。屏幕采用≥98英寸液晶显示器，采用超高清LED液晶显示屏，显示比例≥16:9，分辨率≥3840×2160。</w:t>
            </w:r>
          </w:p>
          <w:p w14:paraId="543D6ACF">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2.CPU采用国产自主可控芯片，处理器核数≥8核，主频≥2.7GHz。内存：8GB或以上配置。硬盘：512GB或以上固态硬盘</w:t>
            </w:r>
          </w:p>
          <w:p w14:paraId="20697155">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3.侧置输入接口具备≥2路HDMI、≥1路RS232、≥1路USB接口，≥1路3.5mmAudioin音频输入接口；输出接口具备≥1路3.5mmAudioout音频输出、≥1路触控USB输出；≥1路HDMIout接口，支持最大4K60HZ分辨率输出；前置输入接口≥3路USB接口（包含≥1路Type-C、≥2路USB）。</w:t>
            </w:r>
          </w:p>
          <w:p w14:paraId="0A71412D">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▲4.整机支持双路可插拔模块，一个槽位支持OPS模块插拔，另一个槽位支持AI模块插拔。整机系统采用高性能8核CPU。</w:t>
            </w:r>
          </w:p>
          <w:p w14:paraId="063891FA">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5.采用红外触控方式，支持整机设备系统中进行≥20点或以上触控。</w:t>
            </w:r>
          </w:p>
          <w:p w14:paraId="2141BFDC">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6.整机内置2.2声道扬声器，额定总功率≥60W。整机内置非独立外扩展的8阵列麦克风，拾音角度≥180°，可用于对教室环境音频进行采集，拾音距离≥12m。</w:t>
            </w:r>
          </w:p>
          <w:p w14:paraId="576BECA6">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▲7.整机内置独立音频CPU处理器，支持麦克风3A算法（自动增益控制（AGC）、自动抑制噪声（ANC）、自动回声消除（AEC）），提升麦克风拾音效果。</w:t>
            </w:r>
          </w:p>
          <w:p w14:paraId="671E695F">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▲8.整机内置专属的4核音频CPU处理器，最多支持8路麦克风数据处理，采样率支持192K，同时不占用整机系统的CPU能力。</w:t>
            </w:r>
          </w:p>
          <w:p w14:paraId="396A938D">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▲9.整机支持蓝牙Bluetooth5.4标准。Wi-Fi制式支持IEEE802.11a/b/g/n/ac/ax；支持版本Wi-Fi6。</w:t>
            </w:r>
          </w:p>
          <w:p w14:paraId="3FFA11DD">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▲10.整机内置双WiFi6无线网卡（不接受外接），在整机设备系统下，可实现Wi-Fi无线上网连接、AP无线热点发射。</w:t>
            </w:r>
          </w:p>
          <w:p w14:paraId="5421E8CB">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11.整机上边框内置非独立式摄像头，采用一体化集成设计，摄像头数量≥4个；</w:t>
            </w:r>
          </w:p>
          <w:p w14:paraId="278490A1">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12.整机上边框内置非独立式≥3个智能拼接摄像头，视场角≥140度且水平视场角≥130度，可拍摄≥1600万像素的照片，支持输出≥8192×2048分辨率的照片和视频，支持画面畸变矫正功能；</w:t>
            </w:r>
          </w:p>
          <w:p w14:paraId="789FCBF0">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二、教学软件</w:t>
            </w:r>
          </w:p>
          <w:p w14:paraId="395A28BB">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13.能够为教师提供存储空间，教师可在个人空间上传存储互动课件、教案和其他教学资源。</w:t>
            </w:r>
          </w:p>
          <w:p w14:paraId="2EC69AC1">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14.为使用方全体教师配备个人账号，形成一体的信息化教学账号体系；根据教师账号信息将教师云空间匹配至对应学校、学科校本资源库。支持通过数字账号、微信二维码、硬件密钥方式登录教师个人账号。</w:t>
            </w:r>
          </w:p>
          <w:p w14:paraId="3A6334D4">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15.支持PPT的原生解析，教师可将pptx课件转化为互动教学课件，支持单份导入和批量文件夹导入两种导入方式，保留pptx原文件中的文字、图片、表格等对象及动画的可编辑性，并可为课件增加互动教学元素。</w:t>
            </w:r>
          </w:p>
          <w:p w14:paraId="7FFBA0E2">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16.支持实现信息化集体备课，可选择教案、课件等资源上传发起集备研讨，支持设置多重访问权限，通过手机号搜索即可邀请外校老师，可用于跨校教研场景。</w:t>
            </w:r>
          </w:p>
          <w:p w14:paraId="6A2FC18B">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17.参备人可通过评论区发表观点，可对他人评论的观点进行点赞，评论消息支持实时提醒，支持图片的上传，参备人在可在线对教案进行随文式批注，追加批注，回复以及查看实时批注消息。支持对课件进行打点式批注，可通过批注定位研讨内容，完成协同备课。</w:t>
            </w:r>
          </w:p>
          <w:p w14:paraId="63FDB825">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18.完成研讨后，可生成集备报告，报告生成后，参备人可查看具体报告内容和下载集备报告。报告内包含集备信息、数据统计、研讨记录的具体内容。</w:t>
            </w:r>
          </w:p>
          <w:p w14:paraId="01DCEA23">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19.支持实现电子化听评课，直播评课全过程支持回放并自动生成字幕，支持回放视频形成回放链接分享，可直接下载导出，用于老师回顾课堂内容，分析老师的课堂表现和教学情况。</w:t>
            </w:r>
          </w:p>
          <w:p w14:paraId="00F71C8B">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20.支持通过实时音视频将课堂教学现场进行实况直播，实现异地听课、评课，直播听评课结束后生成直播回放，使课堂教学研究与课堂教学同步进行，参与听课、评课教师。</w:t>
            </w:r>
          </w:p>
        </w:tc>
        <w:tc>
          <w:tcPr>
            <w:tcW w:w="3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8EB84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7971F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w:t>
            </w:r>
          </w:p>
        </w:tc>
      </w:tr>
      <w:tr w14:paraId="129F444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C71AF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5</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5CDFC0">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一体机专用移动支架</w:t>
            </w:r>
          </w:p>
        </w:tc>
        <w:tc>
          <w:tcPr>
            <w:tcW w:w="33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1CC680">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一体机专用</w:t>
            </w:r>
          </w:p>
        </w:tc>
        <w:tc>
          <w:tcPr>
            <w:tcW w:w="3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2E576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C8474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w:t>
            </w:r>
          </w:p>
        </w:tc>
      </w:tr>
      <w:tr w14:paraId="1856DF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69817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6</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F295E3">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教师办公桌</w:t>
            </w:r>
          </w:p>
        </w:tc>
        <w:tc>
          <w:tcPr>
            <w:tcW w:w="3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C8B0B7">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办公桌规格：≥L1400mm*W700mm*H760mm±20mm；</w:t>
            </w:r>
          </w:p>
          <w:p w14:paraId="577A838C">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刨花板：采用刨花板(实木颗粒板)做基材，经防腐、防虫环保处理，含水率≤8%；静曲强度≥11Mpa；弹性模量≥2000Mpa；板面握螺钉力≥900N、板边握螺钉力≥600N；甲醛释放量≤0.015mg/m³；苯、甲苯、二甲苯，总挥发性有机物（TVOC)未检出；总挥发性有机化合物未检出。符合GB/T 4897-2015《刨花板》标准；GB/T 17657《人造板及饰面人造板理化性能试验方法》；GB/T 39600-2021《人造板及其制品甲醛释放量分级》；GB/T 35601-2017《绿色产品评价 人造板和木质地板》；GB 18580-2017《室内装饰装修材料人造板及其制品中甲醛释放限量》；GB/T 29899-2013《人造板及其制品中有机化合物释放量试验方法小型释放舱法》；QB/T 4371-2012《家具抗菌性能的评价》；HJ 571-2010《环境标志产品技术要求 人造板及其制品》标准。</w:t>
            </w:r>
          </w:p>
          <w:p w14:paraId="5AECE90D">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2.热熔胶：采用热熔胶，苯未检出，游离甲醛≤0.50g/kg，苯≤0.50g/kg，甲苯+二甲苯≤150g/kg，总挥发性有机物≤100g/L，符合GB 18583-2008《室内装饰装修材料 胶粘剂中有害物质限量》标准。</w:t>
            </w:r>
          </w:p>
          <w:p w14:paraId="1F0CB448">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3.PVC封边条：采用≥2mm厚PVC封边条，理化性能（塑料封边条—耐老化≥72h无开裂、塑料封边条—耐光色牢度≥4级）；有害物质限量（甲醛释放量、氯乙烯单体、多溴联苯、多溴二苯醚、塑料封边条可迁移元素8项：钡（Ba）、镉（Cd）、铬（Cr）、汞（Hg）、铅（Pb）、砷（As）、硒（Se）、锑（Sb）不得检出；邻苯二甲酸酯（DBP、BBP、DEHP、DNOP、DINP、DIDP）的总量不得检出；符合QB/T 4463-2013《家具用封边条技术要求》、GB 28481-2012《塑料家具中有害物质限量》标准。</w:t>
            </w:r>
          </w:p>
          <w:p w14:paraId="082B7D31">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三合一：采用五金配件，紧密拼接，牢固，间隙小，且均匀。三合一偏心连接件偏心体抗压强度应≥270N；三合一偏心连接件预埋螺母抗拉强度应≥630N；三合一偏心连接件中连接螺杆螺纹与预埋螺母的抗拉强度应≥810N；三合偏心连接件中偏心体与连接螺杆的扭矩≥7.0N·m，符合GB/T 28203-2011《家具用连接件技术要求及试验方法》标准。</w:t>
            </w:r>
          </w:p>
        </w:tc>
        <w:tc>
          <w:tcPr>
            <w:tcW w:w="3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B7477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张</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28EBE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175</w:t>
            </w:r>
          </w:p>
        </w:tc>
      </w:tr>
      <w:tr w14:paraId="283D8A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E0C31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7</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1423CF">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教师办公椅（网布）</w:t>
            </w:r>
          </w:p>
        </w:tc>
        <w:tc>
          <w:tcPr>
            <w:tcW w:w="3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EA7280">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办公椅规格：≥L620mm*W570mm*H970mm±20mm</w:t>
            </w:r>
          </w:p>
          <w:p w14:paraId="42A4018C">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1、网布：采用优质耐磨网布，透气性强。</w:t>
            </w:r>
          </w:p>
          <w:p w14:paraId="514FF065">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背靠：PP玻纤背筐，过BIFMA拉背测试</w:t>
            </w:r>
            <w:r>
              <w:rPr>
                <w:rFonts w:hint="eastAsia" w:ascii="宋体" w:hAnsi="宋体" w:cs="宋体"/>
                <w:i w:val="0"/>
                <w:iCs w:val="0"/>
                <w:color w:val="auto"/>
                <w:kern w:val="0"/>
                <w:sz w:val="20"/>
                <w:szCs w:val="20"/>
                <w:highlight w:val="none"/>
                <w:u w:val="none"/>
                <w:lang w:val="en-US" w:eastAsia="zh-CN" w:bidi="ar"/>
              </w:rPr>
              <w:t>≥</w:t>
            </w:r>
            <w:r>
              <w:rPr>
                <w:rFonts w:hint="eastAsia" w:ascii="宋体" w:hAnsi="宋体" w:eastAsia="宋体" w:cs="宋体"/>
                <w:i w:val="0"/>
                <w:iCs w:val="0"/>
                <w:color w:val="auto"/>
                <w:kern w:val="0"/>
                <w:sz w:val="20"/>
                <w:szCs w:val="20"/>
                <w:highlight w:val="none"/>
                <w:u w:val="none"/>
                <w:lang w:val="en-US" w:eastAsia="zh-CN" w:bidi="ar"/>
              </w:rPr>
              <w:t>102KG</w:t>
            </w:r>
          </w:p>
          <w:p w14:paraId="590847C9">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扶手：PP玻纤连体固定扶手</w:t>
            </w:r>
          </w:p>
          <w:p w14:paraId="646B012B">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坐垫：</w:t>
            </w:r>
            <w:r>
              <w:rPr>
                <w:rFonts w:hint="eastAsia" w:ascii="宋体" w:hAnsi="宋体" w:cs="宋体"/>
                <w:i w:val="0"/>
                <w:iCs w:val="0"/>
                <w:color w:val="auto"/>
                <w:kern w:val="0"/>
                <w:sz w:val="20"/>
                <w:szCs w:val="20"/>
                <w:highlight w:val="none"/>
                <w:u w:val="none"/>
                <w:lang w:val="en-US" w:eastAsia="zh-CN" w:bidi="ar"/>
              </w:rPr>
              <w:t>≥</w:t>
            </w:r>
            <w:r>
              <w:rPr>
                <w:rFonts w:hint="eastAsia" w:ascii="宋体" w:hAnsi="宋体" w:eastAsia="宋体" w:cs="宋体"/>
                <w:i w:val="0"/>
                <w:iCs w:val="0"/>
                <w:color w:val="auto"/>
                <w:kern w:val="0"/>
                <w:sz w:val="20"/>
                <w:szCs w:val="20"/>
                <w:highlight w:val="none"/>
                <w:u w:val="none"/>
                <w:lang w:val="en-US" w:eastAsia="zh-CN" w:bidi="ar"/>
              </w:rPr>
              <w:t>42密度中软高弹切割海绵</w:t>
            </w:r>
          </w:p>
          <w:p w14:paraId="11D90183">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椅架：</w:t>
            </w:r>
            <w:r>
              <w:rPr>
                <w:rFonts w:hint="eastAsia" w:ascii="宋体" w:hAnsi="宋体" w:cs="宋体"/>
                <w:i w:val="0"/>
                <w:iCs w:val="0"/>
                <w:color w:val="auto"/>
                <w:kern w:val="0"/>
                <w:sz w:val="20"/>
                <w:szCs w:val="20"/>
                <w:highlight w:val="none"/>
                <w:u w:val="none"/>
                <w:lang w:val="en-US" w:eastAsia="zh-CN" w:bidi="ar"/>
              </w:rPr>
              <w:t>≥</w:t>
            </w:r>
            <w:r>
              <w:rPr>
                <w:rFonts w:hint="eastAsia" w:ascii="宋体" w:hAnsi="宋体" w:eastAsia="宋体" w:cs="宋体"/>
                <w:i w:val="0"/>
                <w:iCs w:val="0"/>
                <w:color w:val="auto"/>
                <w:kern w:val="0"/>
                <w:sz w:val="20"/>
                <w:szCs w:val="20"/>
                <w:highlight w:val="none"/>
                <w:u w:val="none"/>
                <w:lang w:val="en-US" w:eastAsia="zh-CN" w:bidi="ar"/>
              </w:rPr>
              <w:t>（30*15）方管架,管壁</w:t>
            </w:r>
            <w:r>
              <w:rPr>
                <w:rFonts w:hint="eastAsia" w:ascii="宋体" w:hAnsi="宋体" w:cs="宋体"/>
                <w:i w:val="0"/>
                <w:iCs w:val="0"/>
                <w:color w:val="auto"/>
                <w:kern w:val="0"/>
                <w:sz w:val="20"/>
                <w:szCs w:val="20"/>
                <w:highlight w:val="none"/>
                <w:u w:val="none"/>
                <w:lang w:val="en-US" w:eastAsia="zh-CN" w:bidi="ar"/>
              </w:rPr>
              <w:t>≥</w:t>
            </w:r>
            <w:r>
              <w:rPr>
                <w:rFonts w:hint="eastAsia" w:ascii="宋体" w:hAnsi="宋体" w:eastAsia="宋体" w:cs="宋体"/>
                <w:i w:val="0"/>
                <w:iCs w:val="0"/>
                <w:color w:val="auto"/>
                <w:kern w:val="0"/>
                <w:sz w:val="20"/>
                <w:szCs w:val="20"/>
                <w:highlight w:val="none"/>
                <w:u w:val="none"/>
                <w:lang w:val="en-US" w:eastAsia="zh-CN" w:bidi="ar"/>
              </w:rPr>
              <w:t>1.5厚</w:t>
            </w:r>
          </w:p>
        </w:tc>
        <w:tc>
          <w:tcPr>
            <w:tcW w:w="3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A72E4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把</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255D3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175</w:t>
            </w:r>
          </w:p>
        </w:tc>
      </w:tr>
      <w:tr w14:paraId="7245EC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DCE71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8</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4A02FA">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文件柜</w:t>
            </w:r>
          </w:p>
        </w:tc>
        <w:tc>
          <w:tcPr>
            <w:tcW w:w="3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B629E6">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文件柜规格：≥L900mm*W400mm*H1850mm±20mm；</w:t>
            </w:r>
          </w:p>
          <w:p w14:paraId="25FB431F">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带抽屉移动透明玻璃门。</w:t>
            </w:r>
          </w:p>
          <w:p w14:paraId="10945665">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冷轧钢板：采用冷轧钢板，厚度≥0.8mm；产品表面涂层理化性能：硬度≥H，附着力应不低于2级；金属表面耐腐蚀：中性盐雾（连续喷雾300小时及以上），镀（涂）层本身的耐腐蚀等级≥9级（10级最好，0级最差），镀（涂）层对基体的保护等级≥9级（10级最好，0级最差）；符合GB/T 3325-2017 《金属家具通用技术条件》，QB/T 3826-1999《轻工产品金属镀层和化学处理层的耐腐蚀试验方法 中性盐雾试验(NSS)法》，QB/T 3832-1999《轻工产品金属镀层腐蚀试验结果的评价》，QB/T 4767-2014《家具用钢构件》标准。</w:t>
            </w:r>
          </w:p>
          <w:p w14:paraId="0A92104F">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喷涂粉末：表面采用环氧树脂粉末喷涂，外观：色泽均匀，无异物，呈松散粉末状；耐磨性、耐酸性、耐碱性、耐沸水性、耐盐雾性、耐湿性均通过检测，单项评价为达到合格；总铅（Pb）含量、可溶性重金属镉（Cd）、铬（Cr）、汞（Hg）含量均未检出；符合HG/T 2006《热固性和热塑性粉末涂料》，GB 18581-2020《木器涂料中有害物质限量》标准。</w:t>
            </w:r>
          </w:p>
        </w:tc>
        <w:tc>
          <w:tcPr>
            <w:tcW w:w="3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4E42F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个</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C6031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30</w:t>
            </w:r>
          </w:p>
        </w:tc>
      </w:tr>
      <w:tr w14:paraId="2BB004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38175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9</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AA0B24">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单人办公桌椅子</w:t>
            </w:r>
          </w:p>
        </w:tc>
        <w:tc>
          <w:tcPr>
            <w:tcW w:w="3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A67F64">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办公桌规格：≥L1600mm*W800mm*H760mm±20mm；（带长副柜）</w:t>
            </w:r>
          </w:p>
          <w:p w14:paraId="64632D4E">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刨花板：采用刨花板(实木颗粒板)做基材，经防腐、防虫环保处理，含水率≤8%；静曲强度≥11Mpa；弹性模量≥2000Mpa；板面握螺钉力≥900N、板边握螺钉力≥600N；甲醛释放量≤0.015mg/m³；苯、甲苯、二甲苯，总挥发性有机物（TVOC)未检出；总挥发性有机化合物未检出。符合GB/T 4897-2015《刨花板》标准；GB/T 17657《人造板及饰面人造板理化性能试验方法》；GB/T 39600-2021《人造板及其制品甲醛释放量分级》；GB/T 35601-2017《绿色产品评价 人造板和木质地板》；GB 18580-2017《室内装饰装修材料人造板及其制品中甲醛释放限量》；GB/T 29899-2013《人造板及其制品中有机化合物释放量试验方法小型释放舱法》；QB/T 4371-2012《家具抗菌性能的评价》；HJ 571-2010《环境标志产品技术要求 人造板及其制品》标准。</w:t>
            </w:r>
          </w:p>
          <w:p w14:paraId="5A6A5EA5">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2.热熔胶：采用热熔胶，苯未检出，游离甲醛≤0.50g/kg，苯≤0.50g/kg，甲苯+二甲苯≤150g/kg，总挥发性有机物≤100g/L，符合GB 18583-2008《室内装饰装修材料 胶粘剂中有害物质限量》标准。</w:t>
            </w:r>
          </w:p>
          <w:p w14:paraId="6CADF852">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3.PVC封边条：采用≥2mm厚PVC封边条，理化性能（塑料封边条—耐老化≥72h无开裂、塑料封边条—耐光色牢度≥4级）；有害物质限量（甲醛释放量、氯乙烯单体、多溴联苯、多溴二苯醚、塑料封边条可迁移元素8项：钡（Ba）、镉（Cd）、铬（Cr）、汞（Hg）、铅（Pb）、砷（As）、硒（Se）、锑（Sb）不得检出；邻苯二甲酸酯（DBP、BBP、DEHP、DNOP、DINP、DIDP）的总量不得检出；符合QB/T 4463-2013《家具用封边条技术要求》、GB 28481-2012《塑料家具中有害物质限量》标准。</w:t>
            </w:r>
          </w:p>
          <w:p w14:paraId="1D4D6560">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三合一：采用五金配件，紧密拼接，牢固，间隙小，且均匀。三合一偏心连接件偏心体抗压强度应≥270N；三合一偏心连接件预埋螺母抗拉强度应≥630N；三合一偏心连接件中连接螺杆螺纹与预埋螺母的抗拉强度应≥810N；三合偏心连接件中偏心体与连接螺杆的扭矩≥7.0N·m，符合GB/T 28203-2011《家具用连接件技术要求及试验方法》标准。</w:t>
            </w:r>
          </w:p>
        </w:tc>
        <w:tc>
          <w:tcPr>
            <w:tcW w:w="3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656C9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BDECA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7</w:t>
            </w:r>
          </w:p>
        </w:tc>
      </w:tr>
      <w:tr w14:paraId="60FFFC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F9F74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10</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324632">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办公沙发</w:t>
            </w:r>
          </w:p>
        </w:tc>
        <w:tc>
          <w:tcPr>
            <w:tcW w:w="3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F55A5A">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沙发规格：1+3（三座：≥1950*850*850Hmm±2mm\单座：≥900*850*850mm±2mm）；</w:t>
            </w:r>
          </w:p>
          <w:p w14:paraId="175D7D06">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1、饰面:面料采用环保皮西皮饰面，皮面经防潮.防污处理，皮面柔软舒服，光泽持久，符合GB/T 16799-2018《家具用皮革》；GB 17927.1-2011《软体家具床垫和沙发抗引燃特性的评定第1部分:阴燃的香烟》标准</w:t>
            </w:r>
          </w:p>
          <w:p w14:paraId="6AEF3D4E">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2、海棉：采用高密度一次发泡成型海绵；</w:t>
            </w:r>
          </w:p>
          <w:p w14:paraId="68F14EDC">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3、扶手基材：采用实木颗粒免漆板PVC机器封边，同办公桌同色、同材质，甲醛释放量≤1.5mg/L；</w:t>
            </w:r>
          </w:p>
          <w:p w14:paraId="0BE8B013">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4、框架：采用经烘干.防腐.防虫处理后橡木制作，表面无结疤.腐朽变质，含水率小于11％，不易变形开裂，扶手面倒角合理、舒适；</w:t>
            </w: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42DB4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75EBC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7</w:t>
            </w:r>
          </w:p>
        </w:tc>
      </w:tr>
      <w:tr w14:paraId="503AC9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FB71E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11</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AD80FD">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信创A3幅面速印机</w:t>
            </w:r>
          </w:p>
        </w:tc>
        <w:tc>
          <w:tcPr>
            <w:tcW w:w="3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2D2663">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主要参数：分辨率≥600dpi,五级调速(60-130张/分钟)，A3扫描(书刊式)\A3走纸\A3幅面印刷，制版时间:约16秒，快速制版14秒，进出纸盘各≥1600张，废版容量≥100张，印刷位置调整：水平±15mm，垂直±10mm，用纸重量46-157克，印刷纸张尺寸：100mmX148mm至310mmX432mm；无倍缩放（50%至200%）：3级放大4级缩小，原稿处理模式(文字\照片\图文\铅笔)，油墨：黑油墨1000毫升筒装环保米糠油墨，版纸：A3版纸全自动约200张；操作面板：LED+LCD中文液晶面板，标配原装底台；</w:t>
            </w:r>
          </w:p>
          <w:p w14:paraId="02C0E4F1">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功能：重进纸检查、隔页纸分页、纸张记忆打印、扫描对比度调整、网点处理、二合一功能、书本阴影消除、节省油墨、快速制版、印刷浓度调整、编程功能、均墨功能、机密排版、计数显示、计数器报表输出、试印、直接印刷、PC-I/F电脑连接打印、自动休眠设定、自动关机设定、节能模式、RISOiQuality系统。通过RIP软件对应国产操作系统（选配解析卡）、全面兼容国产操作系统平台以及流式软件、版式软件；全面支持国产芯片。</w:t>
            </w: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29D0D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8B555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w:t>
            </w:r>
          </w:p>
        </w:tc>
      </w:tr>
      <w:tr w14:paraId="07124A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12009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12</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86C0F7">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信创A4三合一打印机</w:t>
            </w:r>
          </w:p>
        </w:tc>
        <w:tc>
          <w:tcPr>
            <w:tcW w:w="3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8D53EB">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A4打印/复印/扫描多功能一体机/打印速度：A4幅面≥30页/分钟、A5幅面≥58页/分钟；Letter幅面≥32页/分钟、复印速度≥30页/分钟、Letter幅面32页/分钟、首页输出＜7.8秒、月负荷≥25000张，打印分辨率≥1200*600dpi、标准内存≥128MB、处理器≥525MHZ、接口类型支持USB2.0、纸盒输入容量标准≥250+1，纸张输出容量≥120页、标配自动双面打印单元、缩放率25%-400%、一键身份证复印、票据复印、多页合一复印、克隆复印、海报复印、手动双面复印、扫描分辨率：≥1200×1200dpi；彩色扫描；纸张输入容量：≥250+1页；介质类型：普通纸，厚纸，透明胶片，卡片纸，标签纸，信封、薄纸等；介质重量范围：自动纸盒：60-105g/㎡手动进纸盘：60-200g/㎡；鼓粉分离、随机硒鼓寿命≥12000页</w:t>
            </w: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86E8F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3C3C9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80</w:t>
            </w:r>
          </w:p>
        </w:tc>
      </w:tr>
      <w:tr w14:paraId="2E0EA2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D9370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13</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3E7DCC">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信创彩色复印打印一体机</w:t>
            </w:r>
          </w:p>
        </w:tc>
        <w:tc>
          <w:tcPr>
            <w:tcW w:w="3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13C9CB">
            <w:pPr>
              <w:keepNext w:val="0"/>
              <w:keepLines w:val="0"/>
              <w:widowControl/>
              <w:suppressLineNumbers w:val="0"/>
              <w:jc w:val="left"/>
              <w:textAlignment w:val="center"/>
              <w:rPr>
                <w:rFonts w:hint="default" w:ascii="宋体" w:hAnsi="宋体" w:eastAsia="宋体" w:cs="宋体"/>
                <w:i w:val="0"/>
                <w:iCs w:val="0"/>
                <w:color w:val="auto"/>
                <w:sz w:val="20"/>
                <w:szCs w:val="20"/>
                <w:highlight w:val="none"/>
                <w:u w:val="none"/>
                <w:lang w:val="en-US"/>
              </w:rPr>
            </w:pPr>
            <w:r>
              <w:rPr>
                <w:rFonts w:hint="eastAsia" w:ascii="宋体" w:hAnsi="宋体" w:eastAsia="宋体" w:cs="宋体"/>
                <w:i w:val="0"/>
                <w:iCs w:val="0"/>
                <w:color w:val="auto"/>
                <w:kern w:val="0"/>
                <w:sz w:val="20"/>
                <w:szCs w:val="20"/>
                <w:highlight w:val="none"/>
                <w:u w:val="none"/>
                <w:lang w:val="en-US" w:eastAsia="zh-CN" w:bidi="ar"/>
              </w:rPr>
              <w:t>信创彩色复印机速度：≥20页/分钟，A3幅面彩色复合机，打印，复印，彩色扫描，自动双面打印。1-999连续复印，分辨率：≥1200*1200dpi。OPC感光鼓（NPG67四鼓通用），干式双组分显影，CPU：双核≥800MHz，内存≥1G,灰度等级：256级，25%-400%缩放。≥5寸液晶触摸屏，纸盒：≥2*500张，支持U盘打印，彩色复印+彩色网络打印+密码安全打印+彩色网络扫描+双面+自动双面输稿器+红头文件专业打印+移动打印等</w:t>
            </w: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753B8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A9D43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w:t>
            </w:r>
          </w:p>
        </w:tc>
      </w:tr>
      <w:tr w14:paraId="0DF75D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29317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14</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ECB2CC">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会议室环境改造</w:t>
            </w:r>
          </w:p>
        </w:tc>
        <w:tc>
          <w:tcPr>
            <w:tcW w:w="3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675F74">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cs="宋体"/>
                <w:i w:val="0"/>
                <w:iCs w:val="0"/>
                <w:color w:val="auto"/>
                <w:kern w:val="0"/>
                <w:sz w:val="20"/>
                <w:szCs w:val="20"/>
                <w:highlight w:val="none"/>
                <w:u w:val="none"/>
                <w:lang w:val="en-US" w:eastAsia="zh-CN" w:bidi="ar"/>
              </w:rPr>
              <w:t>每间</w:t>
            </w:r>
            <w:r>
              <w:rPr>
                <w:rFonts w:hint="eastAsia" w:ascii="宋体" w:hAnsi="宋体" w:eastAsia="宋体" w:cs="宋体"/>
                <w:i w:val="0"/>
                <w:iCs w:val="0"/>
                <w:color w:val="auto"/>
                <w:kern w:val="0"/>
                <w:sz w:val="20"/>
                <w:szCs w:val="20"/>
                <w:highlight w:val="none"/>
                <w:u w:val="none"/>
                <w:lang w:val="en-US" w:eastAsia="zh-CN" w:bidi="ar"/>
              </w:rPr>
              <w:t>面积约95平方，格栅吊顶、照明灯具、吸音墙面等装饰装潢。实施前供应商出具装修设计方案，审核完成后建设。</w:t>
            </w:r>
          </w:p>
        </w:tc>
        <w:tc>
          <w:tcPr>
            <w:tcW w:w="3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FAEA9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cs="宋体"/>
                <w:i w:val="0"/>
                <w:iCs w:val="0"/>
                <w:color w:val="auto"/>
                <w:kern w:val="0"/>
                <w:sz w:val="20"/>
                <w:szCs w:val="20"/>
                <w:highlight w:val="none"/>
                <w:u w:val="none"/>
                <w:lang w:val="en-US" w:eastAsia="zh-CN" w:bidi="ar"/>
              </w:rPr>
              <w:t>间</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E8819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w:t>
            </w:r>
          </w:p>
        </w:tc>
      </w:tr>
      <w:tr w14:paraId="27D94A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5000" w:type="pct"/>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A2928C">
            <w:pP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二、宿舍配套设施</w:t>
            </w:r>
          </w:p>
        </w:tc>
      </w:tr>
      <w:tr w14:paraId="162F08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AED1D2">
            <w:pPr>
              <w:keepNext w:val="0"/>
              <w:keepLines w:val="0"/>
              <w:widowControl/>
              <w:suppressLineNumbers w:val="0"/>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序号</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439484">
            <w:pPr>
              <w:keepNext w:val="0"/>
              <w:keepLines w:val="0"/>
              <w:widowControl/>
              <w:suppressLineNumbers w:val="0"/>
              <w:jc w:val="left"/>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名称</w:t>
            </w:r>
          </w:p>
        </w:tc>
        <w:tc>
          <w:tcPr>
            <w:tcW w:w="3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42116C">
            <w:pPr>
              <w:keepNext w:val="0"/>
              <w:keepLines w:val="0"/>
              <w:widowControl/>
              <w:suppressLineNumbers w:val="0"/>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技术参数</w:t>
            </w: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936720">
            <w:pPr>
              <w:keepNext w:val="0"/>
              <w:keepLines w:val="0"/>
              <w:widowControl/>
              <w:suppressLineNumbers w:val="0"/>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单位</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4B623A">
            <w:pPr>
              <w:keepNext w:val="0"/>
              <w:keepLines w:val="0"/>
              <w:widowControl/>
              <w:suppressLineNumbers w:val="0"/>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数量</w:t>
            </w:r>
          </w:p>
        </w:tc>
      </w:tr>
      <w:tr w14:paraId="12DA496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1AF10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26AD47">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教师宿舍家具-床</w:t>
            </w:r>
          </w:p>
        </w:tc>
        <w:tc>
          <w:tcPr>
            <w:tcW w:w="3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05ACE5">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床规格：≥L2000mm*W1350mm*H400mm±2mm。（高箱结构）</w:t>
            </w:r>
          </w:p>
          <w:p w14:paraId="0A75CB9D">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刨花板：采用刨花板(实木颗粒板)做基材，经防腐、防虫环保处理，含水率≤8%；静曲强度≥11Mpa；弹性模量≥2000Mpa；板面握螺钉力≥900N、板边握螺钉力≥600N；甲醛释放量≤0.015mg/m³；苯、甲苯、二甲苯，总挥发性有机物（TVOC)未检出；总挥发性有机化合物未检出。符合GB/T 4897-2015《刨花板》标准；GB/T 17657《人造板及饰面人造板理化性能试验方法》；GB/T 39600-2021《人造板及其制品甲醛释放量分级》；GB/T 35601-2017《绿色产品评价 人造板和木质地板》；GB 18580-2017《室内装饰装修材料人造板及其制品中甲醛释放限量》；GB/T 29899-2013《人造板及其制品中有机化合物释放量试验方法小型释放舱法》；QB/T 4371-2012《家具抗菌性能的评价》；HJ 571-2010《环境标志产品技术要求 人造板及其制品》标准。</w:t>
            </w:r>
          </w:p>
          <w:p w14:paraId="632FC453">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2.热熔胶：采用热熔胶，苯未检出，游离甲醛≤0.50g/kg，苯≤0.50g/kg，甲苯+二甲苯≤150g/kg，总挥发性有机物≤100g/L，符合GB 18583-2008《室内装饰装修材料 胶粘剂中有害物质限量》标准。</w:t>
            </w:r>
          </w:p>
          <w:p w14:paraId="143C18C0">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3.PVC封边条：采用≥2mm厚PVC封边条，理化性能（塑料封边条—耐老化≥72h无开裂、塑料封边条—耐光色牢度≥4级）；有害物质限量（甲醛释放量、氯乙烯单体、多溴联苯、多溴二苯醚、塑料封边条可迁移元素8项：钡（Ba）、镉（Cd）、铬（Cr）、汞（Hg）、铅（Pb）、砷（As）、硒（Se）、锑（Sb）不得检出；邻苯二甲酸酯（DBP、BBP、DEHP、DNOP、DINP、DIDP）的总量不得检出；符合QB/T 4463-2013《家具用封边条技术要求》、GB 28481-2012《塑料家具中有害物质限量》标准。</w:t>
            </w:r>
          </w:p>
          <w:p w14:paraId="3FFD6E75">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三合一：采用五金配件，紧密拼接，牢固，间隙小，且均匀。三合一偏心连接件偏心体抗压强度应≥270N；三合一偏心连接件预埋螺母抗拉强度应≥630N；三合一偏心连接件中连接螺杆螺纹与预埋螺母的抗拉强度应≥810N；三合偏心连接件中偏心体与连接螺杆的扭矩≥7.0N·m，符合GB/T 28203-2011《家具用连接件技术要求及试验方法》标准。</w:t>
            </w:r>
          </w:p>
        </w:tc>
        <w:tc>
          <w:tcPr>
            <w:tcW w:w="3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2FD42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张</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73476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84</w:t>
            </w:r>
          </w:p>
        </w:tc>
      </w:tr>
      <w:tr w14:paraId="592F99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04F69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A26770">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教师宿舍家具-床垫</w:t>
            </w:r>
          </w:p>
        </w:tc>
        <w:tc>
          <w:tcPr>
            <w:tcW w:w="3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B0D5BD">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床垫规格：≥L2000mm*W1350mm*H50mm±2mm;</w:t>
            </w:r>
          </w:p>
          <w:p w14:paraId="1CCF39BD">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床垫内置天然软棕，面料采用针织布面料，厚度内棕30mm上下15mm舒适海绵与面料一体缝制工艺制作，四周绲边工艺制作</w:t>
            </w:r>
          </w:p>
        </w:tc>
        <w:tc>
          <w:tcPr>
            <w:tcW w:w="3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31EC9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张</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F4F5B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84</w:t>
            </w:r>
          </w:p>
        </w:tc>
      </w:tr>
      <w:tr w14:paraId="553EBC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91209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1F9C86">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教师宿舍家具-衣柜</w:t>
            </w:r>
          </w:p>
        </w:tc>
        <w:tc>
          <w:tcPr>
            <w:tcW w:w="3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C776E2">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二门衣柜规格：≥L800mm*W500mm*H2000mm±2mm</w:t>
            </w:r>
          </w:p>
          <w:p w14:paraId="67660FF5">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刨花板：采用刨花板(实木颗粒板)做基材，经防腐、防虫环保处理，含水率≤8%；静曲强度≥11Mpa；弹性模量≥2000Mpa；板面握螺钉力≥900N、板边握螺钉力≥600N；甲醛释放量≤0.015mg/m³；苯、甲苯、二甲苯，总挥发性有机物（TVOC)未检出；总挥发性有机化合物未检出。符合GB/T 4897-2015《刨花板》标准；GB/T 17657《人造板及饰面人造板理化性能试验方法》；GB/T 39600-2021《人造板及其制品甲醛释放量分级》；GB/T 35601-2017《绿色产品评价 人造板和木质地板》；GB 18580-2017《室内装饰装修材料人造板及其制品中甲醛释放限量》；GB/T 29899-2013《人造板及其制品中有机化合物释放量试验方法小型释放舱法》；QB/T 4371-2012《家具抗菌性能的评价》；HJ 571-2010《环境标志产品技术要求 人造板及其制品》标准。</w:t>
            </w:r>
          </w:p>
          <w:p w14:paraId="45FDA2F0">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2.热熔胶：采用热熔胶，苯未检出，游离甲醛≤0.50g/kg，苯≤0.50g/kg，甲苯+二甲苯≤150g/kg，总挥发性有机物≤100g/L，符合GB 18583-2008《室内装饰装修材料 胶粘剂中有害物质限量》标准。</w:t>
            </w:r>
          </w:p>
          <w:p w14:paraId="51E411B0">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3.PVC封边条：采用≥2mm厚PVC封边条，理化性能（塑料封边条—耐老化≥72h无开裂、塑料封边条—耐光色牢度≥4级）；有害物质限量（甲醛释放量、氯乙烯单体、多溴联苯、多溴二苯醚、塑料封边条可迁移元素8项：钡（Ba）、镉（Cd）、铬（Cr）、汞（Hg）、铅（Pb）、砷（As）、硒（Se）、锑（Sb）不得检出；邻苯二甲酸酯（DBP、BBP、DEHP、DNOP、DINP、DIDP）的总量不得检出；符合QB/T 4463-2013《家具用封边条技术要求》、GB 28481-2012《塑料家具中有害物质限量》标准。</w:t>
            </w:r>
          </w:p>
          <w:p w14:paraId="402F5E55">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三合一：采用五金配件，紧密拼接，牢固，间隙小，且均匀。三合一偏心连接件偏心体抗压强度应≥270N；三合一偏心连接件预埋螺母抗拉强度应≥630N；三合一偏心连接件中连接螺杆螺纹与预埋螺母的抗拉强度应≥810N；三合偏心连接件中偏心体与连接螺杆的扭矩≥7.0N·m，符合GB/T 28203-2011《家具用连接件技术要求及试验方法》标准</w:t>
            </w:r>
          </w:p>
        </w:tc>
        <w:tc>
          <w:tcPr>
            <w:tcW w:w="3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19295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柜</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36BCA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84</w:t>
            </w:r>
          </w:p>
        </w:tc>
      </w:tr>
      <w:tr w14:paraId="6A58516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6012D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BF7917">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教师宿舍家具-床头柜</w:t>
            </w:r>
          </w:p>
        </w:tc>
        <w:tc>
          <w:tcPr>
            <w:tcW w:w="3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B9C41D">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床头柜规格：≥L450mm*W400mm*H500mm±2mm</w:t>
            </w:r>
          </w:p>
          <w:p w14:paraId="48F81FCB">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刨花板：采用刨花板(实木颗粒板)做基材，经防腐、防虫环保处理，含水率≤8%；静曲强度≥11Mpa；弹性模量≥2000Mpa；板面握螺钉力≥900N、板边握螺钉力≥600N；甲醛释放量≤0.015mg/m³；苯、甲苯、二甲苯，总挥发性有机物（TVOC)未检出；总挥发性有机化合物未检出。符合GB/T 4897-2015《刨花板》标准；GB/T 17657《人造板及饰面人造板理化性能试验方法》；GB/T 39600-2021《人造板及其制品甲醛释放量分级》；GB/T 35601-2017《绿色产品评价 人造板和木质地板》；GB 18580-2017《室内装饰装修材料人造板及其制品中甲醛释放限量》；GB/T 29899-2013《人造板及其制品中有机化合物释放量试验方法小型释放舱法》；QB/T 4371-2012《家具抗菌性能的评价》。</w:t>
            </w:r>
          </w:p>
          <w:p w14:paraId="24E4F0E1">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2.热熔胶：采用热熔胶，苯未检出，游离甲醛≤0.50g/kg，苯≤0.50g/kg，甲苯+二甲苯≤150g/kg，总挥发性有机物≤100g/L，符合GB 18583-2008《室内装饰装修材料 胶粘剂中有害物质限量》标准。</w:t>
            </w:r>
          </w:p>
          <w:p w14:paraId="79EAD8A5">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3.PVC封边条：采用≥2mm厚PVC封边条，理化性能（塑料封边条—耐老化≥72h无开裂、塑料封边条—耐光色牢度≥4级）；有害物质限量（甲醛释放量、氯乙烯单体、多溴联苯、多溴二苯醚、塑料封边条可迁移元素8项：钡（Ba）、镉（Cd）、铬（Cr）、汞（Hg）、铅（Pb）、砷（As）、硒（Se）、锑（Sb）不得检出；邻苯二甲酸酯（DBP、BBP、DEHP、DNOP、DINP、DIDP）的总量不得检出；符合QB/T 4463-2013《家具用封边条技术要求》、GB 28481-2012《塑料家具中有害物质限量》标准。</w:t>
            </w:r>
          </w:p>
          <w:p w14:paraId="522236EA">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三合一：采用五金配件，紧密拼接，牢固，间隙小，且均匀。三合一偏心连接件偏心体抗压强度应≥270N；三合一偏心连接件预埋螺母抗拉强度应≥630N；三合一偏心连接件中连接螺杆螺纹与预埋螺母的抗拉强度应≥810N；三合偏心连接件中偏心体与连接螺杆的扭矩≥7.0N·m，符合GB/T 28203-2011《家具用连接件技术要求及试验方法》标准</w:t>
            </w:r>
          </w:p>
        </w:tc>
        <w:tc>
          <w:tcPr>
            <w:tcW w:w="3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AD972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个</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B3AB1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84</w:t>
            </w:r>
          </w:p>
        </w:tc>
      </w:tr>
      <w:tr w14:paraId="238CC0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97BA0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5</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19E87F">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教师宿舍家具-书桌椅</w:t>
            </w:r>
          </w:p>
        </w:tc>
        <w:tc>
          <w:tcPr>
            <w:tcW w:w="3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561971">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书桌规格：≥L800mm*W400mm*H760mm±2mm</w:t>
            </w:r>
          </w:p>
          <w:p w14:paraId="61849AFB">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刨花板：采用刨花板(实木颗粒板)做基材，经防腐、防虫环保处理，含水率≤8%；静曲强度≥11Mpa；弹性模量≥2000Mpa；板面握螺钉力≥900N、板边握螺钉力≥600N；甲醛释放量≤0.015mg/m³；苯、甲苯、二甲苯，总挥发性有机物（TVOC)未检出；总挥发性有机化合物未检出。符合GB/T 4897-2015《刨花板》标准；GB/T 17657《人造板及饰面人造板理化性能试验方法》；GB/T 39600-2021《人造板及其制品甲醛释放量分级》；GB/T 35601-2017《绿色产品评价 人造板和木质地板》；GB 18580-2017《室内装饰装修材料人造板及其制品中甲醛释放限量》；GB/T 29899-2013《人造板及其制品中有机化合物释放量试验方法小型释放舱法》；QB/T 4371-2012《家具抗菌性能的评价》；HJ 571-2010《环境标志产品技术要求 人造板及其制品》标准。</w:t>
            </w:r>
          </w:p>
          <w:p w14:paraId="57F11282">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2.热熔胶：采用热熔胶，苯未检出，游离甲醛≤0.50g/kg，苯≤0.50g/kg，甲苯+二甲苯≤150g/kg，总挥发性有机物≤100g/L，符合GB 18583-2008《室内装饰装修材料 胶粘剂中有害物质限量》标准。</w:t>
            </w:r>
          </w:p>
          <w:p w14:paraId="4EBE634E">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3.PVC封边条：采用≥2mm厚PVC封边条，理化性能（塑料封边条—耐老化≥72h无开裂、塑料封边条—耐光色牢度≥4级）；有害物质限量（甲醛释放量、氯乙烯单体、多溴联苯、多溴二苯醚、塑料封边条可迁移元素8项：钡（Ba）、镉（Cd）、铬（Cr）、汞（Hg）、铅（Pb）、砷（As）、硒（Se）、锑（Sb）不得检出；邻苯二甲酸酯（DBP、BBP、DEHP、DNOP、DINP、DIDP）的总量不得检出；符合QB/T 4463-2013《家具用封边条技术要求》、GB 28481-2012《塑料家具中有害物质限量》标准。</w:t>
            </w:r>
          </w:p>
          <w:p w14:paraId="1947CF9F">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三合一：采用五金配件，紧密拼接，牢固，间隙小，且均匀。三合一偏心连接件偏心体抗压强度应≥270N；三合一偏心连接件预埋螺母抗拉强度应≥630N；三合一偏心连接件中连接螺杆螺纹与预埋螺母的抗拉强度应≥810N；三合偏心连接件中偏心体与连接螺杆的扭矩≥7.0N·m，符合GB/T 28203-2011《家具用连接件技术要求及试验方法》标准</w:t>
            </w:r>
          </w:p>
        </w:tc>
        <w:tc>
          <w:tcPr>
            <w:tcW w:w="3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5B140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7B9B5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84</w:t>
            </w:r>
          </w:p>
        </w:tc>
      </w:tr>
      <w:tr w14:paraId="2259275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D3BAA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6</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CFE84F">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椅子</w:t>
            </w:r>
          </w:p>
        </w:tc>
        <w:tc>
          <w:tcPr>
            <w:tcW w:w="3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90AB89">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椅子规格：≥L460mm*W480mm*H850mm±2mm;</w:t>
            </w:r>
          </w:p>
          <w:p w14:paraId="67E49594">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材质说明：</w:t>
            </w:r>
          </w:p>
          <w:p w14:paraId="4C028507">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1、橡胶木：椅架采用橡胶木，所有原木经脱脂烘干处理，含水率8%-16%，经平刨处理，不带树皮，无贯通裂缝，无虫蛀现象，无腐朽材。符合GB/T 3324-2017《木家具通用技术条件》标准。</w:t>
            </w:r>
          </w:p>
          <w:p w14:paraId="6721034A">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2.胶黏剂：采用环保水基型胶黏剂，游离甲醛未检出，苯、甲苯、二甲苯未检出，总挥发性有机物≤20g/L，符合GB 18583-2008《室内装饰装修材料 胶粘剂中有害物质限量》标准。</w:t>
            </w:r>
          </w:p>
          <w:p w14:paraId="1B2BFBBC">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3.水性漆：采用环保水性漆，甲醛含量≤5mg/kg；总铅(Pb)含量(限色漆、腻子和醇酸清漆）≤90mg/Kg；可溶性重金属含量(限色漆、腻子和醇酸清漆）（镉(Cd≤75mg/kg、铬(Cr)≤60mg/kg、汞(Hg)≤60mg/kg）；笨系物（苯、甲苯、二甲苯、乙苯）含量总和≤50mg/kg；乙二醇醚及醚酯类（乙二醇甲醚、乙二醇甲醚醋酸酯、乙二醇乙醚、乙二醇乙醚醋酸酯、乙二醇二甲醚、乙二醇二乙醚、二乙二醇二甲醚、三乙二醇二甲醚）含量总和≤10mg/kg，符合GB 18581-2020《木器涂料中有害物质限量》标准。</w:t>
            </w:r>
          </w:p>
          <w:p w14:paraId="423E0AA5">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 xml:space="preserve">4.实木多层板：坐板采用E0级实木多层板做基材，经防腐、防虫环保处理，含水率≤7%；胶合强度试件强度值≥0.8 Mpa；静曲强度（顺纹）≥55Mpa；静曲强度（横纹）≥45Mpa；弹性模量（顺纹）≥7000Mpa；弹性模量（横纹）≥5500Mpa；板边握螺钉力≥900N、板面握螺钉力≥1800N；甲醛释放量≤0.015mg/m³；苯、甲苯、二甲苯，总挥发性有机物（TVOC)未检出；可溶性重金属(铅、镉、铬、汞)总含量≤5mg/kg。符合GB/T 9846-2015《普通胶合板》；GB/T 35601-2017《绿色产品评价 人造板和木质地板》；GB/T 39600-2021《人造板及其制品甲醛释放量分级》；GB 18580-2017《室内装饰装修材料人造板及其制品中甲醛释放量》； </w:t>
            </w:r>
          </w:p>
          <w:p w14:paraId="71C5DC8B">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5.西皮：采用西皮，游离甲醛未检出，挥发性有机物（VOC）≤20mg/kg，可萃取重金属铅（Pb）、镉（Cd）未检出。革身平整、柔软、丰满有弹性；符合GB/T 16799-2018《家具用皮革》标准。</w:t>
            </w:r>
          </w:p>
          <w:p w14:paraId="25365A78">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6.高弹海绵：采用高弹海绵，65%/25%压陷比≥3，回弹率≥45%，撕裂强度≥4.0N/cm，干热老化后拉伸强度≥110Kpa，湿热老化后拉伸强度≥90Kpa。</w:t>
            </w:r>
          </w:p>
        </w:tc>
        <w:tc>
          <w:tcPr>
            <w:tcW w:w="3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7D854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139D1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84</w:t>
            </w:r>
          </w:p>
        </w:tc>
      </w:tr>
      <w:tr w14:paraId="51C850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8F1C4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7</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307F06">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学生四人连体床</w:t>
            </w:r>
          </w:p>
        </w:tc>
        <w:tc>
          <w:tcPr>
            <w:tcW w:w="3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4BF4C9">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四人连体床规格：≥L4600mm*W900mm*H1800mm±2mm。</w:t>
            </w:r>
          </w:p>
          <w:p w14:paraId="5D8C72DA">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1、床立柱：≥75mm×75mm×1.2mm钻石管，自动机戒拉弯成型，两端ABS塑料堵头链接，床立柱检测项目【24h中性盐雾试验法≥9级，喷涂层应无漏喷、绣蚀和脱色、掉色现象】。</w:t>
            </w:r>
          </w:p>
          <w:p w14:paraId="077382C0">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2、床横梁：90mm×30mm×1.2mm内双台阶形加强型材，床横梁检测项目【理化性能要求金属喷涂（塑）涂层附着力应不低于2级，金属表面耐腐蚀试验、乙酸盐雾试验（ASS）法连续喷雾24h≥9级】。</w:t>
            </w:r>
          </w:p>
          <w:p w14:paraId="4FE23129">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3、连接方式：立柱与横梁采用三点式卡扣链接方式，三点式卡扣链接件检测项目【24h中性盐雾试验法≥9级，喷涂层应无漏喷、绣蚀和脱色、掉色现象】。</w:t>
            </w:r>
          </w:p>
          <w:p w14:paraId="22082BED">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4、床板支持管：床板支撑：采用≥20mm×40mm矩型管，管材厚度≥1.0mm，检测项目【金属喷漆(塑)涂层耐腐蚀测试：100h内，观察在溶液中样板上划道两侧3mm以外，应无鼓泡产生；100h后，检查划道两侧3mm以外，应无锈迹、剥落、起皱、变色和失光等现象】检验结论合格或符合。</w:t>
            </w:r>
          </w:p>
          <w:p w14:paraId="42282515">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5、安全护栏：采用25mm×25mm×管材厚度≥1.0mm方形冷轧钢管制作；自动弯管机弯制成型；高度≥300mm，长度≥1700mm，护栏与床挺长横梁采用无缝满焊方式进行焊接，检测项目【金属喷漆（塑）涂层硬度：≥2H；附着力不低于2级】检验结论合格或符合。</w:t>
            </w:r>
          </w:p>
          <w:p w14:paraId="7096B46C">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6、床铺板：采用9mm（±1mm）实木多层床铺板，检测项目【甲醛释放量≤0.1mg/L，胶合强度要求：试件强度值≥1.50MPa；静曲强度（横纹）试件强度值≥30MPa】。</w:t>
            </w:r>
          </w:p>
          <w:p w14:paraId="2891240A">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7、床的塑料零部件采用ABS家具用塑料胶套检测项目【重金属含量：无铅汞有害物质未检】。</w:t>
            </w:r>
          </w:p>
          <w:p w14:paraId="5AC48039">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8、塑粉：检测项目【硬度≥3H，附着力≤1级，重金属中可溶性（铅≤15mg/kg、镉≤22mg/kg、铬≤18mg/kg、汞≤13mg/kg）；总铅含量≤11mg/kg，有害物质限量中可溶性（镉≤18mg/kg、铬≤28mg/kg、汞≤23mg/kg】。</w:t>
            </w:r>
          </w:p>
          <w:p w14:paraId="35E46DCA">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9、床护栏和走梯木板基材：采用E1级环保三胺饰面板检测项目【静曲强度≥14.0MPa；弹性模量≥3000MPa；内结合强度≥0.40MPa；表面胶合强度≥1.10MPa；含水率5%-12%；2h吸水厚度膨胀率≤2.0；密度0.50g/cm³-0.80g/cm³；表面耐磨：磨耗值≤30mg/100r;表面耐干热达到4.5级以上；表面耐龟裂达到4.5级以上；甲醛释放量≤0.020mg/m³】；</w:t>
            </w:r>
          </w:p>
          <w:p w14:paraId="319706B7">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10、床护栏和走梯木板覆面材料：三聚氰胺纸检测项目【胶膜纸理化性能要求（预固化度≥40%、挥发物含量≥6.9%），甲醛释放量ENF≤0.018mg/m³】；</w:t>
            </w:r>
          </w:p>
        </w:tc>
        <w:tc>
          <w:tcPr>
            <w:tcW w:w="3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D4E42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组</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FF789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104</w:t>
            </w:r>
          </w:p>
        </w:tc>
      </w:tr>
      <w:tr w14:paraId="50E2AD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BCA74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8</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96D7A0">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八门8人储物柜</w:t>
            </w:r>
          </w:p>
        </w:tc>
        <w:tc>
          <w:tcPr>
            <w:tcW w:w="3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62CB2C">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八门8人储物柜规格：≥L850mm*W420mm*H1800mm±2mm；</w:t>
            </w:r>
          </w:p>
          <w:p w14:paraId="2CD96C75">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材质说明：</w:t>
            </w:r>
          </w:p>
          <w:p w14:paraId="492B3079">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柜体采用国产一级冷轧钢板，板材厚度≥0.8MM:：采用冷轧钢板，厚度≥0.8mm；产品表面涂层理化性能：硬度≥H，附着力应不低于2级；金属表面耐腐蚀：中性盐雾（连续喷雾300小时及以上），镀（涂）层本身的耐腐蚀等级≥9级（10级最好，0级最差），镀（涂）层对基体的保护等级≥9级（10级最好，0级最差）；符合GB/T 3325-2017 《金属家具通用技术条件》，QB/T 3826-1999《轻工产品金属镀层和化学处理层的耐腐蚀试验方法 中性盐雾试验(NSS)法》，QB/T 3832-1999《轻工产品金属镀层腐蚀试验结果的评价》，QB/T 4767-2014《家具用钢构件》标准。</w:t>
            </w:r>
          </w:p>
          <w:p w14:paraId="03775549">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喷涂粉末：表面采用环氧树脂粉末喷涂，外观：色泽均匀，无异物，呈松散粉末状；耐磨性、耐酸性、耐碱性、耐沸水性、耐盐雾性、耐湿性均通过检测，单项评价为达到合格；总铅（Pb）含量、可溶性重金属镉（Cd）、铬（Cr）、汞（Hg）含量均未检出；符合HG/T 2006《热固性和热塑性粉末涂料》，GB 18581-2020《木器涂料中有害物质限量》标准。</w:t>
            </w:r>
          </w:p>
        </w:tc>
        <w:tc>
          <w:tcPr>
            <w:tcW w:w="3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9DE7E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个</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95197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52</w:t>
            </w:r>
          </w:p>
        </w:tc>
      </w:tr>
      <w:tr w14:paraId="457593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E7762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9</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5425A1">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置物架</w:t>
            </w:r>
          </w:p>
        </w:tc>
        <w:tc>
          <w:tcPr>
            <w:tcW w:w="33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31D8A6">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定制。8位，放置毛巾、脸盆等洗漱用品。</w:t>
            </w:r>
          </w:p>
        </w:tc>
        <w:tc>
          <w:tcPr>
            <w:tcW w:w="3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354CB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组</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A57FA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52</w:t>
            </w:r>
          </w:p>
        </w:tc>
      </w:tr>
      <w:tr w14:paraId="3496D5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CBD3E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10</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40DA05">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学生单人午休课桌椅</w:t>
            </w:r>
          </w:p>
        </w:tc>
        <w:tc>
          <w:tcPr>
            <w:tcW w:w="3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A2B1A4">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1、课桌规格：≥长（625mm）×宽（435mm）×高（640-760mm）。</w:t>
            </w:r>
          </w:p>
          <w:p w14:paraId="0C7AAC87">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桌面：采用ＰＰ耐冲击塑料一级新料一体射出成型。规格≥625*430*30mm耐冲击。靠胸前处有一內弧造型设计，面板前端设置一冂字型防滑落凸条，总长度为1000mm±10mm，四周及底部完全不得有毛边，得需倒圆角，不刮手。</w:t>
            </w:r>
          </w:p>
          <w:p w14:paraId="3A145A1E">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书箱要求：采用PP塑料一级新料一体射出成型。不得采用回收料生产。外径尺寸：550*385*170mm，内径尺寸：445*355*158mm。功能：桌斗采用环保PP塑料，一次注塑而成，书箱底部设有波浪型排水槽，槽缝不少于≥伤手指36，槽缝之间宽度为6mm,以防夹手。</w:t>
            </w:r>
          </w:p>
          <w:p w14:paraId="09C78ECA">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3、桌架：采用优质冷轧钢管套管升降结构设计，升降管上架规格20*50mm椭圆管，升降管下架规格30*60mm椭圆管，壁厚均为1.2mm。两侧均设计有挂钩，链接书箱Y支架钢管采用20×40×1.2mm椭圆管经液压抽芯弯一次性弯制成型。</w:t>
            </w:r>
          </w:p>
          <w:p w14:paraId="6D5A83C0">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4、桌子脚托板：规格：≥415*250mm.底面有28个椭圆孔内柱，加强正面更加结实耐用，两侧各有一条包边，增加美观和结实度。正面有14条凹形长条纹和2个短条纹。合人体工学弧度设计。桌子脚托板可单独调节多个斜度，只要向前推一下，即回落到平面角度，向上提，即可调节多个斜度，调节到学生想到的角度。</w:t>
            </w:r>
          </w:p>
          <w:p w14:paraId="06D6F274">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5、椅子背板，座板，托脚板：采用全新环保PE原料，经高温熔解后，一次中空吹塑成形。</w:t>
            </w:r>
          </w:p>
          <w:p w14:paraId="29CDF66A">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6、背板规格：宽≥415*高410mm，表面有20个椭圆孔内柱，加强背面耐用和结实度，并有两条垂直凹槽，并安装有两个背胶盖，可以隐藏椅子安装背管，更加安全美观。背板正面有29条凹形长条纹排气孔，和6个短条纹排气孔，让靠背久了起到可散热作用。背板上方靠中间位设规格90*30mm一个拉手孔，方便搬动椅子。符合人体工学弧度设计。根据人体工程学，适应教育教学要求，体现舒适度，背板可调节5个不同角度：（180度、160度、130度、90度）实现上课、平躺、舒适躺、半躺四种模式。</w:t>
            </w:r>
          </w:p>
          <w:p w14:paraId="2B19930B">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7、座板规格≥420mm*415mm，表面有33个凹形长条排气孔，让久座后起到散热作用，合人体工学弧度设计。</w:t>
            </w:r>
          </w:p>
          <w:p w14:paraId="5A40E359">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8、椅子脚托板规格：≥415mm*250mm，表面有21个小圆孔，让脚放久后起到散热作用。午休椅脚托板可调节5个角度，包括90度、180度、160度、130度。</w:t>
            </w:r>
          </w:p>
          <w:p w14:paraId="576BE289">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9、扶手：两侧带PP扶手护栏，内镶实心拉元，规格：顶端宽度为≥40mm长≥275mm,离座板高度为≥150mm,更好保护孩子们午休时不会滑落更安全。</w:t>
            </w:r>
          </w:p>
          <w:p w14:paraId="39F99D63">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10、座背折叠托管采用≥20*30mm方管，壁厚≥1.2mm，背和脚托管，多档调节，无需任何工具，只要前后移动，移到想要的斜度即可使用。脚架立柱和脚底：采用≥30*60mm椭圆管，壁厚1.2mm。</w:t>
            </w:r>
          </w:p>
          <w:p w14:paraId="163C74FC">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11、桌子和椅子升降功能为罗丝固定调节升降功能。</w:t>
            </w:r>
          </w:p>
          <w:p w14:paraId="441D70B1">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12、折叠铰链安全锁扣：座背板折叠铰链两侧各有一个≥6.1CM高*3.5CM宽*4.6CM长的PP塑胶套，右侧加装一个安全锁扣，规格长≥5.5CM*宽5.2CM*3.2CM高，折叠机关中间安装一个PP胶扣规格为5CM*4.3CM*1.5CM宽。</w:t>
            </w:r>
          </w:p>
          <w:p w14:paraId="6619C10A">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13、桌子和椅子在上课模式时，转换午休模式时，不需要调节桌子高度，也不需要调节椅子高度，即可直接转换午休模式。</w:t>
            </w:r>
          </w:p>
          <w:p w14:paraId="61818FEA">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14、材质为优质钢材，管材无裂缝，管材表面无毛刺、结疤、错位、压痕或划痕。钢制部分采用混合气体保护机器人焊接，焊接表面波纹均匀，焊接处无夹渣、气孔、焊瘤、焊丝头、咬边、飞溅，并保证无脱焊、虚焊、假焊及焊穿等现象。</w:t>
            </w:r>
          </w:p>
          <w:p w14:paraId="56EB0F1B">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15、表面除锈镀层要求：涂饰前零部件的表面应光滑、平整，不得有开裂、脱焊、漏焊、焊渣或飞边、尖角、毛刺等可能超成机械伤害的缺陷。</w:t>
            </w:r>
          </w:p>
          <w:p w14:paraId="3ED4CA4A">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16、喷塑要求：采用优质环保产品环氧聚脂塑粉静电喷塑，喷塑外膜的表面光滑平整，色泽均匀，喷塑层无漏喷、起泡、模糊、划痕或碰伤等缺陷。</w:t>
            </w:r>
          </w:p>
          <w:p w14:paraId="489F97F6">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17、其他要求：其余链接有使用到螺栓、螺帽的地方均考虑边角圆滑问题，或在板材上使用沉头设计，或使用其它保护配件等，防止刮伤。</w:t>
            </w:r>
          </w:p>
        </w:tc>
        <w:tc>
          <w:tcPr>
            <w:tcW w:w="3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F73D8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C1A89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1100</w:t>
            </w:r>
          </w:p>
        </w:tc>
      </w:tr>
      <w:tr w14:paraId="6668E5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2B5DC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11</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908B09">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窗帘</w:t>
            </w:r>
          </w:p>
        </w:tc>
        <w:tc>
          <w:tcPr>
            <w:tcW w:w="3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0C5335">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成分：百分之百聚酯纤维幅宽：≥2.8米，等级：一级及以上（含一级）克重：≥1000色牢度：≥四级环保：达到国家标准（GB18401—2010C类）缩水率：小于等于0.02%遮光率：≥90%产品要求：遮光、遮挡紫外线、防静电、抗菌、手感好。铝合金轨道：厚度≥1.5mm，耐用、硬度高、纳米无声轨道布带：采用抗晒、防腐、防老化布带，宽度≥8cm叉钩：采用高硬度金属四爪钩，硬度高、不生锈</w:t>
            </w:r>
          </w:p>
          <w:p w14:paraId="29D9AEE7">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阻燃：B1级</w:t>
            </w:r>
          </w:p>
          <w:p w14:paraId="07A05745">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性能：</w:t>
            </w:r>
          </w:p>
          <w:p w14:paraId="7723275F">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1，续燃时间阴燃时间≤5s损毁长度≤150mm。符合GB/T5455-2014条件A。</w:t>
            </w:r>
          </w:p>
          <w:p w14:paraId="34F57193">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2，极限氧指数#1（水洗50次样布），经向≥32.0%，纬向≥32.0%，符合GB/T5454-1997。</w:t>
            </w:r>
          </w:p>
          <w:p w14:paraId="7A454609">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3，产烟毒性ZA2级#2（产烟浓度≥12.4mg/L）（水洗50次样布）麻醉性：实验小鼠30min染毒期内无死亡（包括染毒后1h）刺激性：实验小鼠在染毒后3天内平均体重恢复，符合GB/T20285-2006标准。</w:t>
            </w:r>
          </w:p>
          <w:p w14:paraId="7009BBDF">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4，烟密度等级（SDR）#2（试样厚度6.0mm）（水洗50次样布）≤15GB/T8627-2007。</w:t>
            </w:r>
          </w:p>
          <w:p w14:paraId="30EDFE8F">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5，防霉测试#3在放大镜下无明显长霉1，霉菌生长稀少或局部生长，在样品表面的覆盖面积＜10%2，霉菌在样品表面的覆盖面积＜30%（10%~30%）3，霉菌在样品表面的覆盖面积＜60%（30%~60%）4，霉菌在样品表面的覆盖面积达到或过60%，符合GB/T24346-2009。</w:t>
            </w:r>
          </w:p>
          <w:p w14:paraId="101CE8FC">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6，防螨性能#3具有≥95%极强的防螨效果，具有≥80%较强的防螨效果，具有≥60%防螨效果，符合GB/T24253-20099.1驱避法。</w:t>
            </w:r>
          </w:p>
          <w:p w14:paraId="15110A5A">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7，抑菌率#3（水洗100次）金黄色葡萄球菌ATCC6538≥90%大肠杆菌ATCC25922≥80%ATCC10231≥70%肺炎克雷白氏菌ATCC4352≥90%铜绿假单胞菌ATCC9027≥90%符合5A级别GB/T20944.3-2008振荡法菌液浓度(CFU/ml)：金黄色萄球菌：3.0*105大肠杆菌：3.4*105白色念珠菌：3.0*105肺炎克雷白氏菌：3.0*105铜绿假单胞菌：3.0*105。</w:t>
            </w:r>
          </w:p>
        </w:tc>
        <w:tc>
          <w:tcPr>
            <w:tcW w:w="3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17457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米</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70AFA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6000</w:t>
            </w:r>
          </w:p>
        </w:tc>
      </w:tr>
      <w:tr w14:paraId="56D28F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5000" w:type="pct"/>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621BD9">
            <w:pP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三、综合楼一楼空调系统</w:t>
            </w:r>
          </w:p>
        </w:tc>
      </w:tr>
      <w:tr w14:paraId="088C8A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29689F">
            <w:pPr>
              <w:keepNext w:val="0"/>
              <w:keepLines w:val="0"/>
              <w:widowControl/>
              <w:suppressLineNumbers w:val="0"/>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序号</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F8C007">
            <w:pPr>
              <w:keepNext w:val="0"/>
              <w:keepLines w:val="0"/>
              <w:widowControl/>
              <w:suppressLineNumbers w:val="0"/>
              <w:jc w:val="left"/>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名称</w:t>
            </w:r>
          </w:p>
        </w:tc>
        <w:tc>
          <w:tcPr>
            <w:tcW w:w="3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C52759">
            <w:pPr>
              <w:keepNext w:val="0"/>
              <w:keepLines w:val="0"/>
              <w:widowControl/>
              <w:suppressLineNumbers w:val="0"/>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技术参数</w:t>
            </w: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96011C">
            <w:pPr>
              <w:keepNext w:val="0"/>
              <w:keepLines w:val="0"/>
              <w:widowControl/>
              <w:suppressLineNumbers w:val="0"/>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单位</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E42D4F">
            <w:pPr>
              <w:keepNext w:val="0"/>
              <w:keepLines w:val="0"/>
              <w:widowControl/>
              <w:suppressLineNumbers w:val="0"/>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数量</w:t>
            </w:r>
          </w:p>
        </w:tc>
      </w:tr>
      <w:tr w14:paraId="6C7B9E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5000" w:type="pct"/>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B1D4BD">
            <w:pPr>
              <w:jc w:val="left"/>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1.   2拖16中央空调</w:t>
            </w:r>
          </w:p>
        </w:tc>
      </w:tr>
      <w:tr w14:paraId="10F9D6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1E5CC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29975A">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室外机</w:t>
            </w:r>
          </w:p>
        </w:tc>
        <w:tc>
          <w:tcPr>
            <w:tcW w:w="3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AF5C7A">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 xml:space="preserve">匹数：≥42匹      </w:t>
            </w:r>
          </w:p>
          <w:p w14:paraId="773E4268">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机器尺寸（高*宽*厚）：≥1800×1880×825 (尺寸仅参考)</w:t>
            </w:r>
          </w:p>
          <w:p w14:paraId="72E6208F">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 xml:space="preserve">制冷量：≥117kW  </w:t>
            </w:r>
          </w:p>
          <w:p w14:paraId="38826CC4">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 xml:space="preserve">制冷用电功率：≤35kW </w:t>
            </w:r>
          </w:p>
          <w:p w14:paraId="6EA1F39E">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制热用电功率：≤33kW</w:t>
            </w:r>
          </w:p>
          <w:p w14:paraId="2B468F94">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适配电缆规格（YJV）:25</w:t>
            </w: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4B6C6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9F3DC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w:t>
            </w:r>
          </w:p>
        </w:tc>
      </w:tr>
      <w:tr w14:paraId="5883AC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FDFAD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210B87">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室内机</w:t>
            </w:r>
          </w:p>
        </w:tc>
        <w:tc>
          <w:tcPr>
            <w:tcW w:w="3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FD9717">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制冷量：≥16kW</w:t>
            </w:r>
          </w:p>
          <w:p w14:paraId="06794BFA">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制冷用电功率：≤0.24kW</w:t>
            </w:r>
          </w:p>
          <w:p w14:paraId="1D6E25DA">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适配电缆规格（YJV）:配套</w:t>
            </w: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D0C6B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A933D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16</w:t>
            </w:r>
          </w:p>
        </w:tc>
      </w:tr>
      <w:tr w14:paraId="32DE1D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5000" w:type="pct"/>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42AAE3">
            <w:pPr>
              <w:jc w:val="left"/>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2.   3拖28中央空调</w:t>
            </w:r>
          </w:p>
        </w:tc>
      </w:tr>
      <w:tr w14:paraId="64F46E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D7D92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124222">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室外机</w:t>
            </w:r>
          </w:p>
        </w:tc>
        <w:tc>
          <w:tcPr>
            <w:tcW w:w="3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1A3827">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 xml:space="preserve">匹数：≥36匹      </w:t>
            </w:r>
          </w:p>
          <w:p w14:paraId="3EA1019D">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机器尺寸（高*宽*厚）：1800×1880×825 (尺寸仅参考)</w:t>
            </w:r>
          </w:p>
          <w:p w14:paraId="104CE144">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 xml:space="preserve">制冷量：≥100kW  </w:t>
            </w:r>
          </w:p>
          <w:p w14:paraId="6AC914D1">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 xml:space="preserve">制冷用电功率：≤28kW </w:t>
            </w:r>
          </w:p>
          <w:p w14:paraId="7FFC586F">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制热用电功率：≤28kW</w:t>
            </w:r>
          </w:p>
          <w:p w14:paraId="7C821C7C">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适配电缆规格（YJV）:16</w:t>
            </w:r>
          </w:p>
        </w:tc>
        <w:tc>
          <w:tcPr>
            <w:tcW w:w="3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3C849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297F0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w:t>
            </w:r>
          </w:p>
        </w:tc>
      </w:tr>
      <w:tr w14:paraId="5C2B3E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FC362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5790D2">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室内机</w:t>
            </w:r>
          </w:p>
        </w:tc>
        <w:tc>
          <w:tcPr>
            <w:tcW w:w="3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BFA858">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制冷量：≥12kW</w:t>
            </w:r>
          </w:p>
          <w:p w14:paraId="7D3E5E5C">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制冷用电功率：≤0.3kW</w:t>
            </w:r>
          </w:p>
          <w:p w14:paraId="6B49E00D">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适配电缆规格（YJV）:配套</w:t>
            </w:r>
          </w:p>
        </w:tc>
        <w:tc>
          <w:tcPr>
            <w:tcW w:w="3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D48D1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FE7DF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r>
      <w:tr w14:paraId="38D3B7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076BC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6EFE16">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室内机</w:t>
            </w:r>
          </w:p>
        </w:tc>
        <w:tc>
          <w:tcPr>
            <w:tcW w:w="3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C961B5">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制冷量：≥8kW</w:t>
            </w:r>
          </w:p>
          <w:p w14:paraId="46F41417">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制冷用电功率：≤0.18kW</w:t>
            </w:r>
          </w:p>
          <w:p w14:paraId="0FA54236">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适配电缆规格（YJV）：配套</w:t>
            </w:r>
          </w:p>
        </w:tc>
        <w:tc>
          <w:tcPr>
            <w:tcW w:w="3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E5114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57B46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w:t>
            </w:r>
          </w:p>
        </w:tc>
      </w:tr>
      <w:tr w14:paraId="64A04F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B2691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011458">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室内机</w:t>
            </w:r>
          </w:p>
        </w:tc>
        <w:tc>
          <w:tcPr>
            <w:tcW w:w="3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71C8AA">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制冷量：≥8（w)</w:t>
            </w:r>
          </w:p>
          <w:p w14:paraId="2029E0B1">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制冷用电功率（w):0.106</w:t>
            </w:r>
          </w:p>
          <w:p w14:paraId="16A3348C">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适配电缆规格（YJV）:1.50MCA(A) 15MFA(A)</w:t>
            </w:r>
          </w:p>
        </w:tc>
        <w:tc>
          <w:tcPr>
            <w:tcW w:w="3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11D81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6BB8B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w:t>
            </w:r>
          </w:p>
        </w:tc>
      </w:tr>
      <w:tr w14:paraId="61383F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64757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5</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881A36">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室内机</w:t>
            </w:r>
          </w:p>
        </w:tc>
        <w:tc>
          <w:tcPr>
            <w:tcW w:w="3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9D1504">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制冷量：≥3.5kW</w:t>
            </w:r>
          </w:p>
          <w:p w14:paraId="54751D17">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制冷用电功率：≤0.11kW</w:t>
            </w:r>
          </w:p>
          <w:p w14:paraId="1DD71D5C">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适配电缆规格（YJV）:配套</w:t>
            </w:r>
          </w:p>
        </w:tc>
        <w:tc>
          <w:tcPr>
            <w:tcW w:w="3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B86F6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E6549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w:t>
            </w:r>
          </w:p>
        </w:tc>
      </w:tr>
      <w:tr w14:paraId="059311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EA834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6</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982055">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室内机</w:t>
            </w:r>
          </w:p>
        </w:tc>
        <w:tc>
          <w:tcPr>
            <w:tcW w:w="3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2FB1B0">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制冷量：≥2.5kW</w:t>
            </w:r>
          </w:p>
          <w:p w14:paraId="1C1E995F">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制冷用电功率：≤0.06kW</w:t>
            </w:r>
          </w:p>
          <w:p w14:paraId="13AF5E4E">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适配电缆规格（YJV）:配套</w:t>
            </w:r>
          </w:p>
        </w:tc>
        <w:tc>
          <w:tcPr>
            <w:tcW w:w="3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B2AEC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0A0B9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w:t>
            </w:r>
          </w:p>
        </w:tc>
      </w:tr>
      <w:tr w14:paraId="1CD003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229FF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7</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49C490">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室内机</w:t>
            </w:r>
          </w:p>
        </w:tc>
        <w:tc>
          <w:tcPr>
            <w:tcW w:w="3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5A987F">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制冷量：≥4kW</w:t>
            </w:r>
          </w:p>
          <w:p w14:paraId="03B6C8B1">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制冷用电功率：≤0.11kW</w:t>
            </w:r>
          </w:p>
          <w:p w14:paraId="1D6F0128">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适配电缆规格（YJV）:配套</w:t>
            </w:r>
          </w:p>
        </w:tc>
        <w:tc>
          <w:tcPr>
            <w:tcW w:w="3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AEC60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AD42C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r>
      <w:tr w14:paraId="5EE021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F6796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8</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15FE46">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室内机</w:t>
            </w:r>
          </w:p>
        </w:tc>
        <w:tc>
          <w:tcPr>
            <w:tcW w:w="3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63BEE7">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制冷量：≥15kW</w:t>
            </w:r>
          </w:p>
          <w:p w14:paraId="44ABF0C5">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制冷用电功率：≤0.25kW</w:t>
            </w:r>
          </w:p>
          <w:p w14:paraId="42D031BB">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适配电缆规格（YJV）:配套</w:t>
            </w:r>
          </w:p>
        </w:tc>
        <w:tc>
          <w:tcPr>
            <w:tcW w:w="3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FFC89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AD845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12</w:t>
            </w:r>
          </w:p>
        </w:tc>
      </w:tr>
      <w:tr w14:paraId="0BCA81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BB9C2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9</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BE21B7">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室内机</w:t>
            </w:r>
          </w:p>
        </w:tc>
        <w:tc>
          <w:tcPr>
            <w:tcW w:w="3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0D3FCF">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制冷量：≥7kW</w:t>
            </w:r>
          </w:p>
          <w:p w14:paraId="2DF6AF9D">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制冷用电功率：≤0.2kW</w:t>
            </w:r>
          </w:p>
          <w:p w14:paraId="601AA371">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适配电缆规格（YJV）:配套</w:t>
            </w:r>
          </w:p>
        </w:tc>
        <w:tc>
          <w:tcPr>
            <w:tcW w:w="3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00372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5ACF2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w:t>
            </w:r>
          </w:p>
        </w:tc>
      </w:tr>
      <w:tr w14:paraId="6F4314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5000" w:type="pct"/>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B52380">
            <w:pPr>
              <w:jc w:val="left"/>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3.   3拖20中央空调</w:t>
            </w:r>
          </w:p>
        </w:tc>
      </w:tr>
      <w:tr w14:paraId="23E61A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B2769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724797">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室外机01</w:t>
            </w:r>
          </w:p>
        </w:tc>
        <w:tc>
          <w:tcPr>
            <w:tcW w:w="3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338F52">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 xml:space="preserve">匹数：≥30匹      </w:t>
            </w:r>
          </w:p>
          <w:p w14:paraId="6BC0A890">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机器尺寸（高*宽*厚）：1800×1880×825 (尺寸仅参考)</w:t>
            </w:r>
          </w:p>
          <w:p w14:paraId="02A8422D">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 xml:space="preserve">制冷量：≥80kW  </w:t>
            </w:r>
          </w:p>
          <w:p w14:paraId="39040862">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 xml:space="preserve">制冷用电功率：≤25kW </w:t>
            </w:r>
          </w:p>
          <w:p w14:paraId="548DACF5">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制热用电功率：≤25kW</w:t>
            </w:r>
          </w:p>
          <w:p w14:paraId="5AFB3C4A">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适配电缆规格（YJV）:16</w:t>
            </w:r>
          </w:p>
        </w:tc>
        <w:tc>
          <w:tcPr>
            <w:tcW w:w="3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EBBFC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525EC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r>
      <w:tr w14:paraId="6612CD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5C577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660DCF">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室外机02</w:t>
            </w:r>
          </w:p>
        </w:tc>
        <w:tc>
          <w:tcPr>
            <w:tcW w:w="3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F009C9">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 xml:space="preserve">匹数：≥25匹      </w:t>
            </w:r>
          </w:p>
          <w:p w14:paraId="4DDD4CFE">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机器尺寸（高*宽*厚）：1800×1390×825 (尺寸仅参考)</w:t>
            </w:r>
          </w:p>
          <w:p w14:paraId="2A0A0EC7">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 xml:space="preserve">制冷量：≥73kW  </w:t>
            </w:r>
          </w:p>
          <w:p w14:paraId="5AD94AF3">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 xml:space="preserve">制冷用电功率：≤20kW </w:t>
            </w:r>
          </w:p>
          <w:p w14:paraId="71A108CF">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制热用电功率：≤20kW</w:t>
            </w:r>
          </w:p>
          <w:p w14:paraId="660FDF48">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适配电缆规格（YJV）:10</w:t>
            </w:r>
          </w:p>
        </w:tc>
        <w:tc>
          <w:tcPr>
            <w:tcW w:w="3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ECB99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4F0DA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r>
      <w:tr w14:paraId="60941F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F943B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6B2AC2">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室外机03</w:t>
            </w:r>
          </w:p>
        </w:tc>
        <w:tc>
          <w:tcPr>
            <w:tcW w:w="3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2DE68B">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 xml:space="preserve">匹数：≥22匹      </w:t>
            </w:r>
          </w:p>
          <w:p w14:paraId="0669EA84">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 xml:space="preserve">机器尺寸（高*宽*厚）：1800×1880×825(尺寸仅参考) </w:t>
            </w:r>
          </w:p>
          <w:p w14:paraId="2AD59F14">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 xml:space="preserve">制冷量：≥65kW  </w:t>
            </w:r>
          </w:p>
          <w:p w14:paraId="1F2AD3C7">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 xml:space="preserve">制冷用电功率：≤19kW </w:t>
            </w:r>
          </w:p>
          <w:p w14:paraId="7488D138">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制热用电功率：≤18kW</w:t>
            </w:r>
          </w:p>
          <w:p w14:paraId="178AB38E">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适配电缆规格（YJV）:10</w:t>
            </w:r>
          </w:p>
        </w:tc>
        <w:tc>
          <w:tcPr>
            <w:tcW w:w="3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57626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56709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r>
      <w:tr w14:paraId="4C61CB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38A61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361EB9">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室内机01</w:t>
            </w:r>
          </w:p>
        </w:tc>
        <w:tc>
          <w:tcPr>
            <w:tcW w:w="3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48C76F">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制冷量：≥15kW</w:t>
            </w:r>
          </w:p>
          <w:p w14:paraId="672884F2">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制冷用电功率：≤0.23kW</w:t>
            </w:r>
          </w:p>
          <w:p w14:paraId="03E32423">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适配电缆规格（YJV）:配套</w:t>
            </w: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57734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C3A00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10</w:t>
            </w:r>
          </w:p>
        </w:tc>
      </w:tr>
      <w:tr w14:paraId="6ED950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06A66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5</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A3DCD1">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室内机02</w:t>
            </w:r>
          </w:p>
        </w:tc>
        <w:tc>
          <w:tcPr>
            <w:tcW w:w="3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AB8EA6">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制冷量：≥5kW</w:t>
            </w:r>
          </w:p>
          <w:p w14:paraId="40FE5FF0">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制冷用电功率：≤0.1kW</w:t>
            </w:r>
          </w:p>
          <w:p w14:paraId="62E2C806">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适配电缆规格（YJV）:配套</w:t>
            </w: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C0087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61523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w:t>
            </w:r>
          </w:p>
        </w:tc>
      </w:tr>
      <w:tr w14:paraId="1058DC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0A38A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6</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4797EA">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室内机03</w:t>
            </w:r>
          </w:p>
        </w:tc>
        <w:tc>
          <w:tcPr>
            <w:tcW w:w="3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F59F5B">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制冷量：≥10kW</w:t>
            </w:r>
          </w:p>
          <w:p w14:paraId="2DD4962E">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制冷用电功率：≤0.18kW</w:t>
            </w:r>
          </w:p>
          <w:p w14:paraId="783A9824">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适配电缆规格（YJV）:配套</w:t>
            </w: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44153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96248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w:t>
            </w:r>
          </w:p>
        </w:tc>
      </w:tr>
      <w:tr w14:paraId="1ABEB8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48EAC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7</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96B830">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室内机04</w:t>
            </w:r>
          </w:p>
        </w:tc>
        <w:tc>
          <w:tcPr>
            <w:tcW w:w="3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B6172E">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制冷量：≥4kW</w:t>
            </w:r>
          </w:p>
          <w:p w14:paraId="57F1C26A">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制冷用电功率：≤0.11kW</w:t>
            </w:r>
          </w:p>
          <w:p w14:paraId="240D7AC4">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适配电缆规格（YJV）:配套</w:t>
            </w: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D82CB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57378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r>
      <w:tr w14:paraId="2F821E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EFCB8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8</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A8C002">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室内机05</w:t>
            </w:r>
          </w:p>
        </w:tc>
        <w:tc>
          <w:tcPr>
            <w:tcW w:w="3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0639AA">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制冷量：≥7kW</w:t>
            </w:r>
          </w:p>
          <w:p w14:paraId="583A2DC9">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制冷用电功率：≤0.17kW</w:t>
            </w:r>
          </w:p>
          <w:p w14:paraId="1CF5C527">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适配电缆规格（YJV）:配套</w:t>
            </w: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14CE8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C7A4E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r>
      <w:tr w14:paraId="11DD58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02158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9</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33ED25">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室内机06</w:t>
            </w:r>
          </w:p>
        </w:tc>
        <w:tc>
          <w:tcPr>
            <w:tcW w:w="3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C04147">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制冷量：≥3kW</w:t>
            </w:r>
          </w:p>
          <w:p w14:paraId="5F9ED91D">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制冷用电功率：≤0.11kW</w:t>
            </w:r>
          </w:p>
          <w:p w14:paraId="6252999A">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适配电缆规格（YJV）:配套</w:t>
            </w: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916BA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EAD2D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r>
      <w:tr w14:paraId="787F9C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C83F5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10</w:t>
            </w:r>
          </w:p>
        </w:tc>
        <w:tc>
          <w:tcPr>
            <w:tcW w:w="5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BEDF52">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普通空调柜机</w:t>
            </w:r>
          </w:p>
        </w:tc>
        <w:tc>
          <w:tcPr>
            <w:tcW w:w="3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80BDF8">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控制方式:遥控式</w:t>
            </w:r>
          </w:p>
          <w:p w14:paraId="5B6C4AA7">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制冷量:≥7200W</w:t>
            </w:r>
          </w:p>
          <w:p w14:paraId="121BA017">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 xml:space="preserve">能效等级:不低于三级 </w:t>
            </w:r>
          </w:p>
          <w:p w14:paraId="1ECC858D">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电源电压:220V</w:t>
            </w:r>
          </w:p>
          <w:p w14:paraId="05924FD6">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电源频率:50Hz</w:t>
            </w:r>
          </w:p>
          <w:p w14:paraId="7307BC78">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变频/定频:变频</w:t>
            </w:r>
          </w:p>
          <w:p w14:paraId="1CEBD8D3">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内机机身尺寸（mm）:≥长510*宽315*高1750(尺寸仅参考)</w:t>
            </w:r>
          </w:p>
          <w:p w14:paraId="4969FC6A">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外机机身尺寸（mm）:≥长890*宽342*高673(尺寸仅参考)</w:t>
            </w: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B0EE6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B9521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w:t>
            </w:r>
          </w:p>
        </w:tc>
      </w:tr>
      <w:tr w14:paraId="07A3B8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5000" w:type="pct"/>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45FDDD">
            <w:pP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四、综合楼家具设施</w:t>
            </w:r>
          </w:p>
        </w:tc>
      </w:tr>
      <w:tr w14:paraId="2ED013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089BD7">
            <w:pPr>
              <w:keepNext w:val="0"/>
              <w:keepLines w:val="0"/>
              <w:widowControl/>
              <w:suppressLineNumbers w:val="0"/>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序号</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2D612F">
            <w:pPr>
              <w:keepNext w:val="0"/>
              <w:keepLines w:val="0"/>
              <w:widowControl/>
              <w:suppressLineNumbers w:val="0"/>
              <w:jc w:val="left"/>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名称</w:t>
            </w:r>
          </w:p>
        </w:tc>
        <w:tc>
          <w:tcPr>
            <w:tcW w:w="3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8B2F85">
            <w:pPr>
              <w:keepNext w:val="0"/>
              <w:keepLines w:val="0"/>
              <w:widowControl/>
              <w:suppressLineNumbers w:val="0"/>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技术参数</w:t>
            </w: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77B1C6">
            <w:pPr>
              <w:keepNext w:val="0"/>
              <w:keepLines w:val="0"/>
              <w:widowControl/>
              <w:suppressLineNumbers w:val="0"/>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单位</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704FBD">
            <w:pPr>
              <w:keepNext w:val="0"/>
              <w:keepLines w:val="0"/>
              <w:widowControl/>
              <w:suppressLineNumbers w:val="0"/>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数量</w:t>
            </w:r>
          </w:p>
        </w:tc>
      </w:tr>
      <w:tr w14:paraId="41C12F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4505D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D3ABE1">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礼堂椅</w:t>
            </w:r>
          </w:p>
        </w:tc>
        <w:tc>
          <w:tcPr>
            <w:tcW w:w="3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F1D769">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座椅规格：</w:t>
            </w:r>
          </w:p>
          <w:p w14:paraId="4AC37C51">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 xml:space="preserve">总高：1000-1030 ；中心距：560±10mm；座内宽：500±10mm； </w:t>
            </w:r>
          </w:p>
          <w:p w14:paraId="68C231CC">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 xml:space="preserve">坐高：440±10mm；地到扶手高：620±10mm；扶手长：250±10mm; </w:t>
            </w:r>
          </w:p>
          <w:p w14:paraId="6A0C0531">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 xml:space="preserve">扶手宽：60±10mm；厚：20±2mm；基本椅深：760±10mm；  </w:t>
            </w:r>
          </w:p>
          <w:p w14:paraId="65B049B6">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建议最小行距：950mm-1000mm.。可选配夜光座排号。</w:t>
            </w:r>
          </w:p>
          <w:p w14:paraId="2C1A3128">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技术参数说明：</w:t>
            </w:r>
          </w:p>
          <w:p w14:paraId="677495D7">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椅背背外板：采用高密度硬木多层板，经模具冷压成型，表层为榉木皮，经过打磨，批灰处理之后，使用PE透明底油打底，再次打磨，修色。最后表面喷一层(哑光、亮光)面油，用100ww的太阳灯烘干为止，环保、不褪色、抗变型、精制而成，背外板规格：长度为≥760mm，上围宽≥440mm，下围宽≥500mm，厚度为≥15mm。背内板：采用夹板经模具压注成型，厚度≥6mm，外型成弧型，具有曲线美。背海绵：采用高密度冷发泡定型海绵，曲线符合人体工程学原理，密度≥50kg/m3，使座椅在长时间使用下不变形，舒适度好，回弹性好，永不变形。背海绵尺寸规格：背海绵长度≥720mm，宽度≥460mm，厚度≥120mm。</w:t>
            </w:r>
          </w:p>
          <w:p w14:paraId="126D42B4">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椅座：座外板：采用高密度硬木多层板，经模具冷压成型，表层为榉木皮，经过打磨，批灰处理之后，使用PE透明底油打底，再次打磨，修色。最后表面喷一层(哑光、亮光)面油，用100ww的太阳灯烘干为止，采用环保油漆、不褪色、抗变型，座板使用排钻机开圆孔附121个独特蜂窝式吸音气孔与排气孔，整体吸音率0.5，全场能在0.1秒内消除回音，有效降低室内噪音与保证座椅的良好透气性能。便于通风凉爽吸音。座外板规格：长度≥460mm，宽度≥430mm，厚度≥15mm。座海绵：采用高密度冷发泡定型海绵。座海绵尺寸规格：长度≥500mm，宽度≥460mm，最厚处海绵厚度≥140mm，海绵密度≥50kg/m3，使座椅在长时间使用下不变形，舒适度好，回弹性好，永不变形。座框架结构：采用弹簧加钢架回位结构，内置铁框，使座包更牢固结实，不存在故障，持久耐用.中心铁加弹簧回复，增强座椅牢固度，延迟其使用寿命。</w:t>
            </w:r>
          </w:p>
          <w:p w14:paraId="473D2184">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3、椅脚：铝合金站脚：采用铝合金经模具一体压铸成型，无毛剌，无焊接，表面经精抛光处理、抗氧化处理后，再采用环氧聚酯粉末涂料进行表面的防静电喷涂，具有很好抗腐蚀性和表面光洁度。铝合金上架规格尺寸：上框架长≥400mm，下框架≥340mm，高≥355mm.铝合金脚掌规格尺寸：长≥345mm，宽≥60mm，高≥35mm,孔对孔≥310mm，脚架总高≥580mm。上架上分布有7个侧板安装孔，使之侧板安装后牢固。脚掌孔采用M8膨胀螺丝+M12膨胀胶固定到地面，表面卡扣式PP胶盖嵌入，起到防尘作用。扶手面：采用橡木扶手，经六次以上喷油、打磨，高度聚脂环保漆精细饰面，圆润，右边扶手+铝合金旋转轴支架+铝合金写字板组合，左扶手+扶手壁组合。扶手面宽≥60mm，扶手面长≥250mm，扶手面厚≥20mm.扶手壁：采用铝合金经模具一体压铸成型，无毛剌，无焊接，表面经精抛光处理、抗氧化处理后，再采用环氧聚酯粉末涂料进行表面的防静电喷涂，规格尺寸：长≥270mm，宽≥60mm，高≥60mm。</w:t>
            </w:r>
          </w:p>
          <w:p w14:paraId="6A96B16B">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4、写字板：倒插式翻转写字板采用ABS塑料，注塑一体成型，表面平整，环保，具有抗腐蚀、抗冲击、耐老化、耐磨、使用保持长期不变色等的特点。写字板转轴采用特有的定位装置，转轴旋转头为铝合金一体压铸成型，支撑连接部件也为铝合金经模具压铸一体成型，与站脚连接，上下翻动灵活。写字板尺寸：长≥305mm宽≥260mm厚≥10mm.板面设有小笔槽，笔槽长为≥160mm，宽为≥15mm，铝合金写字板托盘呈三角状，尺寸最长端≥190mm，最宽处≥100mm.翻转机构：采用特定装置支掌连接件，为铝合金压注成型,翻转支架，翻转无声。</w:t>
            </w:r>
          </w:p>
          <w:p w14:paraId="27DB9BD2">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5、布料：采用麻绒仿毛布料，软硬适中、手感舒适、粘接牢固，使用长时间无皱褶，无断裂、不起球、不褪色、防静电处理、耐磨、吸声、抗污。面料颜色可选</w:t>
            </w:r>
          </w:p>
          <w:p w14:paraId="6231DD1B">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6、侧板：采用密度板厚度为≥2mm表面复棉包布以扣胶钉形式扣紧，耐磨、防污、不退色触感柔和舒适，使侧板经久耐用，无法拔落。</w:t>
            </w:r>
          </w:p>
          <w:p w14:paraId="775DF022">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7、回位功能：采用弹簧+阻尼慢回复机构，精确定位，零回复噪音，阻尼装置完全隐蔽，不外露。座垫回位速度可调（2-6秒），噪音低至A声级（≤26dBA），观众离座时，座垫自动缓慢而有力回翻，回翻过程无冲击和噪音，从而保证会场的静音效果。</w:t>
            </w:r>
          </w:p>
          <w:p w14:paraId="5F885C2F">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8、地面固定2024-9-22采用防爆胶与自攻内六角螺丝结合安装，使座椅与地面固定。</w:t>
            </w: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230B2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位</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516B5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522</w:t>
            </w:r>
          </w:p>
        </w:tc>
      </w:tr>
      <w:tr w14:paraId="37D230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8FED2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C2F531">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礼堂椅套</w:t>
            </w:r>
          </w:p>
        </w:tc>
        <w:tc>
          <w:tcPr>
            <w:tcW w:w="3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869821">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椅套按座椅造型制作，材料用（可选</w:t>
            </w:r>
            <w:r>
              <w:rPr>
                <w:rFonts w:hint="eastAsia" w:ascii="宋体" w:hAnsi="宋体" w:cs="宋体"/>
                <w:i w:val="0"/>
                <w:iCs w:val="0"/>
                <w:color w:val="auto"/>
                <w:kern w:val="0"/>
                <w:sz w:val="20"/>
                <w:szCs w:val="20"/>
                <w:highlight w:val="none"/>
                <w:u w:val="none"/>
                <w:lang w:val="en-US" w:eastAsia="zh-CN" w:bidi="ar"/>
              </w:rPr>
              <w:t>颜色</w:t>
            </w:r>
            <w:r>
              <w:rPr>
                <w:rFonts w:hint="eastAsia" w:ascii="宋体" w:hAnsi="宋体" w:eastAsia="宋体" w:cs="宋体"/>
                <w:i w:val="0"/>
                <w:iCs w:val="0"/>
                <w:color w:val="auto"/>
                <w:kern w:val="0"/>
                <w:sz w:val="20"/>
                <w:szCs w:val="20"/>
                <w:highlight w:val="none"/>
                <w:u w:val="none"/>
                <w:lang w:val="en-US" w:eastAsia="zh-CN" w:bidi="ar"/>
              </w:rPr>
              <w:t>）棉布制作，椅套正面采用丝网印制工艺制作号牌，椅套背面设计放置文件袋。</w:t>
            </w: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48818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DCAD6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522</w:t>
            </w:r>
          </w:p>
        </w:tc>
      </w:tr>
      <w:tr w14:paraId="140F77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732E7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22C606">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坐席条桌</w:t>
            </w:r>
          </w:p>
        </w:tc>
        <w:tc>
          <w:tcPr>
            <w:tcW w:w="3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0FA2EF">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条桌规格：≥L1780mm*W400mm*H750mm（误差允许±2mm）；</w:t>
            </w:r>
          </w:p>
          <w:p w14:paraId="4775FC80">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1.中密度纤维板：采用E0级中密纤维板做基材，经防腐、防虫环保处理，表面胶合强度≥1.8Mpa，含水率≤6%，静曲强度≥35MPa，弹性模量≥4600 MPa，吸水厚度膨胀率≤5%，内结合强度≥1 MPa，苯、甲苯、二甲苯，总挥发性有机物（TVOC)未检出；板边握螺钉力≥900N、板面握螺钉力≥1800N；甲醛释放量≤0.018mg/m³，符合GB 18580-2017《室内装饰装修材料 人造板及其制品中甲醛释放量》；GB/T 35601-2017《绿色产品评价 人造板和木质地板》；GB/T 11718-2021《中密度纤维板》标准。</w:t>
            </w:r>
          </w:p>
          <w:p w14:paraId="0168538D">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2.木皮：采用木皮贴面，木纹纹路自然清晰，厚度均匀，木皮厚度≥0.6mm，含水率7%-13%，甲醛释放量≤0.1mg/L；符合GB 18584-2001《室内装饰装修材料 木家具中有害物质限量》、GB/T 13010-2020《木材工业用单板》标准。</w:t>
            </w:r>
          </w:p>
          <w:p w14:paraId="593D581D">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3.胶黏剂：采用环保水基型胶黏剂，游离甲醛未检出，苯、甲苯、二甲苯未检出，总挥发性有机物≤20g/L，符合GB 18583-2008《室内装饰装修材料 胶粘剂中有害物质限量》标准。</w:t>
            </w:r>
          </w:p>
          <w:p w14:paraId="3D558D0B">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4.水性漆：采用环保水性漆，甲醛含量≤5mg/kg；总铅(Pb)含量(限色漆、腻子和醇酸清漆）≤90mg/Kg；可溶性重金属含量(限色漆、腻子和醇酸清漆）（镉(Cd≤75mg/kg、铬(Cr)≤60mg/kg、汞(Hg)≤60mg/kg）；笨系物（苯、甲苯、二甲苯、乙苯）含量总和≤50mg/kg；乙二醇醚及醚酯类（乙二醇甲醚、乙二醇甲醚醋酸酯、乙二醇乙醚、乙二醇乙醚醋酸酯、乙二醇二甲醚、乙二醇二乙醚、二乙二醇二甲醚、三乙二醇二甲醚）含量总和≤10mg/kg，符合GB 18581-2020《木器涂料中有害物质限量》标准。</w:t>
            </w:r>
          </w:p>
          <w:p w14:paraId="13B6FFF3">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5.三合一：采用五金配件，紧密拼接，牢固，间隙小，且均匀。三合一偏心连接件偏心体抗压强度应≥270N；三合一偏心连接件预埋螺母抗拉强度应≥630N；三合一偏心连接件中连接螺杆螺纹与预埋螺母的抗拉强度应≥810N；三合偏心连接件中偏心体与连接螺杆的扭矩≥7.0N·m，符合GB/T 28203-2011《家具用连接件技术要求及试验方法》标准。</w:t>
            </w:r>
          </w:p>
          <w:p w14:paraId="6C1A1144">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6.颜色可选.</w:t>
            </w: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8A187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张</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03233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7</w:t>
            </w:r>
          </w:p>
        </w:tc>
      </w:tr>
      <w:tr w14:paraId="3FD7E9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22B4A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5E17DD">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主席台（第一排）</w:t>
            </w:r>
          </w:p>
        </w:tc>
        <w:tc>
          <w:tcPr>
            <w:tcW w:w="3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2BE447">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主席台桌（第一排）规格：≥L1600mm*W600mm*H750mm（误差允许±2mm）；</w:t>
            </w:r>
          </w:p>
          <w:p w14:paraId="6A6F1603">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1.中密度纤维板：采用E0级中密纤维板做基材，经防腐、防虫环保处理，表面胶合强度≥1.8Mpa，含水率≤6%，静曲强度≥35MPa，弹性模量≥4600 MPa，吸水厚度膨胀率≤5%，内结合强度≥1 MPa，苯、甲苯、二甲苯，总挥发性有机物（TVOC)未检出；板边握螺钉力≥900N、板面握螺钉力≥1800N；甲醛释放量≤0.018mg/m³，符合GB 18580-2017《室内装饰装修材料 人造板及其制品中甲醛释放量》；GB/T 35601-2017《绿色产品评价 人造板和木质地板》；GB/T 11718-2021《中密度纤维板》标准。2.木皮：采用木皮贴面，木纹纹路自然清晰，厚度均匀，木皮厚度≥0.6mm，含水率7%-13%，甲醛释放量≤0.1mg/L；符合GB 18584-2001《室内装饰装修材料 木家具中有害物质限量》、GB/T 13010-2020《木材工业用单板》标准。3.胶黏剂：采用环保水基型胶黏剂，游离甲醛未检出，苯、甲苯、二甲苯未检出，总挥发性有机物≤20g/L，符合GB 18583-2008《室内装饰装修材料 胶粘剂中有害物质限量》标准。</w:t>
            </w:r>
          </w:p>
          <w:p w14:paraId="12062020">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4.水性漆：采用环保水性漆，甲醛含量≤5mg/kg；总铅(Pb)含量(限色漆、腻子和醇酸清漆）≤90mg/Kg；可溶性重金属含量(限色漆、腻子和醇酸清漆）（镉(Cd≤75mg/kg、铬(Cr)≤60mg/kg、汞(Hg)≤60mg/kg）；笨系物（苯、甲苯、二甲苯、乙苯）含量总和≤50mg/kg；乙二醇醚及醚酯类（乙二醇甲醚、乙二醇甲醚醋酸酯、乙二醇乙醚、乙二醇乙醚醋酸酯、乙二醇二甲醚、乙二醇二乙醚、二乙二醇二甲醚、三乙二醇二甲醚）含量总和≤10mg/kg，符合GB 18581-2020《木器涂料中有害物质限量》标准。</w:t>
            </w:r>
          </w:p>
          <w:p w14:paraId="54F58302">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5.三合一：采用五金配件，紧密拼接，牢固，间隙小，且均匀。三合一偏心连接件偏心体抗压强度应≥270N；三合一偏心连接件预埋螺母抗拉强度应≥630N；三合一偏心连接件中连接螺杆螺纹与预埋螺母的抗拉强度应≥810N；三合偏心连接件中偏心体与连接螺杆的扭矩≥7.0N·m，符合GB/T 28203-2011《家具用连接件技术要求及试验方法》标准。</w:t>
            </w:r>
          </w:p>
          <w:p w14:paraId="3565F07A">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6.颜色可选.</w:t>
            </w: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48AF8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张</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13DF8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5</w:t>
            </w:r>
          </w:p>
        </w:tc>
      </w:tr>
      <w:tr w14:paraId="5F702A4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85E39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5</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A8908D">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主席台（第一排）</w:t>
            </w:r>
          </w:p>
        </w:tc>
        <w:tc>
          <w:tcPr>
            <w:tcW w:w="3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B38B00">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规格：≥L800mm*W600mm*H750mm（误差允许±2mm）；</w:t>
            </w:r>
          </w:p>
          <w:p w14:paraId="4A9AE5D2">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1.中密度纤维板：采用E0级中密纤维板做基材，经防腐、防虫环保处理，表面胶合强度≥1.8Mpa，含水率≤6%，静曲强度≥35MPa，弹性模量≥4600 MPa，吸水厚度膨胀率≤5%，内结合强度≥1 MPa，苯、甲苯、二甲苯，总挥发性有机物（TVOC)未检出；板边握螺钉力≥900N、板面握螺钉力≥1800N；甲醛释放量≤0.018mg/m³，符合GB 18580-2017《室内装饰装修材料 人造板及其制品中甲醛释放量》；GB/T 35601-2017《绿色产品评价 人造板和木质地板》；GB/T 11718-2021《中密度纤维板》标准。</w:t>
            </w:r>
          </w:p>
          <w:p w14:paraId="0F93B14A">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2.木皮：采用木皮贴面，木纹纹路自然清晰，厚度均匀，木皮厚度≥0.6mm，含水率7%-13%，甲醛释放量≤0.1mg/L；符合GB 18584-2001《室内装饰装修材料 木家具中有害物质限量》、GB/T 13010-2020《木材工业用单板》标准。</w:t>
            </w:r>
          </w:p>
          <w:p w14:paraId="4E7934F5">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3.胶黏剂：采用环保水基型胶黏剂，游离甲醛未检出，苯、甲苯、二甲苯未检出，总挥发性有机物≤20g/L，符合GB 18583-2008《室内装饰装修材料 胶粘剂中有害物质限量》标准。</w:t>
            </w:r>
          </w:p>
          <w:p w14:paraId="0630C980">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4.水性漆：采用环保水性漆，甲醛含量≤5mg/kg；总铅(Pb)含量(限色漆、腻子和醇酸清漆）≤90mg/Kg；可溶性重金属含量(限色漆、腻子和醇酸清漆）（镉(Cd≤75mg/kg、铬(Cr)≤60mg/kg、汞(Hg)≤60mg/kg）；笨系物（苯、甲苯、二甲苯、乙苯）含量总和≤50mg/kg；乙二醇醚及醚酯类（乙二醇甲醚、乙二醇甲醚醋酸酯、乙二醇乙醚、乙二醇乙醚醋酸酯、乙二醇二甲醚、乙二醇二乙醚、二乙二醇二甲醚、三乙二醇二甲醚）含量总和≤10mg/kg，符合GB 18581-2020《木器涂料中有害物质限量》标准。</w:t>
            </w:r>
          </w:p>
          <w:p w14:paraId="41A937D7">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5.三合一：采用五金配件，紧密拼接，牢固，间隙小，且均匀。三合一偏心连接件偏心体抗压强度应≥270N；三合一偏心连接件预埋螺母抗拉强度应≥630N；三合一偏心连接件中连接螺杆螺纹与预埋螺母的抗拉强度应≥810N；三合偏心连接件中偏心体与连接螺杆的扭矩≥7.0N·m，符合GB/T 28203-2011《家具用连接件技术要求及试验方法》标准。</w:t>
            </w:r>
          </w:p>
          <w:p w14:paraId="54A66C14">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6.颜色可选.</w:t>
            </w: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2E613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张</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FD926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r>
      <w:tr w14:paraId="2363464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D037B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6</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B5B75C">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主席台椅</w:t>
            </w:r>
          </w:p>
        </w:tc>
        <w:tc>
          <w:tcPr>
            <w:tcW w:w="3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858403">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主席台椅规格：≥L620mm0*W580mm*H1010mm（误差允许±2mm）；</w:t>
            </w:r>
          </w:p>
          <w:p w14:paraId="16AA79D1">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1.▲橡胶木：椅架采用橡胶木，所有原木经脱脂烘干处理，含水率8%-16%，经平刨处理，不带树皮，无贯通裂缝，无虫蛀现象，无腐朽材。符合GB/T 3324-2017《木家具通用技术条件》标准。</w:t>
            </w:r>
          </w:p>
          <w:p w14:paraId="494CC86F">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2.胶黏剂：采用环保水基型胶黏剂，游离甲醛未检出，苯、甲苯、二甲苯未检出，总挥发性有机物≤20g/L，符合GB 18583-2008《室内装饰装修材料 胶粘剂中有害物质限量》标准。</w:t>
            </w:r>
          </w:p>
          <w:p w14:paraId="4E1A5E1E">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3.水性漆：采用环保水性漆，甲醛含量≤5mg/kg；总铅(Pb)含量(限色漆、腻子和醇酸清漆）≤90mg/Kg；可溶性重金属含量(限色漆、腻子和醇酸清漆）（镉(Cd≤75mg/kg、铬(Cr)≤60mg/kg、汞(Hg)≤60mg/kg）；笨系物（苯、甲苯、二甲苯、乙苯）含量总和≤50mg/kg；乙二醇醚及醚酯类（乙二醇甲醚、乙二醇甲醚醋酸酯、乙二醇乙醚、乙二醇乙醚醋酸酯、乙二醇二甲醚、乙二醇二乙醚、二乙二醇二甲醚、三乙二醇二甲醚）含量总和≤10mg/kg，符合GB 18581-2020《木器涂料中有害物质限量》标准。</w:t>
            </w:r>
          </w:p>
          <w:p w14:paraId="3B8E55A8">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 xml:space="preserve">4.▲实木多层板：坐板采用E0级实木多层板做基材，经防腐、防虫环保处理，含水率≤7%；胶合强度试件强度值≥0.8 Mpa；静曲强度（顺纹）≥55Mpa；静曲强度（横纹）≥45Mpa；弹性模量（顺纹）≥7000Mpa；弹性模量（横纹）≥5500Mpa；板边握螺钉力≥900N、板面握螺钉力≥1800N；甲醛释放量≤0.015mg/m³；苯、甲苯、二甲苯，总挥发性有机物（TVOC)未检出；可溶性重金属(铅、镉、铬、汞)总含量≤5mg/kg。符合GB/T 9846-2015《普通胶合板》；GB/T 35601-2017《绿色产品评价 人造板和木质地板》；GB/T 39600-2021《人造板及其制品甲醛释放量分级》；GB 18580-2017《室内装饰装修材料人造板及其制品中甲醛释放量》； </w:t>
            </w:r>
          </w:p>
          <w:p w14:paraId="1295EE3C">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5.▲西皮：采用西皮，游离甲醛未检出，挥发性有机物（VOC）≤20mg/kg，可萃取重金属铅（Pb）、镉（Cd）未检出。革身平整、柔软、丰满有弹性；符合GB/T 16799-2018《家具用皮革》标准。</w:t>
            </w:r>
          </w:p>
          <w:p w14:paraId="170776CA">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6.▲高弹海绵：采用高弹海绵，65%/25%压陷比≥3，回弹率≥45%，撕裂强度≥4.0N/cm，干热老化后拉伸强度≥110Kpa，湿热老化后拉伸强度≥90Kpa。</w:t>
            </w: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85DC9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张</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C9D8F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41</w:t>
            </w:r>
          </w:p>
        </w:tc>
      </w:tr>
      <w:tr w14:paraId="1417B1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1E52F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7</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E093AD">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会议条桌（主席台第二排、第三排）</w:t>
            </w:r>
          </w:p>
        </w:tc>
        <w:tc>
          <w:tcPr>
            <w:tcW w:w="3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E75FA1">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规格：≥L1400mm*W450mm*H750mm（误差允许±2mm）；</w:t>
            </w:r>
          </w:p>
          <w:p w14:paraId="4E133CD8">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1.中密度纤维板：采用E0级中密纤维板做基材，经防腐、防虫环保处理，表面胶合强度≥1.8Mpa，含水率≤6%，静曲强度≥35MPa，弹性模量≥4600 MPa，吸水厚度膨胀率≤5%，内结合强度≥1 MPa，苯、甲苯、二甲苯，总挥发性有机物（TVOC)未检出；板边握螺钉力≥900N、板面握螺钉力≥1800N；甲醛释放量≤0.018mg/m³，符合GB 18580-2017《室内装饰装修材料 人造板及其制品中甲醛释放量》；GB/T 35601-2017《绿色产品评价 人造板和木质地板》；GB/T 11718-2021《中密度纤维板》标准。</w:t>
            </w:r>
          </w:p>
          <w:p w14:paraId="5013A8D9">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2.木皮：采用木皮贴面，木纹纹路自然清晰，厚度均匀，木皮厚度≥0.6mm，含水率7%-13%，甲醛释放量≤0.1mg/L；符合GB 18584-2001《室内装饰装修材料 木家具中有害物质限量》、GB/T 13010-2020《木材工业用单板》标准。</w:t>
            </w:r>
          </w:p>
          <w:p w14:paraId="4D11A8F3">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3.胶黏剂：采用环保水基型胶黏剂，游离甲醛未检出，苯、甲苯、二甲苯未检出，总挥发性有机物≤20g/L，符合GB 18583-2008《室内装饰装修材料 胶粘剂中有害物质限量》标准。</w:t>
            </w:r>
          </w:p>
          <w:p w14:paraId="5F2FF1FD">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4.水性漆：采用环保水性漆，甲醛含量≤5mg/kg；总铅(Pb)含量(限色漆、腻子和醇酸清漆）≤90mg/Kg；可溶性重金属含量(限色漆、腻子和醇酸清漆）（镉(Cd≤75mg/kg、铬(Cr)≤60mg/kg、汞(Hg)≤60mg/kg）；笨系物（苯、甲苯、二甲苯、乙苯）含量总和≤50mg/kg；乙二醇醚及醚酯类（乙二醇甲醚、乙二醇甲醚醋酸酯、乙二醇乙醚、乙二醇乙醚醋酸酯、乙二醇二甲醚、乙二醇二乙醚、二乙二醇二甲醚、三乙二醇二甲醚）含量总和≤10mg/kg，符合GB 18581-2020《木器涂料中有害物质限量》标准。</w:t>
            </w:r>
          </w:p>
          <w:p w14:paraId="1BC02061">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5.三合一：采用五金配件，紧密拼接，牢固，间隙小，且均匀。三合一偏心连接件偏心体抗压强度应≥270N；三合一偏心连接件预埋螺母抗拉强度应≥630N；三合一偏心连接件中连接螺杆螺纹与预埋螺母的抗拉强度应≥810N；三合偏心连接件中偏心体与连接螺杆的扭矩≥7.0N·m，符合GB/T 28203-2011《家具用连接件技术要求及试验方法》标准。</w:t>
            </w:r>
          </w:p>
          <w:p w14:paraId="6DEC9EE6">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6.颜色可选.</w:t>
            </w: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33C2E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张</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A2316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15</w:t>
            </w:r>
          </w:p>
        </w:tc>
      </w:tr>
      <w:tr w14:paraId="330C66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16525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8</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3C9424">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接待室沙发</w:t>
            </w:r>
          </w:p>
        </w:tc>
        <w:tc>
          <w:tcPr>
            <w:tcW w:w="3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E9BE7A">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沙发（1+1+3）：三座：≥L2000mm*W850mm*H850mm（误差允许±2mm）：</w:t>
            </w:r>
          </w:p>
          <w:p w14:paraId="298BF459">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1.橡胶木：椅架采用橡胶木，所有原木经脱脂烘干处理，含水率8%-16%，经平刨处理，不带树皮，无贯通裂缝，无虫蛀现象，无腐朽材。符合GB/T 3324-2017《木家具通用技术条件》标准。</w:t>
            </w:r>
          </w:p>
          <w:p w14:paraId="0CA95DB9">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2.胶黏剂：采用环保水基型胶黏剂，游离甲醛未检出，苯、甲苯、二甲苯未检出，总挥发性有机物≤20g/L，符合GB 18583-2008《室内装饰装修材料 胶粘剂中有害物质限量》标准。</w:t>
            </w:r>
          </w:p>
          <w:p w14:paraId="50F21C96">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3.水性漆：采用环保水性漆，甲醛含量≤5mg/kg；总铅(Pb)含量(限色漆、腻子和醇酸清漆）≤90mg/Kg；可溶性重金属含量(限色漆、腻子和醇酸清漆）（镉(Cd≤75mg/kg、铬(Cr)≤60mg/kg、汞(Hg)≤60mg/kg）；笨系物（苯、甲苯、二甲苯、乙苯）含量总和≤50mg/kg；乙二醇醚及醚酯类（乙二醇甲醚、乙二醇甲醚醋酸酯、乙二醇乙醚、乙二醇乙醚醋酸酯、乙二醇二甲醚、乙二醇二乙醚、二乙二醇二甲醚、三乙二醇二甲醚）含量总和≤10mg/kg，符合GB 18581-2020《木器涂料中有害物质限量》标准。</w:t>
            </w:r>
          </w:p>
          <w:p w14:paraId="760C3A6F">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4.实木多层板：坐板采用E0级实木多层板做基材，经防腐、防虫环保处理，含水率≤7%；胶合强度试件强度值≥0.8 Mpa；静曲强度（顺纹）≥55Mpa；静曲强度（横纹）≥45Mpa；弹性模量（顺纹）≥7000Mpa；弹性模量（横纹）≥5500Mpa；板边握螺钉力≥900N、板面握螺钉力≥1800N；甲醛释放量≤0.015mg/m³；苯、甲苯、二甲苯，总挥发性有机物（TVOC)未检出；可溶性重金属(铅、镉、铬、汞)总含量≤5mg/kg。符合GB/T 9846-2015《普通胶合板》；GB/T 35601-2017《绿色产品评价 人造板和木质地板》；GB/T 39600-2021《人造板及其制品甲醛释放量分级》；GB 18580-2017《室内装饰装修材料人造板及其制品中甲醛释放量》；</w:t>
            </w:r>
          </w:p>
          <w:p w14:paraId="6A7B8254">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 5.西皮：采用西皮，游离甲醛未检出，挥发性有机物（VOC）≤20mg/kg，可萃取重金属铅（Pb）、镉（Cd）未检出。革身平整、柔软、丰满有弹性；符合GB/T 16799-2018《家具用皮革》标准。6.高弹海绵：采用高弹海绵，65%/25%压陷比≥3，回弹率≥45%，撕裂强度≥4.0N/cm，干热老化后拉伸强度≥110Kpa，湿热老化后拉伸强度≥90Kpa。</w:t>
            </w: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1B9A6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张</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5E197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w:t>
            </w:r>
          </w:p>
        </w:tc>
      </w:tr>
      <w:tr w14:paraId="671393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AF1B4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9</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6B8FAF">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茶几</w:t>
            </w:r>
          </w:p>
        </w:tc>
        <w:tc>
          <w:tcPr>
            <w:tcW w:w="3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946993">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茶几规格：≥L1400mm*W700mm*H450mm（误差允许±2mm）:</w:t>
            </w:r>
          </w:p>
          <w:p w14:paraId="5B7EC666">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1.中密度纤维板：采用E0级中密纤维板做基材，经防腐、防虫环保处理，表面胶合强度≥1.8Mpa，含水率≤6%，静曲强度≥35MPa，弹性模量≥4600 MPa，吸水厚度膨胀率≤5%，内结合强度≥1 MPa，苯、甲苯、二甲苯，总挥发性有机物（TVOC)未检出；板边握螺钉力≥900N、板面握螺钉力≥1800N；甲醛释放量≤0.018mg/m³，符合GB 18580-2017《室内装饰装修材料 人造板及其制品中甲醛释放量》；GB/T 35601-2017《绿色产品评价 人造板和木质地板》；GB/T 11718-2021《中密度纤维板》标准。</w:t>
            </w:r>
          </w:p>
          <w:p w14:paraId="577AE233">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2.木皮：采用木皮贴面，木纹纹路自然清晰，厚度均匀，木皮厚度≥0.6mm，含水率7%-13%，甲醛释放量≤0.1mg/L；符合GB 18584-2001《室内装饰装修材料 木家具中有害物质限量》、GB/T 13010-2020《木材工业用单板》标准。</w:t>
            </w:r>
          </w:p>
          <w:p w14:paraId="36055B82">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3.胶黏剂：采用环保水基型胶黏剂，游离甲醛未检出，苯、甲苯、二甲苯未检出，总挥发性有机物≤20g/L，符合GB 18583-2008《室内装饰装修材料 胶粘剂中有害物质限量》标准。</w:t>
            </w:r>
          </w:p>
          <w:p w14:paraId="114549F7">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4.水性漆：采用环保水性漆，甲醛含量≤5mg/kg；总铅(Pb)含量(限色漆、腻子和醇酸清漆）≤90mg/Kg；可溶性重金属含量(限色漆、腻子和醇酸清漆）（镉(Cd≤75mg/kg、铬(Cr)≤60mg/kg、汞(Hg)≤60mg/kg）；笨系物（苯、甲苯、二甲苯、乙苯）含量总和≤50mg/kg；乙二醇醚及醚酯类（乙二醇甲醚、乙二醇甲醚醋酸酯、乙二醇乙醚、乙二醇乙醚醋酸酯、乙二醇二甲醚、乙二醇二乙醚、二乙二醇二甲醚、三乙二醇二甲醚）含量总和≤10mg/kg，符合GB 18581-2020《木器涂料中有害物质限量》标准。</w:t>
            </w:r>
          </w:p>
          <w:p w14:paraId="6A54B886">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5.三合一：采用五金配件，紧密拼接，牢固，间隙小，且均匀。三合一偏心连接件偏心体抗压强度应≥270N；三合一偏心连接件预埋螺母抗拉强度应≥630N；三合一偏心连接件中连接螺杆螺纹与预埋螺母的抗拉强度应≥810N；三合偏心连接件中偏心体与连接螺杆的扭矩≥7.0N·m，符合GB/T 28203-2011《家具用连接件技术要求及试验方法》标准。</w:t>
            </w:r>
          </w:p>
          <w:p w14:paraId="1E5F3B35">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6.颜色可选.</w:t>
            </w: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BD50D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个</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E8577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w:t>
            </w:r>
          </w:p>
        </w:tc>
      </w:tr>
      <w:tr w14:paraId="766DB47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D73EB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10</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7F50AD">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餐桌</w:t>
            </w:r>
          </w:p>
        </w:tc>
        <w:tc>
          <w:tcPr>
            <w:tcW w:w="3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94BB3E">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餐桌规格：≥L1300mm*W800mm*W750mm（误差允许±2mm）;</w:t>
            </w:r>
          </w:p>
          <w:p w14:paraId="564F8552">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1.橡胶木：椅架采用橡胶木，所有原木经脱脂烘干处理，含水率8%-16%，经平刨处理，不带树皮，无贯通裂缝，无虫蛀现象，无腐朽材。符合GB/T 3324-2017《木家具通用技术条件》标准。</w:t>
            </w:r>
          </w:p>
          <w:p w14:paraId="6AC384DB">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2.胶黏剂：采用环保水基型胶黏剂，游离甲醛未检出，苯、甲苯、二甲苯未检出，总挥发性有机物≤20g/L，符合GB 18583-2008《室内装饰装修材料 胶粘剂中有害物质限量》标准。</w:t>
            </w:r>
          </w:p>
          <w:p w14:paraId="0DEDEDA2">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3.水性漆：采用环保水性漆，甲醛含量≤5mg/kg；总铅(Pb)含量(限色漆、腻子和醇酸清漆）≤90mg/Kg；可溶性重金属含量(限色漆、腻子和醇酸清漆）（镉(Cd≤75mg/kg、铬(Cr)≤60mg/kg、汞(Hg)≤60mg/kg）；笨系物（苯、甲苯、二甲苯、乙苯）含量总和≤50mg/kg；乙二醇醚及醚酯类（乙二醇甲醚、乙二醇甲醚醋酸酯、乙二醇乙醚、乙二醇乙醚醋酸酯、乙二醇二甲醚、乙二醇二乙醚、二乙二醇二甲醚、三乙二醇二甲醚）含量总和≤10mg/kg，符合GB 18581-2020《木器涂料中有害物质限量》标准。</w:t>
            </w:r>
          </w:p>
          <w:p w14:paraId="384C538F">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4、颜色：原木色或可选。</w:t>
            </w: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F4666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张</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BB1A8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78</w:t>
            </w:r>
          </w:p>
        </w:tc>
      </w:tr>
      <w:tr w14:paraId="44115B8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F72BC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11</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FDEDAE">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餐椅</w:t>
            </w:r>
          </w:p>
        </w:tc>
        <w:tc>
          <w:tcPr>
            <w:tcW w:w="3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935F5B">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餐椅规格：≥L460mm*W480mm*H850mm（误差允许±2mm）;</w:t>
            </w:r>
          </w:p>
          <w:p w14:paraId="03EF061F">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1.椅架橡胶木：椅架采用橡胶木，所有原木经脱脂烘干处理，含水率8%-16%，经平刨处理，不带树皮，无贯通裂缝，无虫蛀现象，无腐朽材。符合GB/T 3324-2017《木家具通用技术条件》标准。</w:t>
            </w:r>
          </w:p>
          <w:p w14:paraId="6085534A">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2.胶黏剂：采用环保水基型胶黏剂，游离甲醛未检出，苯、甲苯、二甲苯未检出，总挥发性有机物≤20g/L，符合GB 18583-2008《室内装饰装修材料 胶粘剂中有害物质限量》标准。</w:t>
            </w:r>
          </w:p>
          <w:p w14:paraId="05B667C2">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3.水性漆：采用环保水性漆，甲醛含量≤5mg/kg；总铅(Pb)含量(限色漆、腻子和醇酸清漆）≤90mg/Kg；可溶性重金属含量(限色漆、腻子和醇酸清漆）（镉(Cd≤75mg/kg、铬(Cr)≤60mg/kg、汞(Hg)≤60mg/kg）；笨系物（苯、甲苯、二甲苯、乙苯）含量总和≤50mg/kg；乙二醇醚及醚酯类（乙二醇甲醚、乙二醇甲醚醋酸酯、乙二醇乙醚、乙二醇乙醚醋酸酯、乙二醇二甲醚、乙二醇二乙醚、二乙二醇二甲醚、三乙二醇二甲醚）含量总和≤10mg/kg，符合GB 18581-2020《木器涂料中有害物质限量》标准。</w:t>
            </w:r>
          </w:p>
          <w:p w14:paraId="614D28C8">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4、颜色可选。</w:t>
            </w:r>
          </w:p>
          <w:p w14:paraId="22849B1E">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5、坐垫工程塑料一次成型制作，坐垫复合环保要求</w:t>
            </w: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3ABB7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把</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2BF70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312</w:t>
            </w:r>
          </w:p>
        </w:tc>
      </w:tr>
      <w:tr w14:paraId="076BF1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91C48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12</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373DF5">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讲台（讲桌）</w:t>
            </w:r>
          </w:p>
        </w:tc>
        <w:tc>
          <w:tcPr>
            <w:tcW w:w="3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1D023A">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讲台（讲桌）规格：≥L1500mm*W700mm*H850mm（误差允许±2mm）；</w:t>
            </w:r>
          </w:p>
          <w:p w14:paraId="44242A3F">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1、讲桌外框架采用铝盒包边工艺，讲桌外框铝合金宽度60mm（误差允许±0.2mm），正面铝合金宽度30mm（误差允许±0.2mm），左右两侧铝合金框架总高度850mm（误差允许±2mm），讲桌桌面高度750mm（误差允许±2mm）；</w:t>
            </w:r>
          </w:p>
          <w:p w14:paraId="3A30C3ED">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2、讲桌桌面底部配有主架1个，一抽一门活动柜1个</w:t>
            </w:r>
          </w:p>
          <w:p w14:paraId="39DD78DB">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3、桌面预留长方形铝合金过线盒</w:t>
            </w: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96BE2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个</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1371C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9</w:t>
            </w:r>
          </w:p>
        </w:tc>
      </w:tr>
      <w:tr w14:paraId="3E5E3F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E4A77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13</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5E59BB">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教师椅</w:t>
            </w:r>
          </w:p>
        </w:tc>
        <w:tc>
          <w:tcPr>
            <w:tcW w:w="3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DFFB1A">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1.框架采用全新塑胶料加纤。</w:t>
            </w:r>
          </w:p>
          <w:p w14:paraId="612A783C">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2.高回弹力切割海绵，有座壳。</w:t>
            </w:r>
          </w:p>
          <w:p w14:paraId="0CB9929F">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3.固定扶手。</w:t>
            </w:r>
          </w:p>
          <w:p w14:paraId="45E7180A">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4.原位锁中班底盘</w:t>
            </w:r>
          </w:p>
          <w:p w14:paraId="0B54B5D4">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5.万向轮：脚轮的轮面应光洁，不应有裂纹、伤痕、毛边等缺陷；金属件的表面应光滑平整，应无锈蚀、毛刺刃口无、露底等缺陷；转动零部件应转动灵活，应无卡滞及松脱现象；脚轮零部件之间应装配牢固，轮轴不应随车轮转动。符合QB/T 4765-2014《家具用脚轮》标准。</w:t>
            </w:r>
          </w:p>
          <w:p w14:paraId="427F2ADA">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6.气压棒：力特性：标称力Fx和摩擦力Fr-气弹簧在压缩和伸展过程中无卡阻现象、伸展速度70～150 mm/s、 气弹簧锁定在任意位置，经≥72h常温储存后，活塞杆不应产生位移；耐高低温性能试验后的气弹簧，气弹簧经-30℃和60℃高低温储存后，公称力 F</w:t>
            </w:r>
            <w:r>
              <w:rPr>
                <w:rStyle w:val="63"/>
                <w:rFonts w:hint="eastAsia" w:ascii="宋体" w:hAnsi="宋体" w:eastAsia="宋体" w:cs="宋体"/>
                <w:color w:val="auto"/>
                <w:highlight w:val="none"/>
                <w:lang w:val="en-US" w:eastAsia="zh-CN" w:bidi="ar"/>
              </w:rPr>
              <w:t>ₐ</w:t>
            </w:r>
            <w:r>
              <w:rPr>
                <w:rStyle w:val="49"/>
                <w:rFonts w:hint="eastAsia" w:ascii="宋体" w:hAnsi="宋体" w:eastAsia="宋体" w:cs="宋体"/>
                <w:color w:val="auto"/>
                <w:highlight w:val="none"/>
                <w:lang w:val="en-US" w:eastAsia="zh-CN" w:bidi="ar"/>
              </w:rPr>
              <w:t>的总衰减量应不大于5％；符合GB/T 29525-2013标准。</w:t>
            </w: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22564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把</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907E7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10</w:t>
            </w:r>
          </w:p>
        </w:tc>
      </w:tr>
      <w:tr w14:paraId="6EA867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C94B3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14</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92EE89">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课桌（条桌）</w:t>
            </w:r>
          </w:p>
        </w:tc>
        <w:tc>
          <w:tcPr>
            <w:tcW w:w="3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91785E">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条桌规格：≥L1400mm*W500mm*H750mm（误差允许±2mm）；</w:t>
            </w:r>
          </w:p>
          <w:p w14:paraId="0F3A94FC">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1、桌面采用≥25mm刨花板面贴三聚氰胺饰面制作，符合GB18580-2017《室内装饰装修材料人造板及其制品中甲醛释放限量》GB/T 39600-2021《人造板及其制品甲醛释放量分级》；</w:t>
            </w:r>
          </w:p>
          <w:p w14:paraId="02BE0FE1">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2、桌架：桌腿方框采用冷轧板模压制作，地脚长度≥480mm宽度≥60mm冷轧板厚度≥2mm，底部带调平脚，结构稳固；连接横梁采用≥50*25*1.0矩形钢管；</w:t>
            </w:r>
          </w:p>
          <w:p w14:paraId="463B7B72">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3、金属部分经下料、冲切、折弯、组焊、打磨、脱脂、酸洗、磷化、表调、高压静电喷塑几个环节处理；</w:t>
            </w:r>
          </w:p>
          <w:p w14:paraId="22C893F4">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4、五金配件，采用五金配件、连接件，连接稳固，使用寿命长,带隐藏式走线槽；</w:t>
            </w:r>
          </w:p>
          <w:p w14:paraId="7843DE34">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5、颜色：可选。</w:t>
            </w: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A88D8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张</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87FF6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533</w:t>
            </w:r>
          </w:p>
        </w:tc>
      </w:tr>
      <w:tr w14:paraId="4A7A54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8A2A0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15</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4BC2E7">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课桌椅（网布）</w:t>
            </w:r>
          </w:p>
        </w:tc>
        <w:tc>
          <w:tcPr>
            <w:tcW w:w="3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F753E0">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会议椅规格：≥L480mm*W550mm*H980mm（误差允许±2mm）</w:t>
            </w:r>
          </w:p>
          <w:p w14:paraId="5D863849">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1、网布：采用耐磨网布，透气性强。</w:t>
            </w:r>
          </w:p>
          <w:p w14:paraId="73A17289">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2、高弹海绵：采用高弹海绵，65%/25%压陷比≥3，回弹率≥45%，撕裂强度≥4.0N/cm，干热老化后拉伸强度≥110Kpa，湿热老化后拉伸强度≥90Kpa。</w:t>
            </w:r>
          </w:p>
          <w:p w14:paraId="360C403B">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3、钢管：采用椭圆管电镀工艺，壁厚≥1.2mm，乙酸盐雾试验(ASS)连续喷雾≥18h，等级≥10级，金属喷漆(塑)涂层耐腐蚀100h内观察在溶液中样板上划道两侧3mm以外，无鼓泡产生；100h后检查划道两侧3mm外，无锈迹、剥落、起皱、变色和失光等现象；</w:t>
            </w:r>
          </w:p>
          <w:p w14:paraId="79C4B807">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4、符合GB/T 3325-2017、QB/T 3827-1999、QB/T 3832-1999标准。</w:t>
            </w: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BFE0C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把</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305A6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1066</w:t>
            </w:r>
          </w:p>
        </w:tc>
      </w:tr>
      <w:tr w14:paraId="5FD8F0F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6D51B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16</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3EE0DE">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窗帘</w:t>
            </w:r>
          </w:p>
        </w:tc>
        <w:tc>
          <w:tcPr>
            <w:tcW w:w="3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88C662">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一、窗帘布</w:t>
            </w:r>
          </w:p>
          <w:p w14:paraId="13851910">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1、成分：100%聚酯纤维。</w:t>
            </w:r>
          </w:p>
          <w:p w14:paraId="03B6E0B6">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2、织物密度：经密≥900根/10cm，纬密≥220根/10cm；测试方法：GB/T4668-1995。</w:t>
            </w:r>
          </w:p>
          <w:p w14:paraId="28F0BAAA">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3、纱线线密度：经纱≤18tex160D、纬纱（纱线1）≤9tex80D、纬纱（纱线2）≤21tex30s；测试方法：GB/T29256.5-2012。</w:t>
            </w:r>
          </w:p>
          <w:p w14:paraId="0BB58BCF">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4、单位面积质量(g/㎡):≤370；测试方法：GB/T4669-2008。</w:t>
            </w:r>
          </w:p>
          <w:p w14:paraId="4C55CCBC">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5、甲醛含量（mg/kg）：无甲醛，检测标准GB/T2912.1-2009。</w:t>
            </w:r>
          </w:p>
          <w:p w14:paraId="3F387936">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6、可分解致癌芳香胺染料：禁用,检测标准GB/T17592-2011。</w:t>
            </w:r>
          </w:p>
          <w:p w14:paraId="6ADA32E8">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7、PH值：符合GB18401-2010《国家纺织产品基本安全规范》C类标准,检测标准GB/T7573-2009。</w:t>
            </w:r>
          </w:p>
          <w:p w14:paraId="76643FFC">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8、异味：符合GB18401-2010《国家纺织产品基本安全规范》标准，无异味,检测标准GB18401-2010。</w:t>
            </w:r>
          </w:p>
          <w:p w14:paraId="2E66F99C">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二、罗马杆</w:t>
            </w:r>
          </w:p>
          <w:p w14:paraId="5A82FA97">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1、壁厚：≥1.6mm。管径：≥28mm。</w:t>
            </w:r>
          </w:p>
          <w:p w14:paraId="27CCAED8">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2、力学性能：规定非比例延伸强度R(N/mm2)p0.2≥190；抗拉强度R (N/mm2)≥200；断后伸长率A50mm (%)≥8。</w:t>
            </w:r>
          </w:p>
          <w:p w14:paraId="46416FE8">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3、耐盐酸性：经耐盐酸试验后，膜层表面应无气泡或其他明显变化。</w:t>
            </w:r>
          </w:p>
          <w:p w14:paraId="62CF96CC">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4、耐溶剂性：膜层经耐溶剂性试验的结果宜为3级或4级。</w:t>
            </w:r>
          </w:p>
          <w:p w14:paraId="071C51C3">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5、耐洗涤剂性：经耐洗涤剂试验后，目视检查试验后的涂层表面，应无起泡、脱落或其他明显变化。</w:t>
            </w: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48E4B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副</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287FC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118</w:t>
            </w:r>
          </w:p>
        </w:tc>
      </w:tr>
      <w:tr w14:paraId="198081A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63E79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17</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125367">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办公桌</w:t>
            </w:r>
          </w:p>
        </w:tc>
        <w:tc>
          <w:tcPr>
            <w:tcW w:w="3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75CBB0">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办公桌规格：≥L1400mm*W700mm*H750mm（误差允许±2mm）；（桌面铝合金包边）</w:t>
            </w:r>
          </w:p>
          <w:p w14:paraId="24688441">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刨花板：优质刨花板(实木颗粒板)做基材，经防腐、防虫环保处理，含水率≤8%；静曲强度≥11Mpa；弹性模量≥2000Mpa；板面握螺钉力≥900N、板边握螺钉力≥600N；甲醛释放量≤0.015mg/m³；苯、甲苯、二甲苯，总挥发性有机物（TVOC)未检出；总挥发性有机化合物未检出。符合GB/T 4897-2015《刨花板》标准；GB/T 17657-2022《人造板及饰面人造板理化性能试验方法》；GB/T 39600-2021《人造板及其制品甲醛释放量分级》；GB/T 35601-2017《绿色产品评价 人造板和木质地板》；GB 18580-2017《室内装饰装修材料人造板及其制品中甲醛释放限量》；GB/T 29899-2013《人造板及其制品中有机化合物释放量试验方法小型释放舱法》；QB/T 4371-2012《家具抗菌性能的评价》；HJ 571-2010《环境标志产品技术要求 人造板及其制品》标准。</w:t>
            </w:r>
          </w:p>
          <w:p w14:paraId="12EE1799">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2.热熔胶：采用优质热熔胶，苯未检出，游离甲醛≤0.50g/kg，苯≤0.50g/kg，甲苯+二甲苯≤150g/kg，总挥发性有机物≤100g/L，符合GB 18583-2008《室内装饰装修材料 胶粘剂中有害物质限量》标准。</w:t>
            </w:r>
          </w:p>
          <w:p w14:paraId="78857CE4">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3.附件部分封边PVC封边条：采用≥2mm厚PVC封边条，理化性能（塑料封边条—耐老化≥72h无开裂、塑料封边条—耐光色牢度≥4级）；有害物质限量（甲醛释放量、氯乙烯单体、多溴联苯、多溴二苯醚、塑料封边条可迁移元素8项：钡（Ba）、镉（Cd）、铬（Cr）、汞（Hg）、铅（Pb）、砷（As）、硒（Se）、锑（Sb）不得检出；邻苯二甲酸酯（DBP、BBP、DEHP、DNOP、DINP、DIDP）的总量不得检出；符合QB/T 4463-2013《家具用封边条技术要求》、GB 28481-2012《塑料家具中有害物质限量》标准。</w:t>
            </w:r>
          </w:p>
          <w:p w14:paraId="456B4C75">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4.三合一：采用优质五金配件，紧密拼接，牢固，间隙小，且均匀。三合一偏心连接件偏心体抗压强度应≥270N；三合一偏心连接件预埋螺母抗拉强度应≥630N；三合一偏心连接件中连接螺杆螺纹与预埋螺母的抗拉强度应≥810N；三合偏心连接件中偏心体与连接螺杆的扭矩≥7.0N·m，符合GB/T 28203-2011《家具用连接件技术要求及试验方法》标准，抽屉配备三节式钢珠导轨，抽屉配机械密码锁，柜体预留散热孔，散热孔安装ABS材质的散热装饰盖（散热孔尺寸不得小于350mm*100mm）</w:t>
            </w:r>
          </w:p>
          <w:p w14:paraId="5D567C64">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5、桌面采用高度≥54mm铝合金造型封边制作，桌面长边≥54mm*25mm铝合金包边，铝合金梯形双斜边造型，所有铝合金外边小圆角造型，桌面短边≥54*65mm铝合金造型包边，桌面四个拐角采用铝合金转角接头制作，桌面铝合金包边套色装饰铝边，前挡板≥25mm厚板波浪板造型制作.</w:t>
            </w: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F5A1C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张</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19A1B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18</w:t>
            </w:r>
          </w:p>
        </w:tc>
      </w:tr>
      <w:tr w14:paraId="462FF55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E432C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18</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59AFA9">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办公椅</w:t>
            </w:r>
          </w:p>
        </w:tc>
        <w:tc>
          <w:tcPr>
            <w:tcW w:w="3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C64771">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办公椅规格：≥L620mm*W650mm*H960mm（误差允许±2mm）；</w:t>
            </w:r>
          </w:p>
          <w:p w14:paraId="578C0CE2">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1、网布：采用耐磨网布，透气性强。</w:t>
            </w:r>
          </w:p>
          <w:p w14:paraId="64B479D5">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2、高弹海绵：采用高弹海绵，65%/25%压陷比≥3，回弹率≥45%，撕裂强度≥4.0N/cm，干热老化后拉伸强度≥110Kpa，湿热老化后拉伸强度≥90Kpa。</w:t>
            </w:r>
          </w:p>
          <w:p w14:paraId="5C24FB04">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钢管：采用钢管，乙酸盐雾试验(ASS)连续喷雾≥18h，等级≥10级，金属喷漆(塑)涂层耐腐蚀100h内观察在溶液中样板上划道两侧3mm以外，无鼓泡产生；100h后检查划道两侧3mm外，无锈迹、剥落、起皱、变色和失光等现象；符合GB/T 3325-2017、QB/T 3827-1999、QB/T 3832-1999标准。</w:t>
            </w: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BF0B9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把</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2C710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18</w:t>
            </w:r>
          </w:p>
        </w:tc>
      </w:tr>
      <w:tr w14:paraId="7AF6F86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51D35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19</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78BD2E">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文件柜</w:t>
            </w:r>
          </w:p>
        </w:tc>
        <w:tc>
          <w:tcPr>
            <w:tcW w:w="3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62FCBD">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文件柜规格：≥L800mm*W400mm*H2000mm（误差允许±2mm）；（铝合金柜门）</w:t>
            </w:r>
          </w:p>
          <w:p w14:paraId="7B45DD4D">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刨花板：采用刨花板(实木颗粒板)做基材，经防腐、防虫环保处理，含水率≤8%；静曲强度≥11Mpa；弹性模量≥2000Mpa；板面握螺钉力≥900N、板边握螺钉力≥600N；甲醛释放量≤0.015mg/m³；苯、甲苯、二甲苯，总挥发性有机物（TVOC)未检出；总挥发性有机化合物未检出。符合GB/T 4897-2015《刨花板》标准；GB/T 17657-2022《人造板及饰面人造板理化性能试验方法》；GB/T 39600-2021《人造板及其制品甲醛释放量分级》；GB/T 35601-2017《绿色产品评价 人造板和木质地板》；GB 18580-2017《室内装饰装修材料人造板及其制品中甲醛释放限量》；GB/T 29899-2013《人造板及其制品中有机化合物释放量试验方法小型释放舱法》；QB/T 4371-2012《家具抗菌性能的评价》；HJ 571-2010《环境标志产品技术要求 人造板及其制品》标准。</w:t>
            </w:r>
          </w:p>
          <w:p w14:paraId="5132D010">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2.热熔胶：采用热熔胶，苯未检出，游离甲醛≤0.50g/kg，苯≤0.50g/kg，甲苯+二甲苯≤150g/kg，总挥发性有机物≤100g/L，符合GB 18583-2008《室内装饰装修材料 胶粘剂中有害物质限量》标准。</w:t>
            </w:r>
          </w:p>
          <w:p w14:paraId="03819A3E">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3.PVC封边条：采用2mm厚PVC封边条，理化性能（塑料封边条—耐老化≥72h无开裂、塑料封边条—耐光色牢度≥4级）；有害物质限量（甲醛释放量、氯乙烯单体、多溴联苯、多溴二苯醚、塑料封边条可迁移元素8项：钡（Ba）、镉（Cd）、铬（Cr）、汞（Hg）、铅（Pb）、砷（As）、硒（Se）、锑（Sb）不得检出；邻苯二甲酸酯（DBP、BBP、DEHP、DNOP、DINP、DIDP）的总量不得检出；符合QB/T 4463-2013《家具用封边条技术要求》、GB 28481-2012《塑料家具中有害物质限量》标准。</w:t>
            </w:r>
          </w:p>
          <w:p w14:paraId="25632253">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4.三合一：采用五金配件，紧密拼接，牢固，间隙小，且均匀。三合一偏心连接件偏心体抗压强度应≥270N；三合一偏心连接件预埋螺母抗拉强度应≥630N；三合一偏心连接件中连接螺杆螺纹与预埋螺母的抗拉强度应≥810N；三合偏心连接件中偏心体与连接螺杆的扭矩≥7.0N·m，符合GB/T 28203-2011《家具用连接件技术要求及试验方法》标准</w:t>
            </w:r>
          </w:p>
          <w:p w14:paraId="04A9231F">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5、柜门采用≥50mm宽一体拉手边框铝合金门，中间≥5mm钢化玻璃</w:t>
            </w: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DA585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个</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27342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48</w:t>
            </w:r>
          </w:p>
        </w:tc>
      </w:tr>
      <w:tr w14:paraId="181C264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BDB9D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20</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0FE844">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会议桌</w:t>
            </w:r>
          </w:p>
        </w:tc>
        <w:tc>
          <w:tcPr>
            <w:tcW w:w="3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82E770">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会议桌规格：≥L4200mm*W1500mm*H760mm（误差允许±2mm）(20位)</w:t>
            </w:r>
          </w:p>
          <w:p w14:paraId="0EBCD051">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刨花板：刨花板(实木颗粒板)做基材，经防腐、防虫环保处理，含水率≤8%；静曲强度≥11Mpa；弹性模量≥2000Mpa；板面握螺钉力≥900N、板边握螺钉力≥600N；甲醛释放量≤0.015mg/m³；苯、甲苯、二甲苯，总挥发性有机物（TVOC)未检出；总挥发性有机化合物未检出。符合GB/T 4897-2015《刨花板》标准；GB/T 17657-2022《人造板及饰面人造板理化性能试验方法》；GB/T 39600-2021《人造板及其制品甲醛释放量分级》；GB/T 35601-2017《绿色产品评价 人造板和木质地板》；GB 18580-2017《室内装饰装修材料人造板及其制品中甲醛释放限量》；GB/T 29899-2013《人造板及其制品中有机化合物释放量试验方法小型释放舱法》；QB/T 4371-2012《家具抗菌性能的评价》；HJ 571-2010《环境标志产品技术要求 人造板及其制品》标准。</w:t>
            </w:r>
          </w:p>
          <w:p w14:paraId="25D874F8">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2.热熔胶：采用热熔胶，苯未检出，游离甲醛≤0.50g/kg，苯≤0.50g/kg，甲苯+二甲苯≤150g/kg，总挥发性有机物≤100g/L，符合GB 18583-2008《室内装饰装修材料 胶粘剂中有害物质限量》标准。</w:t>
            </w:r>
          </w:p>
          <w:p w14:paraId="76FE17D7">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3.PVC封边条：采用≥2mm厚PVC封边条，理化性能（塑料封边条—耐老化≥72h无开裂、塑料封边条—耐光色牢度≥4级）；有害物质限量（甲醛释放量、氯乙烯单体、多溴联苯、多溴二苯醚、塑料封边条可迁移元素8项：钡（Ba）、镉（Cd）、铬（Cr）、汞（Hg）、铅（Pb）、砷（As）、硒（Se）、锑（Sb）不得检出；邻苯二甲酸酯（DBP、BBP、DEHP、DNOP、DINP、DIDP）的总量不得检出；符合QB/T 4463-2013《家具用封边条技术要求》、GB 28481-2012《塑料家具中有害物质限量》标准。</w:t>
            </w:r>
          </w:p>
          <w:p w14:paraId="67081C62">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三合一：采用五金配件，紧密拼接，牢固，间隙小，且均匀。三合一偏心连接件偏心体抗压强度应≥270N；三合一偏心连接件预埋螺母抗拉强度应≥630N；三合一偏心连接件中连接螺杆螺纹与预埋螺母的抗拉强度应≥810N；三合偏心连接件中偏心体与连接螺杆的扭矩≥7.0N·m，符合GB/T 28203-2011《家具用连接件技术要求及试验方法》标准。</w:t>
            </w: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AD9B0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张</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1B28E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r>
      <w:tr w14:paraId="4BFC062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17926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21</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F792FF">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会议椅</w:t>
            </w:r>
          </w:p>
        </w:tc>
        <w:tc>
          <w:tcPr>
            <w:tcW w:w="3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03787B">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办公椅规格：≥L620mm*W650mm*H960mm（误差允许±2mm）；</w:t>
            </w:r>
          </w:p>
          <w:p w14:paraId="5CC486BF">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1、环保皮：采用耐磨环保皮面料。</w:t>
            </w:r>
          </w:p>
          <w:p w14:paraId="5AD59855">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2、高弹海绵：采用高弹海绵，65%/25%压陷比≥3，回弹率≥45%，撕裂强度≥4.0N/cm，干热老化后拉伸强度≥110Kpa，湿热老化后拉伸强度≥90Kpa。</w:t>
            </w:r>
          </w:p>
          <w:p w14:paraId="4EC6A1CB">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钢管：采用无缝钢管静电喷塑工艺制作，乙酸盐雾试验(ASS)连续喷雾≥18h，等级≥10级，金属喷漆(塑)涂层耐腐蚀100h内观察在溶液中样板上划道两侧3mm以外，无鼓泡产生；100h后检查划道两侧3mm外，无锈迹、剥落、起皱、变色和失光等现象；符合GB/T 3325-2017、QB/T 3827-1999、QB/T 3832-1999标准。</w:t>
            </w: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A5EBB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把</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067C2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20</w:t>
            </w:r>
          </w:p>
        </w:tc>
      </w:tr>
      <w:tr w14:paraId="0FA7AF1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FCA1E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22</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47C723">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新中式茶桌椅架套件</w:t>
            </w:r>
          </w:p>
        </w:tc>
        <w:tc>
          <w:tcPr>
            <w:tcW w:w="3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73A554">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≥1.8米茶桌*1，围椅*1，月牙椅*4，≥196*198*35博古架*1，茶具一套。（误差允许±2mm）</w:t>
            </w: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6F7DF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26E1E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w:t>
            </w:r>
          </w:p>
        </w:tc>
      </w:tr>
      <w:tr w14:paraId="727C1B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97F7C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23</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9850FC">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书画条桌套件</w:t>
            </w:r>
          </w:p>
        </w:tc>
        <w:tc>
          <w:tcPr>
            <w:tcW w:w="3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78793C">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书画桌≥240*90*75*1含毛毡，舒美特椅*4，大型书画毛毡墙面≥1.8*2米*1（误差允许±2mm）</w:t>
            </w: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AC17E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条</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61F1A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w:t>
            </w:r>
          </w:p>
        </w:tc>
      </w:tr>
      <w:tr w14:paraId="0181D9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DC4B1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43CAFC">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文房四宝</w:t>
            </w:r>
          </w:p>
        </w:tc>
        <w:tc>
          <w:tcPr>
            <w:tcW w:w="3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32406D">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1.毛笔1号（口径≥1.2cm，出峰≥5cm，杆长24cm）</w:t>
            </w:r>
          </w:p>
          <w:p w14:paraId="04BF4FF1">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2.毛笔2号（口径≥1.1cm，出峰≥4.5cm，杆长24cm）</w:t>
            </w:r>
          </w:p>
          <w:p w14:paraId="1FB91833">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3.毛笔3号（口径≥1.0cm，出峰≥4.0cm，杆长24cm）</w:t>
            </w:r>
          </w:p>
          <w:p w14:paraId="37E701B7">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4.毛笔4号（口径≥1.2cm，出峰≥5cm，杆长24cm）</w:t>
            </w:r>
          </w:p>
          <w:p w14:paraId="70E09A15">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5.毛笔5号（口径≥1.1cm，出峰≥4.5cm，杆长24cm）</w:t>
            </w:r>
          </w:p>
          <w:p w14:paraId="2A76F851">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6.斗笔（口径≥2.3cm，出峰≥7.5cm，杆长18cm）</w:t>
            </w:r>
          </w:p>
          <w:p w14:paraId="40F7B509">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7.红木裁纸刀</w:t>
            </w:r>
          </w:p>
          <w:p w14:paraId="69A8F189">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8.双龙戏珠笔搁</w:t>
            </w:r>
          </w:p>
          <w:p w14:paraId="52BA254B">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9.纯松烟墨条</w:t>
            </w:r>
          </w:p>
          <w:p w14:paraId="6AC3744B">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10.一得阁精制墨汁100g</w:t>
            </w:r>
          </w:p>
          <w:p w14:paraId="30339734">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11.澄泥砚:龙飞凤舞</w:t>
            </w:r>
          </w:p>
          <w:p w14:paraId="7C54D0AB">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12.30cm实木龙凤镇尺(精雕)（误差允许±2mm）</w:t>
            </w:r>
          </w:p>
          <w:p w14:paraId="23C82B96">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13.弟梅砚滴</w:t>
            </w:r>
          </w:p>
          <w:p w14:paraId="1A5C0C36">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14.影青印泥</w:t>
            </w:r>
          </w:p>
          <w:p w14:paraId="3F822F2C">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15.红木印章*2枚</w:t>
            </w:r>
          </w:p>
          <w:p w14:paraId="559CA1E6">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16.木质礼盒 长宽高≥50*32*7mm</w:t>
            </w:r>
          </w:p>
          <w:p w14:paraId="055C044C">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17.纯狼小楷（口径≥0.5cm，出峰≥1.6cm，杆长20cm）</w:t>
            </w: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7121D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FD324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r>
      <w:tr w14:paraId="3F76AEB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53B4C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25</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084A8C">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宣纸</w:t>
            </w:r>
          </w:p>
        </w:tc>
        <w:tc>
          <w:tcPr>
            <w:tcW w:w="3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45312A">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四尺熟宣、生宣、半生半熟各≥100张</w:t>
            </w: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00323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9C099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w:t>
            </w:r>
          </w:p>
        </w:tc>
      </w:tr>
      <w:tr w14:paraId="09643B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704D0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26</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B3BDCB">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茶杯</w:t>
            </w:r>
          </w:p>
        </w:tc>
        <w:tc>
          <w:tcPr>
            <w:tcW w:w="3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E0E9BF">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纯白带盖陶瓷茶杯（≥10个装）</w:t>
            </w: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4D90C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0F824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12</w:t>
            </w:r>
          </w:p>
        </w:tc>
      </w:tr>
      <w:tr w14:paraId="602CE6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D7727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27</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9B3392">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1.4米办公桌</w:t>
            </w:r>
          </w:p>
        </w:tc>
        <w:tc>
          <w:tcPr>
            <w:tcW w:w="3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ED0B93">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办公桌规格：≥L1400mm*W700mm*H750mm；（误差允许±2mm）（桌面铝合金包边）</w:t>
            </w:r>
          </w:p>
          <w:p w14:paraId="30CD9307">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刨花板：优质刨花板(实木颗粒板)做基材，经防腐、防虫环保处理，含水率≤8%；静曲强度≥11Mpa；弹性模量≥2000Mpa；板面握螺钉力≥900N、板边握螺钉力≥600N；甲醛释放量≤0.015mg/m³；苯、甲苯、二甲苯，总挥发性有机物（TVOC)未检出；总挥发性有机化合物未检出。符合GB/T 4897-2015《刨花板》标准；GB/T 17657-2022《人造板及饰面人造板理化性能试验方法》；GB/T 39600-2021《人造板及其制品甲醛释放量分级》；GB/T 35601-2017《绿色产品评价 人造板和木质地板》；GB 18580-2017《室内装饰装修材料人造板及其制品中甲醛释放限量》；GB/T 29899-2013《人造板及其制品中有机化合物释放量试验方法小型释放舱法》；QB/T 4371-2012《家具抗菌性能的评价》；HJ 571-2010《环境标志产品技术要求 人造板及其制品》标准。</w:t>
            </w:r>
          </w:p>
          <w:p w14:paraId="6D9072A1">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2.热熔胶：采用优质热熔胶，苯未检出，游离甲醛≤0.50g/kg，苯≤0.50g/kg，甲苯+二甲苯≤150g/kg，总挥发性有机物≤100g/L，符合GB 18583-2008《室内装饰装修材料 胶粘剂中有害物质限量》标准。</w:t>
            </w:r>
          </w:p>
          <w:p w14:paraId="1D9E278B">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3.附件部分封边PVC封边条：采用≥2mm厚PVC封边条，理化性能（塑料封边条—耐老化≥72h无开裂、塑料封边条—耐光色牢度≥4级）；有害物质限量（甲醛释放量、氯乙烯单体、多溴联苯、多溴二苯醚、塑料封边条可迁移元素8项：钡（Ba）、镉（Cd）、铬（Cr）、汞（Hg）、铅（Pb）、砷（As）、硒（Se）、锑（Sb）不得检出；邻苯二甲酸酯（DBP、BBP、DEHP、DNOP、DINP、DIDP）的总量不得检出；符合QB/T 4463-2013《家具用封边条技术要求》、GB 28481-2012《塑料家具中有害物质限量》标准。</w:t>
            </w:r>
          </w:p>
          <w:p w14:paraId="59630951">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4.三合一：采用优质五金配件，紧密拼接，牢固，间隙小，且均匀。三合一偏心连接件偏心体抗压强度应≥270N；三合一偏心连接件预埋螺母抗拉强度应≥630N；三合一偏心连接件中连接螺杆螺纹与预埋螺母的抗拉强度应≥810N；三合偏心连接件中偏心体与连接螺杆的扭矩≥7.0N·m，符合GB/T 28203-2011《家具用连接件技术要求及试验方法》标准，抽屉配备三节式钢珠导轨，抽屉配机械密码锁，柜体预留散热孔，散热孔安装ABS材质的散热装饰盖（散热孔尺寸不得小于350mm*100mm）</w:t>
            </w:r>
          </w:p>
          <w:p w14:paraId="1F37A55E">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5、桌面采用高度≥54mm铝合金造型封边制作，桌面长边≥54mm*25mm铝合金包边，铝合金梯形双斜边造型，所有铝合金外边小圆角造型，桌面短边54*65铝合金造型包边，桌面四个拐角采用铝合金转角接头制作，桌面铝合金包边套色装饰铝边，前挡板≥25mm厚板波浪板造型制作</w:t>
            </w: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D6659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张</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1C3F1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26</w:t>
            </w:r>
          </w:p>
        </w:tc>
      </w:tr>
      <w:tr w14:paraId="0512882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7171F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28</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8B5BCE">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1.6米办公桌</w:t>
            </w:r>
          </w:p>
        </w:tc>
        <w:tc>
          <w:tcPr>
            <w:tcW w:w="3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2DF78B">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办公桌规格：≥L1600mm*W800mm*H750mm；（误差允许±2mm）（桌面铝合金包边，主台+长边柜为≥1套）</w:t>
            </w:r>
          </w:p>
          <w:p w14:paraId="67B8F332">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刨花板：优质刨花板(实木颗粒板)做基材，经防腐、防虫环保处理，含水率≤8%；静曲强度≥11Mpa；弹性模量≥2000Mpa；板面握螺钉力≥900N、板边握螺钉力≥600N；甲醛释放量≤0.015mg/m³；苯、甲苯、二甲苯，总挥发性有机物（TVOC)未检出；总挥发性有机化合物未检出。符合GB/T 4897-2015《刨花板》标准；GB/T 17657-2022《人造板及饰面人造板理化性能试验方法》；GB/T 39600-2021《人造板及其制品甲醛释放量分级》；GB/T 35601-2017《绿色产品评价 人造板和木质地板》；GB 18580-2017《室内装饰装修材料人造板及其制品中甲醛释放限量》；GB/T 29899-2013《人造板及其制品中有机化合物释放量试验方法小型释放舱法》；QB/T 4371-2012《家具抗菌性能的评价》；HJ 571-2010《环境标志产品技术要求 人造板及其制品》标准。</w:t>
            </w:r>
          </w:p>
          <w:p w14:paraId="37EC518A">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2.热熔胶：采用优质热熔胶，苯未检出，游离甲醛≤0.50g/kg，苯≤0.50g/kg，甲苯+二甲苯≤150g/kg，总挥发性有机物≤100g/L，符合GB 18583-2008《室内装饰装修材料 胶粘剂中有害物质限量》标准。</w:t>
            </w:r>
          </w:p>
          <w:p w14:paraId="57D3CC6F">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3.附件部分封边PVC封边条：采用≥2mm厚PVC封边条，理化性能（塑料封边条—耐老化≥72h无开裂、塑料封边条—耐光色牢度≥4级）；有害物质限量（甲醛释放量、氯乙烯单体、多溴联苯、多溴二苯醚、塑料封边条可迁移元素8项：钡（Ba）、镉（Cd）、铬（Cr）、汞（Hg）、铅（Pb）、砷（As）、硒（Se）、锑（Sb）不得检出；邻苯二甲酸酯（DBP、BBP、DEHP、DNOP、DINP、DIDP）的总量不得检出；符合QB/T 4463-2013《家具用封边条技术要求》、GB 28481-2012《塑料家具中有害物质限量》标准。</w:t>
            </w:r>
          </w:p>
          <w:p w14:paraId="2C240957">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4.三合一：采用优质五金配件，紧密拼接，牢固，间隙小，且均匀。三合一偏心连接件偏心体抗压强度应≥270N；三合一偏心连接件预埋螺母抗拉强度应≥630N；三合一偏心连接件中连接螺杆螺纹与预埋螺母的抗拉强度应≥810N；三合偏心连接件中偏心体与连接螺杆的扭矩≥7.0N·m，符合GB/T 28203-2011《家具用连接件技术要求及试验方法》标准，抽屉配备三节式钢珠导轨，抽屉配机械密码锁，柜体预留散热孔，散热孔安装ABS材质的散热装饰盖（散热孔尺寸不得小于350mm*100mm）</w:t>
            </w:r>
          </w:p>
          <w:p w14:paraId="63FAF49C">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5、桌面采用高度≥54mm铝合金造型封边制作，桌面长边≥54mm*25mm铝合金包边，铝合金梯形双斜边造型，所有铝合金外边小圆角造型，桌面短边≥54*65mm铝合金造型包边，桌面四个拐角采用铝合金转角接头制作，桌面铝合金包边套色装饰铝边，前挡板≥25mm厚板波浪板造型制作</w:t>
            </w: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D046B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张</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7D90D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w:t>
            </w:r>
          </w:p>
        </w:tc>
      </w:tr>
      <w:tr w14:paraId="351BA8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116BA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29</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1546F5">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办公椅</w:t>
            </w:r>
          </w:p>
        </w:tc>
        <w:tc>
          <w:tcPr>
            <w:tcW w:w="3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460FCB">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≥620*650*960Hmm（误差允许±2mm）</w:t>
            </w:r>
          </w:p>
          <w:p w14:paraId="3ABBBDA8">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1、面料：采用专业办公环保皮面料饰面，透气性强，手感舒适，回弹性好；</w:t>
            </w:r>
          </w:p>
          <w:p w14:paraId="5CF2939A">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2、实木多层板模压背架，8mm加厚L码尾板倾仰，12mm多层板P底壳，环保要求须符合家具中有害物质限量技术要求；</w:t>
            </w:r>
          </w:p>
          <w:p w14:paraId="09ACCCAC">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3、海绵：采用高密度一次发泡成型海绵，海绵密度≥45kg/m³；</w:t>
            </w:r>
          </w:p>
          <w:p w14:paraId="26BA3143">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4、靠背、座板采用18mm厚环保型多层曲木板，甲醛释放量≤1.5mg/L；</w:t>
            </w:r>
          </w:p>
          <w:p w14:paraId="2385DE1D">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5、选用固定扶手，手感舒适，扶手圆弧处理，钢制电镀方管弓形椅架，防滑、耐磨、消音地脚；</w:t>
            </w: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417D5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把</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4D5EC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30</w:t>
            </w:r>
          </w:p>
        </w:tc>
      </w:tr>
      <w:tr w14:paraId="2FC3AC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5DAC3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30</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48A041">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办公室沙发茶几</w:t>
            </w:r>
          </w:p>
        </w:tc>
        <w:tc>
          <w:tcPr>
            <w:tcW w:w="3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F5E4DE">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单人+三人，长茶几。</w:t>
            </w:r>
          </w:p>
          <w:p w14:paraId="3772F92D">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单人:长宽高≥100*84*86cm（误差允许±2mm），三人：长宽高≥200*84*86cm（误差允许±2mm），茶几长宽高≥120*60*45cm（误差允许±2mm）</w:t>
            </w:r>
          </w:p>
          <w:p w14:paraId="1F30E05A">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1、饰面:面料采用环保皮西皮饰面，皮面经防潮.防污处理，皮面柔软舒服</w:t>
            </w:r>
          </w:p>
          <w:p w14:paraId="2E351E1D">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2、海棉：采用高密度高回弹海绵；</w:t>
            </w:r>
          </w:p>
          <w:p w14:paraId="00D88123">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3、框架：采用经烘干.防腐.防虫处理后实木框架</w:t>
            </w:r>
          </w:p>
          <w:p w14:paraId="59DD0145">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4、颜色：可定制。</w:t>
            </w: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09338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06657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w:t>
            </w:r>
          </w:p>
        </w:tc>
      </w:tr>
      <w:tr w14:paraId="176791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1183C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31</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828363">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办公室沙发茶几</w:t>
            </w:r>
          </w:p>
        </w:tc>
        <w:tc>
          <w:tcPr>
            <w:tcW w:w="3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9B6C62">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三人，长茶几。</w:t>
            </w:r>
          </w:p>
          <w:p w14:paraId="6EDCA7DF">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三人：长宽高≥200*84+*86cm（误差允许±2mm），茶几长宽高≥120*60*45cm（误差允许±2mm）</w:t>
            </w:r>
          </w:p>
          <w:p w14:paraId="2A2EF5EF">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1、饰面:面料采用环保皮西皮饰面，皮面经防潮.防污处理，皮面柔软舒服</w:t>
            </w:r>
          </w:p>
          <w:p w14:paraId="752EFF6F">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2、海棉：采用高密度高回弹海绵；</w:t>
            </w:r>
          </w:p>
          <w:p w14:paraId="593EA111">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3、框架：采用经烘干.防腐.防虫处理后实木框架</w:t>
            </w:r>
          </w:p>
          <w:p w14:paraId="586550F4">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4、颜色：可定制。</w:t>
            </w: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DAB66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253C7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13</w:t>
            </w:r>
          </w:p>
        </w:tc>
      </w:tr>
      <w:tr w14:paraId="401278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FFF24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32</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CDEDB9">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活动室地胶</w:t>
            </w:r>
          </w:p>
        </w:tc>
        <w:tc>
          <w:tcPr>
            <w:tcW w:w="3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D5F681">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超强隔音减震，抗压性强，无线可拼，自带卡口，≥2.5cm（误差允许±0.2cm）</w:t>
            </w: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A522D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平方米</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1F460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42</w:t>
            </w:r>
          </w:p>
        </w:tc>
      </w:tr>
      <w:tr w14:paraId="4C1DBC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DB751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33</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DB12FE">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全遮光卷帘</w:t>
            </w:r>
          </w:p>
        </w:tc>
        <w:tc>
          <w:tcPr>
            <w:tcW w:w="3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68D7F7">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卷帘面料：全遮光玻璃纤维面料；</w:t>
            </w:r>
          </w:p>
          <w:p w14:paraId="5679A4C2">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卷帘面料要求绿色环保、永久性阻燃防火、防水、防油、防污、耐脏、抗拉、抗撕裂、易清洗、不褪色且抗静电、抗老化、抗紫外线；</w:t>
            </w:r>
          </w:p>
          <w:p w14:paraId="2DE930CE">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制作工艺要求帘布两边不能有起毛、飞丝现象；</w:t>
            </w:r>
          </w:p>
          <w:p w14:paraId="61150598">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办公室遮光面料开孔率0％，基本材质：玻璃纤维+PVC；</w:t>
            </w:r>
          </w:p>
          <w:p w14:paraId="3285D869">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开孔率：0% ；</w:t>
            </w:r>
          </w:p>
          <w:p w14:paraId="0EDF8925">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厚度：0.68mm±5%；</w:t>
            </w:r>
          </w:p>
          <w:p w14:paraId="50CA7A78">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重量：≥510 g/㎡；</w:t>
            </w:r>
          </w:p>
          <w:p w14:paraId="7EF44E9D">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抗撕裂强度：经向167N，纬向108N ；</w:t>
            </w:r>
          </w:p>
          <w:p w14:paraId="0DCB3958">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抗拉强度：经向≥1989N/5cm  纬向≥1440N/5cm；</w:t>
            </w:r>
          </w:p>
          <w:p w14:paraId="0C96D93F">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防火等级：氧指数≧32，B1级；</w:t>
            </w:r>
          </w:p>
          <w:p w14:paraId="44FCC8E2">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抗紫外线等级：≥99%；</w:t>
            </w:r>
          </w:p>
          <w:p w14:paraId="26CE9814">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环保性能：符合重金属含量标准：GB/T 17593-2007;符合禁用染料标准：GB/T 17592-2006；符合无甲醛标准：GB/T 2912.1-2009；</w:t>
            </w:r>
          </w:p>
          <w:p w14:paraId="57B6B798">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手动拉珠卷帘系统：</w:t>
            </w:r>
          </w:p>
          <w:p w14:paraId="72E44C96">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拉珠总成：不锈钢制动弹簧，使用寿命达三万次以上， 尾塞挂脚：Q235A表面镀锌+ABS（抗紫外线），尾塞：增强尼龙，内置轴承，转动灵活。</w:t>
            </w:r>
          </w:p>
          <w:p w14:paraId="54D563CC">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扁下梁：铝合金拉伸型材,硬化调质处理表面烤漆处理，壁厚≥0.9mm，扁下梁端盖ABS（抗紫外线）。</w:t>
            </w:r>
          </w:p>
          <w:p w14:paraId="12D26AA1">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40卷管铝合金拉伸型材,表面氧化处理，外径40mm,壁厚≥0.8mm内有防弯加强筋，拉珠,珠扣高密度拉珠,抗紫外线辐射。</w:t>
            </w: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CD505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副</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65420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r>
      <w:tr w14:paraId="43F428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0" w:hRule="atLeast"/>
        </w:trPr>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19DC7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34</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AF6AFA">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礼堂椅</w:t>
            </w:r>
          </w:p>
        </w:tc>
        <w:tc>
          <w:tcPr>
            <w:tcW w:w="3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A56AF7">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座椅规格：总高：1000 -1050；中心距：≥580；座内宽：≥500； 坐高：≥430；地到扶手高：≥610；扶手宽：≥80；扶手长：≥435；厚：≥25；基本椅深：≥760； （误差：±5-10mm）</w:t>
            </w:r>
          </w:p>
          <w:p w14:paraId="30BAF81A">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建议最小行距：900mm-1000mm。（误差：±2mm）可选配座排号</w:t>
            </w:r>
          </w:p>
          <w:p w14:paraId="767E316D">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▲1、椅背 背外板：采用高密度硬木多层板，经模具冷压成型，表层为榉木皮，经过打磨，批灰处理之后，使用PE透明底油打底，再次打磨，修色。最后表面喷一层(哑光、亮光)面油，用100ww的太阳灯烘干为止，环保、不褪色、抗变型；背外板规格：长度为≥760mm，上围宽≥440mm，下围宽≥500mm，厚度为≥15mm。（性能要求：木制件涂层/软硬覆面：耐磨；≥1000转，不应低于2级；抗冲击；冲击高度≥50mm，不应低于3级，附着力涂层交叉切割法，不应低于3级；漆膜喷塑涂层；耐腐蚀100h内，在溶剂中试样上划到两侧3mm以外，应无气泡产生，10h后检查划道两侧3mm以外，无剥落、起皱、变色、和失光等现象。） （误差：±2mm）</w:t>
            </w:r>
          </w:p>
          <w:p w14:paraId="6782AA20">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 xml:space="preserve">▲2、背内板：采用夹板经模具压注成型，厚度≥6mm，外型成弧型。 </w:t>
            </w:r>
          </w:p>
          <w:p w14:paraId="00D2ED71">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 xml:space="preserve">▲3、背海绵：采用高密度冷发泡定型海绵，曲线符合人体工程学原理，密度≥50kg/m3，使座椅在长时间使用下不变形，舒适度好，回弹性好，永不变形。背海绵尺格寸规格：背海绵长度为≥700mm，宽度为≥450mm，头顶厚度为≥65mm，下围最厚处≥100mm。（误差：±2mm） </w:t>
            </w:r>
          </w:p>
          <w:p w14:paraId="6CB768BA">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椅座 座外板：采用高密度硬木多层板，经模具冷压成型，表层为榉木皮。最后表面喷一层(哑光、亮光)面油，采用环保油漆、不褪色、座板使用排钻机开圆孔附121个独特蜂窝式吸音气孔与排气孔，整体吸音率0.5，有效降低室内噪音与保证座椅的良好透气性能。座外板规格：长度为≥460mm，宽度为≥430mm，厚度为≥15mm。（误差：±2mm）(性能要求：木制件涂层/软硬覆面：耐磨；1000转，不应低于2级；抗冲击；冲击高度≥50mm，不应低于3级，附着力涂层交叉切割法，不应低于3级；漆膜喷塑涂层；耐腐蚀100h内，在溶剂中试样上划到两侧3mm以外，应无气泡产生，10h后检查划道两侧3mm以外，无剥落、起皱、变色、和失光等现象。）</w:t>
            </w:r>
          </w:p>
          <w:p w14:paraId="13540517">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▲4、座海绵：采用高密度冷发泡定型海绵。座海绵尺寸规格：长度为≥500mm，宽度为≥460mm，最厚处海绵厚度为≥140mm，海绵密度≥50kg/m3。</w:t>
            </w:r>
          </w:p>
          <w:p w14:paraId="669B95F2">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5、座框架结构：采用弹簧加钢架回位结构，内置铁框。</w:t>
            </w:r>
          </w:p>
          <w:p w14:paraId="7DD21336">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 xml:space="preserve">椅脚 </w:t>
            </w:r>
          </w:p>
          <w:p w14:paraId="569F5BDF">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 xml:space="preserve">▲6、扶手脚上架：上框架采用≥2.0mm钢板与型钢模压并焊制成形，并经打磨、除锈、磷化、静电喷粉、高温锔炉等工序处理，具有较好抗腐蚀性和表面光洁度，表面采用防锈静电喷亚光黑处理。上框正前方呈半弧设计高≥355mm,后框高≥345mm,下框长≥270mm，四面外折边宽≥20mm，顶框架宽为≥80mm,长度≥430mm（误差：±2mm）；上架内折边处采用铁板冲压，宽度40mm加强折边（误差：±2mm），向内折弯包边加固，加强折边上有≥2个固定孔，用于固定侧板，安装侧板加装两颗黑色胶钉紧扣脚架，嵌入扶手框内侧，牢固且不易脱落。扶手架顶端两边各加装≥2颗消音垫，其设计是使用扶手面合起时无响声，起到消音减噪的作用。扶手写字板支撑架实心圆柱形压铸铝头+圆铁加强钢实心条，翻转顺畅无声，更加牢固耐用，该支撑架摒弃了市场上常用的铝合金支架条易断不受力的现象。(礼堂椅满足QB/T 2602-2013《影剧院公共座椅》标准要求，座面椅背耐久性、座面翻转耐久性试验、座面冲击试验、椅背冲击试验、扶手冲击试验、写字板耐久性试验等均需检测合格；表面涂层可迁移元素（铅 Pb、镉 Cd、铬 Cr、汞 Hg、锑 Sb、钡 Ba、硒 Se、砷 As）未检出，苯≤0.05mg/m³，总挥发性。甲醛释放量；不应大于0.120mg/m³h ，金属部件；写字板垂直向下静载荷试验300N,10次；写字板耐久性试验300N,2.5万次。漆膜喷塑涂层，抗冲击3.92J,无剥落、裂纹、皱纹现象；覆着力不低于3级；电镀层；抗盐雾18h，1.5mm以下锈点≤20点/dm³，其中≥1.0mm锈点不应超过5点。)                               </w:t>
            </w:r>
          </w:p>
          <w:p w14:paraId="23303E3E">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7、铝合金脚掌：采用铝合金经模具压注一次成型，上端呈一个倒立梯形镶嵌于底座，梯形里面有5条放射线条承重加强筋，底座与梯形完美结合，使整个脚掌支撑座椅更加牢固结实，其造型优美，工艺精良，脚掌架表面光滑无毛剌，整体做到无焊接痕迹。下架铝脚尺寸：总高≥235mm,脚掌总长≥380mm,宽≥70mm,高≥20mm（误差：±2mm），前后孔对孔距为≥340mm（误差：±2mm）.顶端总长≥250mm，宽≥70mm，厚度≥4mm（误差：±0.2mm），顶端有≥4个螺丝孔位，整个脚架分为上下两部分，下架铸铝+上架钢铁安装螺丝连接，整体设计符合力学及人体工程学原理，受力均匀，抗冲击、经久耐用，脚架两侧带有加强筋，从而加强座椅的受力点以及承受力度。</w:t>
            </w:r>
          </w:p>
          <w:p w14:paraId="05EE27D6">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 xml:space="preserve">脚掌孔采用M8膨胀螺丝+M12膨胀胶固定到地面，表面卡扣式PP方形胶盖嵌入。                              </w:t>
            </w:r>
          </w:p>
          <w:p w14:paraId="2BF5E6F3">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 xml:space="preserve"> 8、扶手面：采用橡木扶手，扶手面宽≥80mm，扶手面长≥435mm，扶手面厚≥25mm（误差：±2mm）。</w:t>
            </w:r>
          </w:p>
          <w:p w14:paraId="5D261A1F">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 xml:space="preserve"> 9、写字板：采用圆铁实心加强钢压铸支撑结构，连接头一体压铸呈2个不同大小的实心圆柱体，使写字板翻转顺畅无声,写字板托盘呈方形结构，该支撑架摒弃了市场上常用的铝合金支架条易断不受力的现象,圆铁实心支架承重力不低于30KG，结实耐用.板面采用高密度中纤板，外冷压防火面板，四周Pvc封边，长度为≥270mm，宽为≥265mm，厚度为≥15mm（误差：±2mm）.内藏折叠式写字板结构，写字板底部设计有小圆形把手孔，把手孔套有特定pp塑料胶圈，方便提拉打开写字板，把手孔圈径直径为：≥37mm（误差：±2mm）。</w:t>
            </w:r>
          </w:p>
          <w:p w14:paraId="7275D2C5">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10、布料：采用高级专用麻绒仿毛布料。（用料要求：纺织面料与人接触部分的面料具有良好的透湿性，透湿量≥2500，皮革涂层粘着牢度≥2.5；材质聚氨酯泡沫材料：座面密度≥40，其他部位密度≥30回弹性≥35为合格.）</w:t>
            </w:r>
          </w:p>
          <w:p w14:paraId="17EFF5D0">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11、回位功能：采用弹簧+阻尼慢回复机构，精确定位，零回复噪音，阻尼装置完全隐蔽，不外露。座垫回位速度可调（2-6秒），噪音低至A声级（≤26dBA）。</w:t>
            </w:r>
          </w:p>
          <w:p w14:paraId="760EECD7">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12、侧板采用密度板厚度为≥2mm，表面包布顶端加装两颗胶粒紧扣脚架。</w:t>
            </w:r>
          </w:p>
          <w:p w14:paraId="467A92A7">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13、地面固定采用防爆胶与自攻内六角螺丝结合安装。</w:t>
            </w: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95CFF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位</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1ABB9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162</w:t>
            </w:r>
          </w:p>
        </w:tc>
      </w:tr>
      <w:tr w14:paraId="5046448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0A08A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35</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AC416D">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条桌</w:t>
            </w:r>
          </w:p>
        </w:tc>
        <w:tc>
          <w:tcPr>
            <w:tcW w:w="3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1767A6">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1.规格：中心距：≥520mm、写字板高度：≥750mm；（误差允许±2mm）</w:t>
            </w:r>
          </w:p>
          <w:p w14:paraId="38A5488D">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2.挡板：采用夹板压制而成，厚度≥12mm，台面与靠背无缝压弯成一体，饰面采用环保防火板，耐 磨、防污、具有很强的抗击力和承重能力。</w:t>
            </w:r>
          </w:p>
          <w:p w14:paraId="3C24F708">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3.台面板：台面板采用夹板压弯成型，厚度≥12mm，台面总高度≥750mm，台面到靠背直线深度≥320mm，靠背底端到台面直线长度≥750mm，面贴环保防火板，耐磨、防污、具有很强的抗击力和承载能力，台面采用斜边为圆弧R约R283±1的弧形的三角式支撑架固定。（误差允许±2mm）</w:t>
            </w:r>
          </w:p>
          <w:p w14:paraId="36D64274">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4.横梁：采用≥80*40厚度2mm矩形管，表面经防锈、防污、淋化、静电喷涂处理。</w:t>
            </w:r>
          </w:p>
          <w:p w14:paraId="0832C500">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5.中抽板：采用≥15mm厚三胺板，深240mm，置物空间内空高度150mm。（误差允许±2mm）</w:t>
            </w:r>
          </w:p>
          <w:p w14:paraId="4A040C79">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6.支撑立管：采用≥30*60厚度≥1.5mm钢管，顶部切R43弧口，表面经抛光，喷涂处理，立管倾斜角度80度。</w:t>
            </w:r>
          </w:p>
          <w:p w14:paraId="72EDDFAC">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7.5mm扁铁固定，固定孔距125mm。（误差允许±0.2mm）</w:t>
            </w: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A3D3B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张</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314EA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81</w:t>
            </w:r>
          </w:p>
        </w:tc>
      </w:tr>
      <w:tr w14:paraId="204DBE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231E3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36</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F83C00">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演讲台</w:t>
            </w:r>
          </w:p>
        </w:tc>
        <w:tc>
          <w:tcPr>
            <w:tcW w:w="3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7A7917">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演讲台规格：≥L680mm*W600mm*H1100mm（误差允许±2mm）:</w:t>
            </w:r>
          </w:p>
          <w:p w14:paraId="0CA93B64">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1.中密度纤维板：采用E0级中密纤维板做基材，经防腐、防虫环保处理，表面胶合强度≥1.8Mpa，含水率≤6%，静曲强度≥35MPa，弹性模量≥4600 MPa，吸水厚度膨胀率≤5%，内结合强度≥1 MPa，苯、甲苯、二甲苯，总挥发性有机物（TVOC)未检出；板边握螺钉力≥900N、板面握螺钉力≥1800N；甲醛释放量≤0.018mg/m³，符合GB 18580-2017《室内装饰装修材料 人造板及其制品中甲醛释放量》；GB/T 35601-2017《绿色产品评价 人造板和木质地板》；GB/T 11718-2021《中密度纤维板》标准。</w:t>
            </w:r>
          </w:p>
          <w:p w14:paraId="1A965993">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2.木皮：采用木皮贴面，木纹纹路自然清晰，厚度均匀，木皮厚度≥0.6mm，含水率7%-13%，甲醛释放量≤0.1mg/L；符合GB 18584-2001《室内装饰装修材料 木家具中有害物质限量》、GB/T 13010-2020《木材工业用单板》标准。</w:t>
            </w:r>
          </w:p>
          <w:p w14:paraId="5E22E909">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3.胶黏剂：采用环保水基型胶黏剂，游离甲醛未检出，苯、甲苯、二甲苯未检出，总挥发性有机物≤20g/L，符合GB 18583-2008《室内装饰装修材料 胶粘剂中有害物质限量》标准。</w:t>
            </w:r>
          </w:p>
          <w:p w14:paraId="3C180293">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4.水性漆：采用环保水性漆，甲醛含量≤5mg/kg；总铅(Pb)含量(限色漆、腻子和醇酸清漆）≤90mg/Kg；可溶性重金属含量(限色漆、腻子和醇酸清漆）（镉(Cd≤75mg/kg、铬(Cr)≤60mg/kg、汞(Hg)≤60mg/kg）；笨系物（苯、甲苯、二甲苯、乙苯）含量总和≤50mg/kg；乙二醇醚及醚酯类（乙二醇甲醚、乙二醇甲醚醋酸酯、乙二醇乙醚、乙二醇乙醚醋酸酯、乙二醇二甲醚、乙二醇二乙醚、二乙二醇二甲醚、三乙二醇二甲醚）含量总和≤10mg/kg，符合GB 18581-2020《木器涂料中有害物质限量》标准。</w:t>
            </w:r>
          </w:p>
          <w:p w14:paraId="2110AC28">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5.三合一：采用五金配件，紧密拼接，牢固，间隙小，且均匀。三合一偏心连接件偏心体抗压强度应≥270N；三合一偏心连接件预埋螺母抗拉强度应≥630N；三合一偏心连接件中连接螺杆螺纹与预埋螺母的抗拉强度应≥810N；三合偏心连接件中偏心体与连接螺杆的扭矩≥7.0N·m，符合GB/T 28203-2011《家具用连接件技术要求及试验方法》标准。</w:t>
            </w:r>
          </w:p>
          <w:p w14:paraId="28F2A2B1">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6.颜色可选.</w:t>
            </w:r>
          </w:p>
        </w:tc>
        <w:tc>
          <w:tcPr>
            <w:tcW w:w="3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758F8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张</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E5E06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w:t>
            </w:r>
          </w:p>
        </w:tc>
      </w:tr>
      <w:tr w14:paraId="0A0D7AD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9F8F9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37</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7F73D1">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主席台</w:t>
            </w:r>
          </w:p>
        </w:tc>
        <w:tc>
          <w:tcPr>
            <w:tcW w:w="3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D3E97F">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主席台桌（第一排）规格：≥L1600mm*W600mm*H750mm（误差允许±2mm）；</w:t>
            </w:r>
          </w:p>
          <w:p w14:paraId="0D03AEF0">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1.中密度纤维板：采用E0级中密纤维板做基材，经防腐、防虫环保处理，表面胶合强度≥1.8Mpa，含水率≤6%，静曲强度≥35MPa，弹性模量≥4600 MPa，吸水厚度膨胀率≤5%，内结合强度≥1 MPa，苯、甲苯、二甲苯，总挥发性有机物（TVOC)未检出；板边握螺钉力≥900N、板面握螺钉力≥1800N；甲醛释放量≤0.018mg/m³，符合GB 18580-2017《室内装饰装修材料 人造板及其制品中甲醛释放量》；GB/T 35601-2017《绿色产品评价 人造板和木质地板》；GB/T 11718-2021《中密度纤维板》标准。</w:t>
            </w:r>
          </w:p>
          <w:p w14:paraId="01BCC399">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2.木皮：采用木皮贴面，木纹纹路自然清晰，厚度均匀，木皮厚度≥0.6mm，含水率7%-13%，甲醛释放量≤0.1mg/L；符合GB 18584-2001《室内装饰装修材料 木家具中有害物质限量》、GB/T 13010-2020《木材工业用单板》标准。</w:t>
            </w:r>
          </w:p>
          <w:p w14:paraId="00D5E524">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3.胶黏剂：采用环保水基型胶黏剂，游离甲醛未检出，苯、甲苯、二甲苯未检出，总挥发性有机物≤20g/L，符合GB 18583-2008《室内装饰装修材料 胶粘剂中有害物质限量》标准。</w:t>
            </w:r>
          </w:p>
          <w:p w14:paraId="019514AE">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4.水性漆：采用环保水性漆，甲醛含量≤5mg/kg；总铅(Pb)含量(限色漆、腻子和醇酸清漆）≤90mg/Kg；可溶性重金属含量(限色漆、腻子和醇酸清漆）（镉(Cd≤75mg/kg、铬(Cr)≤60mg/kg、汞(Hg)≤60mg/kg）；笨系物（苯、甲苯、二甲苯、乙苯）含量总和≤50mg/kg；乙二醇醚及醚酯类（乙二醇甲醚、乙二醇甲醚醋酸酯、乙二醇乙醚、乙二醇乙醚醋酸酯、乙二醇二甲醚、乙二醇二乙醚、二乙二醇二甲醚、三乙二醇二甲醚）含量总和≤10mg/kg，符合GB 18581-2020《木器涂料中有害物质限量》标准。</w:t>
            </w:r>
          </w:p>
          <w:p w14:paraId="5040179C">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5.三合一：采用五金配件，紧密拼接，牢固，间隙小，且均匀。三合一偏心连接件偏心体抗压强度应≥270N；三合一偏心连接件预埋螺母抗拉强度应≥630N；三合一偏心连接件中连接螺杆螺纹与预埋螺母的抗拉强度应≥810N；三合偏心连接件中偏心体与连接螺杆的扭矩≥7.0N·m，符合GB/T 28203-2011《家具用连接件技术要求及试验方法》标准。</w:t>
            </w:r>
          </w:p>
          <w:p w14:paraId="30C11292">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6.颜色可选.</w:t>
            </w: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39AD3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张</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F07C6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w:t>
            </w:r>
          </w:p>
        </w:tc>
      </w:tr>
      <w:tr w14:paraId="5F8B66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0" w:hRule="atLeast"/>
        </w:trPr>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A273E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38</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070566">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主席椅</w:t>
            </w:r>
          </w:p>
        </w:tc>
        <w:tc>
          <w:tcPr>
            <w:tcW w:w="3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8EB309">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主席台椅规格：≥L620mm*W580mm*H1010mm（误差允许±2mm）；</w:t>
            </w:r>
          </w:p>
          <w:p w14:paraId="42A2C1FA">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1.▲橡胶木：椅架采用橡胶木，所有原木经脱脂烘干处理，含水率8%-16%，经平刨处理，不带树皮，无贯通裂缝，无虫蛀现象，无腐朽材。符合GB/T 3324-2017《木家具通用技术条件》标准。</w:t>
            </w:r>
          </w:p>
          <w:p w14:paraId="67A11A06">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2.胶黏剂：采用环保水基型胶黏剂，游离甲醛未检出，苯、甲苯、二甲苯未检出，总挥发性有机物≤20g/L，符合GB 18583-2008《室内装饰装修材料 胶粘剂中有害物质限量》标准。</w:t>
            </w:r>
          </w:p>
          <w:p w14:paraId="78DB58FF">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3.水性漆：采用环保水性漆，甲醛含量≤5mg/kg；总铅(Pb)含量(限色漆、腻子和醇酸清漆）≤90mg/Kg；可溶性重金属含量(限色漆、腻子和醇酸清漆）（镉(Cd≤75mg/kg、铬(Cr)≤60mg/kg、汞(Hg)≤60mg/kg）；笨系物（苯、甲苯、二甲苯、乙苯）含量总和≤50mg/kg；乙二醇醚及醚酯类（乙二醇甲醚、乙二醇甲醚醋酸酯、乙二醇乙醚、乙二醇乙醚醋酸酯、乙二醇二甲醚、乙二醇二乙醚、二乙二醇二甲醚、三乙二醇二甲醚）含量总和≤10mg/kg，符合GB 18581-2020《木器涂料中有害物质限量》标准。</w:t>
            </w:r>
          </w:p>
          <w:p w14:paraId="2D4FA8DF">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 xml:space="preserve">4.▲实木多层板：坐板采用E0级实木多层板做基材，经防腐、防虫环保处理，含水率≤7%；胶合强度试件强度值≥0.8 Mpa；静曲强度（顺纹）≥55Mpa；静曲强度（横纹）≥45Mpa；弹性模量（顺纹）≥7000Mpa；弹性模量（横纹）≥5500Mpa；板边握螺钉力≥900N、板面握螺钉力≥1800N；甲醛释放量≤0.015mg/m³；苯、甲苯、二甲苯，总挥发性有机物（TVOC)未检出；可溶性重金属(铅、镉、铬、汞)总含量≤5mg/kg。符合GB/T 9846-2015《普通胶合板》；GB/T 35601-2017《绿色产品评价 人造板和木质地板》；GB/T 39600-2021《人造板及其制品甲醛释放量分级》；GB 18580-2017《室内装饰装修材料人造板及其制品中甲醛释放量》； </w:t>
            </w:r>
          </w:p>
          <w:p w14:paraId="08FA888F">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5.▲西皮：采用西皮，游离甲醛未检出，挥发性有机物（VOC）≤20mg/kg，可萃取重金属铅（Pb）、镉（Cd）未检出。革身平整、柔软、丰满有弹性；符合GB/T 16799-2018《家具用皮革》标准。</w:t>
            </w:r>
          </w:p>
          <w:p w14:paraId="4DC0F787">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6.▲高弹海绵：采用高弹海绵，65%/25%压陷比≥3，回弹率≥45%，撕裂强度≥4.0N/cm，干热老化后拉伸强度≥110Kpa，湿热老化后拉伸强度≥90Kpa。</w:t>
            </w: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619E3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张</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5803F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w:t>
            </w:r>
          </w:p>
        </w:tc>
      </w:tr>
      <w:tr w14:paraId="464DE02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F6E0B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39</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01C6DD">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钢制柜</w:t>
            </w:r>
          </w:p>
        </w:tc>
        <w:tc>
          <w:tcPr>
            <w:tcW w:w="3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CEBF47">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规格：≥L900mm*W400mm*H1850mm（误差允许±2mm）；</w:t>
            </w:r>
          </w:p>
          <w:p w14:paraId="2086B254">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1、柜体：采用≥0.8mm厚冷轧钢板，符合GB/T 3325-2017《金属家具通用技术条件》;QB/T 3826-1999《轻工产品金属镀层和化学处理层的耐腐蚀试验方法 中性盐雾试验(NSS)法》:QB/T3832-1999《轻工产品金属镀层腐蚀试验结果的评价》:QB/T 4767-2014《家具用钢构件》；</w:t>
            </w:r>
          </w:p>
          <w:p w14:paraId="7916E733">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2、拉手采用一次模压成型一字型拉手，柜内隔板活动可调，可根据个性需求灵活使用；</w:t>
            </w:r>
          </w:p>
          <w:p w14:paraId="2F4EA96C">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3、柜体边框采用薄边工艺，宽度为≥12mm；</w:t>
            </w:r>
          </w:p>
          <w:p w14:paraId="767D321C">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4、背板采用≥2片拼接工艺处理，增加后背强度；</w:t>
            </w:r>
          </w:p>
          <w:p w14:paraId="66899AD7">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5、柜门内装有减震垫，以减轻关门时的噪音；</w:t>
            </w:r>
          </w:p>
          <w:p w14:paraId="4A2B8454">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6、采用专用可拆卸隐藏式静音镀锌合页和暗扣手柜锁；</w:t>
            </w:r>
          </w:p>
          <w:p w14:paraId="002509DF">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7、柜腿：采用≥1.2mm冷轧钢一次冲压成型；</w:t>
            </w:r>
          </w:p>
          <w:p w14:paraId="5F1F3C64">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8、钢制件外表面处理工艺：全部采用除油、除锈、磷化、清洗、热固型环氧树脂粉沫喷涂。</w:t>
            </w:r>
          </w:p>
          <w:p w14:paraId="188C42D9">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9、涂层要求 ：涂层外观：无花斑、无“桔皮”，不允许有肉眼能见机械杂质、污浊、气泡、针孔，表面塑粉附着力强，色泽清爽.纹理清晰，产品抗腐蚀.耐高温.抗划伤使用寿命长求，符合HJ2547-2016《环境标志品技术要求家具》；</w:t>
            </w:r>
          </w:p>
          <w:p w14:paraId="2E8AED63">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10、颜色：可定制。</w:t>
            </w: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B166A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个</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A0A4C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36</w:t>
            </w:r>
          </w:p>
        </w:tc>
      </w:tr>
      <w:tr w14:paraId="51BFE7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3894F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40</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E148EB">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钢制保密柜</w:t>
            </w:r>
          </w:p>
        </w:tc>
        <w:tc>
          <w:tcPr>
            <w:tcW w:w="3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54EA7E">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规格：≥L900mm*W420mm*H1850mm（误差允许±2mm）；</w:t>
            </w:r>
          </w:p>
          <w:p w14:paraId="60975F9A">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1、柜体：采用≥1.0MM厚冷轧钢板，符合GB/T 3325-2017《金属家具通用技术条件》;QB/T 3826-1999《轻工产品金属镀层和化学处理层的耐腐蚀试验方法 中性盐雾试验(NSS)法》:QB/T3832-1999《轻工产品金属镀层腐蚀试验结果的评价》:QB/T 4767-2014《家具用钢构件》；</w:t>
            </w:r>
          </w:p>
          <w:p w14:paraId="25C79853">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2、拉手采用一次模压成型一字型拉手，柜内隔板活动可调，可根据个性需求灵活使用；</w:t>
            </w:r>
          </w:p>
          <w:p w14:paraId="1A083F7D">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3、柜体边框采用薄边工艺，宽度为≥12mm；</w:t>
            </w:r>
          </w:p>
          <w:p w14:paraId="42F37838">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4、背板采用≥2片拼接工艺处理，增加后背强度；</w:t>
            </w:r>
          </w:p>
          <w:p w14:paraId="1CB7B69F">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5、柜门内装有减震垫，以减轻关门时的噪音；</w:t>
            </w:r>
          </w:p>
          <w:p w14:paraId="093EA816">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6、采用专用可拆卸隐藏式静音镀锌合页和暗扣手柜锁；</w:t>
            </w:r>
          </w:p>
          <w:p w14:paraId="6DC52BFE">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7、柜腿：采用≥1.2mm冷轧钢一次冲压成型；</w:t>
            </w:r>
          </w:p>
          <w:p w14:paraId="29C02E2A">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8、钢制件外表面处理工艺：全部采用除油、除锈、磷化、清洗、热固型环氧树脂粉沫喷涂。</w:t>
            </w:r>
          </w:p>
          <w:p w14:paraId="764D7886">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9、涂层要求 ：涂层外观：无花斑、无“桔皮”，不允许有肉眼能见机械杂质、污浊、气泡、针孔，表面塑粉附着力强，色泽清爽.纹理清晰，产品抗腐蚀.耐高温.抗划伤使用寿命长求，符合HJ2547-2016《环境标志品技术要求家具》；</w:t>
            </w:r>
          </w:p>
          <w:p w14:paraId="56384F3C">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10、颜色：可定制。</w:t>
            </w: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3DDA3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个</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34C09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6</w:t>
            </w:r>
          </w:p>
        </w:tc>
      </w:tr>
      <w:tr w14:paraId="18E0AD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EE417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41</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0C045D">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办公室沙发茶几</w:t>
            </w:r>
          </w:p>
        </w:tc>
        <w:tc>
          <w:tcPr>
            <w:tcW w:w="3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B15FBB">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沙发（1+1+3）：三座：≥L2000mm*W850mm*H850mm（误差允许±2mm）：</w:t>
            </w:r>
          </w:p>
          <w:p w14:paraId="22271CE4">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1.橡胶木：椅架采用橡胶木，所有原木经脱脂烘干处理，含水率8%-16%，经平刨处理，不带树皮，无贯通裂缝，无虫蛀现象，无腐朽材。符合GB/T 3324-2017《木家具通用技术条件》标准。</w:t>
            </w:r>
          </w:p>
          <w:p w14:paraId="03BA2728">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2.胶黏剂：采用环保水基型胶黏剂，游离甲醛未检出，苯、甲苯、二甲苯未检出，总挥发性有机物≤20g/L，符合GB 18583-2008《室内装饰装修材料 胶粘剂中有害物质限量》标准。</w:t>
            </w:r>
          </w:p>
          <w:p w14:paraId="5732EDC2">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3.水性漆：采用环保水性漆，甲醛含量≤5mg/kg；总铅(Pb)含量(限色漆、腻子和醇酸清漆）≤90mg/Kg；可溶性重金属含量(限色漆、腻子和醇酸清漆）（镉(Cd≤75mg/kg、铬(Cr)≤60mg/kg、汞(Hg)≤60mg/kg）；笨系物（苯、甲苯、二甲苯、乙苯）含量总和≤50mg/kg；乙二醇醚及醚酯类（乙二醇甲醚、乙二醇甲醚醋酸酯、乙二醇乙醚、乙二醇乙醚醋酸酯、乙二醇二甲醚、乙二醇二乙醚、二乙二醇二甲醚、三乙二醇二甲醚）含量总和≤10mg/kg，符合GB 18581-2020《木器涂料中有害物质限量》标准。</w:t>
            </w:r>
          </w:p>
          <w:p w14:paraId="107846C6">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4.实木多层板：坐板采用E0级实木多层板做基材，经防腐、防虫环保处理，含水率≤7%；胶合强度试件强度值≥0.8 Mpa；静曲强度（顺纹）≥55Mpa；静曲强度（横纹）≥45Mpa；弹性模量（顺纹）≥7000Mpa；弹性模量（横纹）≥5500Mpa；板边握螺钉力≥900N、板面握螺钉力≥1800N；甲醛释放量≤0.015mg/m³；苯、甲苯、二甲苯，总挥发性有机物（TVOC)未检出；可溶性重金属(铅、镉、铬、汞)总含量≤5mg/kg。符合GB/T 9846-2015《普通胶合板》；GB/T 35601-2017《绿色产品评价 人造板和木质地板》；GB/T 39600-2021《人造板及其制品甲醛释放量分级》；GB 18580-2017《室内装饰装修材料人造板及其制品中甲醛释放量》；</w:t>
            </w:r>
          </w:p>
          <w:p w14:paraId="4AF3A2AD">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 xml:space="preserve"> 5.西皮：采用西皮，游离甲醛未检出，挥发性有机物（VOC）≤20mg/kg，可萃取重金属铅（Pb）、镉（Cd）未检出。革身平整、柔软、丰满有弹性；符合GB/T 16799-2018《家具用皮革》标准。</w:t>
            </w:r>
          </w:p>
          <w:p w14:paraId="05027CD2">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6.高弹海绵：采用高弹海绵，65%/25%压陷比≥3，回弹率≥45%，撕裂强度≥4.0N/cm，干热老化后拉伸强度≥110Kpa，湿热老化后拉伸强度≥90Kpa。</w:t>
            </w: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92B5D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F05F8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w:t>
            </w:r>
          </w:p>
        </w:tc>
      </w:tr>
      <w:tr w14:paraId="343B1D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7FE8B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42</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C4D540">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办公室茶几</w:t>
            </w:r>
          </w:p>
        </w:tc>
        <w:tc>
          <w:tcPr>
            <w:tcW w:w="3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DA7F86">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长茶几规格：L1200mm*W600mm*H450mm（误差允许±2mm）:</w:t>
            </w:r>
          </w:p>
          <w:p w14:paraId="7DE78F37">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1.中密度纤维板：采用E0级中密纤维板做基材，经防腐、防虫环保处理，表面胶合强度≥1.8Mpa，含水率≤6%，静曲强度≥35MPa，弹性模量≥4600 MPa，吸水厚度膨胀率≤5%，内结合强度≥1 MPa，苯、甲苯、二甲苯，总挥发性有机物（TVOC)未检出；板边握螺钉力≥900N、板面握螺钉力≥1800N；甲醛释放量≤0.018mg/m³，符合GB 18580-2017《室内装饰装修材料 人造板及其制品中甲醛释放量》；GB/T 35601-2017《绿色产品评价 人造板和木质地板》；GB/T 11718-2021《中密度纤维板》标准。</w:t>
            </w:r>
          </w:p>
          <w:p w14:paraId="123CDFF0">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2.木皮：采用木皮贴面，木纹纹路自然清晰，厚度均匀，木皮厚度≥0.6mm，含水率7%-13%，甲醛释放量≤0.1mg/L；符合GB 18584-2001《室内装饰装修材料 木家具中有害物质限量》、GB/T 13010-2020《木材工业用单板》标准。</w:t>
            </w:r>
          </w:p>
          <w:p w14:paraId="214D1AC6">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3.胶黏剂：采用环保水基型胶黏剂，游离甲醛未检出，苯、甲苯、二甲苯未检出，总挥发性有机物≤20g/L，符合GB 18583-2008《室内装饰装修材料 胶粘剂中有害物质限量》标准。</w:t>
            </w:r>
          </w:p>
          <w:p w14:paraId="445AC9B5">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4.水性漆：采用环保水性漆，甲醛含量≤5mg/kg；总铅(Pb)含量(限色漆、腻子和醇酸清漆）≤90mg/Kg；可溶性重金属含量(限色漆、腻子和醇酸清漆）（镉(Cd≤75mg/kg、铬(Cr)≤60mg/kg、汞(Hg)≤60mg/kg）；笨系物（苯、甲苯、二甲苯、乙苯）含量总和≤50mg/kg；乙二醇醚及醚酯类（乙二醇甲醚、乙二醇甲醚醋酸酯、乙二醇乙醚、乙二醇乙醚醋酸酯、乙二醇二甲醚、乙二醇二乙醚、二乙二醇二甲醚、三乙二醇二甲醚）含量总和≤10mg/kg，符合GB 18581-2020《木器涂料中有害物质限量》标准。</w:t>
            </w:r>
          </w:p>
          <w:p w14:paraId="6DF76B02">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5.三合一：采用五金配件，紧密拼接，牢固，间隙小，且均匀。三合一偏心连接件偏心体抗压强度应≥270N；三合一偏心连接件预埋螺母抗拉强度应≥630N；三合一偏心连接件中连接螺杆螺纹与预埋螺母的抗拉强度应≥810N；三合偏心连接件中偏心体与连接螺杆的扭矩≥7.0N·m，符合GB/T 28203-2011《家具用连接件技术要求及试验方法》标准。</w:t>
            </w:r>
          </w:p>
          <w:p w14:paraId="38883F32">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6.颜色可选.</w:t>
            </w: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94D16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6DBA6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w:t>
            </w:r>
          </w:p>
        </w:tc>
      </w:tr>
      <w:tr w14:paraId="0407F2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7FE83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43</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1BA52C">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值班桌</w:t>
            </w:r>
          </w:p>
        </w:tc>
        <w:tc>
          <w:tcPr>
            <w:tcW w:w="3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BF7D5D">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规格：≥L1200mm*W600mm*H750mm（误差允许±2mm）:</w:t>
            </w:r>
          </w:p>
          <w:p w14:paraId="75C2B02A">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刨花板：采用刨花板(实木颗粒板)做基材，经防腐、防虫环保处理，含水率≤8%；静曲强度≥11Mpa；弹性模量≥2000Mpa；板面握螺钉力≥900N、板边握螺钉力≥600N；甲醛释放量≤0.015mg/m³；苯、甲苯、二甲苯，总挥发性有机物（TVOC)未检出；总挥发性有机化合物未检出。符合GB/T 4897-2015《刨花板》标准；GB/T 17657-2022《人造板及饰面人造板理化性能试验方法》；GB/T 39600-2021《人造板及其制品甲醛释放量分级》；GB/T 35601-2017《绿色产品评价 人造板和木质地板》；GB 18580-2017《室内装饰装修材料人造板及其制品中甲醛释放限量》；GB/T 29899-2013《人造板及其制品中有机化合物释放量试验方法小型释放舱法》；QB/T 4371-2012《家具抗菌性能的评价》；HJ 571-2010《环境标志产品技术要求 人造板及其制品》标准。</w:t>
            </w:r>
          </w:p>
          <w:p w14:paraId="56508BA9">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2.热熔胶：采用热熔胶，苯未检出，游离甲醛≤0.50g/kg，苯≤0.50g/kg，甲苯+二甲苯≤150g/kg，总挥发性有机物≤100g/L，符合GB 18583-2008《室内装饰装修材料 胶粘剂中有害物质限量》标准。</w:t>
            </w:r>
          </w:p>
          <w:p w14:paraId="16F7B183">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3.PVC封边条：采用≥2mm厚PVC封边条，理化性能（塑料封边条—耐老化≥72h无开裂、塑料封边条—耐光色牢度≥4级）；有害物质限量（甲醛释放量、氯乙烯单体、多溴联苯、多溴二苯醚、塑料封边条可迁移元素8项：钡（Ba）、镉（Cd）、铬（Cr）、汞（Hg）、铅（Pb）、砷（As）、硒（Se）、锑（Sb）不得检出；邻苯二甲酸酯（DBP、BBP、DEHP、DNOP、DINP、DIDP）的总量不得检出；符合QB/T 4463-2013《家具用封边条技术要求》、GB 28481-2012《塑料家具中有害物质限量》标准。</w:t>
            </w:r>
          </w:p>
          <w:p w14:paraId="354DF491">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4.三合一：采用五金配件，紧密拼接，牢固，间隙小，且均匀。三合一偏心连接件偏心体抗压强度应≥270N；三合一偏心连接件预埋螺母抗拉强度应≥630N；三合一偏心连接件中连接螺杆螺纹与预埋螺母的抗拉强度应≥810N；三合偏心连接件中偏心体与连接螺杆的扭矩≥7.0N·m，符合GB/T 28203-2011《家具用连接件技术要求及试验方法》标准</w:t>
            </w:r>
          </w:p>
          <w:p w14:paraId="45192F0C">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规格：≥L620mm*W560mm*H900mm（误差允许±2mm）:</w:t>
            </w:r>
          </w:p>
          <w:p w14:paraId="6249F171">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1、网布：采用耐磨网布，透气性强。</w:t>
            </w:r>
          </w:p>
          <w:p w14:paraId="34B30D46">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2、高弹海绵：采用高弹海绵，65%/25%压陷比≥3，回弹率≥45%，撕裂强度≥4.0N/cm，干热老化后拉伸强度≥110Kpa，湿热老化后拉伸强度≥90Kpa。</w:t>
            </w:r>
          </w:p>
          <w:p w14:paraId="28FEA966">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钢管：采用钢管，乙酸盐雾试验(ASS)连续喷雾≥18h，等级≥10级，金属喷漆(塑)涂层耐腐蚀100h内观察在溶液中样板上划道两侧3mm以外，无鼓泡产生；100h后检查划道两侧3mm外，无锈迹、剥落、起皱、变色和失光等现象；符合GB/T 3325-2017、QB/T 3827-1999、QB/T 3832-1999标准。</w:t>
            </w: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157A3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张</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0DB83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w:t>
            </w:r>
          </w:p>
        </w:tc>
      </w:tr>
      <w:tr w14:paraId="484C6A0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AB8C2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44</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E2833D">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值班椅</w:t>
            </w:r>
          </w:p>
        </w:tc>
        <w:tc>
          <w:tcPr>
            <w:tcW w:w="3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9BAD2C">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规格：≥L620mm*W560mm*H900mm（误差允许±2mm）:</w:t>
            </w:r>
          </w:p>
          <w:p w14:paraId="0BA9C833">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1、网布：采用耐磨网布，透气性强。</w:t>
            </w:r>
          </w:p>
          <w:p w14:paraId="31050C13">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2、高弹海绵：采用高弹海绵，65%/25%压陷比≥3，回弹率≥45%，撕裂强度≥4.0N/cm，干热老化后拉伸强度≥110Kpa，湿热老化后拉伸强度≥90Kpa。</w:t>
            </w:r>
          </w:p>
          <w:p w14:paraId="66E4B1DC">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钢管：采用钢管，乙酸盐雾试验(ASS)连续喷雾≥18h，等级≥10级，金属喷漆(塑)涂层耐腐蚀100h内观察在溶液中样板上划道两侧3mm以外，无鼓泡产生；100h后检查划道两侧3mm外，无锈迹、剥落、起皱、变色和失光等现象；符合GB/T 3325-2017、QB/T 3827-1999、QB/T 3832-1999标准。</w:t>
            </w: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243AD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把</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CCD6D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w:t>
            </w:r>
          </w:p>
        </w:tc>
      </w:tr>
      <w:tr w14:paraId="13DEDD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9E583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45</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2DD71F">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值班床</w:t>
            </w:r>
          </w:p>
        </w:tc>
        <w:tc>
          <w:tcPr>
            <w:tcW w:w="3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C0720D">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床规格：≥L2050mm*W1200mm*H400mm（误差允许±2mm）。（高箱结构）</w:t>
            </w:r>
          </w:p>
          <w:p w14:paraId="1E719779">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刨花板：采用刨花板(实木颗粒板)做基材，经防腐、防虫环保处理，含水率≤8%；静曲强度≥11Mpa；弹性模量≥2000Mpa；板面握螺钉力≥900N、板边握螺钉力≥600N；甲醛释放量≤0.015mg/m³；苯、甲苯、二甲苯，总挥发性有机物（TVOC)未检出；总挥发性有机化合物未检出。符合GB/T 4897-2015《刨花板》标准；GB/T 17657-2022《人造板及饰面人造板理化性能试验方法》；GB/T 39600-2021《人造板及其制品甲醛释放量分级》；GB/T 35601-2017《绿色产品评价 人造板和木质地板》；GB 18580-2017《室内装饰装修材料人造板及其制品中甲醛释放限量》；GB/T 29899-2013《人造板及其制品中有机化合物释放量试验方法小型释放舱法》；QB/T 4371-2012《家具抗菌性能的评价》；HJ 571-2010《环境标志产品技术要求 人造板及其制品》标准。</w:t>
            </w:r>
          </w:p>
          <w:p w14:paraId="4DCEA3BE">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2.热熔胶：采用热熔胶，苯未检出，游离甲醛≤0.50g/kg，苯≤0.50g/kg，甲苯+二甲苯≤150g/kg，总挥发性有机物≤100g/L，符合GB 18583-2008《室内装饰装修材料 胶粘剂中有害物质限量》标准。</w:t>
            </w:r>
          </w:p>
          <w:p w14:paraId="1AC3EDA9">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3.PVC封边条：采用2mm厚PVC封边条，理化性能（塑料封边条—耐老化≥72h无开裂、塑料封边条—耐光色牢度≥4级）；有害物质限量（甲醛释放量、氯乙烯单体、多溴联苯、多溴二苯醚、塑料封边条可迁移元素8项：钡（Ba）、镉（Cd）、铬（Cr）、汞（Hg）、铅（Pb）、砷（As）、硒（Se）、锑（Sb）不得检出；邻苯二甲酸酯（DBP、BBP、DEHP、DNOP、DINP、DIDP）的总量不得检出；符合QB/T 4463-2013《家具用封边条技术要求》、GB 28481-2012《塑料家具中有害物质限量》标准。</w:t>
            </w:r>
          </w:p>
          <w:p w14:paraId="0DA0E399">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三合一：采用五金配件，紧密拼接，牢固，间隙小，且均匀。三合一偏心连接件偏心体抗压强度应≥270N；三合一偏心连接件预埋螺母抗拉强度应≥630N；三合一偏心连接件中连接螺杆螺纹与预埋螺母的抗拉强度应≥810N；三合偏心连接件中偏心体与连接螺杆的扭矩≥7.0N·m，符合GB/T 28203-2011《家具用连接件技术要求及试验方法》标准。</w:t>
            </w: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52844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张</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88DA4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w:t>
            </w:r>
          </w:p>
        </w:tc>
      </w:tr>
      <w:tr w14:paraId="09E452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18AB3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46</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4F4CAD">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值班床垫</w:t>
            </w:r>
          </w:p>
        </w:tc>
        <w:tc>
          <w:tcPr>
            <w:tcW w:w="3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14C94D">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床垫规格：≥L2000mm*W1200mm*H50mm（误差允许±2mm）;</w:t>
            </w:r>
          </w:p>
          <w:p w14:paraId="5DC77422">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床垫内置天然软棕，面料采用针织布面料，厚度内棕30mm上下15mm舒适海绵与面料一体缝制工艺制作，四周绲边工艺制作</w:t>
            </w: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21824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张</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7DB09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w:t>
            </w:r>
          </w:p>
        </w:tc>
      </w:tr>
      <w:tr w14:paraId="06E001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42120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47</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02C1D9">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值班室边柜</w:t>
            </w:r>
          </w:p>
        </w:tc>
        <w:tc>
          <w:tcPr>
            <w:tcW w:w="3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96409D">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规格：≥L1200mm*W350mm*H800mm（误差允许±2mm）。</w:t>
            </w:r>
          </w:p>
          <w:p w14:paraId="230B700D">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刨花板：采用刨花板(实木颗粒板)做基材，经防腐、防虫环保处理，含水率≤8%；静曲强度≥11Mpa；弹性模量≥2000Mpa；板面握螺钉力≥900N、板边握螺钉力≥600N；甲醛释放量≤0.015mg/m³；苯、甲苯、二甲苯，总挥发性有机物（TVOC)未检出；总挥发性有机化合物未检出。符合GB/T 4897-2015《刨花板》标准；GB/T 17657《人造板及饰面人造板理化性能试验方法》；GB/T 39600-2021《人造板及其制品甲醛释放量分级》；GB/T 35601-2017《绿色产品评价 人造板和木质地板》；GB 18580-2017《室内装饰装修材料人造板及其制品中甲醛释放限量》；GB/T 29899-2013《人造板及其制品中有机化合物释放量试验方法小型释放舱法》；QB/T 4371-2012《家具抗菌性能的评价》；HJ 571-2010《环境标志产品技术要求 人造板及其制品》标准。</w:t>
            </w:r>
          </w:p>
          <w:p w14:paraId="72F80F96">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2.热熔胶：采用热熔胶，苯未检出，游离甲醛≤0.50g/kg，苯≤0.50g/kg，甲苯+二甲苯≤150g/kg，总挥发性有机物≤100g/L，符合GB 18583-2008《室内装饰装修材料 胶粘剂中有害物质限量》标准。</w:t>
            </w:r>
          </w:p>
          <w:p w14:paraId="75AE6121">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3.PVC封边条：采用≥2mm厚PVC封边条，理化性能（塑料封边条—耐老化≥72h无开裂、塑料封边条—耐光色牢度≥4级）；有害物质限量（甲醛释放量、氯乙烯单体、多溴联苯、多溴二苯醚、塑料封边条可迁移元素8项：钡（Ba）、镉（Cd）、铬（Cr）、汞（Hg）、铅（Pb）、砷（As）、硒（Se）、锑（Sb）不得检出；邻苯二甲酸酯（DBP、BBP、DEHP、DNOP、DINP、DIDP）的总量不得检出；符合QB/T 4463-2013《家具用封边条技术要求》、GB 28481-2012《塑料家具中有害物质限量》标准。</w:t>
            </w:r>
          </w:p>
          <w:p w14:paraId="5C1D498A">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三合一：采用五金配件，紧密拼接，牢固，间隙小，且均匀。三合一偏心连接件偏心体抗压强度应≥270N；三合一偏心连接件预埋螺母抗拉强度应≥630N；三合一偏心连接件中连接螺杆螺纹与预埋螺母的抗拉强度应≥810N；三合偏心连接件中偏心体与连接螺杆的扭矩≥7.0N·m，符合GB/T 28203-2011《家具用连接件技术要求及试验方法》标准。</w:t>
            </w: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C5972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个</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4A363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w:t>
            </w:r>
          </w:p>
        </w:tc>
      </w:tr>
      <w:tr w14:paraId="75F4A6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92252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48</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6ABD1F">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值班室衣柜</w:t>
            </w:r>
          </w:p>
        </w:tc>
        <w:tc>
          <w:tcPr>
            <w:tcW w:w="3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5C1AA3">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床规格：≥L800mm*W500mm*H2000mm（误差允许±2mm）。</w:t>
            </w:r>
          </w:p>
          <w:p w14:paraId="02FA6307">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刨花板：采用刨花板(实木颗粒板)做基材，经防腐、防虫环保处理，含水率≤8%；静曲强度≥11Mpa；弹性模量≥2000Mpa；板面握螺钉力≥900N、板边握螺钉力≥600N；甲醛释放量≤0.015mg/m³；苯、甲苯、二甲苯，总挥发性有机物（TVOC)未检出；总挥发性有机化合物未检出。符合GB/T 4897-2015《刨花板》标准；GB/T 17657《人造板及饰面人造板理化性能试验方法》；GB/T 39600-2021《人造板及其制品甲醛释放量分级》；GB/T 35601-2017《绿色产品评价 人造板和木质地板》；GB 18580-2017《室内装饰装修材料人造板及其制品中甲醛释放限量》；GB/T 29899-2013《人造板及其制品中有机化合物释放量试验方法小型释放舱法》；QB/T 4371-2012《家具抗菌性能的评价》；HJ 571-2010《环境标志产品技术要求 人造板及其制品》标准。</w:t>
            </w:r>
          </w:p>
          <w:p w14:paraId="341DADC4">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2.热熔胶：采用热熔胶，苯未检出，游离甲醛≤0.50g/kg，苯≤0.50g/kg，甲苯+二甲苯≤150g/kg，总挥发性有机物≤100g/L，符合GB 18583-2008《室内装饰装修材料 胶粘剂中有害物质限量》标准。</w:t>
            </w:r>
          </w:p>
          <w:p w14:paraId="5F0C9CF4">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3.PVC封边条：采用≥2mm厚PVC封边条，理化性能（塑料封边条—耐老化≥72h无开裂、塑料封边条—耐光色牢度≥4级）；有害物质限量（甲醛释放量、氯乙烯单体、多溴联苯、多溴二苯醚、塑料封边条可迁移元素8项：钡（Ba）、镉（Cd）、铬（Cr）、汞（Hg）、铅（Pb）、砷（As）、硒（Se）、锑（Sb）不得检出；邻苯二甲酸酯（DBP、BBP、DEHP、DNOP、DINP、DIDP）的总量不得检出；符合QB/T 4463-2013《家具用封边条技术要求》、GB 28481-2012《塑料家具中有害物质限量》标准。</w:t>
            </w:r>
          </w:p>
          <w:p w14:paraId="56556D80">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三合一：采用五金配件，紧密拼接，牢固，间隙小，且均匀。三合一偏心连接件偏心体抗压强度应≥270N；三合一偏心连接件预埋螺母抗拉强度应≥630N；三合一偏心连接件中连接螺杆螺纹与预埋螺母的抗拉强度应≥810N；三合偏心连接件中偏心体与连接螺杆的扭矩≥7.0N·m，符合GB/T 28203-2011《家具用连接件技术要求及试验方法》标准。</w:t>
            </w: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2C417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组</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4A7F0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w:t>
            </w:r>
          </w:p>
        </w:tc>
      </w:tr>
      <w:tr w14:paraId="409D7A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CB119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49</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BDC097">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折叠沙发床</w:t>
            </w:r>
          </w:p>
        </w:tc>
        <w:tc>
          <w:tcPr>
            <w:tcW w:w="3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A0AA2D">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规格：≥L2000mm*W850mm*H850mm（误差允许±2mm）。</w:t>
            </w:r>
          </w:p>
          <w:p w14:paraId="01FF0126">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钢制金属喷塑沙发外框架，实木扶手盖板，沙发靠背与坐垫采用内折叠机构，内钢制框架，钢制框架外侧实木多层板框架包覆，采用高密度海绵，面料采用纤维布面料，靠背与坐垫打开放平成宽度≥1050mm（误差允许±2mm）沙发床</w:t>
            </w: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E7589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张</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41C3E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w:t>
            </w:r>
          </w:p>
        </w:tc>
      </w:tr>
    </w:tbl>
    <w:p w14:paraId="6ABC4307">
      <w:pPr>
        <w:pStyle w:val="11"/>
        <w:tabs>
          <w:tab w:val="left" w:pos="600"/>
        </w:tabs>
        <w:spacing w:line="360" w:lineRule="auto"/>
        <w:ind w:left="0" w:leftChars="0" w:firstLine="422" w:firstLineChars="200"/>
        <w:rPr>
          <w:rFonts w:hint="eastAsia" w:asciiTheme="minorEastAsia" w:hAnsiTheme="minorEastAsia" w:eastAsiaTheme="minorEastAsia" w:cstheme="minorEastAsia"/>
          <w:b/>
          <w:bCs/>
          <w:color w:val="auto"/>
          <w:sz w:val="21"/>
          <w:szCs w:val="21"/>
          <w:highlight w:val="none"/>
          <w:lang w:eastAsia="zh-CN"/>
        </w:rPr>
      </w:pPr>
    </w:p>
    <w:p w14:paraId="21FC15E6">
      <w:pPr>
        <w:pStyle w:val="11"/>
        <w:tabs>
          <w:tab w:val="left" w:pos="600"/>
        </w:tabs>
        <w:spacing w:line="360" w:lineRule="auto"/>
        <w:ind w:left="0" w:leftChars="0" w:firstLine="422" w:firstLineChars="200"/>
        <w:rPr>
          <w:rFonts w:hint="eastAsia" w:asciiTheme="minorEastAsia" w:hAnsiTheme="minorEastAsia" w:eastAsiaTheme="minorEastAsia" w:cstheme="minorEastAsia"/>
          <w:b/>
          <w:bCs/>
          <w:color w:val="auto"/>
          <w:sz w:val="21"/>
          <w:szCs w:val="21"/>
          <w:highlight w:val="none"/>
        </w:rPr>
      </w:pPr>
      <w:r>
        <w:rPr>
          <w:rFonts w:hint="eastAsia" w:asciiTheme="minorEastAsia" w:hAnsiTheme="minorEastAsia" w:eastAsiaTheme="minorEastAsia" w:cstheme="minorEastAsia"/>
          <w:b/>
          <w:bCs/>
          <w:color w:val="auto"/>
          <w:sz w:val="21"/>
          <w:szCs w:val="21"/>
          <w:highlight w:val="none"/>
          <w:lang w:eastAsia="zh-CN"/>
        </w:rPr>
        <w:t>备注：</w:t>
      </w:r>
      <w:r>
        <w:rPr>
          <w:rFonts w:hint="eastAsia" w:asciiTheme="minorEastAsia" w:hAnsiTheme="minorEastAsia" w:eastAsiaTheme="minorEastAsia" w:cstheme="minorEastAsia"/>
          <w:b/>
          <w:bCs/>
          <w:color w:val="auto"/>
          <w:sz w:val="21"/>
          <w:szCs w:val="21"/>
          <w:highlight w:val="none"/>
        </w:rPr>
        <w:t>1、通过篡改数据响应的按照无效标处理并追究法律责任。在交货后，发现部分不能实现，</w:t>
      </w:r>
      <w:r>
        <w:rPr>
          <w:rFonts w:hint="eastAsia" w:asciiTheme="minorEastAsia" w:hAnsiTheme="minorEastAsia" w:eastAsiaTheme="minorEastAsia" w:cstheme="minorEastAsia"/>
          <w:b/>
          <w:bCs/>
          <w:color w:val="auto"/>
          <w:sz w:val="21"/>
          <w:szCs w:val="21"/>
          <w:highlight w:val="none"/>
          <w:lang w:val="en-US" w:eastAsia="zh-CN"/>
        </w:rPr>
        <w:t>采购人</w:t>
      </w:r>
      <w:r>
        <w:rPr>
          <w:rFonts w:hint="eastAsia" w:asciiTheme="minorEastAsia" w:hAnsiTheme="minorEastAsia" w:eastAsiaTheme="minorEastAsia" w:cstheme="minorEastAsia"/>
          <w:b/>
          <w:bCs/>
          <w:color w:val="auto"/>
          <w:sz w:val="21"/>
          <w:szCs w:val="21"/>
          <w:highlight w:val="none"/>
        </w:rPr>
        <w:t>有权退货并索取赔偿。</w:t>
      </w:r>
    </w:p>
    <w:p w14:paraId="227DA4E3">
      <w:pPr>
        <w:pStyle w:val="11"/>
        <w:tabs>
          <w:tab w:val="left" w:pos="600"/>
        </w:tabs>
        <w:spacing w:line="360" w:lineRule="auto"/>
        <w:ind w:left="0" w:leftChars="0" w:firstLine="422" w:firstLineChars="200"/>
        <w:rPr>
          <w:rFonts w:hint="eastAsia" w:asciiTheme="minorEastAsia" w:hAnsiTheme="minorEastAsia" w:eastAsiaTheme="minorEastAsia" w:cstheme="minorEastAsia"/>
          <w:b/>
          <w:bCs/>
          <w:color w:val="auto"/>
          <w:sz w:val="21"/>
          <w:szCs w:val="21"/>
          <w:highlight w:val="none"/>
        </w:rPr>
      </w:pPr>
      <w:r>
        <w:rPr>
          <w:rFonts w:hint="eastAsia" w:asciiTheme="minorEastAsia" w:hAnsiTheme="minorEastAsia" w:eastAsiaTheme="minorEastAsia" w:cstheme="minorEastAsia"/>
          <w:b/>
          <w:bCs/>
          <w:color w:val="auto"/>
          <w:sz w:val="21"/>
          <w:szCs w:val="21"/>
          <w:highlight w:val="none"/>
        </w:rPr>
        <w:t>2、产品中标后验收过程中如果发现有不满足招标要求的、篡改参数，投标产品与交货产品不一致的，用户可以拒绝付款。</w:t>
      </w:r>
    </w:p>
    <w:p w14:paraId="6B60BDE6">
      <w:pPr>
        <w:pStyle w:val="11"/>
        <w:tabs>
          <w:tab w:val="left" w:pos="600"/>
        </w:tabs>
        <w:spacing w:line="360" w:lineRule="auto"/>
        <w:ind w:firstLine="422" w:firstLineChars="200"/>
        <w:rPr>
          <w:rFonts w:hint="eastAsia" w:ascii="宋体" w:hAnsi="宋体"/>
          <w:b/>
          <w:bCs/>
          <w:color w:val="auto"/>
          <w:sz w:val="21"/>
          <w:szCs w:val="21"/>
          <w:highlight w:val="none"/>
        </w:rPr>
      </w:pPr>
      <w:r>
        <w:rPr>
          <w:rFonts w:hint="eastAsia" w:ascii="宋体" w:hAnsi="宋体"/>
          <w:b/>
          <w:bCs/>
          <w:color w:val="auto"/>
          <w:sz w:val="21"/>
          <w:szCs w:val="21"/>
          <w:highlight w:val="none"/>
        </w:rPr>
        <w:br w:type="page"/>
      </w:r>
    </w:p>
    <w:bookmarkEnd w:id="188"/>
    <w:p w14:paraId="14568A23">
      <w:pPr>
        <w:pStyle w:val="4"/>
        <w:keepNext w:val="0"/>
        <w:keepLines w:val="0"/>
        <w:pageBreakBefore w:val="0"/>
        <w:widowControl w:val="0"/>
        <w:kinsoku/>
        <w:wordWrap/>
        <w:overflowPunct/>
        <w:topLinePunct w:val="0"/>
        <w:autoSpaceDE/>
        <w:autoSpaceDN/>
        <w:bidi w:val="0"/>
        <w:adjustRightInd/>
        <w:snapToGrid/>
        <w:spacing w:line="480" w:lineRule="exact"/>
        <w:ind w:firstLine="0"/>
        <w:jc w:val="center"/>
        <w:textAlignment w:val="auto"/>
        <w:outlineLvl w:val="1"/>
        <w:rPr>
          <w:rFonts w:hint="eastAsia" w:ascii="黑体" w:hAnsi="宋体" w:eastAsia="黑体" w:cs="Times New Roman"/>
          <w:b/>
          <w:color w:val="auto"/>
          <w:kern w:val="44"/>
          <w:sz w:val="36"/>
          <w:szCs w:val="36"/>
          <w:highlight w:val="none"/>
          <w:lang w:val="en-US" w:eastAsia="zh-CN"/>
        </w:rPr>
      </w:pPr>
      <w:bookmarkStart w:id="189" w:name="_Toc11440"/>
      <w:r>
        <w:rPr>
          <w:rFonts w:hint="eastAsia" w:ascii="黑体" w:hAnsi="宋体" w:eastAsia="黑体" w:cs="Times New Roman"/>
          <w:b/>
          <w:color w:val="auto"/>
          <w:kern w:val="44"/>
          <w:sz w:val="36"/>
          <w:szCs w:val="36"/>
          <w:highlight w:val="none"/>
          <w:lang w:val="en-US" w:eastAsia="zh-CN"/>
        </w:rPr>
        <w:t>第二部分 商务条款</w:t>
      </w:r>
      <w:bookmarkEnd w:id="189"/>
    </w:p>
    <w:p w14:paraId="3F4BA6B6">
      <w:pPr>
        <w:keepNext w:val="0"/>
        <w:keepLines w:val="0"/>
        <w:pageBreakBefore w:val="0"/>
        <w:widowControl w:val="0"/>
        <w:kinsoku/>
        <w:wordWrap/>
        <w:overflowPunct/>
        <w:topLinePunct w:val="0"/>
        <w:autoSpaceDE/>
        <w:autoSpaceDN/>
        <w:bidi w:val="0"/>
        <w:adjustRightInd/>
        <w:snapToGrid/>
        <w:spacing w:line="480" w:lineRule="exact"/>
        <w:ind w:firstLine="422" w:firstLineChars="200"/>
        <w:textAlignment w:val="auto"/>
        <w:rPr>
          <w:rFonts w:hint="eastAsia" w:asciiTheme="minorEastAsia" w:hAnsiTheme="minorEastAsia" w:eastAsiaTheme="minorEastAsia" w:cstheme="minorEastAsia"/>
          <w:b w:val="0"/>
          <w:bCs w:val="0"/>
          <w:color w:val="auto"/>
          <w:sz w:val="21"/>
          <w:szCs w:val="21"/>
          <w:highlight w:val="none"/>
          <w:lang w:val="en-US" w:eastAsia="zh-CN"/>
        </w:rPr>
      </w:pPr>
      <w:r>
        <w:rPr>
          <w:rFonts w:hint="eastAsia" w:asciiTheme="minorEastAsia" w:hAnsiTheme="minorEastAsia" w:eastAsiaTheme="minorEastAsia" w:cstheme="minorEastAsia"/>
          <w:b/>
          <w:bCs/>
          <w:color w:val="auto"/>
          <w:sz w:val="21"/>
          <w:szCs w:val="21"/>
          <w:highlight w:val="none"/>
          <w:lang w:val="en-US" w:eastAsia="zh-CN"/>
        </w:rPr>
        <w:t>1.付款方式：</w:t>
      </w:r>
      <w:r>
        <w:rPr>
          <w:rFonts w:hint="eastAsia" w:asciiTheme="minorEastAsia" w:hAnsiTheme="minorEastAsia" w:eastAsiaTheme="minorEastAsia" w:cstheme="minorEastAsia"/>
          <w:b w:val="0"/>
          <w:bCs w:val="0"/>
          <w:color w:val="auto"/>
          <w:sz w:val="21"/>
          <w:szCs w:val="21"/>
          <w:highlight w:val="none"/>
          <w:lang w:val="en-US" w:eastAsia="zh-CN"/>
        </w:rPr>
        <w:t>签订合同后支付合同总价的30%，</w:t>
      </w:r>
      <w:r>
        <w:rPr>
          <w:rFonts w:hint="eastAsia" w:asciiTheme="minorEastAsia" w:hAnsiTheme="minorEastAsia" w:eastAsiaTheme="minorEastAsia" w:cstheme="minorEastAsia"/>
          <w:b w:val="0"/>
          <w:bCs w:val="0"/>
          <w:color w:val="auto"/>
          <w:sz w:val="21"/>
          <w:szCs w:val="21"/>
          <w:highlight w:val="none"/>
          <w:lang w:val="zh-CN" w:eastAsia="zh-CN"/>
        </w:rPr>
        <w:t>产品</w:t>
      </w:r>
      <w:r>
        <w:rPr>
          <w:rFonts w:hint="eastAsia" w:asciiTheme="minorEastAsia" w:hAnsiTheme="minorEastAsia" w:eastAsiaTheme="minorEastAsia" w:cstheme="minorEastAsia"/>
          <w:b w:val="0"/>
          <w:bCs w:val="0"/>
          <w:color w:val="auto"/>
          <w:sz w:val="21"/>
          <w:szCs w:val="21"/>
          <w:highlight w:val="none"/>
          <w:lang w:val="en-US" w:eastAsia="zh-CN"/>
        </w:rPr>
        <w:t>到货甲方初验合格后支付同总价的40%，货物终验验收</w:t>
      </w:r>
      <w:r>
        <w:rPr>
          <w:rFonts w:hint="eastAsia" w:asciiTheme="minorEastAsia" w:hAnsiTheme="minorEastAsia" w:eastAsiaTheme="minorEastAsia" w:cstheme="minorEastAsia"/>
          <w:b w:val="0"/>
          <w:bCs w:val="0"/>
          <w:color w:val="auto"/>
          <w:sz w:val="21"/>
          <w:szCs w:val="21"/>
          <w:highlight w:val="none"/>
          <w:lang w:val="zh-CN" w:eastAsia="zh-CN"/>
        </w:rPr>
        <w:t>合格后支付</w:t>
      </w:r>
      <w:r>
        <w:rPr>
          <w:rFonts w:hint="eastAsia" w:asciiTheme="minorEastAsia" w:hAnsiTheme="minorEastAsia" w:eastAsiaTheme="minorEastAsia" w:cstheme="minorEastAsia"/>
          <w:b w:val="0"/>
          <w:bCs w:val="0"/>
          <w:color w:val="auto"/>
          <w:sz w:val="21"/>
          <w:szCs w:val="21"/>
          <w:highlight w:val="none"/>
          <w:lang w:val="en-US" w:eastAsia="zh-CN"/>
        </w:rPr>
        <w:t>合同总价的30</w:t>
      </w:r>
      <w:r>
        <w:rPr>
          <w:rFonts w:hint="eastAsia" w:asciiTheme="minorEastAsia" w:hAnsiTheme="minorEastAsia" w:eastAsiaTheme="minorEastAsia" w:cstheme="minorEastAsia"/>
          <w:b w:val="0"/>
          <w:bCs w:val="0"/>
          <w:color w:val="auto"/>
          <w:sz w:val="21"/>
          <w:szCs w:val="21"/>
          <w:highlight w:val="none"/>
          <w:lang w:val="zh-CN" w:eastAsia="zh-CN"/>
        </w:rPr>
        <w:t>％。（具体与甲方签订为准）</w:t>
      </w:r>
    </w:p>
    <w:p w14:paraId="041EC5AF">
      <w:pPr>
        <w:keepNext w:val="0"/>
        <w:keepLines w:val="0"/>
        <w:pageBreakBefore w:val="0"/>
        <w:widowControl w:val="0"/>
        <w:kinsoku/>
        <w:wordWrap/>
        <w:overflowPunct/>
        <w:topLinePunct w:val="0"/>
        <w:autoSpaceDE/>
        <w:autoSpaceDN/>
        <w:bidi w:val="0"/>
        <w:adjustRightInd/>
        <w:snapToGrid/>
        <w:spacing w:line="480" w:lineRule="exact"/>
        <w:ind w:firstLine="422" w:firstLineChars="200"/>
        <w:textAlignment w:val="auto"/>
        <w:rPr>
          <w:rFonts w:hint="eastAsia" w:asciiTheme="minorEastAsia" w:hAnsiTheme="minorEastAsia" w:eastAsiaTheme="minorEastAsia" w:cstheme="minorEastAsia"/>
          <w:b w:val="0"/>
          <w:bCs w:val="0"/>
          <w:color w:val="auto"/>
          <w:sz w:val="21"/>
          <w:szCs w:val="21"/>
          <w:highlight w:val="none"/>
          <w:lang w:val="en-US" w:eastAsia="zh-CN"/>
        </w:rPr>
      </w:pPr>
      <w:r>
        <w:rPr>
          <w:rFonts w:hint="eastAsia" w:asciiTheme="minorEastAsia" w:hAnsiTheme="minorEastAsia" w:eastAsiaTheme="minorEastAsia" w:cstheme="minorEastAsia"/>
          <w:b/>
          <w:bCs/>
          <w:color w:val="auto"/>
          <w:sz w:val="21"/>
          <w:szCs w:val="21"/>
          <w:highlight w:val="none"/>
          <w:lang w:val="en-US" w:eastAsia="zh-CN"/>
        </w:rPr>
        <w:t>2.付款程序：</w:t>
      </w:r>
      <w:r>
        <w:rPr>
          <w:rFonts w:hint="eastAsia" w:asciiTheme="minorEastAsia" w:hAnsiTheme="minorEastAsia" w:eastAsiaTheme="minorEastAsia" w:cstheme="minorEastAsia"/>
          <w:b w:val="0"/>
          <w:bCs w:val="0"/>
          <w:color w:val="auto"/>
          <w:sz w:val="21"/>
          <w:szCs w:val="21"/>
          <w:highlight w:val="none"/>
          <w:lang w:val="en-US" w:eastAsia="zh-CN"/>
        </w:rPr>
        <w:t>所有货款均以人民币支付，由采购人办理具体付款手续 。</w:t>
      </w:r>
    </w:p>
    <w:p w14:paraId="7565AA8A">
      <w:pPr>
        <w:keepNext w:val="0"/>
        <w:keepLines w:val="0"/>
        <w:pageBreakBefore w:val="0"/>
        <w:widowControl w:val="0"/>
        <w:kinsoku/>
        <w:wordWrap/>
        <w:overflowPunct/>
        <w:topLinePunct w:val="0"/>
        <w:autoSpaceDE/>
        <w:autoSpaceDN/>
        <w:bidi w:val="0"/>
        <w:adjustRightInd/>
        <w:snapToGrid/>
        <w:spacing w:line="480" w:lineRule="exact"/>
        <w:ind w:firstLine="422" w:firstLineChars="200"/>
        <w:textAlignment w:val="auto"/>
        <w:rPr>
          <w:rFonts w:hint="eastAsia" w:asciiTheme="minorEastAsia" w:hAnsiTheme="minorEastAsia" w:eastAsiaTheme="minorEastAsia" w:cstheme="minorEastAsia"/>
          <w:b/>
          <w:bCs/>
          <w:color w:val="auto"/>
          <w:sz w:val="21"/>
          <w:szCs w:val="21"/>
          <w:highlight w:val="none"/>
          <w:lang w:val="en-US" w:eastAsia="zh-CN"/>
        </w:rPr>
      </w:pPr>
      <w:r>
        <w:rPr>
          <w:rFonts w:hint="eastAsia" w:asciiTheme="minorEastAsia" w:hAnsiTheme="minorEastAsia" w:eastAsiaTheme="minorEastAsia" w:cstheme="minorEastAsia"/>
          <w:b/>
          <w:bCs/>
          <w:color w:val="auto"/>
          <w:sz w:val="21"/>
          <w:szCs w:val="21"/>
          <w:highlight w:val="none"/>
          <w:lang w:val="en-US" w:eastAsia="zh-CN"/>
        </w:rPr>
        <w:t>3.质量保证期</w:t>
      </w:r>
    </w:p>
    <w:p w14:paraId="08CC0B89">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b w:val="0"/>
          <w:bCs w:val="0"/>
          <w:color w:val="auto"/>
          <w:sz w:val="21"/>
          <w:szCs w:val="21"/>
          <w:highlight w:val="none"/>
          <w:lang w:val="en-US" w:eastAsia="zh-CN"/>
        </w:rPr>
      </w:pPr>
      <w:r>
        <w:rPr>
          <w:rFonts w:hint="eastAsia" w:asciiTheme="minorEastAsia" w:hAnsiTheme="minorEastAsia" w:eastAsiaTheme="minorEastAsia" w:cstheme="minorEastAsia"/>
          <w:b w:val="0"/>
          <w:bCs w:val="0"/>
          <w:color w:val="auto"/>
          <w:sz w:val="21"/>
          <w:szCs w:val="21"/>
          <w:highlight w:val="none"/>
          <w:lang w:val="en-US" w:eastAsia="zh-CN"/>
        </w:rPr>
        <w:t>3.1技术参数中具有单独售后服务要求、提供认证证书、提供检测报告、附白皮书证明、附图、提供第三方出具的证明材料或者截图证明等的按照技术参数中的要求提供并单独承诺说明。</w:t>
      </w:r>
    </w:p>
    <w:p w14:paraId="1FC835B6">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b w:val="0"/>
          <w:bCs w:val="0"/>
          <w:color w:val="auto"/>
          <w:sz w:val="21"/>
          <w:szCs w:val="21"/>
          <w:highlight w:val="none"/>
          <w:lang w:val="en-US" w:eastAsia="zh-CN"/>
        </w:rPr>
      </w:pPr>
      <w:r>
        <w:rPr>
          <w:rFonts w:hint="eastAsia" w:asciiTheme="minorEastAsia" w:hAnsiTheme="minorEastAsia" w:eastAsiaTheme="minorEastAsia" w:cstheme="minorEastAsia"/>
          <w:b w:val="0"/>
          <w:bCs w:val="0"/>
          <w:color w:val="auto"/>
          <w:sz w:val="21"/>
          <w:szCs w:val="21"/>
          <w:highlight w:val="none"/>
          <w:lang w:val="en-US" w:eastAsia="zh-CN"/>
        </w:rPr>
        <w:t>3.2技术参数中未单独提出要求的按以下要求做承诺说明：</w:t>
      </w:r>
    </w:p>
    <w:p w14:paraId="5FCD6F20">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b w:val="0"/>
          <w:bCs w:val="0"/>
          <w:color w:val="auto"/>
          <w:sz w:val="21"/>
          <w:szCs w:val="21"/>
          <w:highlight w:val="none"/>
          <w:lang w:val="en-US" w:eastAsia="zh-CN"/>
        </w:rPr>
      </w:pPr>
      <w:r>
        <w:rPr>
          <w:rFonts w:hint="eastAsia" w:asciiTheme="minorEastAsia" w:hAnsiTheme="minorEastAsia" w:eastAsiaTheme="minorEastAsia" w:cstheme="minorEastAsia"/>
          <w:b w:val="0"/>
          <w:bCs w:val="0"/>
          <w:color w:val="auto"/>
          <w:sz w:val="21"/>
          <w:szCs w:val="21"/>
          <w:highlight w:val="none"/>
          <w:lang w:val="en-US" w:eastAsia="zh-CN"/>
        </w:rPr>
        <w:t>3.2.1质保期：本项目中标人应至少提供所有软件、硬件</w:t>
      </w:r>
      <w:r>
        <w:rPr>
          <w:rFonts w:hint="eastAsia" w:asciiTheme="minorEastAsia" w:hAnsiTheme="minorEastAsia" w:eastAsiaTheme="minorEastAsia" w:cstheme="minorEastAsia"/>
          <w:b w:val="0"/>
          <w:bCs w:val="0"/>
          <w:color w:val="auto"/>
          <w:sz w:val="21"/>
          <w:szCs w:val="21"/>
          <w:highlight w:val="none"/>
          <w:u w:val="single"/>
          <w:lang w:val="en-US" w:eastAsia="zh-CN"/>
        </w:rPr>
        <w:t>3</w:t>
      </w:r>
      <w:r>
        <w:rPr>
          <w:rFonts w:hint="eastAsia" w:asciiTheme="minorEastAsia" w:hAnsiTheme="minorEastAsia" w:eastAsiaTheme="minorEastAsia" w:cstheme="minorEastAsia"/>
          <w:b w:val="0"/>
          <w:bCs w:val="0"/>
          <w:color w:val="auto"/>
          <w:sz w:val="21"/>
          <w:szCs w:val="21"/>
          <w:highlight w:val="none"/>
          <w:lang w:val="en-US" w:eastAsia="zh-CN"/>
        </w:rPr>
        <w:t>年免费质保期（质保期起始日期为货物验收合格后第二天起开始）。国家主管部门或者行业标准对货物本身有更高要求的，从其规定并在合同中约定，供应商亦可提报更长的质保期。</w:t>
      </w:r>
    </w:p>
    <w:p w14:paraId="33A59057">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b w:val="0"/>
          <w:bCs w:val="0"/>
          <w:color w:val="auto"/>
          <w:sz w:val="21"/>
          <w:szCs w:val="21"/>
          <w:highlight w:val="none"/>
          <w:lang w:val="en-US" w:eastAsia="zh-CN"/>
        </w:rPr>
      </w:pPr>
      <w:r>
        <w:rPr>
          <w:rFonts w:hint="eastAsia" w:asciiTheme="minorEastAsia" w:hAnsiTheme="minorEastAsia" w:eastAsiaTheme="minorEastAsia" w:cstheme="minorEastAsia"/>
          <w:b w:val="0"/>
          <w:bCs w:val="0"/>
          <w:color w:val="auto"/>
          <w:sz w:val="21"/>
          <w:szCs w:val="21"/>
          <w:highlight w:val="none"/>
          <w:lang w:val="en-US" w:eastAsia="zh-CN"/>
        </w:rPr>
        <w:t>3.2.2质量保证期内，如果证实货物是有缺陷的，包括潜在的缺陷或者使用不符合要求的材料等，中标供应商应立即免费维修或者更换有缺陷的货物或者部件，保证达到合同规定的技术以及性能要求。如果中标供应商在收到通知后5天内没有弥补缺陷，采购人可自行采取必要的补救措施，但风险和费用由中标供应商承担，采购人同时保留通过法律途径进行索赔的权利。</w:t>
      </w:r>
    </w:p>
    <w:p w14:paraId="639C1450">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b w:val="0"/>
          <w:bCs w:val="0"/>
          <w:color w:val="auto"/>
          <w:sz w:val="21"/>
          <w:szCs w:val="21"/>
          <w:highlight w:val="none"/>
          <w:lang w:val="en-US" w:eastAsia="zh-CN"/>
        </w:rPr>
      </w:pPr>
      <w:r>
        <w:rPr>
          <w:rFonts w:hint="eastAsia" w:asciiTheme="minorEastAsia" w:hAnsiTheme="minorEastAsia" w:eastAsiaTheme="minorEastAsia" w:cstheme="minorEastAsia"/>
          <w:b w:val="0"/>
          <w:bCs w:val="0"/>
          <w:color w:val="auto"/>
          <w:sz w:val="21"/>
          <w:szCs w:val="21"/>
          <w:highlight w:val="none"/>
          <w:lang w:val="en-US" w:eastAsia="zh-CN"/>
        </w:rPr>
        <w:t>3.2.3产品验收合格，在质量保证（修）期前三个月内，凡属产品本身引起的故障，供应商需更换新的且与原产品型号规格都一样的产品；在质量保证（修）期的第四个月至质量保证（修）期结束期间，凡属产品本身引起的故障，供应商负责免费维修，所有费用由供应商承担；产品质量保证（修）期按生产厂家标准执行，</w:t>
      </w:r>
      <w:r>
        <w:rPr>
          <w:rFonts w:hint="eastAsia" w:asciiTheme="minorEastAsia" w:hAnsiTheme="minorEastAsia" w:eastAsiaTheme="minorEastAsia" w:cstheme="minorEastAsia"/>
          <w:b/>
          <w:bCs/>
          <w:color w:val="auto"/>
          <w:sz w:val="21"/>
          <w:szCs w:val="21"/>
          <w:highlight w:val="none"/>
          <w:lang w:val="en-US" w:eastAsia="zh-CN"/>
        </w:rPr>
        <w:t>均有原厂维修保养，但不得少于3年，</w:t>
      </w:r>
      <w:r>
        <w:rPr>
          <w:rFonts w:hint="eastAsia" w:asciiTheme="minorEastAsia" w:hAnsiTheme="minorEastAsia" w:eastAsiaTheme="minorEastAsia" w:cstheme="minorEastAsia"/>
          <w:b w:val="0"/>
          <w:bCs w:val="0"/>
          <w:color w:val="auto"/>
          <w:sz w:val="21"/>
          <w:szCs w:val="21"/>
          <w:highlight w:val="none"/>
          <w:lang w:val="en-US" w:eastAsia="zh-CN"/>
        </w:rPr>
        <w:t>产品质量保证（修）期自全面验收合格之日起计算。</w:t>
      </w:r>
    </w:p>
    <w:p w14:paraId="5A508FEA">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b w:val="0"/>
          <w:bCs w:val="0"/>
          <w:color w:val="auto"/>
          <w:sz w:val="21"/>
          <w:szCs w:val="21"/>
          <w:highlight w:val="none"/>
          <w:lang w:val="en-US" w:eastAsia="zh-CN"/>
        </w:rPr>
      </w:pPr>
      <w:r>
        <w:rPr>
          <w:rFonts w:hint="eastAsia" w:asciiTheme="minorEastAsia" w:hAnsiTheme="minorEastAsia" w:eastAsiaTheme="minorEastAsia" w:cstheme="minorEastAsia"/>
          <w:b w:val="0"/>
          <w:bCs w:val="0"/>
          <w:color w:val="auto"/>
          <w:sz w:val="21"/>
          <w:szCs w:val="21"/>
          <w:highlight w:val="none"/>
          <w:lang w:val="en-US" w:eastAsia="zh-CN"/>
        </w:rPr>
        <w:t>3.2.4设备出现故障要在1小时内响应，2小时内到场进行维修维护，故障排除时间不超过24小时，24小时电话服务支持。同时保证提供设备所需的备品、备件和易损件为原厂全新件。</w:t>
      </w:r>
    </w:p>
    <w:p w14:paraId="5070C4AD">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default" w:asciiTheme="minorEastAsia" w:hAnsiTheme="minorEastAsia" w:eastAsiaTheme="minorEastAsia" w:cstheme="minorEastAsia"/>
          <w:b w:val="0"/>
          <w:bCs w:val="0"/>
          <w:color w:val="auto"/>
          <w:sz w:val="21"/>
          <w:szCs w:val="21"/>
          <w:highlight w:val="none"/>
          <w:lang w:val="en-US" w:eastAsia="zh-CN"/>
        </w:rPr>
      </w:pPr>
      <w:r>
        <w:rPr>
          <w:rFonts w:hint="eastAsia" w:asciiTheme="minorEastAsia" w:hAnsiTheme="minorEastAsia" w:eastAsiaTheme="minorEastAsia" w:cstheme="minorEastAsia"/>
          <w:b w:val="0"/>
          <w:bCs w:val="0"/>
          <w:color w:val="auto"/>
          <w:sz w:val="21"/>
          <w:szCs w:val="21"/>
          <w:highlight w:val="none"/>
          <w:lang w:val="en-US" w:eastAsia="zh-CN"/>
        </w:rPr>
        <w:t>3.2.5安装调试：供应商必须在合同签订后将所有的安装调试条件、需采购方配合的事项以书面方式通知用户，提供必备的技术资料，产品用户手册、特殊件及配套件的清单。并负责项目内所有软硬件设备的免费安装、调试。</w:t>
      </w:r>
    </w:p>
    <w:p w14:paraId="61A9795C">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Theme="minorEastAsia" w:hAnsiTheme="minorEastAsia" w:eastAsiaTheme="minorEastAsia" w:cstheme="minorEastAsia"/>
          <w:b/>
          <w:bCs/>
          <w:color w:val="auto"/>
          <w:sz w:val="21"/>
          <w:szCs w:val="21"/>
          <w:highlight w:val="none"/>
          <w:lang w:val="en-US" w:eastAsia="zh-CN"/>
        </w:rPr>
      </w:pPr>
      <w:r>
        <w:rPr>
          <w:rFonts w:hint="eastAsia" w:asciiTheme="minorEastAsia" w:hAnsiTheme="minorEastAsia" w:eastAsiaTheme="minorEastAsia" w:cstheme="minorEastAsia"/>
          <w:b/>
          <w:bCs/>
          <w:color w:val="auto"/>
          <w:sz w:val="21"/>
          <w:szCs w:val="21"/>
          <w:highlight w:val="none"/>
          <w:lang w:val="en-US" w:eastAsia="zh-CN"/>
        </w:rPr>
        <w:t>4.其他要求</w:t>
      </w:r>
    </w:p>
    <w:p w14:paraId="6EED7E9A">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b w:val="0"/>
          <w:bCs w:val="0"/>
          <w:color w:val="auto"/>
          <w:sz w:val="21"/>
          <w:szCs w:val="21"/>
          <w:highlight w:val="none"/>
          <w:lang w:val="en-US" w:eastAsia="zh-CN"/>
        </w:rPr>
      </w:pPr>
      <w:r>
        <w:rPr>
          <w:rFonts w:hint="eastAsia" w:asciiTheme="minorEastAsia" w:hAnsiTheme="minorEastAsia" w:eastAsiaTheme="minorEastAsia" w:cstheme="minorEastAsia"/>
          <w:b w:val="0"/>
          <w:bCs w:val="0"/>
          <w:color w:val="auto"/>
          <w:sz w:val="21"/>
          <w:szCs w:val="21"/>
          <w:highlight w:val="none"/>
          <w:lang w:val="en-US" w:eastAsia="zh-CN"/>
        </w:rPr>
        <w:t>4.1在交付使用后，供应商应对保修期及其以后的服务做出承诺，并具有切实可行的服务措施；</w:t>
      </w:r>
    </w:p>
    <w:p w14:paraId="2B67E6CC">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b w:val="0"/>
          <w:bCs w:val="0"/>
          <w:color w:val="auto"/>
          <w:sz w:val="21"/>
          <w:szCs w:val="21"/>
          <w:highlight w:val="none"/>
          <w:lang w:val="en-US" w:eastAsia="zh-CN"/>
        </w:rPr>
      </w:pPr>
      <w:r>
        <w:rPr>
          <w:rFonts w:hint="eastAsia" w:asciiTheme="minorEastAsia" w:hAnsiTheme="minorEastAsia" w:eastAsiaTheme="minorEastAsia" w:cstheme="minorEastAsia"/>
          <w:b w:val="0"/>
          <w:bCs w:val="0"/>
          <w:color w:val="auto"/>
          <w:sz w:val="21"/>
          <w:szCs w:val="21"/>
          <w:highlight w:val="none"/>
          <w:lang w:val="en-US" w:eastAsia="zh-CN"/>
        </w:rPr>
        <w:t>4.2不能及时兑现服务承诺内容而影响采购方使用时，供应商应给予补偿的承诺，在投标文件中均应明确说明。</w:t>
      </w:r>
    </w:p>
    <w:p w14:paraId="0754576F">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b w:val="0"/>
          <w:bCs w:val="0"/>
          <w:color w:val="auto"/>
          <w:sz w:val="21"/>
          <w:szCs w:val="21"/>
          <w:highlight w:val="none"/>
          <w:lang w:val="en-US" w:eastAsia="zh-CN"/>
        </w:rPr>
      </w:pPr>
      <w:r>
        <w:rPr>
          <w:rFonts w:hint="eastAsia" w:asciiTheme="minorEastAsia" w:hAnsiTheme="minorEastAsia" w:eastAsiaTheme="minorEastAsia" w:cstheme="minorEastAsia"/>
          <w:b w:val="0"/>
          <w:bCs w:val="0"/>
          <w:color w:val="auto"/>
          <w:sz w:val="21"/>
          <w:szCs w:val="21"/>
          <w:highlight w:val="none"/>
          <w:lang w:val="en-US" w:eastAsia="zh-CN"/>
        </w:rPr>
        <w:t>4.3卖方负责设备安装和调试以及操作人员培训，并制定详细的培训计划，现场培训操作。使操作人员能独立进行管理、操作、维护和故障处理等工作，做好相关记录及技术文档收集整理，待验收合格后移交给采购方。</w:t>
      </w:r>
    </w:p>
    <w:p w14:paraId="719715B8">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b w:val="0"/>
          <w:bCs w:val="0"/>
          <w:color w:val="auto"/>
          <w:sz w:val="21"/>
          <w:szCs w:val="21"/>
          <w:highlight w:val="none"/>
          <w:lang w:val="en-US" w:eastAsia="zh-CN"/>
        </w:rPr>
      </w:pPr>
      <w:r>
        <w:rPr>
          <w:rFonts w:hint="eastAsia" w:asciiTheme="minorEastAsia" w:hAnsiTheme="minorEastAsia" w:eastAsiaTheme="minorEastAsia" w:cstheme="minorEastAsia"/>
          <w:b w:val="0"/>
          <w:bCs w:val="0"/>
          <w:color w:val="auto"/>
          <w:sz w:val="21"/>
          <w:szCs w:val="21"/>
          <w:highlight w:val="none"/>
          <w:lang w:val="en-US" w:eastAsia="zh-CN"/>
        </w:rPr>
        <w:t>4.4国家相关部门出台硬性规定的，需免费提供系统升级和接口。</w:t>
      </w:r>
    </w:p>
    <w:p w14:paraId="1CFAD40E">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b w:val="0"/>
          <w:bCs w:val="0"/>
          <w:color w:val="auto"/>
          <w:sz w:val="21"/>
          <w:szCs w:val="21"/>
          <w:highlight w:val="none"/>
          <w:lang w:val="en-US" w:eastAsia="zh-CN"/>
        </w:rPr>
      </w:pPr>
      <w:r>
        <w:rPr>
          <w:rFonts w:hint="eastAsia" w:asciiTheme="minorEastAsia" w:hAnsiTheme="minorEastAsia" w:eastAsiaTheme="minorEastAsia" w:cstheme="minorEastAsia"/>
          <w:b w:val="0"/>
          <w:bCs w:val="0"/>
          <w:color w:val="auto"/>
          <w:sz w:val="21"/>
          <w:szCs w:val="21"/>
          <w:highlight w:val="none"/>
          <w:lang w:val="en-US" w:eastAsia="zh-CN"/>
        </w:rPr>
        <w:t>4.5若因中标单位原因未能在工期内完成合同规定的义务，由此对采购人造成的延误和一切损失，由中标单位人承担和赔偿。</w:t>
      </w:r>
    </w:p>
    <w:p w14:paraId="5847C290">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default" w:asciiTheme="minorEastAsia" w:hAnsiTheme="minorEastAsia" w:eastAsiaTheme="minorEastAsia" w:cstheme="minorEastAsia"/>
          <w:b w:val="0"/>
          <w:bCs w:val="0"/>
          <w:color w:val="auto"/>
          <w:sz w:val="21"/>
          <w:szCs w:val="21"/>
          <w:highlight w:val="none"/>
          <w:lang w:val="en-US" w:eastAsia="zh-CN"/>
        </w:rPr>
      </w:pPr>
      <w:r>
        <w:rPr>
          <w:rFonts w:hint="eastAsia" w:asciiTheme="minorEastAsia" w:hAnsiTheme="minorEastAsia" w:eastAsiaTheme="minorEastAsia" w:cstheme="minorEastAsia"/>
          <w:b w:val="0"/>
          <w:bCs w:val="0"/>
          <w:color w:val="auto"/>
          <w:sz w:val="21"/>
          <w:szCs w:val="21"/>
          <w:highlight w:val="none"/>
          <w:lang w:val="en-US" w:eastAsia="zh-CN"/>
        </w:rPr>
        <w:t>4.6本次项目此次投标若涉及到系统需要与采购人原有系统进行匹配对接,如对接不成功，所造成的损失全部由中标供应商承担。</w:t>
      </w:r>
    </w:p>
    <w:p w14:paraId="0A9390C4">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Theme="minorEastAsia" w:hAnsiTheme="minorEastAsia" w:eastAsiaTheme="minorEastAsia" w:cstheme="minorEastAsia"/>
          <w:b/>
          <w:bCs/>
          <w:color w:val="auto"/>
          <w:sz w:val="21"/>
          <w:szCs w:val="21"/>
          <w:highlight w:val="none"/>
          <w:lang w:val="en-US" w:eastAsia="zh-CN"/>
        </w:rPr>
      </w:pPr>
      <w:r>
        <w:rPr>
          <w:rFonts w:hint="eastAsia" w:asciiTheme="minorEastAsia" w:hAnsiTheme="minorEastAsia" w:eastAsiaTheme="minorEastAsia" w:cstheme="minorEastAsia"/>
          <w:b/>
          <w:bCs/>
          <w:color w:val="auto"/>
          <w:sz w:val="21"/>
          <w:szCs w:val="21"/>
          <w:highlight w:val="none"/>
          <w:lang w:val="en-US" w:eastAsia="zh-CN"/>
        </w:rPr>
        <w:t>5.违约责任：</w:t>
      </w:r>
    </w:p>
    <w:p w14:paraId="19BEB663">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b w:val="0"/>
          <w:bCs w:val="0"/>
          <w:color w:val="auto"/>
          <w:sz w:val="21"/>
          <w:szCs w:val="21"/>
          <w:highlight w:val="none"/>
          <w:lang w:val="en-US" w:eastAsia="zh-CN"/>
        </w:rPr>
      </w:pPr>
      <w:r>
        <w:rPr>
          <w:rFonts w:hint="eastAsia" w:asciiTheme="minorEastAsia" w:hAnsiTheme="minorEastAsia" w:eastAsiaTheme="minorEastAsia" w:cstheme="minorEastAsia"/>
          <w:b w:val="0"/>
          <w:bCs w:val="0"/>
          <w:color w:val="auto"/>
          <w:sz w:val="21"/>
          <w:szCs w:val="21"/>
          <w:highlight w:val="none"/>
          <w:lang w:val="en-US" w:eastAsia="zh-CN"/>
        </w:rPr>
        <w:t>5.1按《中华人民共和国民法典》中的相关条款执行。</w:t>
      </w:r>
    </w:p>
    <w:p w14:paraId="36DEE58A">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b w:val="0"/>
          <w:bCs w:val="0"/>
          <w:color w:val="auto"/>
          <w:sz w:val="21"/>
          <w:szCs w:val="21"/>
          <w:highlight w:val="none"/>
          <w:lang w:val="en-US" w:eastAsia="zh-CN"/>
        </w:rPr>
      </w:pPr>
      <w:r>
        <w:rPr>
          <w:rFonts w:hint="eastAsia" w:asciiTheme="minorEastAsia" w:hAnsiTheme="minorEastAsia" w:eastAsiaTheme="minorEastAsia" w:cstheme="minorEastAsia"/>
          <w:b w:val="0"/>
          <w:bCs w:val="0"/>
          <w:color w:val="auto"/>
          <w:sz w:val="21"/>
          <w:szCs w:val="21"/>
          <w:highlight w:val="none"/>
          <w:lang w:val="en-US" w:eastAsia="zh-CN"/>
        </w:rPr>
        <w:t>5.2未按合同要求提供产品或产品质量不能满足技术要求，采购人有权终止合同，并对供方违约行为进行追究，同时按《政府采购法》的有关规定进行处罚。</w:t>
      </w:r>
    </w:p>
    <w:p w14:paraId="16ED3834">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b w:val="0"/>
          <w:bCs w:val="0"/>
          <w:color w:val="auto"/>
          <w:sz w:val="21"/>
          <w:szCs w:val="21"/>
          <w:highlight w:val="none"/>
          <w:lang w:val="en-US" w:eastAsia="zh-CN"/>
        </w:rPr>
      </w:pPr>
      <w:r>
        <w:rPr>
          <w:rFonts w:hint="eastAsia" w:asciiTheme="minorEastAsia" w:hAnsiTheme="minorEastAsia" w:eastAsiaTheme="minorEastAsia" w:cstheme="minorEastAsia"/>
          <w:b w:val="0"/>
          <w:bCs w:val="0"/>
          <w:color w:val="auto"/>
          <w:sz w:val="21"/>
          <w:szCs w:val="21"/>
          <w:highlight w:val="none"/>
          <w:lang w:val="en-US" w:eastAsia="zh-CN"/>
        </w:rPr>
        <w:t>注：本项目商务条款全部为重要指标（实质性要求），不得负偏离，投标人在响应文件中必须对商务条款进行一一正面响应，若不响应、逃避响应或模糊混淆概念响应，按照负偏离处理（不符合招标文件实质性要求），不能提供证明文件的不予认可。在交货后，发现部分不能实现，采购人有权退货并索取赔偿。产品中标后签订合同、验收过程中如果发现有不满足招标要求的、篡改商务条款的，用户可以拒绝付款。</w:t>
      </w:r>
    </w:p>
    <w:p w14:paraId="16E5994F">
      <w:pPr>
        <w:pStyle w:val="33"/>
        <w:rPr>
          <w:color w:val="auto"/>
          <w:highlight w:val="none"/>
        </w:rPr>
      </w:pPr>
    </w:p>
    <w:p w14:paraId="4B1EC299">
      <w:pPr>
        <w:keepNext w:val="0"/>
        <w:keepLines w:val="0"/>
        <w:pageBreakBefore w:val="0"/>
        <w:widowControl/>
        <w:kinsoku/>
        <w:wordWrap/>
        <w:overflowPunct/>
        <w:topLinePunct w:val="0"/>
        <w:autoSpaceDE/>
        <w:autoSpaceDN/>
        <w:bidi w:val="0"/>
        <w:adjustRightInd/>
        <w:snapToGrid/>
        <w:spacing w:after="240" w:afterLines="100" w:line="480" w:lineRule="exact"/>
        <w:jc w:val="center"/>
        <w:textAlignment w:val="auto"/>
        <w:outlineLvl w:val="0"/>
        <w:rPr>
          <w:rFonts w:hint="eastAsia" w:ascii="黑体" w:hAnsi="宋体" w:eastAsia="黑体" w:cs="Times New Roman"/>
          <w:b/>
          <w:color w:val="auto"/>
          <w:kern w:val="44"/>
          <w:sz w:val="44"/>
          <w:szCs w:val="44"/>
          <w:highlight w:val="none"/>
          <w:lang w:val="en-US" w:eastAsia="zh-CN" w:bidi="ar-SA"/>
        </w:rPr>
      </w:pPr>
      <w:r>
        <w:rPr>
          <w:rFonts w:ascii="黑体" w:hAnsi="宋体" w:eastAsia="黑体"/>
          <w:b/>
          <w:color w:val="auto"/>
          <w:sz w:val="44"/>
          <w:szCs w:val="44"/>
          <w:highlight w:val="none"/>
        </w:rPr>
        <w:br w:type="page"/>
      </w:r>
      <w:bookmarkStart w:id="190" w:name="_Toc15292"/>
      <w:r>
        <w:rPr>
          <w:rFonts w:hint="eastAsia" w:ascii="黑体" w:hAnsi="宋体" w:eastAsia="黑体" w:cs="Times New Roman"/>
          <w:b/>
          <w:color w:val="auto"/>
          <w:kern w:val="44"/>
          <w:sz w:val="44"/>
          <w:szCs w:val="44"/>
          <w:highlight w:val="none"/>
          <w:lang w:val="en-US" w:eastAsia="zh-CN" w:bidi="ar-SA"/>
        </w:rPr>
        <w:t>第五章 采购合同格式（仅供参考）</w:t>
      </w:r>
      <w:bookmarkEnd w:id="190"/>
    </w:p>
    <w:p w14:paraId="59A52FA8">
      <w:pPr>
        <w:pStyle w:val="38"/>
        <w:keepNext w:val="0"/>
        <w:keepLines w:val="0"/>
        <w:pageBreakBefore w:val="0"/>
        <w:kinsoku/>
        <w:wordWrap/>
        <w:overflowPunct/>
        <w:topLinePunct w:val="0"/>
        <w:autoSpaceDE/>
        <w:autoSpaceDN/>
        <w:bidi w:val="0"/>
        <w:adjustRightInd/>
        <w:snapToGrid/>
        <w:spacing w:before="240" w:beforeLines="100" w:line="480" w:lineRule="exact"/>
        <w:ind w:firstLine="420"/>
        <w:textAlignment w:val="auto"/>
        <w:rPr>
          <w:rFonts w:hint="eastAsia" w:ascii="宋体" w:hAnsi="宋体"/>
          <w:color w:val="auto"/>
          <w:sz w:val="21"/>
          <w:szCs w:val="21"/>
          <w:highlight w:val="none"/>
        </w:rPr>
      </w:pPr>
      <w:r>
        <w:rPr>
          <w:rFonts w:hint="eastAsia" w:ascii="宋体" w:hAnsi="宋体"/>
          <w:color w:val="auto"/>
          <w:sz w:val="21"/>
          <w:szCs w:val="21"/>
          <w:highlight w:val="none"/>
        </w:rPr>
        <w:t xml:space="preserve">合同编号： </w:t>
      </w:r>
    </w:p>
    <w:p w14:paraId="20E1736A">
      <w:pPr>
        <w:pStyle w:val="38"/>
        <w:keepNext w:val="0"/>
        <w:keepLines w:val="0"/>
        <w:pageBreakBefore w:val="0"/>
        <w:kinsoku/>
        <w:wordWrap/>
        <w:overflowPunct/>
        <w:topLinePunct w:val="0"/>
        <w:autoSpaceDE/>
        <w:autoSpaceDN/>
        <w:bidi w:val="0"/>
        <w:adjustRightInd/>
        <w:snapToGrid/>
        <w:spacing w:line="480" w:lineRule="exact"/>
        <w:ind w:firstLine="420"/>
        <w:textAlignment w:val="auto"/>
        <w:rPr>
          <w:rFonts w:hint="eastAsia" w:ascii="宋体" w:hAnsi="宋体"/>
          <w:color w:val="auto"/>
          <w:sz w:val="21"/>
          <w:szCs w:val="21"/>
          <w:highlight w:val="none"/>
        </w:rPr>
      </w:pPr>
      <w:r>
        <w:rPr>
          <w:rFonts w:hint="eastAsia" w:ascii="宋体" w:hAnsi="宋体"/>
          <w:color w:val="auto"/>
          <w:sz w:val="21"/>
          <w:szCs w:val="21"/>
          <w:highlight w:val="none"/>
        </w:rPr>
        <w:t xml:space="preserve">签订地点： </w:t>
      </w:r>
    </w:p>
    <w:p w14:paraId="1BB735D8">
      <w:pPr>
        <w:pStyle w:val="38"/>
        <w:keepNext w:val="0"/>
        <w:keepLines w:val="0"/>
        <w:pageBreakBefore w:val="0"/>
        <w:kinsoku/>
        <w:wordWrap/>
        <w:overflowPunct/>
        <w:topLinePunct w:val="0"/>
        <w:autoSpaceDE/>
        <w:autoSpaceDN/>
        <w:bidi w:val="0"/>
        <w:adjustRightInd/>
        <w:snapToGrid/>
        <w:spacing w:line="480" w:lineRule="exact"/>
        <w:ind w:firstLine="420"/>
        <w:textAlignment w:val="auto"/>
        <w:rPr>
          <w:rFonts w:hint="eastAsia" w:ascii="宋体" w:hAnsi="宋体"/>
          <w:color w:val="auto"/>
          <w:sz w:val="21"/>
          <w:szCs w:val="21"/>
          <w:highlight w:val="none"/>
        </w:rPr>
      </w:pPr>
      <w:r>
        <w:rPr>
          <w:rFonts w:hint="eastAsia" w:ascii="宋体" w:hAnsi="宋体"/>
          <w:color w:val="auto"/>
          <w:sz w:val="21"/>
          <w:szCs w:val="21"/>
          <w:highlight w:val="none"/>
        </w:rPr>
        <w:t>签订时间:</w:t>
      </w:r>
    </w:p>
    <w:p w14:paraId="52147C61">
      <w:pPr>
        <w:pStyle w:val="38"/>
        <w:keepNext w:val="0"/>
        <w:keepLines w:val="0"/>
        <w:pageBreakBefore w:val="0"/>
        <w:kinsoku/>
        <w:wordWrap/>
        <w:overflowPunct/>
        <w:topLinePunct w:val="0"/>
        <w:autoSpaceDE/>
        <w:autoSpaceDN/>
        <w:bidi w:val="0"/>
        <w:adjustRightInd/>
        <w:snapToGrid/>
        <w:spacing w:line="480" w:lineRule="exact"/>
        <w:ind w:firstLine="420"/>
        <w:textAlignment w:val="auto"/>
        <w:rPr>
          <w:rFonts w:hint="eastAsia" w:ascii="宋体" w:hAnsi="宋体"/>
          <w:color w:val="auto"/>
          <w:sz w:val="21"/>
          <w:szCs w:val="21"/>
          <w:highlight w:val="none"/>
        </w:rPr>
      </w:pPr>
    </w:p>
    <w:p w14:paraId="5D9A3BC6">
      <w:pPr>
        <w:pStyle w:val="38"/>
        <w:keepNext w:val="0"/>
        <w:keepLines w:val="0"/>
        <w:pageBreakBefore w:val="0"/>
        <w:kinsoku/>
        <w:wordWrap/>
        <w:overflowPunct/>
        <w:topLinePunct w:val="0"/>
        <w:autoSpaceDE/>
        <w:autoSpaceDN/>
        <w:bidi w:val="0"/>
        <w:adjustRightInd/>
        <w:snapToGrid/>
        <w:spacing w:line="480" w:lineRule="exact"/>
        <w:ind w:firstLine="420"/>
        <w:textAlignment w:val="auto"/>
        <w:rPr>
          <w:rFonts w:hint="eastAsia" w:ascii="宋体" w:hAnsi="宋体"/>
          <w:color w:val="auto"/>
          <w:sz w:val="21"/>
          <w:szCs w:val="21"/>
          <w:highlight w:val="none"/>
        </w:rPr>
      </w:pPr>
      <w:r>
        <w:rPr>
          <w:rFonts w:hint="eastAsia" w:ascii="宋体" w:hAnsi="宋体"/>
          <w:color w:val="auto"/>
          <w:sz w:val="21"/>
          <w:szCs w:val="21"/>
          <w:highlight w:val="none"/>
        </w:rPr>
        <w:t>采购人（甲方）：</w:t>
      </w:r>
    </w:p>
    <w:p w14:paraId="638AA6BB">
      <w:pPr>
        <w:pStyle w:val="38"/>
        <w:keepNext w:val="0"/>
        <w:keepLines w:val="0"/>
        <w:pageBreakBefore w:val="0"/>
        <w:kinsoku/>
        <w:wordWrap/>
        <w:overflowPunct/>
        <w:topLinePunct w:val="0"/>
        <w:autoSpaceDE/>
        <w:autoSpaceDN/>
        <w:bidi w:val="0"/>
        <w:adjustRightInd/>
        <w:snapToGrid/>
        <w:spacing w:line="480" w:lineRule="exact"/>
        <w:ind w:firstLine="420"/>
        <w:textAlignment w:val="auto"/>
        <w:rPr>
          <w:rFonts w:hint="eastAsia" w:ascii="宋体" w:hAnsi="宋体"/>
          <w:color w:val="auto"/>
          <w:sz w:val="21"/>
          <w:szCs w:val="21"/>
          <w:highlight w:val="none"/>
        </w:rPr>
      </w:pPr>
      <w:r>
        <w:rPr>
          <w:rFonts w:hint="eastAsia" w:ascii="宋体" w:hAnsi="宋体"/>
          <w:color w:val="auto"/>
          <w:sz w:val="21"/>
          <w:szCs w:val="21"/>
          <w:highlight w:val="none"/>
        </w:rPr>
        <w:t>投标人（乙方）：</w:t>
      </w:r>
    </w:p>
    <w:p w14:paraId="0BA81AAA">
      <w:pPr>
        <w:pStyle w:val="38"/>
        <w:keepNext w:val="0"/>
        <w:keepLines w:val="0"/>
        <w:pageBreakBefore w:val="0"/>
        <w:kinsoku/>
        <w:wordWrap/>
        <w:overflowPunct/>
        <w:topLinePunct w:val="0"/>
        <w:autoSpaceDE/>
        <w:autoSpaceDN/>
        <w:bidi w:val="0"/>
        <w:adjustRightInd/>
        <w:snapToGrid/>
        <w:spacing w:before="120" w:beforeLines="50" w:line="480" w:lineRule="exact"/>
        <w:ind w:firstLine="420"/>
        <w:textAlignment w:val="auto"/>
        <w:rPr>
          <w:rFonts w:hint="eastAsia" w:ascii="宋体" w:hAnsi="宋体"/>
          <w:color w:val="auto"/>
          <w:sz w:val="21"/>
          <w:szCs w:val="21"/>
          <w:highlight w:val="none"/>
        </w:rPr>
      </w:pPr>
      <w:r>
        <w:rPr>
          <w:rFonts w:hint="eastAsia" w:ascii="宋体" w:hAnsi="宋体"/>
          <w:color w:val="auto"/>
          <w:sz w:val="21"/>
          <w:szCs w:val="21"/>
          <w:highlight w:val="none"/>
        </w:rPr>
        <w:t>根据《</w:t>
      </w:r>
      <w:r>
        <w:rPr>
          <w:rFonts w:hint="eastAsia" w:ascii="宋体" w:hAnsi="宋体"/>
          <w:color w:val="auto"/>
          <w:sz w:val="21"/>
          <w:szCs w:val="21"/>
          <w:highlight w:val="none"/>
          <w:lang w:eastAsia="zh-CN"/>
        </w:rPr>
        <w:t>中华人民共和国民法典</w:t>
      </w:r>
      <w:r>
        <w:rPr>
          <w:rFonts w:hint="eastAsia" w:ascii="宋体" w:hAnsi="宋体"/>
          <w:color w:val="auto"/>
          <w:sz w:val="21"/>
          <w:szCs w:val="21"/>
          <w:highlight w:val="none"/>
        </w:rPr>
        <w:t>》和甲方</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 xml:space="preserve"> 采购项目（采购项目编号：</w:t>
      </w:r>
      <w:r>
        <w:rPr>
          <w:rFonts w:hint="eastAsia" w:ascii="宋体" w:hAnsi="宋体" w:eastAsia="宋体"/>
          <w:color w:val="auto"/>
          <w:sz w:val="21"/>
          <w:szCs w:val="21"/>
          <w:highlight w:val="none"/>
          <w:lang w:val="en-US" w:eastAsia="zh-CN"/>
        </w:rPr>
        <w:t xml:space="preserve">   </w:t>
      </w:r>
      <w:r>
        <w:rPr>
          <w:rFonts w:hint="eastAsia" w:ascii="宋体" w:hAnsi="宋体"/>
          <w:color w:val="auto"/>
          <w:sz w:val="21"/>
          <w:szCs w:val="21"/>
          <w:highlight w:val="none"/>
        </w:rPr>
        <w:t xml:space="preserve"> ）的招标文件、投标文件等有关规定，为确保甲方采购项目的顺利实施，甲、乙双方在平等自愿原则下签订本合同，并共同遵守如下条款：</w:t>
      </w:r>
    </w:p>
    <w:p w14:paraId="0284C8E8">
      <w:pPr>
        <w:pStyle w:val="38"/>
        <w:keepNext w:val="0"/>
        <w:keepLines w:val="0"/>
        <w:pageBreakBefore w:val="0"/>
        <w:kinsoku/>
        <w:wordWrap/>
        <w:overflowPunct/>
        <w:topLinePunct w:val="0"/>
        <w:autoSpaceDE/>
        <w:autoSpaceDN/>
        <w:bidi w:val="0"/>
        <w:adjustRightInd/>
        <w:snapToGrid/>
        <w:spacing w:before="120" w:beforeLines="50" w:line="480" w:lineRule="exact"/>
        <w:ind w:firstLine="452" w:firstLineChars="150"/>
        <w:textAlignment w:val="auto"/>
        <w:outlineLvl w:val="1"/>
        <w:rPr>
          <w:rFonts w:hint="eastAsia"/>
          <w:b/>
          <w:color w:val="auto"/>
          <w:sz w:val="30"/>
          <w:szCs w:val="30"/>
          <w:highlight w:val="none"/>
        </w:rPr>
      </w:pPr>
      <w:bookmarkStart w:id="191" w:name="_Toc28733"/>
      <w:r>
        <w:rPr>
          <w:rFonts w:hint="eastAsia"/>
          <w:b/>
          <w:color w:val="auto"/>
          <w:sz w:val="30"/>
          <w:szCs w:val="30"/>
          <w:highlight w:val="none"/>
        </w:rPr>
        <w:t>第一条 合同标的及数量</w:t>
      </w:r>
      <w:bookmarkEnd w:id="191"/>
    </w:p>
    <w:p w14:paraId="516D7386">
      <w:pPr>
        <w:pStyle w:val="38"/>
        <w:keepNext w:val="0"/>
        <w:keepLines w:val="0"/>
        <w:pageBreakBefore w:val="0"/>
        <w:kinsoku/>
        <w:wordWrap/>
        <w:overflowPunct/>
        <w:topLinePunct w:val="0"/>
        <w:autoSpaceDE/>
        <w:autoSpaceDN/>
        <w:bidi w:val="0"/>
        <w:adjustRightInd/>
        <w:snapToGrid/>
        <w:spacing w:before="120" w:beforeLines="50" w:line="480" w:lineRule="exact"/>
        <w:ind w:firstLine="525" w:firstLineChars="250"/>
        <w:textAlignment w:val="auto"/>
        <w:rPr>
          <w:rFonts w:hint="eastAsia" w:ascii="宋体" w:hAnsi="宋体"/>
          <w:b/>
          <w:color w:val="auto"/>
          <w:sz w:val="21"/>
          <w:szCs w:val="21"/>
          <w:highlight w:val="none"/>
        </w:rPr>
      </w:pPr>
      <w:r>
        <w:rPr>
          <w:rFonts w:hint="eastAsia"/>
          <w:color w:val="auto"/>
          <w:sz w:val="21"/>
          <w:szCs w:val="21"/>
          <w:highlight w:val="none"/>
        </w:rPr>
        <w:t>乙方向甲方提供下列货物（产品）：</w:t>
      </w:r>
    </w:p>
    <w:p w14:paraId="43871BFD">
      <w:pPr>
        <w:pStyle w:val="4"/>
        <w:keepNext w:val="0"/>
        <w:keepLines w:val="0"/>
        <w:pageBreakBefore w:val="0"/>
        <w:kinsoku/>
        <w:wordWrap/>
        <w:overflowPunct/>
        <w:topLinePunct w:val="0"/>
        <w:autoSpaceDE/>
        <w:autoSpaceDN/>
        <w:bidi w:val="0"/>
        <w:adjustRightInd/>
        <w:snapToGrid/>
        <w:spacing w:before="120" w:beforeLines="50" w:after="120" w:afterLines="50" w:line="480" w:lineRule="exact"/>
        <w:ind w:firstLine="0"/>
        <w:jc w:val="center"/>
        <w:textAlignment w:val="auto"/>
        <w:rPr>
          <w:rFonts w:hint="eastAsia" w:ascii="宋体" w:hAnsi="宋体"/>
          <w:b/>
          <w:color w:val="auto"/>
          <w:sz w:val="30"/>
          <w:szCs w:val="30"/>
          <w:highlight w:val="none"/>
        </w:rPr>
      </w:pPr>
      <w:r>
        <w:rPr>
          <w:rFonts w:hint="eastAsia" w:ascii="宋体" w:hAnsi="宋体"/>
          <w:b/>
          <w:color w:val="auto"/>
          <w:sz w:val="30"/>
          <w:szCs w:val="30"/>
          <w:highlight w:val="none"/>
        </w:rPr>
        <w:t>供货一览表</w:t>
      </w:r>
    </w:p>
    <w:tbl>
      <w:tblPr>
        <w:tblStyle w:val="23"/>
        <w:tblpPr w:leftFromText="180" w:rightFromText="180" w:vertAnchor="text" w:horzAnchor="margin" w:tblpXSpec="center" w:tblpY="309"/>
        <w:tblW w:w="9739"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810"/>
        <w:gridCol w:w="1478"/>
        <w:gridCol w:w="1408"/>
        <w:gridCol w:w="1211"/>
        <w:gridCol w:w="846"/>
        <w:gridCol w:w="1072"/>
        <w:gridCol w:w="964"/>
        <w:gridCol w:w="964"/>
        <w:gridCol w:w="986"/>
      </w:tblGrid>
      <w:tr w14:paraId="233C107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810" w:type="dxa"/>
            <w:noWrap w:val="0"/>
            <w:vAlign w:val="center"/>
          </w:tcPr>
          <w:p w14:paraId="2598F07C">
            <w:pPr>
              <w:pStyle w:val="3"/>
              <w:spacing w:before="0" w:after="0"/>
              <w:jc w:val="center"/>
              <w:rPr>
                <w:rFonts w:hint="eastAsia" w:ascii="宋体" w:hAnsi="宋体" w:eastAsia="宋体" w:cs="宋体"/>
                <w:color w:val="auto"/>
                <w:sz w:val="21"/>
                <w:szCs w:val="21"/>
                <w:highlight w:val="none"/>
              </w:rPr>
            </w:pPr>
            <w:bookmarkStart w:id="192" w:name="_Toc12479"/>
            <w:r>
              <w:rPr>
                <w:rFonts w:hint="eastAsia" w:ascii="宋体" w:hAnsi="宋体" w:eastAsia="宋体" w:cs="宋体"/>
                <w:color w:val="auto"/>
                <w:sz w:val="21"/>
                <w:szCs w:val="21"/>
                <w:highlight w:val="none"/>
              </w:rPr>
              <w:t>序号</w:t>
            </w:r>
            <w:bookmarkEnd w:id="192"/>
          </w:p>
        </w:tc>
        <w:tc>
          <w:tcPr>
            <w:tcW w:w="1478" w:type="dxa"/>
            <w:noWrap w:val="0"/>
            <w:vAlign w:val="center"/>
          </w:tcPr>
          <w:p w14:paraId="73BA032A">
            <w:pPr>
              <w:pStyle w:val="3"/>
              <w:spacing w:before="0" w:after="0"/>
              <w:jc w:val="center"/>
              <w:rPr>
                <w:rFonts w:hint="eastAsia" w:ascii="宋体" w:hAnsi="宋体" w:eastAsia="宋体" w:cs="宋体"/>
                <w:color w:val="auto"/>
                <w:sz w:val="21"/>
                <w:szCs w:val="21"/>
                <w:highlight w:val="none"/>
              </w:rPr>
            </w:pPr>
            <w:bookmarkStart w:id="193" w:name="_Toc3165"/>
            <w:r>
              <w:rPr>
                <w:rFonts w:hint="eastAsia" w:ascii="宋体" w:hAnsi="宋体" w:eastAsia="宋体" w:cs="宋体"/>
                <w:color w:val="auto"/>
                <w:sz w:val="21"/>
                <w:szCs w:val="21"/>
                <w:highlight w:val="none"/>
              </w:rPr>
              <w:t>货物名称</w:t>
            </w:r>
            <w:bookmarkEnd w:id="193"/>
          </w:p>
        </w:tc>
        <w:tc>
          <w:tcPr>
            <w:tcW w:w="1408" w:type="dxa"/>
            <w:noWrap w:val="0"/>
            <w:vAlign w:val="center"/>
          </w:tcPr>
          <w:p w14:paraId="61C2E831">
            <w:pPr>
              <w:pStyle w:val="3"/>
              <w:spacing w:before="0" w:after="0"/>
              <w:jc w:val="center"/>
              <w:rPr>
                <w:rFonts w:hint="eastAsia" w:ascii="宋体" w:hAnsi="宋体" w:eastAsia="宋体" w:cs="宋体"/>
                <w:color w:val="auto"/>
                <w:sz w:val="21"/>
                <w:szCs w:val="21"/>
                <w:highlight w:val="none"/>
              </w:rPr>
            </w:pPr>
            <w:bookmarkStart w:id="194" w:name="_Toc15495"/>
            <w:r>
              <w:rPr>
                <w:rFonts w:hint="eastAsia" w:ascii="宋体" w:hAnsi="宋体" w:eastAsia="宋体" w:cs="宋体"/>
                <w:color w:val="auto"/>
                <w:sz w:val="21"/>
                <w:szCs w:val="21"/>
                <w:highlight w:val="none"/>
              </w:rPr>
              <w:t>品牌/型号</w:t>
            </w:r>
            <w:bookmarkEnd w:id="194"/>
          </w:p>
        </w:tc>
        <w:tc>
          <w:tcPr>
            <w:tcW w:w="1211" w:type="dxa"/>
            <w:noWrap w:val="0"/>
            <w:vAlign w:val="center"/>
          </w:tcPr>
          <w:p w14:paraId="2C019C1B">
            <w:pPr>
              <w:pStyle w:val="3"/>
              <w:spacing w:before="0" w:after="0"/>
              <w:jc w:val="center"/>
              <w:rPr>
                <w:rFonts w:hint="eastAsia" w:ascii="宋体" w:hAnsi="宋体" w:eastAsia="宋体" w:cs="宋体"/>
                <w:color w:val="auto"/>
                <w:sz w:val="21"/>
                <w:szCs w:val="21"/>
                <w:highlight w:val="none"/>
                <w:lang w:val="en-US" w:eastAsia="zh-CN"/>
              </w:rPr>
            </w:pPr>
            <w:bookmarkStart w:id="195" w:name="_Toc21420"/>
            <w:r>
              <w:rPr>
                <w:rFonts w:hint="eastAsia" w:ascii="宋体" w:hAnsi="宋体" w:eastAsia="宋体" w:cs="宋体"/>
                <w:color w:val="auto"/>
                <w:sz w:val="21"/>
                <w:szCs w:val="21"/>
                <w:highlight w:val="none"/>
                <w:lang w:val="en-US" w:eastAsia="zh-CN"/>
              </w:rPr>
              <w:t>制造商</w:t>
            </w:r>
          </w:p>
        </w:tc>
        <w:tc>
          <w:tcPr>
            <w:tcW w:w="846" w:type="dxa"/>
            <w:noWrap w:val="0"/>
            <w:vAlign w:val="center"/>
          </w:tcPr>
          <w:p w14:paraId="1618F8F9">
            <w:pPr>
              <w:pStyle w:val="3"/>
              <w:spacing w:before="0" w:after="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规格</w:t>
            </w:r>
            <w:bookmarkEnd w:id="195"/>
          </w:p>
        </w:tc>
        <w:tc>
          <w:tcPr>
            <w:tcW w:w="1072" w:type="dxa"/>
            <w:noWrap w:val="0"/>
            <w:vAlign w:val="center"/>
          </w:tcPr>
          <w:p w14:paraId="654C8456">
            <w:pPr>
              <w:pStyle w:val="3"/>
              <w:spacing w:before="0" w:after="0" w:line="240" w:lineRule="auto"/>
              <w:jc w:val="center"/>
              <w:rPr>
                <w:rFonts w:hint="eastAsia" w:ascii="宋体" w:hAnsi="宋体" w:eastAsia="宋体" w:cs="宋体"/>
                <w:color w:val="auto"/>
                <w:sz w:val="21"/>
                <w:szCs w:val="21"/>
                <w:highlight w:val="none"/>
              </w:rPr>
            </w:pPr>
            <w:bookmarkStart w:id="196" w:name="_Toc1347"/>
          </w:p>
          <w:p w14:paraId="185E769F">
            <w:pPr>
              <w:pStyle w:val="3"/>
              <w:spacing w:before="0" w:after="0" w:line="24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计量单位</w:t>
            </w:r>
            <w:bookmarkEnd w:id="196"/>
          </w:p>
        </w:tc>
        <w:tc>
          <w:tcPr>
            <w:tcW w:w="964" w:type="dxa"/>
            <w:noWrap w:val="0"/>
            <w:vAlign w:val="center"/>
          </w:tcPr>
          <w:p w14:paraId="187C52E2">
            <w:pPr>
              <w:pStyle w:val="3"/>
              <w:spacing w:before="0" w:after="0"/>
              <w:jc w:val="center"/>
              <w:rPr>
                <w:rFonts w:hint="eastAsia" w:ascii="宋体" w:hAnsi="宋体" w:eastAsia="宋体" w:cs="宋体"/>
                <w:color w:val="auto"/>
                <w:sz w:val="21"/>
                <w:szCs w:val="21"/>
                <w:highlight w:val="none"/>
              </w:rPr>
            </w:pPr>
            <w:bookmarkStart w:id="197" w:name="_Toc407"/>
            <w:r>
              <w:rPr>
                <w:rFonts w:hint="eastAsia" w:ascii="宋体" w:hAnsi="宋体" w:eastAsia="宋体" w:cs="宋体"/>
                <w:color w:val="auto"/>
                <w:sz w:val="21"/>
                <w:szCs w:val="21"/>
                <w:highlight w:val="none"/>
              </w:rPr>
              <w:t>数量</w:t>
            </w:r>
            <w:bookmarkEnd w:id="197"/>
          </w:p>
        </w:tc>
        <w:tc>
          <w:tcPr>
            <w:tcW w:w="964" w:type="dxa"/>
            <w:noWrap w:val="0"/>
            <w:vAlign w:val="center"/>
          </w:tcPr>
          <w:p w14:paraId="127B98A8">
            <w:pPr>
              <w:pStyle w:val="3"/>
              <w:spacing w:before="0" w:after="0"/>
              <w:jc w:val="center"/>
              <w:rPr>
                <w:rFonts w:hint="eastAsia" w:ascii="宋体" w:hAnsi="宋体" w:eastAsia="宋体" w:cs="宋体"/>
                <w:color w:val="auto"/>
                <w:sz w:val="21"/>
                <w:szCs w:val="21"/>
                <w:highlight w:val="none"/>
              </w:rPr>
            </w:pPr>
            <w:bookmarkStart w:id="198" w:name="_Toc14017"/>
          </w:p>
          <w:p w14:paraId="65011F2B">
            <w:pPr>
              <w:pStyle w:val="3"/>
              <w:spacing w:before="0" w:after="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单价（元）</w:t>
            </w:r>
            <w:bookmarkEnd w:id="198"/>
          </w:p>
        </w:tc>
        <w:tc>
          <w:tcPr>
            <w:tcW w:w="986" w:type="dxa"/>
            <w:noWrap w:val="0"/>
            <w:vAlign w:val="center"/>
          </w:tcPr>
          <w:p w14:paraId="5EA29676">
            <w:pPr>
              <w:pStyle w:val="3"/>
              <w:spacing w:before="0" w:after="0"/>
              <w:ind w:left="207" w:hanging="207" w:hangingChars="98"/>
              <w:jc w:val="center"/>
              <w:rPr>
                <w:rFonts w:hint="eastAsia" w:ascii="宋体" w:hAnsi="宋体" w:eastAsia="宋体" w:cs="宋体"/>
                <w:color w:val="auto"/>
                <w:sz w:val="21"/>
                <w:szCs w:val="21"/>
                <w:highlight w:val="none"/>
              </w:rPr>
            </w:pPr>
            <w:bookmarkStart w:id="199" w:name="_Toc16513"/>
          </w:p>
          <w:p w14:paraId="143330C2">
            <w:pPr>
              <w:pStyle w:val="3"/>
              <w:spacing w:before="0" w:after="0"/>
              <w:ind w:left="207" w:hanging="207" w:hangingChars="98"/>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金额 (元)</w:t>
            </w:r>
            <w:bookmarkEnd w:id="199"/>
          </w:p>
        </w:tc>
      </w:tr>
      <w:tr w14:paraId="2FD4921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810" w:type="dxa"/>
            <w:noWrap w:val="0"/>
            <w:vAlign w:val="top"/>
          </w:tcPr>
          <w:p w14:paraId="1815C173">
            <w:pPr>
              <w:pStyle w:val="3"/>
              <w:spacing w:before="0" w:after="0" w:line="360" w:lineRule="auto"/>
              <w:outlineLvl w:val="9"/>
              <w:rPr>
                <w:rFonts w:hint="eastAsia" w:ascii="宋体" w:hAnsi="宋体" w:eastAsia="宋体" w:cs="宋体"/>
                <w:color w:val="auto"/>
                <w:sz w:val="24"/>
                <w:szCs w:val="24"/>
                <w:highlight w:val="none"/>
              </w:rPr>
            </w:pPr>
          </w:p>
        </w:tc>
        <w:tc>
          <w:tcPr>
            <w:tcW w:w="1478" w:type="dxa"/>
            <w:noWrap w:val="0"/>
            <w:vAlign w:val="top"/>
          </w:tcPr>
          <w:p w14:paraId="2547BA68">
            <w:pPr>
              <w:pStyle w:val="3"/>
              <w:spacing w:before="0" w:after="0" w:line="360" w:lineRule="auto"/>
              <w:outlineLvl w:val="9"/>
              <w:rPr>
                <w:rFonts w:hint="eastAsia" w:ascii="宋体" w:hAnsi="宋体" w:eastAsia="宋体" w:cs="宋体"/>
                <w:color w:val="auto"/>
                <w:sz w:val="24"/>
                <w:szCs w:val="24"/>
                <w:highlight w:val="none"/>
              </w:rPr>
            </w:pPr>
          </w:p>
        </w:tc>
        <w:tc>
          <w:tcPr>
            <w:tcW w:w="1408" w:type="dxa"/>
            <w:noWrap w:val="0"/>
            <w:vAlign w:val="top"/>
          </w:tcPr>
          <w:p w14:paraId="56276F55">
            <w:pPr>
              <w:pStyle w:val="3"/>
              <w:spacing w:before="0" w:after="0" w:line="360" w:lineRule="auto"/>
              <w:outlineLvl w:val="9"/>
              <w:rPr>
                <w:rFonts w:hint="eastAsia" w:ascii="宋体" w:hAnsi="宋体" w:eastAsia="宋体" w:cs="宋体"/>
                <w:color w:val="auto"/>
                <w:sz w:val="24"/>
                <w:szCs w:val="24"/>
                <w:highlight w:val="none"/>
              </w:rPr>
            </w:pPr>
          </w:p>
        </w:tc>
        <w:tc>
          <w:tcPr>
            <w:tcW w:w="1211" w:type="dxa"/>
            <w:noWrap w:val="0"/>
            <w:vAlign w:val="top"/>
          </w:tcPr>
          <w:p w14:paraId="168EE0B2">
            <w:pPr>
              <w:pStyle w:val="3"/>
              <w:spacing w:before="0" w:after="0" w:line="360" w:lineRule="auto"/>
              <w:outlineLvl w:val="9"/>
              <w:rPr>
                <w:rFonts w:hint="eastAsia" w:ascii="宋体" w:hAnsi="宋体" w:eastAsia="宋体" w:cs="宋体"/>
                <w:color w:val="auto"/>
                <w:sz w:val="24"/>
                <w:szCs w:val="24"/>
                <w:highlight w:val="none"/>
              </w:rPr>
            </w:pPr>
          </w:p>
        </w:tc>
        <w:tc>
          <w:tcPr>
            <w:tcW w:w="846" w:type="dxa"/>
            <w:noWrap w:val="0"/>
            <w:vAlign w:val="top"/>
          </w:tcPr>
          <w:p w14:paraId="1EDF7106">
            <w:pPr>
              <w:pStyle w:val="3"/>
              <w:spacing w:before="0" w:after="0" w:line="360" w:lineRule="auto"/>
              <w:outlineLvl w:val="9"/>
              <w:rPr>
                <w:rFonts w:hint="eastAsia" w:ascii="宋体" w:hAnsi="宋体" w:eastAsia="宋体" w:cs="宋体"/>
                <w:color w:val="auto"/>
                <w:sz w:val="24"/>
                <w:szCs w:val="24"/>
                <w:highlight w:val="none"/>
              </w:rPr>
            </w:pPr>
          </w:p>
        </w:tc>
        <w:tc>
          <w:tcPr>
            <w:tcW w:w="1072" w:type="dxa"/>
            <w:noWrap w:val="0"/>
            <w:vAlign w:val="top"/>
          </w:tcPr>
          <w:p w14:paraId="1B472D89">
            <w:pPr>
              <w:pStyle w:val="3"/>
              <w:spacing w:before="0" w:after="0" w:line="360" w:lineRule="auto"/>
              <w:outlineLvl w:val="9"/>
              <w:rPr>
                <w:rFonts w:hint="eastAsia" w:ascii="宋体" w:hAnsi="宋体" w:eastAsia="宋体" w:cs="宋体"/>
                <w:color w:val="auto"/>
                <w:sz w:val="24"/>
                <w:szCs w:val="24"/>
                <w:highlight w:val="none"/>
              </w:rPr>
            </w:pPr>
          </w:p>
        </w:tc>
        <w:tc>
          <w:tcPr>
            <w:tcW w:w="964" w:type="dxa"/>
            <w:noWrap w:val="0"/>
            <w:vAlign w:val="top"/>
          </w:tcPr>
          <w:p w14:paraId="5275655F">
            <w:pPr>
              <w:pStyle w:val="3"/>
              <w:spacing w:before="0" w:after="0" w:line="360" w:lineRule="auto"/>
              <w:outlineLvl w:val="9"/>
              <w:rPr>
                <w:rFonts w:hint="eastAsia" w:ascii="宋体" w:hAnsi="宋体" w:eastAsia="宋体" w:cs="宋体"/>
                <w:color w:val="auto"/>
                <w:sz w:val="24"/>
                <w:szCs w:val="24"/>
                <w:highlight w:val="none"/>
              </w:rPr>
            </w:pPr>
          </w:p>
        </w:tc>
        <w:tc>
          <w:tcPr>
            <w:tcW w:w="964" w:type="dxa"/>
            <w:noWrap w:val="0"/>
            <w:vAlign w:val="top"/>
          </w:tcPr>
          <w:p w14:paraId="3AB999AA">
            <w:pPr>
              <w:pStyle w:val="3"/>
              <w:spacing w:before="0" w:after="0" w:line="360" w:lineRule="auto"/>
              <w:outlineLvl w:val="9"/>
              <w:rPr>
                <w:rFonts w:hint="eastAsia" w:ascii="宋体" w:hAnsi="宋体" w:eastAsia="宋体" w:cs="宋体"/>
                <w:color w:val="auto"/>
                <w:sz w:val="24"/>
                <w:szCs w:val="24"/>
                <w:highlight w:val="none"/>
              </w:rPr>
            </w:pPr>
          </w:p>
        </w:tc>
        <w:tc>
          <w:tcPr>
            <w:tcW w:w="986" w:type="dxa"/>
            <w:noWrap w:val="0"/>
            <w:vAlign w:val="top"/>
          </w:tcPr>
          <w:p w14:paraId="2C0D5B7F">
            <w:pPr>
              <w:pStyle w:val="3"/>
              <w:spacing w:before="0" w:after="0" w:line="360" w:lineRule="auto"/>
              <w:outlineLvl w:val="9"/>
              <w:rPr>
                <w:rFonts w:hint="eastAsia" w:ascii="宋体" w:hAnsi="宋体" w:eastAsia="宋体" w:cs="宋体"/>
                <w:color w:val="auto"/>
                <w:sz w:val="24"/>
                <w:szCs w:val="24"/>
                <w:highlight w:val="none"/>
              </w:rPr>
            </w:pPr>
          </w:p>
        </w:tc>
      </w:tr>
      <w:tr w14:paraId="618FC5B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810" w:type="dxa"/>
            <w:noWrap w:val="0"/>
            <w:vAlign w:val="top"/>
          </w:tcPr>
          <w:p w14:paraId="2B65BBC5">
            <w:pPr>
              <w:pStyle w:val="3"/>
              <w:spacing w:before="0" w:after="0" w:line="360" w:lineRule="auto"/>
              <w:outlineLvl w:val="9"/>
              <w:rPr>
                <w:rFonts w:hint="eastAsia" w:ascii="宋体" w:hAnsi="宋体" w:eastAsia="宋体" w:cs="宋体"/>
                <w:color w:val="auto"/>
                <w:sz w:val="24"/>
                <w:szCs w:val="24"/>
                <w:highlight w:val="none"/>
              </w:rPr>
            </w:pPr>
          </w:p>
        </w:tc>
        <w:tc>
          <w:tcPr>
            <w:tcW w:w="1478" w:type="dxa"/>
            <w:noWrap w:val="0"/>
            <w:vAlign w:val="top"/>
          </w:tcPr>
          <w:p w14:paraId="611E0F84">
            <w:pPr>
              <w:pStyle w:val="3"/>
              <w:spacing w:before="0" w:after="0" w:line="360" w:lineRule="auto"/>
              <w:outlineLvl w:val="9"/>
              <w:rPr>
                <w:rFonts w:hint="eastAsia" w:ascii="宋体" w:hAnsi="宋体" w:eastAsia="宋体" w:cs="宋体"/>
                <w:color w:val="auto"/>
                <w:sz w:val="24"/>
                <w:szCs w:val="24"/>
                <w:highlight w:val="none"/>
              </w:rPr>
            </w:pPr>
          </w:p>
        </w:tc>
        <w:tc>
          <w:tcPr>
            <w:tcW w:w="1408" w:type="dxa"/>
            <w:noWrap w:val="0"/>
            <w:vAlign w:val="top"/>
          </w:tcPr>
          <w:p w14:paraId="3976DE5E">
            <w:pPr>
              <w:pStyle w:val="3"/>
              <w:spacing w:before="0" w:after="0" w:line="360" w:lineRule="auto"/>
              <w:outlineLvl w:val="9"/>
              <w:rPr>
                <w:rFonts w:hint="eastAsia" w:ascii="宋体" w:hAnsi="宋体" w:eastAsia="宋体" w:cs="宋体"/>
                <w:color w:val="auto"/>
                <w:sz w:val="24"/>
                <w:szCs w:val="24"/>
                <w:highlight w:val="none"/>
              </w:rPr>
            </w:pPr>
          </w:p>
        </w:tc>
        <w:tc>
          <w:tcPr>
            <w:tcW w:w="1211" w:type="dxa"/>
            <w:noWrap w:val="0"/>
            <w:vAlign w:val="top"/>
          </w:tcPr>
          <w:p w14:paraId="1021E5A7">
            <w:pPr>
              <w:pStyle w:val="3"/>
              <w:spacing w:before="0" w:after="0" w:line="360" w:lineRule="auto"/>
              <w:outlineLvl w:val="9"/>
              <w:rPr>
                <w:rFonts w:hint="eastAsia" w:ascii="宋体" w:hAnsi="宋体" w:eastAsia="宋体" w:cs="宋体"/>
                <w:color w:val="auto"/>
                <w:sz w:val="24"/>
                <w:szCs w:val="24"/>
                <w:highlight w:val="none"/>
              </w:rPr>
            </w:pPr>
          </w:p>
        </w:tc>
        <w:tc>
          <w:tcPr>
            <w:tcW w:w="846" w:type="dxa"/>
            <w:noWrap w:val="0"/>
            <w:vAlign w:val="top"/>
          </w:tcPr>
          <w:p w14:paraId="5F25B309">
            <w:pPr>
              <w:pStyle w:val="3"/>
              <w:spacing w:before="0" w:after="0" w:line="360" w:lineRule="auto"/>
              <w:outlineLvl w:val="9"/>
              <w:rPr>
                <w:rFonts w:hint="eastAsia" w:ascii="宋体" w:hAnsi="宋体" w:eastAsia="宋体" w:cs="宋体"/>
                <w:color w:val="auto"/>
                <w:sz w:val="24"/>
                <w:szCs w:val="24"/>
                <w:highlight w:val="none"/>
              </w:rPr>
            </w:pPr>
          </w:p>
        </w:tc>
        <w:tc>
          <w:tcPr>
            <w:tcW w:w="1072" w:type="dxa"/>
            <w:noWrap w:val="0"/>
            <w:vAlign w:val="top"/>
          </w:tcPr>
          <w:p w14:paraId="7388CAB5">
            <w:pPr>
              <w:pStyle w:val="3"/>
              <w:spacing w:before="0" w:after="0" w:line="360" w:lineRule="auto"/>
              <w:outlineLvl w:val="9"/>
              <w:rPr>
                <w:rFonts w:hint="eastAsia" w:ascii="宋体" w:hAnsi="宋体" w:eastAsia="宋体" w:cs="宋体"/>
                <w:color w:val="auto"/>
                <w:sz w:val="24"/>
                <w:szCs w:val="24"/>
                <w:highlight w:val="none"/>
              </w:rPr>
            </w:pPr>
          </w:p>
        </w:tc>
        <w:tc>
          <w:tcPr>
            <w:tcW w:w="964" w:type="dxa"/>
            <w:noWrap w:val="0"/>
            <w:vAlign w:val="top"/>
          </w:tcPr>
          <w:p w14:paraId="108116ED">
            <w:pPr>
              <w:pStyle w:val="3"/>
              <w:spacing w:before="0" w:after="0" w:line="360" w:lineRule="auto"/>
              <w:outlineLvl w:val="9"/>
              <w:rPr>
                <w:rFonts w:hint="eastAsia" w:ascii="宋体" w:hAnsi="宋体" w:eastAsia="宋体" w:cs="宋体"/>
                <w:color w:val="auto"/>
                <w:sz w:val="24"/>
                <w:szCs w:val="24"/>
                <w:highlight w:val="none"/>
              </w:rPr>
            </w:pPr>
          </w:p>
        </w:tc>
        <w:tc>
          <w:tcPr>
            <w:tcW w:w="964" w:type="dxa"/>
            <w:noWrap w:val="0"/>
            <w:vAlign w:val="top"/>
          </w:tcPr>
          <w:p w14:paraId="12838313">
            <w:pPr>
              <w:pStyle w:val="3"/>
              <w:spacing w:before="0" w:after="0" w:line="360" w:lineRule="auto"/>
              <w:outlineLvl w:val="9"/>
              <w:rPr>
                <w:rFonts w:hint="eastAsia" w:ascii="宋体" w:hAnsi="宋体" w:eastAsia="宋体" w:cs="宋体"/>
                <w:color w:val="auto"/>
                <w:sz w:val="24"/>
                <w:szCs w:val="24"/>
                <w:highlight w:val="none"/>
              </w:rPr>
            </w:pPr>
          </w:p>
        </w:tc>
        <w:tc>
          <w:tcPr>
            <w:tcW w:w="986" w:type="dxa"/>
            <w:noWrap w:val="0"/>
            <w:vAlign w:val="top"/>
          </w:tcPr>
          <w:p w14:paraId="1D7F32B9">
            <w:pPr>
              <w:pStyle w:val="3"/>
              <w:spacing w:before="0" w:after="0" w:line="360" w:lineRule="auto"/>
              <w:outlineLvl w:val="9"/>
              <w:rPr>
                <w:rFonts w:hint="eastAsia" w:ascii="宋体" w:hAnsi="宋体" w:eastAsia="宋体" w:cs="宋体"/>
                <w:color w:val="auto"/>
                <w:sz w:val="24"/>
                <w:szCs w:val="24"/>
                <w:highlight w:val="none"/>
              </w:rPr>
            </w:pPr>
          </w:p>
        </w:tc>
      </w:tr>
      <w:tr w14:paraId="2A08310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810" w:type="dxa"/>
            <w:noWrap w:val="0"/>
            <w:vAlign w:val="top"/>
          </w:tcPr>
          <w:p w14:paraId="073F56D2">
            <w:pPr>
              <w:pStyle w:val="3"/>
              <w:spacing w:before="0" w:after="0" w:line="360" w:lineRule="auto"/>
              <w:outlineLvl w:val="9"/>
              <w:rPr>
                <w:rFonts w:hint="eastAsia" w:ascii="宋体" w:hAnsi="宋体" w:eastAsia="宋体" w:cs="宋体"/>
                <w:color w:val="auto"/>
                <w:sz w:val="24"/>
                <w:szCs w:val="24"/>
                <w:highlight w:val="none"/>
              </w:rPr>
            </w:pPr>
          </w:p>
        </w:tc>
        <w:tc>
          <w:tcPr>
            <w:tcW w:w="1478" w:type="dxa"/>
            <w:noWrap w:val="0"/>
            <w:vAlign w:val="top"/>
          </w:tcPr>
          <w:p w14:paraId="46FBC2D2">
            <w:pPr>
              <w:pStyle w:val="3"/>
              <w:spacing w:before="0" w:after="0" w:line="360" w:lineRule="auto"/>
              <w:outlineLvl w:val="9"/>
              <w:rPr>
                <w:rFonts w:hint="eastAsia" w:ascii="宋体" w:hAnsi="宋体" w:eastAsia="宋体" w:cs="宋体"/>
                <w:color w:val="auto"/>
                <w:sz w:val="24"/>
                <w:szCs w:val="24"/>
                <w:highlight w:val="none"/>
              </w:rPr>
            </w:pPr>
          </w:p>
        </w:tc>
        <w:tc>
          <w:tcPr>
            <w:tcW w:w="1408" w:type="dxa"/>
            <w:noWrap w:val="0"/>
            <w:vAlign w:val="top"/>
          </w:tcPr>
          <w:p w14:paraId="0170E3C2">
            <w:pPr>
              <w:pStyle w:val="3"/>
              <w:spacing w:before="0" w:after="0" w:line="360" w:lineRule="auto"/>
              <w:outlineLvl w:val="9"/>
              <w:rPr>
                <w:rFonts w:hint="eastAsia" w:ascii="宋体" w:hAnsi="宋体" w:eastAsia="宋体" w:cs="宋体"/>
                <w:color w:val="auto"/>
                <w:sz w:val="24"/>
                <w:szCs w:val="24"/>
                <w:highlight w:val="none"/>
              </w:rPr>
            </w:pPr>
          </w:p>
        </w:tc>
        <w:tc>
          <w:tcPr>
            <w:tcW w:w="1211" w:type="dxa"/>
            <w:noWrap w:val="0"/>
            <w:vAlign w:val="top"/>
          </w:tcPr>
          <w:p w14:paraId="10F09DE2">
            <w:pPr>
              <w:pStyle w:val="3"/>
              <w:spacing w:before="0" w:after="0" w:line="360" w:lineRule="auto"/>
              <w:outlineLvl w:val="9"/>
              <w:rPr>
                <w:rFonts w:hint="eastAsia" w:ascii="宋体" w:hAnsi="宋体" w:eastAsia="宋体" w:cs="宋体"/>
                <w:color w:val="auto"/>
                <w:sz w:val="24"/>
                <w:szCs w:val="24"/>
                <w:highlight w:val="none"/>
              </w:rPr>
            </w:pPr>
          </w:p>
        </w:tc>
        <w:tc>
          <w:tcPr>
            <w:tcW w:w="846" w:type="dxa"/>
            <w:noWrap w:val="0"/>
            <w:vAlign w:val="top"/>
          </w:tcPr>
          <w:p w14:paraId="5D16FD41">
            <w:pPr>
              <w:pStyle w:val="3"/>
              <w:spacing w:before="0" w:after="0" w:line="360" w:lineRule="auto"/>
              <w:outlineLvl w:val="9"/>
              <w:rPr>
                <w:rFonts w:hint="eastAsia" w:ascii="宋体" w:hAnsi="宋体" w:eastAsia="宋体" w:cs="宋体"/>
                <w:color w:val="auto"/>
                <w:sz w:val="24"/>
                <w:szCs w:val="24"/>
                <w:highlight w:val="none"/>
              </w:rPr>
            </w:pPr>
          </w:p>
        </w:tc>
        <w:tc>
          <w:tcPr>
            <w:tcW w:w="1072" w:type="dxa"/>
            <w:noWrap w:val="0"/>
            <w:vAlign w:val="top"/>
          </w:tcPr>
          <w:p w14:paraId="0A48BD43">
            <w:pPr>
              <w:pStyle w:val="3"/>
              <w:spacing w:before="0" w:after="0" w:line="360" w:lineRule="auto"/>
              <w:outlineLvl w:val="9"/>
              <w:rPr>
                <w:rFonts w:hint="eastAsia" w:ascii="宋体" w:hAnsi="宋体" w:eastAsia="宋体" w:cs="宋体"/>
                <w:color w:val="auto"/>
                <w:sz w:val="24"/>
                <w:szCs w:val="24"/>
                <w:highlight w:val="none"/>
              </w:rPr>
            </w:pPr>
          </w:p>
        </w:tc>
        <w:tc>
          <w:tcPr>
            <w:tcW w:w="964" w:type="dxa"/>
            <w:noWrap w:val="0"/>
            <w:vAlign w:val="top"/>
          </w:tcPr>
          <w:p w14:paraId="482EB133">
            <w:pPr>
              <w:pStyle w:val="3"/>
              <w:spacing w:before="0" w:after="0" w:line="360" w:lineRule="auto"/>
              <w:outlineLvl w:val="9"/>
              <w:rPr>
                <w:rFonts w:hint="eastAsia" w:ascii="宋体" w:hAnsi="宋体" w:eastAsia="宋体" w:cs="宋体"/>
                <w:color w:val="auto"/>
                <w:sz w:val="24"/>
                <w:szCs w:val="24"/>
                <w:highlight w:val="none"/>
              </w:rPr>
            </w:pPr>
          </w:p>
        </w:tc>
        <w:tc>
          <w:tcPr>
            <w:tcW w:w="964" w:type="dxa"/>
            <w:noWrap w:val="0"/>
            <w:vAlign w:val="top"/>
          </w:tcPr>
          <w:p w14:paraId="1B2F7450">
            <w:pPr>
              <w:pStyle w:val="3"/>
              <w:spacing w:before="0" w:after="0" w:line="360" w:lineRule="auto"/>
              <w:outlineLvl w:val="9"/>
              <w:rPr>
                <w:rFonts w:hint="eastAsia" w:ascii="宋体" w:hAnsi="宋体" w:eastAsia="宋体" w:cs="宋体"/>
                <w:color w:val="auto"/>
                <w:sz w:val="24"/>
                <w:szCs w:val="24"/>
                <w:highlight w:val="none"/>
              </w:rPr>
            </w:pPr>
          </w:p>
        </w:tc>
        <w:tc>
          <w:tcPr>
            <w:tcW w:w="986" w:type="dxa"/>
            <w:noWrap w:val="0"/>
            <w:vAlign w:val="top"/>
          </w:tcPr>
          <w:p w14:paraId="6D3D98F4">
            <w:pPr>
              <w:pStyle w:val="3"/>
              <w:spacing w:before="0" w:after="0" w:line="360" w:lineRule="auto"/>
              <w:outlineLvl w:val="9"/>
              <w:rPr>
                <w:rFonts w:hint="eastAsia" w:ascii="宋体" w:hAnsi="宋体" w:eastAsia="宋体" w:cs="宋体"/>
                <w:color w:val="auto"/>
                <w:sz w:val="24"/>
                <w:szCs w:val="24"/>
                <w:highlight w:val="none"/>
              </w:rPr>
            </w:pPr>
          </w:p>
        </w:tc>
      </w:tr>
      <w:tr w14:paraId="3D551B2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810" w:type="dxa"/>
            <w:noWrap w:val="0"/>
            <w:vAlign w:val="top"/>
          </w:tcPr>
          <w:p w14:paraId="4BF193E2">
            <w:pPr>
              <w:pStyle w:val="3"/>
              <w:spacing w:before="0" w:after="0" w:line="360" w:lineRule="auto"/>
              <w:outlineLvl w:val="9"/>
              <w:rPr>
                <w:rFonts w:hint="eastAsia" w:ascii="宋体" w:hAnsi="宋体" w:eastAsia="宋体" w:cs="宋体"/>
                <w:color w:val="auto"/>
                <w:sz w:val="24"/>
                <w:szCs w:val="24"/>
                <w:highlight w:val="none"/>
              </w:rPr>
            </w:pPr>
          </w:p>
        </w:tc>
        <w:tc>
          <w:tcPr>
            <w:tcW w:w="1478" w:type="dxa"/>
            <w:noWrap w:val="0"/>
            <w:vAlign w:val="top"/>
          </w:tcPr>
          <w:p w14:paraId="42233A9C">
            <w:pPr>
              <w:pStyle w:val="3"/>
              <w:spacing w:before="0" w:after="0" w:line="360" w:lineRule="auto"/>
              <w:outlineLvl w:val="9"/>
              <w:rPr>
                <w:rFonts w:hint="eastAsia" w:ascii="宋体" w:hAnsi="宋体" w:eastAsia="宋体" w:cs="宋体"/>
                <w:color w:val="auto"/>
                <w:sz w:val="24"/>
                <w:szCs w:val="24"/>
                <w:highlight w:val="none"/>
              </w:rPr>
            </w:pPr>
          </w:p>
        </w:tc>
        <w:tc>
          <w:tcPr>
            <w:tcW w:w="1408" w:type="dxa"/>
            <w:noWrap w:val="0"/>
            <w:vAlign w:val="top"/>
          </w:tcPr>
          <w:p w14:paraId="478EFE5D">
            <w:pPr>
              <w:pStyle w:val="3"/>
              <w:spacing w:before="0" w:after="0" w:line="360" w:lineRule="auto"/>
              <w:outlineLvl w:val="9"/>
              <w:rPr>
                <w:rFonts w:hint="eastAsia" w:ascii="宋体" w:hAnsi="宋体" w:eastAsia="宋体" w:cs="宋体"/>
                <w:color w:val="auto"/>
                <w:sz w:val="24"/>
                <w:szCs w:val="24"/>
                <w:highlight w:val="none"/>
              </w:rPr>
            </w:pPr>
          </w:p>
        </w:tc>
        <w:tc>
          <w:tcPr>
            <w:tcW w:w="1211" w:type="dxa"/>
            <w:noWrap w:val="0"/>
            <w:vAlign w:val="top"/>
          </w:tcPr>
          <w:p w14:paraId="3780633F">
            <w:pPr>
              <w:pStyle w:val="3"/>
              <w:spacing w:before="0" w:after="0" w:line="360" w:lineRule="auto"/>
              <w:outlineLvl w:val="9"/>
              <w:rPr>
                <w:rFonts w:hint="eastAsia" w:ascii="宋体" w:hAnsi="宋体" w:eastAsia="宋体" w:cs="宋体"/>
                <w:color w:val="auto"/>
                <w:sz w:val="24"/>
                <w:szCs w:val="24"/>
                <w:highlight w:val="none"/>
              </w:rPr>
            </w:pPr>
          </w:p>
        </w:tc>
        <w:tc>
          <w:tcPr>
            <w:tcW w:w="846" w:type="dxa"/>
            <w:noWrap w:val="0"/>
            <w:vAlign w:val="top"/>
          </w:tcPr>
          <w:p w14:paraId="692E2A02">
            <w:pPr>
              <w:pStyle w:val="3"/>
              <w:spacing w:before="0" w:after="0" w:line="360" w:lineRule="auto"/>
              <w:outlineLvl w:val="9"/>
              <w:rPr>
                <w:rFonts w:hint="eastAsia" w:ascii="宋体" w:hAnsi="宋体" w:eastAsia="宋体" w:cs="宋体"/>
                <w:color w:val="auto"/>
                <w:sz w:val="24"/>
                <w:szCs w:val="24"/>
                <w:highlight w:val="none"/>
              </w:rPr>
            </w:pPr>
          </w:p>
        </w:tc>
        <w:tc>
          <w:tcPr>
            <w:tcW w:w="1072" w:type="dxa"/>
            <w:noWrap w:val="0"/>
            <w:vAlign w:val="top"/>
          </w:tcPr>
          <w:p w14:paraId="72E7DBFD">
            <w:pPr>
              <w:pStyle w:val="3"/>
              <w:spacing w:before="0" w:after="0" w:line="360" w:lineRule="auto"/>
              <w:outlineLvl w:val="9"/>
              <w:rPr>
                <w:rFonts w:hint="eastAsia" w:ascii="宋体" w:hAnsi="宋体" w:eastAsia="宋体" w:cs="宋体"/>
                <w:color w:val="auto"/>
                <w:sz w:val="24"/>
                <w:szCs w:val="24"/>
                <w:highlight w:val="none"/>
              </w:rPr>
            </w:pPr>
          </w:p>
        </w:tc>
        <w:tc>
          <w:tcPr>
            <w:tcW w:w="964" w:type="dxa"/>
            <w:noWrap w:val="0"/>
            <w:vAlign w:val="top"/>
          </w:tcPr>
          <w:p w14:paraId="3BC0CA69">
            <w:pPr>
              <w:pStyle w:val="3"/>
              <w:spacing w:before="0" w:after="0" w:line="360" w:lineRule="auto"/>
              <w:outlineLvl w:val="9"/>
              <w:rPr>
                <w:rFonts w:hint="eastAsia" w:ascii="宋体" w:hAnsi="宋体" w:eastAsia="宋体" w:cs="宋体"/>
                <w:color w:val="auto"/>
                <w:sz w:val="24"/>
                <w:szCs w:val="24"/>
                <w:highlight w:val="none"/>
              </w:rPr>
            </w:pPr>
          </w:p>
        </w:tc>
        <w:tc>
          <w:tcPr>
            <w:tcW w:w="964" w:type="dxa"/>
            <w:noWrap w:val="0"/>
            <w:vAlign w:val="top"/>
          </w:tcPr>
          <w:p w14:paraId="5414F4D9">
            <w:pPr>
              <w:pStyle w:val="3"/>
              <w:spacing w:before="0" w:after="0" w:line="360" w:lineRule="auto"/>
              <w:outlineLvl w:val="9"/>
              <w:rPr>
                <w:rFonts w:hint="eastAsia" w:ascii="宋体" w:hAnsi="宋体" w:eastAsia="宋体" w:cs="宋体"/>
                <w:color w:val="auto"/>
                <w:sz w:val="24"/>
                <w:szCs w:val="24"/>
                <w:highlight w:val="none"/>
              </w:rPr>
            </w:pPr>
          </w:p>
        </w:tc>
        <w:tc>
          <w:tcPr>
            <w:tcW w:w="986" w:type="dxa"/>
            <w:noWrap w:val="0"/>
            <w:vAlign w:val="top"/>
          </w:tcPr>
          <w:p w14:paraId="5179F01F">
            <w:pPr>
              <w:pStyle w:val="3"/>
              <w:spacing w:before="0" w:after="0" w:line="360" w:lineRule="auto"/>
              <w:outlineLvl w:val="9"/>
              <w:rPr>
                <w:rFonts w:hint="eastAsia" w:ascii="宋体" w:hAnsi="宋体" w:eastAsia="宋体" w:cs="宋体"/>
                <w:color w:val="auto"/>
                <w:sz w:val="24"/>
                <w:szCs w:val="24"/>
                <w:highlight w:val="none"/>
              </w:rPr>
            </w:pPr>
          </w:p>
        </w:tc>
      </w:tr>
      <w:tr w14:paraId="10CD4A0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810" w:type="dxa"/>
            <w:noWrap w:val="0"/>
            <w:vAlign w:val="top"/>
          </w:tcPr>
          <w:p w14:paraId="0A634014">
            <w:pPr>
              <w:pStyle w:val="3"/>
              <w:spacing w:before="0" w:after="0" w:line="360" w:lineRule="auto"/>
              <w:outlineLvl w:val="9"/>
              <w:rPr>
                <w:rFonts w:hint="eastAsia" w:ascii="宋体" w:hAnsi="宋体" w:eastAsia="宋体" w:cs="宋体"/>
                <w:color w:val="auto"/>
                <w:sz w:val="24"/>
                <w:szCs w:val="24"/>
                <w:highlight w:val="none"/>
              </w:rPr>
            </w:pPr>
          </w:p>
        </w:tc>
        <w:tc>
          <w:tcPr>
            <w:tcW w:w="1478" w:type="dxa"/>
            <w:noWrap w:val="0"/>
            <w:vAlign w:val="top"/>
          </w:tcPr>
          <w:p w14:paraId="6BFDE7FF">
            <w:pPr>
              <w:pStyle w:val="3"/>
              <w:spacing w:before="0" w:after="0" w:line="360" w:lineRule="auto"/>
              <w:outlineLvl w:val="9"/>
              <w:rPr>
                <w:rFonts w:hint="eastAsia" w:ascii="宋体" w:hAnsi="宋体" w:eastAsia="宋体" w:cs="宋体"/>
                <w:color w:val="auto"/>
                <w:sz w:val="24"/>
                <w:szCs w:val="24"/>
                <w:highlight w:val="none"/>
              </w:rPr>
            </w:pPr>
          </w:p>
        </w:tc>
        <w:tc>
          <w:tcPr>
            <w:tcW w:w="1408" w:type="dxa"/>
            <w:noWrap w:val="0"/>
            <w:vAlign w:val="top"/>
          </w:tcPr>
          <w:p w14:paraId="597675CE">
            <w:pPr>
              <w:pStyle w:val="3"/>
              <w:spacing w:before="0" w:after="0" w:line="360" w:lineRule="auto"/>
              <w:outlineLvl w:val="9"/>
              <w:rPr>
                <w:rFonts w:hint="eastAsia" w:ascii="宋体" w:hAnsi="宋体" w:eastAsia="宋体" w:cs="宋体"/>
                <w:color w:val="auto"/>
                <w:sz w:val="24"/>
                <w:szCs w:val="24"/>
                <w:highlight w:val="none"/>
              </w:rPr>
            </w:pPr>
          </w:p>
        </w:tc>
        <w:tc>
          <w:tcPr>
            <w:tcW w:w="1211" w:type="dxa"/>
            <w:noWrap w:val="0"/>
            <w:vAlign w:val="top"/>
          </w:tcPr>
          <w:p w14:paraId="697BCBA0">
            <w:pPr>
              <w:pStyle w:val="3"/>
              <w:spacing w:before="0" w:after="0" w:line="360" w:lineRule="auto"/>
              <w:outlineLvl w:val="9"/>
              <w:rPr>
                <w:rFonts w:hint="eastAsia" w:ascii="宋体" w:hAnsi="宋体" w:eastAsia="宋体" w:cs="宋体"/>
                <w:color w:val="auto"/>
                <w:sz w:val="24"/>
                <w:szCs w:val="24"/>
                <w:highlight w:val="none"/>
              </w:rPr>
            </w:pPr>
          </w:p>
        </w:tc>
        <w:tc>
          <w:tcPr>
            <w:tcW w:w="846" w:type="dxa"/>
            <w:noWrap w:val="0"/>
            <w:vAlign w:val="top"/>
          </w:tcPr>
          <w:p w14:paraId="41AEEE52">
            <w:pPr>
              <w:pStyle w:val="3"/>
              <w:spacing w:before="0" w:after="0" w:line="360" w:lineRule="auto"/>
              <w:outlineLvl w:val="9"/>
              <w:rPr>
                <w:rFonts w:hint="eastAsia" w:ascii="宋体" w:hAnsi="宋体" w:eastAsia="宋体" w:cs="宋体"/>
                <w:color w:val="auto"/>
                <w:sz w:val="24"/>
                <w:szCs w:val="24"/>
                <w:highlight w:val="none"/>
              </w:rPr>
            </w:pPr>
          </w:p>
        </w:tc>
        <w:tc>
          <w:tcPr>
            <w:tcW w:w="1072" w:type="dxa"/>
            <w:noWrap w:val="0"/>
            <w:vAlign w:val="top"/>
          </w:tcPr>
          <w:p w14:paraId="2D1588D5">
            <w:pPr>
              <w:pStyle w:val="3"/>
              <w:spacing w:before="0" w:after="0" w:line="360" w:lineRule="auto"/>
              <w:outlineLvl w:val="9"/>
              <w:rPr>
                <w:rFonts w:hint="eastAsia" w:ascii="宋体" w:hAnsi="宋体" w:eastAsia="宋体" w:cs="宋体"/>
                <w:color w:val="auto"/>
                <w:sz w:val="24"/>
                <w:szCs w:val="24"/>
                <w:highlight w:val="none"/>
              </w:rPr>
            </w:pPr>
          </w:p>
        </w:tc>
        <w:tc>
          <w:tcPr>
            <w:tcW w:w="964" w:type="dxa"/>
            <w:noWrap w:val="0"/>
            <w:vAlign w:val="top"/>
          </w:tcPr>
          <w:p w14:paraId="0F6A4DD7">
            <w:pPr>
              <w:pStyle w:val="3"/>
              <w:spacing w:before="0" w:after="0" w:line="360" w:lineRule="auto"/>
              <w:outlineLvl w:val="9"/>
              <w:rPr>
                <w:rFonts w:hint="eastAsia" w:ascii="宋体" w:hAnsi="宋体" w:eastAsia="宋体" w:cs="宋体"/>
                <w:color w:val="auto"/>
                <w:sz w:val="24"/>
                <w:szCs w:val="24"/>
                <w:highlight w:val="none"/>
              </w:rPr>
            </w:pPr>
          </w:p>
        </w:tc>
        <w:tc>
          <w:tcPr>
            <w:tcW w:w="964" w:type="dxa"/>
            <w:noWrap w:val="0"/>
            <w:vAlign w:val="top"/>
          </w:tcPr>
          <w:p w14:paraId="1D8658E7">
            <w:pPr>
              <w:pStyle w:val="3"/>
              <w:spacing w:before="0" w:after="0" w:line="360" w:lineRule="auto"/>
              <w:outlineLvl w:val="9"/>
              <w:rPr>
                <w:rFonts w:hint="eastAsia" w:ascii="宋体" w:hAnsi="宋体" w:eastAsia="宋体" w:cs="宋体"/>
                <w:color w:val="auto"/>
                <w:sz w:val="24"/>
                <w:szCs w:val="24"/>
                <w:highlight w:val="none"/>
              </w:rPr>
            </w:pPr>
          </w:p>
        </w:tc>
        <w:tc>
          <w:tcPr>
            <w:tcW w:w="986" w:type="dxa"/>
            <w:noWrap w:val="0"/>
            <w:vAlign w:val="top"/>
          </w:tcPr>
          <w:p w14:paraId="4FCD49DE">
            <w:pPr>
              <w:pStyle w:val="3"/>
              <w:spacing w:before="0" w:after="0" w:line="360" w:lineRule="auto"/>
              <w:outlineLvl w:val="9"/>
              <w:rPr>
                <w:rFonts w:hint="eastAsia" w:ascii="宋体" w:hAnsi="宋体" w:eastAsia="宋体" w:cs="宋体"/>
                <w:color w:val="auto"/>
                <w:sz w:val="24"/>
                <w:szCs w:val="24"/>
                <w:highlight w:val="none"/>
              </w:rPr>
            </w:pPr>
          </w:p>
        </w:tc>
      </w:tr>
      <w:tr w14:paraId="700B490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810" w:type="dxa"/>
            <w:noWrap w:val="0"/>
            <w:vAlign w:val="top"/>
          </w:tcPr>
          <w:p w14:paraId="2980845C">
            <w:pPr>
              <w:pStyle w:val="3"/>
              <w:spacing w:before="0" w:after="0" w:line="360" w:lineRule="auto"/>
              <w:outlineLvl w:val="9"/>
              <w:rPr>
                <w:rFonts w:hint="eastAsia" w:ascii="宋体" w:hAnsi="宋体" w:eastAsia="宋体" w:cs="宋体"/>
                <w:color w:val="auto"/>
                <w:sz w:val="24"/>
                <w:szCs w:val="24"/>
                <w:highlight w:val="none"/>
              </w:rPr>
            </w:pPr>
          </w:p>
        </w:tc>
        <w:tc>
          <w:tcPr>
            <w:tcW w:w="1478" w:type="dxa"/>
            <w:noWrap w:val="0"/>
            <w:vAlign w:val="top"/>
          </w:tcPr>
          <w:p w14:paraId="2D615D5C">
            <w:pPr>
              <w:pStyle w:val="3"/>
              <w:spacing w:before="0" w:after="0" w:line="360" w:lineRule="auto"/>
              <w:outlineLvl w:val="9"/>
              <w:rPr>
                <w:rFonts w:hint="eastAsia" w:ascii="宋体" w:hAnsi="宋体" w:eastAsia="宋体" w:cs="宋体"/>
                <w:color w:val="auto"/>
                <w:sz w:val="24"/>
                <w:szCs w:val="24"/>
                <w:highlight w:val="none"/>
              </w:rPr>
            </w:pPr>
          </w:p>
        </w:tc>
        <w:tc>
          <w:tcPr>
            <w:tcW w:w="1408" w:type="dxa"/>
            <w:noWrap w:val="0"/>
            <w:vAlign w:val="top"/>
          </w:tcPr>
          <w:p w14:paraId="4F4B55FA">
            <w:pPr>
              <w:pStyle w:val="3"/>
              <w:spacing w:before="0" w:after="0" w:line="360" w:lineRule="auto"/>
              <w:outlineLvl w:val="9"/>
              <w:rPr>
                <w:rFonts w:hint="eastAsia" w:ascii="宋体" w:hAnsi="宋体" w:eastAsia="宋体" w:cs="宋体"/>
                <w:color w:val="auto"/>
                <w:sz w:val="24"/>
                <w:szCs w:val="24"/>
                <w:highlight w:val="none"/>
              </w:rPr>
            </w:pPr>
          </w:p>
        </w:tc>
        <w:tc>
          <w:tcPr>
            <w:tcW w:w="1211" w:type="dxa"/>
            <w:noWrap w:val="0"/>
            <w:vAlign w:val="top"/>
          </w:tcPr>
          <w:p w14:paraId="6B2ADA5E">
            <w:pPr>
              <w:pStyle w:val="3"/>
              <w:spacing w:before="0" w:after="0" w:line="360" w:lineRule="auto"/>
              <w:outlineLvl w:val="9"/>
              <w:rPr>
                <w:rFonts w:hint="eastAsia" w:ascii="宋体" w:hAnsi="宋体" w:eastAsia="宋体" w:cs="宋体"/>
                <w:color w:val="auto"/>
                <w:sz w:val="24"/>
                <w:szCs w:val="24"/>
                <w:highlight w:val="none"/>
              </w:rPr>
            </w:pPr>
          </w:p>
        </w:tc>
        <w:tc>
          <w:tcPr>
            <w:tcW w:w="846" w:type="dxa"/>
            <w:noWrap w:val="0"/>
            <w:vAlign w:val="top"/>
          </w:tcPr>
          <w:p w14:paraId="2E4A5FB9">
            <w:pPr>
              <w:pStyle w:val="3"/>
              <w:spacing w:before="0" w:after="0" w:line="360" w:lineRule="auto"/>
              <w:outlineLvl w:val="9"/>
              <w:rPr>
                <w:rFonts w:hint="eastAsia" w:ascii="宋体" w:hAnsi="宋体" w:eastAsia="宋体" w:cs="宋体"/>
                <w:color w:val="auto"/>
                <w:sz w:val="24"/>
                <w:szCs w:val="24"/>
                <w:highlight w:val="none"/>
              </w:rPr>
            </w:pPr>
          </w:p>
        </w:tc>
        <w:tc>
          <w:tcPr>
            <w:tcW w:w="1072" w:type="dxa"/>
            <w:noWrap w:val="0"/>
            <w:vAlign w:val="top"/>
          </w:tcPr>
          <w:p w14:paraId="00CD93A4">
            <w:pPr>
              <w:pStyle w:val="3"/>
              <w:spacing w:before="0" w:after="0" w:line="360" w:lineRule="auto"/>
              <w:outlineLvl w:val="9"/>
              <w:rPr>
                <w:rFonts w:hint="eastAsia" w:ascii="宋体" w:hAnsi="宋体" w:eastAsia="宋体" w:cs="宋体"/>
                <w:color w:val="auto"/>
                <w:sz w:val="24"/>
                <w:szCs w:val="24"/>
                <w:highlight w:val="none"/>
              </w:rPr>
            </w:pPr>
          </w:p>
        </w:tc>
        <w:tc>
          <w:tcPr>
            <w:tcW w:w="964" w:type="dxa"/>
            <w:noWrap w:val="0"/>
            <w:vAlign w:val="top"/>
          </w:tcPr>
          <w:p w14:paraId="78ECCF41">
            <w:pPr>
              <w:pStyle w:val="3"/>
              <w:spacing w:before="0" w:after="0" w:line="360" w:lineRule="auto"/>
              <w:outlineLvl w:val="9"/>
              <w:rPr>
                <w:rFonts w:hint="eastAsia" w:ascii="宋体" w:hAnsi="宋体" w:eastAsia="宋体" w:cs="宋体"/>
                <w:color w:val="auto"/>
                <w:sz w:val="24"/>
                <w:szCs w:val="24"/>
                <w:highlight w:val="none"/>
              </w:rPr>
            </w:pPr>
          </w:p>
        </w:tc>
        <w:tc>
          <w:tcPr>
            <w:tcW w:w="964" w:type="dxa"/>
            <w:noWrap w:val="0"/>
            <w:vAlign w:val="top"/>
          </w:tcPr>
          <w:p w14:paraId="055E617D">
            <w:pPr>
              <w:pStyle w:val="3"/>
              <w:spacing w:before="0" w:after="0" w:line="360" w:lineRule="auto"/>
              <w:outlineLvl w:val="9"/>
              <w:rPr>
                <w:rFonts w:hint="eastAsia" w:ascii="宋体" w:hAnsi="宋体" w:eastAsia="宋体" w:cs="宋体"/>
                <w:color w:val="auto"/>
                <w:sz w:val="24"/>
                <w:szCs w:val="24"/>
                <w:highlight w:val="none"/>
              </w:rPr>
            </w:pPr>
          </w:p>
        </w:tc>
        <w:tc>
          <w:tcPr>
            <w:tcW w:w="986" w:type="dxa"/>
            <w:noWrap w:val="0"/>
            <w:vAlign w:val="top"/>
          </w:tcPr>
          <w:p w14:paraId="2601930B">
            <w:pPr>
              <w:pStyle w:val="3"/>
              <w:spacing w:before="0" w:after="0" w:line="360" w:lineRule="auto"/>
              <w:outlineLvl w:val="9"/>
              <w:rPr>
                <w:rFonts w:hint="eastAsia" w:ascii="宋体" w:hAnsi="宋体" w:eastAsia="宋体" w:cs="宋体"/>
                <w:color w:val="auto"/>
                <w:sz w:val="24"/>
                <w:szCs w:val="24"/>
                <w:highlight w:val="none"/>
              </w:rPr>
            </w:pPr>
          </w:p>
        </w:tc>
      </w:tr>
      <w:tr w14:paraId="67CECDF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810" w:type="dxa"/>
            <w:noWrap w:val="0"/>
            <w:vAlign w:val="top"/>
          </w:tcPr>
          <w:p w14:paraId="4408AA57">
            <w:pPr>
              <w:pStyle w:val="3"/>
              <w:spacing w:before="0" w:after="0" w:line="360" w:lineRule="auto"/>
              <w:outlineLvl w:val="9"/>
              <w:rPr>
                <w:rFonts w:hint="eastAsia" w:ascii="宋体" w:hAnsi="宋体" w:eastAsia="宋体" w:cs="宋体"/>
                <w:color w:val="auto"/>
                <w:sz w:val="24"/>
                <w:szCs w:val="24"/>
                <w:highlight w:val="none"/>
              </w:rPr>
            </w:pPr>
          </w:p>
        </w:tc>
        <w:tc>
          <w:tcPr>
            <w:tcW w:w="1478" w:type="dxa"/>
            <w:noWrap w:val="0"/>
            <w:vAlign w:val="top"/>
          </w:tcPr>
          <w:p w14:paraId="4FF2FAB7">
            <w:pPr>
              <w:pStyle w:val="3"/>
              <w:spacing w:before="0" w:after="0" w:line="360" w:lineRule="auto"/>
              <w:outlineLvl w:val="9"/>
              <w:rPr>
                <w:rFonts w:hint="eastAsia" w:ascii="宋体" w:hAnsi="宋体" w:eastAsia="宋体" w:cs="宋体"/>
                <w:color w:val="auto"/>
                <w:sz w:val="24"/>
                <w:szCs w:val="24"/>
                <w:highlight w:val="none"/>
              </w:rPr>
            </w:pPr>
          </w:p>
        </w:tc>
        <w:tc>
          <w:tcPr>
            <w:tcW w:w="1408" w:type="dxa"/>
            <w:noWrap w:val="0"/>
            <w:vAlign w:val="top"/>
          </w:tcPr>
          <w:p w14:paraId="68C272ED">
            <w:pPr>
              <w:pStyle w:val="3"/>
              <w:spacing w:before="0" w:after="0" w:line="360" w:lineRule="auto"/>
              <w:outlineLvl w:val="9"/>
              <w:rPr>
                <w:rFonts w:hint="eastAsia" w:ascii="宋体" w:hAnsi="宋体" w:eastAsia="宋体" w:cs="宋体"/>
                <w:color w:val="auto"/>
                <w:sz w:val="24"/>
                <w:szCs w:val="24"/>
                <w:highlight w:val="none"/>
              </w:rPr>
            </w:pPr>
          </w:p>
        </w:tc>
        <w:tc>
          <w:tcPr>
            <w:tcW w:w="1211" w:type="dxa"/>
            <w:noWrap w:val="0"/>
            <w:vAlign w:val="top"/>
          </w:tcPr>
          <w:p w14:paraId="56F2E5C2">
            <w:pPr>
              <w:pStyle w:val="3"/>
              <w:spacing w:before="0" w:after="0" w:line="360" w:lineRule="auto"/>
              <w:outlineLvl w:val="9"/>
              <w:rPr>
                <w:rFonts w:hint="eastAsia" w:ascii="宋体" w:hAnsi="宋体" w:eastAsia="宋体" w:cs="宋体"/>
                <w:color w:val="auto"/>
                <w:sz w:val="24"/>
                <w:szCs w:val="24"/>
                <w:highlight w:val="none"/>
              </w:rPr>
            </w:pPr>
          </w:p>
        </w:tc>
        <w:tc>
          <w:tcPr>
            <w:tcW w:w="846" w:type="dxa"/>
            <w:noWrap w:val="0"/>
            <w:vAlign w:val="top"/>
          </w:tcPr>
          <w:p w14:paraId="2F9513F7">
            <w:pPr>
              <w:pStyle w:val="3"/>
              <w:spacing w:before="0" w:after="0" w:line="360" w:lineRule="auto"/>
              <w:outlineLvl w:val="9"/>
              <w:rPr>
                <w:rFonts w:hint="eastAsia" w:ascii="宋体" w:hAnsi="宋体" w:eastAsia="宋体" w:cs="宋体"/>
                <w:color w:val="auto"/>
                <w:sz w:val="24"/>
                <w:szCs w:val="24"/>
                <w:highlight w:val="none"/>
              </w:rPr>
            </w:pPr>
          </w:p>
        </w:tc>
        <w:tc>
          <w:tcPr>
            <w:tcW w:w="1072" w:type="dxa"/>
            <w:noWrap w:val="0"/>
            <w:vAlign w:val="top"/>
          </w:tcPr>
          <w:p w14:paraId="07AED0DD">
            <w:pPr>
              <w:pStyle w:val="3"/>
              <w:spacing w:before="0" w:after="0" w:line="360" w:lineRule="auto"/>
              <w:outlineLvl w:val="9"/>
              <w:rPr>
                <w:rFonts w:hint="eastAsia" w:ascii="宋体" w:hAnsi="宋体" w:eastAsia="宋体" w:cs="宋体"/>
                <w:color w:val="auto"/>
                <w:sz w:val="24"/>
                <w:szCs w:val="24"/>
                <w:highlight w:val="none"/>
              </w:rPr>
            </w:pPr>
          </w:p>
        </w:tc>
        <w:tc>
          <w:tcPr>
            <w:tcW w:w="964" w:type="dxa"/>
            <w:noWrap w:val="0"/>
            <w:vAlign w:val="top"/>
          </w:tcPr>
          <w:p w14:paraId="5CEB8B87">
            <w:pPr>
              <w:pStyle w:val="3"/>
              <w:spacing w:before="0" w:after="0" w:line="360" w:lineRule="auto"/>
              <w:outlineLvl w:val="9"/>
              <w:rPr>
                <w:rFonts w:hint="eastAsia" w:ascii="宋体" w:hAnsi="宋体" w:eastAsia="宋体" w:cs="宋体"/>
                <w:color w:val="auto"/>
                <w:sz w:val="24"/>
                <w:szCs w:val="24"/>
                <w:highlight w:val="none"/>
              </w:rPr>
            </w:pPr>
          </w:p>
        </w:tc>
        <w:tc>
          <w:tcPr>
            <w:tcW w:w="964" w:type="dxa"/>
            <w:noWrap w:val="0"/>
            <w:vAlign w:val="top"/>
          </w:tcPr>
          <w:p w14:paraId="640E005A">
            <w:pPr>
              <w:pStyle w:val="3"/>
              <w:spacing w:before="0" w:after="0" w:line="360" w:lineRule="auto"/>
              <w:outlineLvl w:val="9"/>
              <w:rPr>
                <w:rFonts w:hint="eastAsia" w:ascii="宋体" w:hAnsi="宋体" w:eastAsia="宋体" w:cs="宋体"/>
                <w:color w:val="auto"/>
                <w:sz w:val="24"/>
                <w:szCs w:val="24"/>
                <w:highlight w:val="none"/>
              </w:rPr>
            </w:pPr>
          </w:p>
        </w:tc>
        <w:tc>
          <w:tcPr>
            <w:tcW w:w="986" w:type="dxa"/>
            <w:noWrap w:val="0"/>
            <w:vAlign w:val="top"/>
          </w:tcPr>
          <w:p w14:paraId="203CAFF0">
            <w:pPr>
              <w:pStyle w:val="3"/>
              <w:spacing w:before="0" w:after="0" w:line="360" w:lineRule="auto"/>
              <w:outlineLvl w:val="9"/>
              <w:rPr>
                <w:rFonts w:hint="eastAsia" w:ascii="宋体" w:hAnsi="宋体" w:eastAsia="宋体" w:cs="宋体"/>
                <w:color w:val="auto"/>
                <w:sz w:val="24"/>
                <w:szCs w:val="24"/>
                <w:highlight w:val="none"/>
              </w:rPr>
            </w:pPr>
          </w:p>
        </w:tc>
      </w:tr>
      <w:tr w14:paraId="039BEC4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810" w:type="dxa"/>
            <w:noWrap w:val="0"/>
            <w:vAlign w:val="top"/>
          </w:tcPr>
          <w:p w14:paraId="419F9C00">
            <w:pPr>
              <w:pStyle w:val="3"/>
              <w:spacing w:before="0" w:after="0" w:line="360" w:lineRule="auto"/>
              <w:outlineLvl w:val="9"/>
              <w:rPr>
                <w:rFonts w:hint="eastAsia" w:ascii="宋体" w:hAnsi="宋体" w:eastAsia="宋体" w:cs="宋体"/>
                <w:color w:val="auto"/>
                <w:sz w:val="24"/>
                <w:szCs w:val="24"/>
                <w:highlight w:val="none"/>
              </w:rPr>
            </w:pPr>
          </w:p>
        </w:tc>
        <w:tc>
          <w:tcPr>
            <w:tcW w:w="1478" w:type="dxa"/>
            <w:noWrap w:val="0"/>
            <w:vAlign w:val="top"/>
          </w:tcPr>
          <w:p w14:paraId="39756919">
            <w:pPr>
              <w:pStyle w:val="3"/>
              <w:spacing w:before="0" w:after="0" w:line="360" w:lineRule="auto"/>
              <w:outlineLvl w:val="9"/>
              <w:rPr>
                <w:rFonts w:hint="eastAsia" w:ascii="宋体" w:hAnsi="宋体" w:eastAsia="宋体" w:cs="宋体"/>
                <w:color w:val="auto"/>
                <w:sz w:val="24"/>
                <w:szCs w:val="24"/>
                <w:highlight w:val="none"/>
              </w:rPr>
            </w:pPr>
          </w:p>
        </w:tc>
        <w:tc>
          <w:tcPr>
            <w:tcW w:w="1408" w:type="dxa"/>
            <w:noWrap w:val="0"/>
            <w:vAlign w:val="top"/>
          </w:tcPr>
          <w:p w14:paraId="29FD7476">
            <w:pPr>
              <w:pStyle w:val="3"/>
              <w:spacing w:before="0" w:after="0" w:line="360" w:lineRule="auto"/>
              <w:outlineLvl w:val="9"/>
              <w:rPr>
                <w:rFonts w:hint="eastAsia" w:ascii="宋体" w:hAnsi="宋体" w:eastAsia="宋体" w:cs="宋体"/>
                <w:color w:val="auto"/>
                <w:sz w:val="24"/>
                <w:szCs w:val="24"/>
                <w:highlight w:val="none"/>
              </w:rPr>
            </w:pPr>
          </w:p>
        </w:tc>
        <w:tc>
          <w:tcPr>
            <w:tcW w:w="1211" w:type="dxa"/>
            <w:noWrap w:val="0"/>
            <w:vAlign w:val="top"/>
          </w:tcPr>
          <w:p w14:paraId="189FF21C">
            <w:pPr>
              <w:pStyle w:val="3"/>
              <w:spacing w:before="0" w:after="0" w:line="360" w:lineRule="auto"/>
              <w:outlineLvl w:val="9"/>
              <w:rPr>
                <w:rFonts w:hint="eastAsia" w:ascii="宋体" w:hAnsi="宋体" w:eastAsia="宋体" w:cs="宋体"/>
                <w:color w:val="auto"/>
                <w:sz w:val="24"/>
                <w:szCs w:val="24"/>
                <w:highlight w:val="none"/>
              </w:rPr>
            </w:pPr>
          </w:p>
        </w:tc>
        <w:tc>
          <w:tcPr>
            <w:tcW w:w="846" w:type="dxa"/>
            <w:noWrap w:val="0"/>
            <w:vAlign w:val="top"/>
          </w:tcPr>
          <w:p w14:paraId="129BC3CD">
            <w:pPr>
              <w:pStyle w:val="3"/>
              <w:spacing w:before="0" w:after="0" w:line="360" w:lineRule="auto"/>
              <w:outlineLvl w:val="9"/>
              <w:rPr>
                <w:rFonts w:hint="eastAsia" w:ascii="宋体" w:hAnsi="宋体" w:eastAsia="宋体" w:cs="宋体"/>
                <w:color w:val="auto"/>
                <w:sz w:val="24"/>
                <w:szCs w:val="24"/>
                <w:highlight w:val="none"/>
              </w:rPr>
            </w:pPr>
          </w:p>
        </w:tc>
        <w:tc>
          <w:tcPr>
            <w:tcW w:w="1072" w:type="dxa"/>
            <w:noWrap w:val="0"/>
            <w:vAlign w:val="top"/>
          </w:tcPr>
          <w:p w14:paraId="034BF538">
            <w:pPr>
              <w:pStyle w:val="3"/>
              <w:spacing w:before="0" w:after="0" w:line="360" w:lineRule="auto"/>
              <w:outlineLvl w:val="9"/>
              <w:rPr>
                <w:rFonts w:hint="eastAsia" w:ascii="宋体" w:hAnsi="宋体" w:eastAsia="宋体" w:cs="宋体"/>
                <w:color w:val="auto"/>
                <w:sz w:val="24"/>
                <w:szCs w:val="24"/>
                <w:highlight w:val="none"/>
              </w:rPr>
            </w:pPr>
          </w:p>
        </w:tc>
        <w:tc>
          <w:tcPr>
            <w:tcW w:w="964" w:type="dxa"/>
            <w:noWrap w:val="0"/>
            <w:vAlign w:val="top"/>
          </w:tcPr>
          <w:p w14:paraId="5A15E4E8">
            <w:pPr>
              <w:pStyle w:val="3"/>
              <w:spacing w:before="0" w:after="0" w:line="360" w:lineRule="auto"/>
              <w:outlineLvl w:val="9"/>
              <w:rPr>
                <w:rFonts w:hint="eastAsia" w:ascii="宋体" w:hAnsi="宋体" w:eastAsia="宋体" w:cs="宋体"/>
                <w:color w:val="auto"/>
                <w:sz w:val="24"/>
                <w:szCs w:val="24"/>
                <w:highlight w:val="none"/>
              </w:rPr>
            </w:pPr>
          </w:p>
        </w:tc>
        <w:tc>
          <w:tcPr>
            <w:tcW w:w="964" w:type="dxa"/>
            <w:noWrap w:val="0"/>
            <w:vAlign w:val="top"/>
          </w:tcPr>
          <w:p w14:paraId="7C3FF1BD">
            <w:pPr>
              <w:pStyle w:val="3"/>
              <w:spacing w:before="0" w:after="0" w:line="360" w:lineRule="auto"/>
              <w:outlineLvl w:val="9"/>
              <w:rPr>
                <w:rFonts w:hint="eastAsia" w:ascii="宋体" w:hAnsi="宋体" w:eastAsia="宋体" w:cs="宋体"/>
                <w:color w:val="auto"/>
                <w:sz w:val="24"/>
                <w:szCs w:val="24"/>
                <w:highlight w:val="none"/>
              </w:rPr>
            </w:pPr>
          </w:p>
        </w:tc>
        <w:tc>
          <w:tcPr>
            <w:tcW w:w="986" w:type="dxa"/>
            <w:noWrap w:val="0"/>
            <w:vAlign w:val="top"/>
          </w:tcPr>
          <w:p w14:paraId="3E0DFFEE">
            <w:pPr>
              <w:pStyle w:val="3"/>
              <w:spacing w:before="0" w:after="0" w:line="360" w:lineRule="auto"/>
              <w:outlineLvl w:val="9"/>
              <w:rPr>
                <w:rFonts w:hint="eastAsia" w:ascii="宋体" w:hAnsi="宋体" w:eastAsia="宋体" w:cs="宋体"/>
                <w:color w:val="auto"/>
                <w:sz w:val="24"/>
                <w:szCs w:val="24"/>
                <w:highlight w:val="none"/>
              </w:rPr>
            </w:pPr>
          </w:p>
        </w:tc>
      </w:tr>
      <w:tr w14:paraId="76E891B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810" w:type="dxa"/>
            <w:noWrap w:val="0"/>
            <w:vAlign w:val="top"/>
          </w:tcPr>
          <w:p w14:paraId="4F7FC04D">
            <w:pPr>
              <w:pStyle w:val="3"/>
              <w:spacing w:before="0" w:after="0" w:line="360" w:lineRule="auto"/>
              <w:outlineLvl w:val="9"/>
              <w:rPr>
                <w:rFonts w:hint="eastAsia" w:ascii="宋体" w:hAnsi="宋体" w:eastAsia="宋体" w:cs="宋体"/>
                <w:color w:val="auto"/>
                <w:sz w:val="24"/>
                <w:szCs w:val="24"/>
                <w:highlight w:val="none"/>
              </w:rPr>
            </w:pPr>
          </w:p>
        </w:tc>
        <w:tc>
          <w:tcPr>
            <w:tcW w:w="1478" w:type="dxa"/>
            <w:noWrap w:val="0"/>
            <w:vAlign w:val="center"/>
          </w:tcPr>
          <w:p w14:paraId="01755ABD">
            <w:pPr>
              <w:pStyle w:val="3"/>
              <w:spacing w:before="0" w:after="0" w:line="240" w:lineRule="auto"/>
              <w:ind w:firstLine="310" w:firstLineChars="147"/>
              <w:rPr>
                <w:rFonts w:hint="eastAsia" w:ascii="宋体" w:hAnsi="宋体" w:eastAsia="宋体" w:cs="宋体"/>
                <w:color w:val="auto"/>
                <w:sz w:val="21"/>
                <w:szCs w:val="21"/>
                <w:highlight w:val="none"/>
              </w:rPr>
            </w:pPr>
            <w:bookmarkStart w:id="200" w:name="_Toc28793"/>
            <w:r>
              <w:rPr>
                <w:rFonts w:hint="eastAsia" w:ascii="宋体" w:hAnsi="宋体" w:eastAsia="宋体" w:cs="宋体"/>
                <w:color w:val="auto"/>
                <w:sz w:val="21"/>
                <w:szCs w:val="21"/>
                <w:highlight w:val="none"/>
              </w:rPr>
              <w:t>合计</w:t>
            </w:r>
            <w:bookmarkEnd w:id="200"/>
          </w:p>
        </w:tc>
        <w:tc>
          <w:tcPr>
            <w:tcW w:w="4537" w:type="dxa"/>
            <w:gridSpan w:val="4"/>
            <w:noWrap w:val="0"/>
            <w:vAlign w:val="center"/>
          </w:tcPr>
          <w:p w14:paraId="2A6D6480">
            <w:pPr>
              <w:pStyle w:val="3"/>
              <w:spacing w:before="0" w:after="0" w:line="240" w:lineRule="auto"/>
              <w:rPr>
                <w:rFonts w:hint="eastAsia" w:ascii="宋体" w:hAnsi="宋体" w:eastAsia="宋体" w:cs="宋体"/>
                <w:color w:val="auto"/>
                <w:sz w:val="21"/>
                <w:szCs w:val="21"/>
                <w:highlight w:val="none"/>
              </w:rPr>
            </w:pPr>
            <w:bookmarkStart w:id="201" w:name="_Toc24091"/>
            <w:r>
              <w:rPr>
                <w:rFonts w:hint="eastAsia" w:ascii="宋体" w:hAnsi="宋体" w:eastAsia="宋体" w:cs="宋体"/>
                <w:color w:val="auto"/>
                <w:sz w:val="21"/>
                <w:szCs w:val="21"/>
                <w:highlight w:val="none"/>
              </w:rPr>
              <w:t>大写</w:t>
            </w:r>
            <w:bookmarkEnd w:id="201"/>
          </w:p>
        </w:tc>
        <w:tc>
          <w:tcPr>
            <w:tcW w:w="964" w:type="dxa"/>
            <w:noWrap w:val="0"/>
            <w:vAlign w:val="center"/>
          </w:tcPr>
          <w:p w14:paraId="18906CF6">
            <w:pPr>
              <w:pStyle w:val="3"/>
              <w:spacing w:before="0" w:after="0" w:line="240" w:lineRule="auto"/>
              <w:rPr>
                <w:rFonts w:hint="eastAsia" w:ascii="宋体" w:hAnsi="宋体" w:eastAsia="宋体" w:cs="宋体"/>
                <w:color w:val="auto"/>
                <w:sz w:val="21"/>
                <w:szCs w:val="21"/>
                <w:highlight w:val="none"/>
              </w:rPr>
            </w:pPr>
            <w:bookmarkStart w:id="202" w:name="_Toc11528"/>
          </w:p>
        </w:tc>
        <w:tc>
          <w:tcPr>
            <w:tcW w:w="1950" w:type="dxa"/>
            <w:gridSpan w:val="2"/>
            <w:noWrap w:val="0"/>
            <w:vAlign w:val="center"/>
          </w:tcPr>
          <w:p w14:paraId="477E9688">
            <w:pPr>
              <w:pStyle w:val="3"/>
              <w:spacing w:before="0" w:after="0" w:line="24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w:t>
            </w:r>
            <w:bookmarkEnd w:id="202"/>
          </w:p>
        </w:tc>
      </w:tr>
    </w:tbl>
    <w:p w14:paraId="3FEA087A">
      <w:pPr>
        <w:pStyle w:val="3"/>
        <w:pageBreakBefore w:val="0"/>
        <w:kinsoku/>
        <w:wordWrap/>
        <w:overflowPunct/>
        <w:topLinePunct w:val="0"/>
        <w:autoSpaceDE/>
        <w:autoSpaceDN/>
        <w:bidi w:val="0"/>
        <w:adjustRightInd/>
        <w:spacing w:before="0" w:after="120" w:afterLines="50" w:line="480" w:lineRule="exact"/>
        <w:ind w:firstLine="602" w:firstLineChars="200"/>
        <w:rPr>
          <w:rFonts w:hint="eastAsia" w:ascii="宋体" w:hAnsi="宋体" w:eastAsia="宋体"/>
          <w:color w:val="auto"/>
          <w:sz w:val="30"/>
          <w:szCs w:val="30"/>
          <w:highlight w:val="none"/>
        </w:rPr>
      </w:pPr>
      <w:bookmarkStart w:id="203" w:name="_Toc1908"/>
      <w:r>
        <w:rPr>
          <w:rFonts w:hint="eastAsia" w:ascii="宋体" w:hAnsi="宋体" w:eastAsia="宋体"/>
          <w:color w:val="auto"/>
          <w:sz w:val="30"/>
          <w:szCs w:val="30"/>
          <w:highlight w:val="none"/>
        </w:rPr>
        <w:t>第二条 合同价款</w:t>
      </w:r>
      <w:bookmarkEnd w:id="203"/>
    </w:p>
    <w:p w14:paraId="5F74AE1E">
      <w:pPr>
        <w:pStyle w:val="3"/>
        <w:pageBreakBefore w:val="0"/>
        <w:kinsoku/>
        <w:wordWrap/>
        <w:overflowPunct/>
        <w:topLinePunct w:val="0"/>
        <w:autoSpaceDE/>
        <w:autoSpaceDN/>
        <w:bidi w:val="0"/>
        <w:adjustRightInd/>
        <w:spacing w:before="0" w:after="0" w:line="480" w:lineRule="exact"/>
        <w:ind w:firstLine="516" w:firstLineChars="246"/>
        <w:rPr>
          <w:rFonts w:hint="eastAsia" w:ascii="宋体" w:hAnsi="宋体" w:eastAsia="宋体"/>
          <w:b w:val="0"/>
          <w:color w:val="auto"/>
          <w:sz w:val="21"/>
          <w:szCs w:val="21"/>
          <w:highlight w:val="none"/>
        </w:rPr>
      </w:pPr>
      <w:bookmarkStart w:id="204" w:name="_Toc13956"/>
      <w:r>
        <w:rPr>
          <w:rFonts w:hint="eastAsia" w:ascii="宋体" w:hAnsi="宋体" w:eastAsia="宋体"/>
          <w:b w:val="0"/>
          <w:color w:val="auto"/>
          <w:sz w:val="21"/>
          <w:szCs w:val="21"/>
          <w:highlight w:val="none"/>
        </w:rPr>
        <w:t>1.合同总价：人民币（大写）</w:t>
      </w:r>
      <w:r>
        <w:rPr>
          <w:rFonts w:hint="eastAsia" w:ascii="宋体" w:hAnsi="宋体" w:eastAsia="宋体"/>
          <w:b w:val="0"/>
          <w:color w:val="auto"/>
          <w:sz w:val="21"/>
          <w:szCs w:val="21"/>
          <w:highlight w:val="none"/>
          <w:u w:val="single"/>
        </w:rPr>
        <w:t xml:space="preserve">                 </w:t>
      </w:r>
      <w:r>
        <w:rPr>
          <w:rFonts w:hint="eastAsia" w:ascii="宋体" w:hAnsi="宋体" w:eastAsia="宋体"/>
          <w:b w:val="0"/>
          <w:color w:val="auto"/>
          <w:sz w:val="21"/>
          <w:szCs w:val="21"/>
          <w:highlight w:val="none"/>
        </w:rPr>
        <w:t xml:space="preserve"> 元，（￥</w:t>
      </w:r>
      <w:r>
        <w:rPr>
          <w:rFonts w:hint="eastAsia" w:ascii="宋体" w:hAnsi="宋体" w:eastAsia="宋体"/>
          <w:b w:val="0"/>
          <w:color w:val="auto"/>
          <w:sz w:val="21"/>
          <w:szCs w:val="21"/>
          <w:highlight w:val="none"/>
          <w:u w:val="single"/>
        </w:rPr>
        <w:t xml:space="preserve">           </w:t>
      </w:r>
      <w:r>
        <w:rPr>
          <w:rFonts w:hint="eastAsia" w:ascii="宋体" w:hAnsi="宋体" w:eastAsia="宋体"/>
          <w:b w:val="0"/>
          <w:color w:val="auto"/>
          <w:sz w:val="21"/>
          <w:szCs w:val="21"/>
          <w:highlight w:val="none"/>
        </w:rPr>
        <w:t xml:space="preserve"> ）。</w:t>
      </w:r>
      <w:bookmarkEnd w:id="204"/>
    </w:p>
    <w:p w14:paraId="3A7D3F80">
      <w:pPr>
        <w:pStyle w:val="3"/>
        <w:pageBreakBefore w:val="0"/>
        <w:kinsoku/>
        <w:wordWrap/>
        <w:overflowPunct/>
        <w:topLinePunct w:val="0"/>
        <w:autoSpaceDE/>
        <w:autoSpaceDN/>
        <w:bidi w:val="0"/>
        <w:adjustRightInd/>
        <w:spacing w:before="0" w:after="0" w:line="480" w:lineRule="exact"/>
        <w:ind w:firstLine="516" w:firstLineChars="246"/>
        <w:rPr>
          <w:rFonts w:hint="eastAsia" w:ascii="宋体" w:hAnsi="宋体" w:eastAsia="宋体"/>
          <w:b w:val="0"/>
          <w:color w:val="auto"/>
          <w:sz w:val="21"/>
          <w:szCs w:val="21"/>
          <w:highlight w:val="none"/>
        </w:rPr>
      </w:pPr>
      <w:bookmarkStart w:id="205" w:name="_Toc29324"/>
      <w:r>
        <w:rPr>
          <w:rFonts w:hint="eastAsia" w:ascii="宋体" w:hAnsi="宋体" w:eastAsia="宋体"/>
          <w:b w:val="0"/>
          <w:color w:val="auto"/>
          <w:sz w:val="21"/>
          <w:szCs w:val="21"/>
          <w:highlight w:val="none"/>
        </w:rPr>
        <w:t>2.本合同总价是货物（产品）设计、材料、制造、包装、运输、验收合格交付使用之前及保修期内保修服务与备用物件等其他有关各项的含税费用。</w:t>
      </w:r>
      <w:bookmarkEnd w:id="205"/>
    </w:p>
    <w:p w14:paraId="6AE2F3DA">
      <w:pPr>
        <w:pStyle w:val="3"/>
        <w:pageBreakBefore w:val="0"/>
        <w:kinsoku/>
        <w:wordWrap/>
        <w:overflowPunct/>
        <w:topLinePunct w:val="0"/>
        <w:autoSpaceDE/>
        <w:autoSpaceDN/>
        <w:bidi w:val="0"/>
        <w:adjustRightInd/>
        <w:spacing w:before="0" w:after="0" w:line="480" w:lineRule="exact"/>
        <w:ind w:firstLine="516" w:firstLineChars="246"/>
        <w:rPr>
          <w:rFonts w:hint="eastAsia" w:ascii="宋体" w:hAnsi="宋体" w:eastAsia="宋体"/>
          <w:b w:val="0"/>
          <w:color w:val="auto"/>
          <w:sz w:val="21"/>
          <w:szCs w:val="21"/>
          <w:highlight w:val="none"/>
        </w:rPr>
      </w:pPr>
      <w:bookmarkStart w:id="206" w:name="_Toc5696"/>
      <w:r>
        <w:rPr>
          <w:rFonts w:hint="eastAsia" w:ascii="宋体" w:hAnsi="宋体" w:eastAsia="宋体"/>
          <w:b w:val="0"/>
          <w:color w:val="auto"/>
          <w:sz w:val="21"/>
          <w:szCs w:val="21"/>
          <w:highlight w:val="none"/>
        </w:rPr>
        <w:t>3.本合同总价还包含乙方应当提供的伴随服务和售后服务费用。</w:t>
      </w:r>
      <w:bookmarkEnd w:id="206"/>
    </w:p>
    <w:p w14:paraId="5C7FBE3E">
      <w:pPr>
        <w:pStyle w:val="3"/>
        <w:pageBreakBefore w:val="0"/>
        <w:kinsoku/>
        <w:wordWrap/>
        <w:overflowPunct/>
        <w:topLinePunct w:val="0"/>
        <w:autoSpaceDE/>
        <w:autoSpaceDN/>
        <w:bidi w:val="0"/>
        <w:adjustRightInd/>
        <w:spacing w:before="0" w:after="0" w:line="480" w:lineRule="exact"/>
        <w:ind w:firstLine="516" w:firstLineChars="246"/>
        <w:rPr>
          <w:rFonts w:hint="eastAsia" w:ascii="宋体" w:hAnsi="宋体" w:eastAsia="宋体"/>
          <w:b w:val="0"/>
          <w:color w:val="auto"/>
          <w:sz w:val="21"/>
          <w:szCs w:val="21"/>
          <w:highlight w:val="none"/>
        </w:rPr>
      </w:pPr>
      <w:bookmarkStart w:id="207" w:name="_Toc18794"/>
      <w:r>
        <w:rPr>
          <w:rFonts w:hint="eastAsia" w:ascii="宋体" w:hAnsi="宋体" w:eastAsia="宋体"/>
          <w:b w:val="0"/>
          <w:color w:val="auto"/>
          <w:sz w:val="21"/>
          <w:szCs w:val="21"/>
          <w:highlight w:val="none"/>
        </w:rPr>
        <w:t>4.本合同执行期间合同总价不变，甲方无须另向乙方支付本合同规定之外的其他任何费用。</w:t>
      </w:r>
      <w:bookmarkEnd w:id="207"/>
    </w:p>
    <w:p w14:paraId="7787178C">
      <w:pPr>
        <w:pStyle w:val="3"/>
        <w:pageBreakBefore w:val="0"/>
        <w:kinsoku/>
        <w:wordWrap/>
        <w:overflowPunct/>
        <w:topLinePunct w:val="0"/>
        <w:autoSpaceDE/>
        <w:autoSpaceDN/>
        <w:bidi w:val="0"/>
        <w:adjustRightInd/>
        <w:spacing w:before="120" w:beforeLines="50" w:after="120" w:afterLines="50" w:line="480" w:lineRule="exact"/>
        <w:ind w:firstLine="602" w:firstLineChars="200"/>
        <w:rPr>
          <w:rFonts w:hint="eastAsia" w:ascii="宋体" w:hAnsi="宋体" w:eastAsia="宋体"/>
          <w:color w:val="auto"/>
          <w:sz w:val="30"/>
          <w:szCs w:val="30"/>
          <w:highlight w:val="none"/>
        </w:rPr>
      </w:pPr>
      <w:bookmarkStart w:id="208" w:name="_Toc9225"/>
      <w:r>
        <w:rPr>
          <w:rFonts w:hint="eastAsia" w:ascii="宋体" w:hAnsi="宋体" w:eastAsia="宋体"/>
          <w:color w:val="auto"/>
          <w:sz w:val="30"/>
          <w:szCs w:val="30"/>
          <w:highlight w:val="none"/>
        </w:rPr>
        <w:t>第三条 货款支付</w:t>
      </w:r>
      <w:bookmarkEnd w:id="208"/>
    </w:p>
    <w:p w14:paraId="6EF85F1C">
      <w:pPr>
        <w:pStyle w:val="38"/>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default" w:ascii="宋体" w:hAnsi="宋体"/>
          <w:color w:val="auto"/>
          <w:sz w:val="21"/>
          <w:szCs w:val="21"/>
          <w:highlight w:val="none"/>
          <w:u w:val="single"/>
          <w:lang w:val="en-US" w:eastAsia="zh-CN"/>
        </w:rPr>
      </w:pPr>
      <w:r>
        <w:rPr>
          <w:rFonts w:hint="eastAsia" w:ascii="宋体" w:hAnsi="宋体"/>
          <w:color w:val="auto"/>
          <w:sz w:val="21"/>
          <w:szCs w:val="21"/>
          <w:highlight w:val="none"/>
        </w:rPr>
        <w:t>1.货物（产品）按下列比例支付价款：</w:t>
      </w:r>
      <w:r>
        <w:rPr>
          <w:rFonts w:hint="eastAsia" w:ascii="宋体" w:hAnsi="宋体"/>
          <w:color w:val="auto"/>
          <w:sz w:val="21"/>
          <w:szCs w:val="21"/>
          <w:highlight w:val="none"/>
          <w:u w:val="single"/>
          <w:lang w:val="en-US" w:eastAsia="zh-CN"/>
        </w:rPr>
        <w:t xml:space="preserve">                     </w:t>
      </w:r>
      <w:r>
        <w:rPr>
          <w:rFonts w:hint="eastAsia" w:ascii="宋体" w:hAnsi="宋体"/>
          <w:color w:val="auto"/>
          <w:sz w:val="21"/>
          <w:szCs w:val="21"/>
          <w:highlight w:val="none"/>
          <w:u w:val="none"/>
          <w:lang w:val="en-US" w:eastAsia="zh-CN"/>
        </w:rPr>
        <w:t>。</w:t>
      </w:r>
    </w:p>
    <w:p w14:paraId="4D91BF83">
      <w:pPr>
        <w:pStyle w:val="38"/>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2.乙方须向甲方出具合法有效的完税发票，甲方进行支付结算。</w:t>
      </w:r>
    </w:p>
    <w:p w14:paraId="103C319C">
      <w:pPr>
        <w:pStyle w:val="38"/>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3.结算方式：银行转账。</w:t>
      </w:r>
    </w:p>
    <w:p w14:paraId="5A20A6E8">
      <w:pPr>
        <w:pStyle w:val="38"/>
        <w:pageBreakBefore w:val="0"/>
        <w:kinsoku/>
        <w:wordWrap/>
        <w:overflowPunct/>
        <w:topLinePunct w:val="0"/>
        <w:autoSpaceDE/>
        <w:autoSpaceDN/>
        <w:bidi w:val="0"/>
        <w:adjustRightInd/>
        <w:spacing w:before="120" w:beforeLines="50" w:after="120" w:afterLines="50" w:line="480" w:lineRule="exact"/>
        <w:ind w:firstLine="500" w:firstLineChars="166"/>
        <w:outlineLvl w:val="1"/>
        <w:rPr>
          <w:rFonts w:hint="eastAsia" w:ascii="宋体" w:hAnsi="宋体"/>
          <w:b/>
          <w:color w:val="auto"/>
          <w:sz w:val="30"/>
          <w:szCs w:val="30"/>
          <w:highlight w:val="none"/>
        </w:rPr>
      </w:pPr>
      <w:bookmarkStart w:id="209" w:name="_Toc2826"/>
      <w:r>
        <w:rPr>
          <w:rFonts w:hint="eastAsia" w:ascii="宋体" w:hAnsi="宋体"/>
          <w:b/>
          <w:color w:val="auto"/>
          <w:sz w:val="30"/>
          <w:szCs w:val="30"/>
          <w:highlight w:val="none"/>
        </w:rPr>
        <w:t>第四条 交货时间与地点</w:t>
      </w:r>
      <w:bookmarkEnd w:id="209"/>
    </w:p>
    <w:p w14:paraId="7F987E8C">
      <w:pPr>
        <w:pStyle w:val="38"/>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乙方在合同签订生效之日起，按甲方指定时间、地点交货。</w:t>
      </w:r>
    </w:p>
    <w:p w14:paraId="2FB3F5AE">
      <w:pPr>
        <w:pStyle w:val="38"/>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20" w:firstLineChars="200"/>
        <w:textAlignment w:val="auto"/>
        <w:rPr>
          <w:rFonts w:hint="eastAsia" w:ascii="宋体" w:hAnsi="宋体"/>
          <w:color w:val="auto"/>
          <w:sz w:val="21"/>
          <w:szCs w:val="21"/>
          <w:highlight w:val="none"/>
          <w:u w:val="single"/>
          <w:lang w:val="en-US" w:eastAsia="zh-CN"/>
        </w:rPr>
      </w:pPr>
      <w:r>
        <w:rPr>
          <w:rFonts w:hint="eastAsia" w:ascii="宋体" w:hAnsi="宋体"/>
          <w:color w:val="auto"/>
          <w:sz w:val="21"/>
          <w:szCs w:val="21"/>
          <w:highlight w:val="none"/>
          <w:lang w:val="en-US" w:eastAsia="zh-CN"/>
        </w:rPr>
        <w:t>1.</w:t>
      </w:r>
      <w:r>
        <w:rPr>
          <w:rFonts w:hint="eastAsia" w:ascii="宋体" w:hAnsi="宋体"/>
          <w:color w:val="auto"/>
          <w:sz w:val="21"/>
          <w:szCs w:val="21"/>
          <w:highlight w:val="none"/>
        </w:rPr>
        <w:t>合同履行期限：</w:t>
      </w:r>
      <w:r>
        <w:rPr>
          <w:rFonts w:hint="eastAsia" w:ascii="宋体" w:hAnsi="宋体"/>
          <w:color w:val="auto"/>
          <w:sz w:val="21"/>
          <w:szCs w:val="21"/>
          <w:highlight w:val="none"/>
          <w:u w:val="single"/>
          <w:lang w:val="en-US" w:eastAsia="zh-CN"/>
        </w:rPr>
        <w:t xml:space="preserve">        </w:t>
      </w:r>
      <w:r>
        <w:rPr>
          <w:rFonts w:hint="eastAsia" w:ascii="宋体" w:hAnsi="宋体"/>
          <w:color w:val="auto"/>
          <w:sz w:val="21"/>
          <w:szCs w:val="21"/>
          <w:highlight w:val="none"/>
          <w:u w:val="none"/>
          <w:lang w:val="en-US" w:eastAsia="zh-CN"/>
        </w:rPr>
        <w:t>。</w:t>
      </w:r>
    </w:p>
    <w:p w14:paraId="379FFA92">
      <w:pPr>
        <w:pStyle w:val="38"/>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20" w:firstLineChars="200"/>
        <w:textAlignment w:val="auto"/>
        <w:rPr>
          <w:rFonts w:hint="eastAsia" w:ascii="宋体" w:hAnsi="宋体" w:eastAsia="宋体"/>
          <w:color w:val="auto"/>
          <w:sz w:val="21"/>
          <w:szCs w:val="21"/>
          <w:highlight w:val="none"/>
          <w:lang w:eastAsia="zh-CN"/>
        </w:rPr>
      </w:pPr>
      <w:r>
        <w:rPr>
          <w:rFonts w:hint="eastAsia" w:ascii="宋体" w:hAnsi="宋体"/>
          <w:color w:val="auto"/>
          <w:sz w:val="21"/>
          <w:szCs w:val="21"/>
          <w:highlight w:val="none"/>
        </w:rPr>
        <w:t>2.交货地点：甲方指定地点</w:t>
      </w:r>
      <w:r>
        <w:rPr>
          <w:rFonts w:hint="eastAsia" w:ascii="宋体" w:hAnsi="宋体"/>
          <w:color w:val="auto"/>
          <w:sz w:val="21"/>
          <w:szCs w:val="21"/>
          <w:highlight w:val="none"/>
          <w:lang w:eastAsia="zh-CN"/>
        </w:rPr>
        <w:t>。</w:t>
      </w:r>
    </w:p>
    <w:p w14:paraId="66798AC1">
      <w:pPr>
        <w:pStyle w:val="38"/>
        <w:pageBreakBefore w:val="0"/>
        <w:kinsoku/>
        <w:wordWrap/>
        <w:overflowPunct/>
        <w:topLinePunct w:val="0"/>
        <w:autoSpaceDE/>
        <w:autoSpaceDN/>
        <w:bidi w:val="0"/>
        <w:adjustRightInd/>
        <w:spacing w:before="120" w:beforeLines="50" w:after="120" w:afterLines="50" w:line="480" w:lineRule="exact"/>
        <w:ind w:firstLine="500" w:firstLineChars="166"/>
        <w:outlineLvl w:val="1"/>
        <w:rPr>
          <w:rFonts w:hint="eastAsia" w:ascii="宋体" w:hAnsi="宋体"/>
          <w:b/>
          <w:color w:val="auto"/>
          <w:sz w:val="30"/>
          <w:szCs w:val="30"/>
          <w:highlight w:val="none"/>
        </w:rPr>
      </w:pPr>
      <w:bookmarkStart w:id="210" w:name="_Toc14297"/>
      <w:r>
        <w:rPr>
          <w:rFonts w:hint="eastAsia" w:ascii="宋体" w:hAnsi="宋体"/>
          <w:b/>
          <w:color w:val="auto"/>
          <w:sz w:val="30"/>
          <w:szCs w:val="30"/>
          <w:highlight w:val="none"/>
        </w:rPr>
        <w:t>第五条 质量保证</w:t>
      </w:r>
      <w:bookmarkEnd w:id="210"/>
    </w:p>
    <w:p w14:paraId="4065700A">
      <w:pPr>
        <w:pStyle w:val="38"/>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1.乙方须提供全新的、未使用过的合格正品货物（含零部件、配件等），完全符合合同规定的质量、规格和性能的要求。</w:t>
      </w:r>
    </w:p>
    <w:p w14:paraId="6F766062">
      <w:pPr>
        <w:pStyle w:val="38"/>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2.乙方提供的节能和环保产品必须是列入节能、环保标志产品品目清单中的产品。</w:t>
      </w:r>
    </w:p>
    <w:p w14:paraId="7AB76560">
      <w:pPr>
        <w:pStyle w:val="38"/>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3.质量标准按照最新颁布的国家标准、行业标准或制造商企业标准确定，上述标准不一致的，以严格标准为准。</w:t>
      </w:r>
    </w:p>
    <w:p w14:paraId="449C7628">
      <w:pPr>
        <w:pStyle w:val="38"/>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4.货物制造质量出现问题，乙方应负责三包（包修、包换、包退），费用由乙方负担，甲方有权到乙方生产场地检查货物质量和生产进度。</w:t>
      </w:r>
    </w:p>
    <w:p w14:paraId="0C5FA116">
      <w:pPr>
        <w:pStyle w:val="38"/>
        <w:pageBreakBefore w:val="0"/>
        <w:kinsoku/>
        <w:wordWrap/>
        <w:overflowPunct/>
        <w:topLinePunct w:val="0"/>
        <w:autoSpaceDE/>
        <w:autoSpaceDN/>
        <w:bidi w:val="0"/>
        <w:adjustRightInd/>
        <w:spacing w:before="120" w:beforeLines="50" w:after="120" w:afterLines="50" w:line="480" w:lineRule="exact"/>
        <w:ind w:firstLine="602"/>
        <w:outlineLvl w:val="1"/>
        <w:rPr>
          <w:rFonts w:hint="eastAsia" w:ascii="宋体" w:hAnsi="宋体"/>
          <w:b/>
          <w:color w:val="auto"/>
          <w:sz w:val="30"/>
          <w:szCs w:val="30"/>
          <w:highlight w:val="none"/>
        </w:rPr>
      </w:pPr>
      <w:bookmarkStart w:id="211" w:name="_Toc30883"/>
      <w:r>
        <w:rPr>
          <w:rFonts w:hint="eastAsia" w:ascii="宋体" w:hAnsi="宋体"/>
          <w:b/>
          <w:color w:val="auto"/>
          <w:sz w:val="30"/>
          <w:szCs w:val="30"/>
          <w:highlight w:val="none"/>
        </w:rPr>
        <w:t>第六条 权利保证</w:t>
      </w:r>
      <w:bookmarkEnd w:id="211"/>
    </w:p>
    <w:p w14:paraId="5EDDC764">
      <w:pPr>
        <w:pStyle w:val="38"/>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1.乙方保证对其出售的货物享有合法的权利。</w:t>
      </w:r>
    </w:p>
    <w:p w14:paraId="5C57F843">
      <w:pPr>
        <w:pStyle w:val="38"/>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2.乙方保证对其出售的货物上不存在任何未曾向甲方透露的担保物权，如抵押权、质押权、留置权。</w:t>
      </w:r>
    </w:p>
    <w:p w14:paraId="21C3CEA2">
      <w:pPr>
        <w:pStyle w:val="38"/>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3.乙方保证对其出售的货物或其任何一部分没有侵犯第三方的专利权、版权、商标权或其他权利。</w:t>
      </w:r>
    </w:p>
    <w:p w14:paraId="299B4551">
      <w:pPr>
        <w:pStyle w:val="38"/>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4.如甲方在使用该货物构成上述侵权的，则由乙方承担全部责任。</w:t>
      </w:r>
    </w:p>
    <w:p w14:paraId="34E694D5">
      <w:pPr>
        <w:pStyle w:val="38"/>
        <w:pageBreakBefore w:val="0"/>
        <w:kinsoku/>
        <w:wordWrap/>
        <w:overflowPunct/>
        <w:topLinePunct w:val="0"/>
        <w:autoSpaceDE/>
        <w:autoSpaceDN/>
        <w:bidi w:val="0"/>
        <w:adjustRightInd/>
        <w:spacing w:before="120" w:beforeLines="50" w:after="120" w:afterLines="50" w:line="480" w:lineRule="exact"/>
        <w:ind w:firstLine="500" w:firstLineChars="166"/>
        <w:outlineLvl w:val="1"/>
        <w:rPr>
          <w:rFonts w:hint="eastAsia" w:ascii="宋体" w:hAnsi="宋体"/>
          <w:color w:val="auto"/>
          <w:sz w:val="30"/>
          <w:szCs w:val="30"/>
          <w:highlight w:val="none"/>
        </w:rPr>
      </w:pPr>
      <w:bookmarkStart w:id="212" w:name="_Toc23187"/>
      <w:r>
        <w:rPr>
          <w:rFonts w:hint="eastAsia" w:ascii="宋体" w:hAnsi="宋体"/>
          <w:b/>
          <w:color w:val="auto"/>
          <w:sz w:val="30"/>
          <w:szCs w:val="30"/>
          <w:highlight w:val="none"/>
        </w:rPr>
        <w:t>第七条 包装要求与运输方式</w:t>
      </w:r>
      <w:bookmarkEnd w:id="212"/>
      <w:r>
        <w:rPr>
          <w:rFonts w:hint="eastAsia" w:ascii="宋体" w:hAnsi="宋体"/>
          <w:b/>
          <w:color w:val="auto"/>
          <w:sz w:val="30"/>
          <w:szCs w:val="30"/>
          <w:highlight w:val="none"/>
        </w:rPr>
        <w:t xml:space="preserve">  </w:t>
      </w:r>
      <w:r>
        <w:rPr>
          <w:rFonts w:hint="eastAsia" w:ascii="宋体" w:hAnsi="宋体"/>
          <w:color w:val="auto"/>
          <w:sz w:val="30"/>
          <w:szCs w:val="30"/>
          <w:highlight w:val="none"/>
        </w:rPr>
        <w:t xml:space="preserve"> </w:t>
      </w:r>
    </w:p>
    <w:p w14:paraId="78BACEE3">
      <w:pPr>
        <w:pStyle w:val="38"/>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1.除合同另有规定外，乙方提供的全部货物均应按标准保护措施进行包装，该包装应适应于远距离运输、防潮、防震、防锈和防野蛮装卸，以确保货物安全运抵指定地点。</w:t>
      </w:r>
    </w:p>
    <w:p w14:paraId="4B2DEFFC">
      <w:pPr>
        <w:pStyle w:val="38"/>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2.每一包装单元应附详细的装箱单和质量合格证。</w:t>
      </w:r>
    </w:p>
    <w:p w14:paraId="202BAFF7">
      <w:pPr>
        <w:pStyle w:val="38"/>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3.货物（产品）运输方式：             。</w:t>
      </w:r>
    </w:p>
    <w:p w14:paraId="4B035134">
      <w:pPr>
        <w:pStyle w:val="38"/>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4.乙方负责货物（产品）运输，货物运输的合理损耗及计算方法。</w:t>
      </w:r>
    </w:p>
    <w:p w14:paraId="4E9E17B9">
      <w:pPr>
        <w:pStyle w:val="38"/>
        <w:pageBreakBefore w:val="0"/>
        <w:kinsoku/>
        <w:wordWrap/>
        <w:overflowPunct/>
        <w:topLinePunct w:val="0"/>
        <w:autoSpaceDE/>
        <w:autoSpaceDN/>
        <w:bidi w:val="0"/>
        <w:adjustRightInd/>
        <w:spacing w:before="120" w:beforeLines="50" w:after="120" w:afterLines="50" w:line="480" w:lineRule="exact"/>
        <w:ind w:firstLine="349" w:firstLineChars="116"/>
        <w:outlineLvl w:val="1"/>
        <w:rPr>
          <w:rFonts w:hint="eastAsia" w:ascii="宋体" w:hAnsi="宋体"/>
          <w:color w:val="auto"/>
          <w:sz w:val="30"/>
          <w:szCs w:val="30"/>
          <w:highlight w:val="none"/>
        </w:rPr>
      </w:pPr>
      <w:bookmarkStart w:id="213" w:name="_Toc6663"/>
      <w:r>
        <w:rPr>
          <w:rFonts w:hint="eastAsia" w:ascii="宋体" w:hAnsi="宋体"/>
          <w:b/>
          <w:color w:val="auto"/>
          <w:sz w:val="30"/>
          <w:szCs w:val="30"/>
          <w:highlight w:val="none"/>
        </w:rPr>
        <w:t>第八条 货物验收</w:t>
      </w:r>
      <w:bookmarkEnd w:id="213"/>
    </w:p>
    <w:p w14:paraId="1E948D7D">
      <w:pPr>
        <w:pStyle w:val="38"/>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1.货物验收由甲方组织，乙方配合，并按下列程序进行：</w:t>
      </w:r>
    </w:p>
    <w:p w14:paraId="3CCF1A7C">
      <w:pPr>
        <w:pStyle w:val="38"/>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1）交货验收时，乙方须提供质检部门产品抽样检查合格的检测报告（或生产厂家自检报告）及所提供货物（产品）的合格证、装箱清单、配件、随机工具、用户使用手册（产品使用说明书）、保修卡等资料交付给甲方；</w:t>
      </w:r>
    </w:p>
    <w:p w14:paraId="3A263C73">
      <w:pPr>
        <w:pStyle w:val="38"/>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（2）到货验收 ：货物到达后，按合同第一条款的货物清单和装箱单经行逐一核对，同时检查货物外观，是否有划痕或破损的，并做好相应记录；</w:t>
      </w:r>
    </w:p>
    <w:p w14:paraId="7B299513">
      <w:pPr>
        <w:pStyle w:val="38"/>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（3）货物初验：乙方应在货物到货之日起，</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日内全部完成</w:t>
      </w:r>
      <w:r>
        <w:rPr>
          <w:rFonts w:hint="eastAsia" w:ascii="宋体" w:hAnsi="宋体"/>
          <w:color w:val="auto"/>
          <w:sz w:val="21"/>
          <w:szCs w:val="21"/>
          <w:highlight w:val="none"/>
          <w:lang w:val="en-US" w:eastAsia="zh-CN"/>
        </w:rPr>
        <w:t>验收</w:t>
      </w:r>
      <w:r>
        <w:rPr>
          <w:rFonts w:hint="eastAsia" w:ascii="宋体" w:hAnsi="宋体"/>
          <w:color w:val="auto"/>
          <w:sz w:val="21"/>
          <w:szCs w:val="21"/>
          <w:highlight w:val="none"/>
        </w:rPr>
        <w:t>；乙方</w:t>
      </w:r>
      <w:r>
        <w:rPr>
          <w:rFonts w:hint="eastAsia" w:ascii="宋体" w:hAnsi="宋体"/>
          <w:color w:val="auto"/>
          <w:sz w:val="21"/>
          <w:szCs w:val="21"/>
          <w:highlight w:val="none"/>
          <w:lang w:val="en-US" w:eastAsia="zh-CN"/>
        </w:rPr>
        <w:t>验收</w:t>
      </w:r>
      <w:r>
        <w:rPr>
          <w:rFonts w:hint="eastAsia" w:ascii="宋体" w:hAnsi="宋体"/>
          <w:color w:val="auto"/>
          <w:sz w:val="21"/>
          <w:szCs w:val="21"/>
          <w:highlight w:val="none"/>
        </w:rPr>
        <w:t>后</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日内完成初步验收；初步验收合格后，进入</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日试用期；试用期间发生重大质量问题，修复后试用期相应顺延；</w:t>
      </w:r>
    </w:p>
    <w:p w14:paraId="32ED06A7">
      <w:pPr>
        <w:pStyle w:val="38"/>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（4）货物终验：试用期结束后</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日内完成最终验收；</w:t>
      </w:r>
    </w:p>
    <w:p w14:paraId="2D2DC836">
      <w:pPr>
        <w:pStyle w:val="38"/>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（5）质量验收合格，双方签署质量验收报告。</w:t>
      </w:r>
    </w:p>
    <w:p w14:paraId="067C91AA">
      <w:pPr>
        <w:pStyle w:val="38"/>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2.货物验收依据：</w:t>
      </w:r>
    </w:p>
    <w:p w14:paraId="243A1271">
      <w:pPr>
        <w:pStyle w:val="4"/>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（1）招标文件；</w:t>
      </w:r>
    </w:p>
    <w:p w14:paraId="3E5AAE43">
      <w:pPr>
        <w:pStyle w:val="4"/>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（2）投标文件；</w:t>
      </w:r>
    </w:p>
    <w:p w14:paraId="06476650">
      <w:pPr>
        <w:pStyle w:val="4"/>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（3）采购合同及补充协议；</w:t>
      </w:r>
    </w:p>
    <w:p w14:paraId="44FB1E91">
      <w:pPr>
        <w:pStyle w:val="38"/>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（4）质检部门抽样检查货物（产品）合格的检测报告。</w:t>
      </w:r>
    </w:p>
    <w:p w14:paraId="08CEF9F4">
      <w:pPr>
        <w:pStyle w:val="38"/>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3.货物验收时发现问题的处理办法：</w:t>
      </w:r>
    </w:p>
    <w:p w14:paraId="1CA9A055">
      <w:pPr>
        <w:pStyle w:val="38"/>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（1）乙方提供不符合招标文件和本合同规定的货物（产品），甲方有权拒绝接受；</w:t>
      </w:r>
    </w:p>
    <w:p w14:paraId="6DC9C74F">
      <w:pPr>
        <w:pStyle w:val="38"/>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2）如发现所交付的货物有短装、次品、损坏或其它不符合标准及本合同规定之情形者，甲方有权要求更换货物（产品），同时做出详尽的现场记录，或由甲乙双方签署备忘录，此现场记录或备忘录可用作补充、缺失和更换损坏部件或更换整个货物（产品）有效证据，由此产生的时间延误与有关费用由乙方承担，验收期限相应顺延；</w:t>
      </w:r>
    </w:p>
    <w:p w14:paraId="43205A00">
      <w:pPr>
        <w:pStyle w:val="38"/>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（3）如货物经乙方</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次维修仍不能达到合同约定的质量标准，甲方有权退货，并视作乙方不能交付货物而须支付违约赔偿金给甲方，甲方还可依法追究乙方的违约责任； </w:t>
      </w:r>
    </w:p>
    <w:p w14:paraId="53EF3ABF">
      <w:pPr>
        <w:pStyle w:val="38"/>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（4）货物</w:t>
      </w:r>
      <w:r>
        <w:rPr>
          <w:rFonts w:hint="eastAsia" w:ascii="宋体" w:hAnsi="宋体"/>
          <w:color w:val="auto"/>
          <w:sz w:val="21"/>
          <w:szCs w:val="21"/>
          <w:highlight w:val="none"/>
          <w:lang w:val="en-US" w:eastAsia="zh-CN"/>
        </w:rPr>
        <w:t>验收</w:t>
      </w:r>
      <w:r>
        <w:rPr>
          <w:rFonts w:hint="eastAsia" w:ascii="宋体" w:hAnsi="宋体"/>
          <w:color w:val="auto"/>
          <w:sz w:val="21"/>
          <w:szCs w:val="21"/>
          <w:highlight w:val="none"/>
        </w:rPr>
        <w:t>完成后</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日内，甲方无故不进行验收工作并已使用货物的，视同已</w:t>
      </w:r>
      <w:r>
        <w:rPr>
          <w:rFonts w:hint="eastAsia" w:ascii="宋体" w:hAnsi="宋体"/>
          <w:color w:val="auto"/>
          <w:sz w:val="21"/>
          <w:szCs w:val="21"/>
          <w:highlight w:val="none"/>
          <w:lang w:val="en-US" w:eastAsia="zh-CN"/>
        </w:rPr>
        <w:t>验收</w:t>
      </w:r>
      <w:r>
        <w:rPr>
          <w:rFonts w:hint="eastAsia" w:ascii="宋体" w:hAnsi="宋体"/>
          <w:color w:val="auto"/>
          <w:sz w:val="21"/>
          <w:szCs w:val="21"/>
          <w:highlight w:val="none"/>
        </w:rPr>
        <w:t>完成并验收合格；</w:t>
      </w:r>
    </w:p>
    <w:p w14:paraId="594FAC4F">
      <w:pPr>
        <w:pStyle w:val="38"/>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（5）乙方不能完整交付货物及本条第一款规定的单证和工具的，必须负责补齐，否则视为未按合同约定交货；</w:t>
      </w:r>
    </w:p>
    <w:p w14:paraId="253A7D5B">
      <w:pPr>
        <w:pStyle w:val="38"/>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（6）超出合理磅差的处理方法：</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w:t>
      </w:r>
    </w:p>
    <w:p w14:paraId="42CD9491">
      <w:pPr>
        <w:pStyle w:val="38"/>
        <w:pageBreakBefore w:val="0"/>
        <w:kinsoku/>
        <w:wordWrap/>
        <w:overflowPunct/>
        <w:topLinePunct w:val="0"/>
        <w:autoSpaceDE/>
        <w:autoSpaceDN/>
        <w:bidi w:val="0"/>
        <w:adjustRightInd/>
        <w:spacing w:before="120" w:beforeLines="50" w:after="120" w:afterLines="50" w:line="480" w:lineRule="exact"/>
        <w:ind w:firstLine="500" w:firstLineChars="166"/>
        <w:outlineLvl w:val="1"/>
        <w:rPr>
          <w:rFonts w:hint="eastAsia"/>
          <w:b/>
          <w:color w:val="auto"/>
          <w:sz w:val="30"/>
          <w:szCs w:val="30"/>
          <w:highlight w:val="none"/>
        </w:rPr>
      </w:pPr>
      <w:bookmarkStart w:id="214" w:name="_Toc30032"/>
      <w:r>
        <w:rPr>
          <w:rFonts w:hint="eastAsia"/>
          <w:b/>
          <w:color w:val="auto"/>
          <w:sz w:val="30"/>
          <w:szCs w:val="30"/>
          <w:highlight w:val="none"/>
        </w:rPr>
        <w:t>第九条 售后服务</w:t>
      </w:r>
      <w:bookmarkEnd w:id="214"/>
    </w:p>
    <w:p w14:paraId="5393FDCE">
      <w:pPr>
        <w:pStyle w:val="38"/>
        <w:pageBreakBefore w:val="0"/>
        <w:kinsoku/>
        <w:wordWrap/>
        <w:overflowPunct/>
        <w:topLinePunct w:val="0"/>
        <w:autoSpaceDE/>
        <w:autoSpaceDN/>
        <w:bidi w:val="0"/>
        <w:adjustRightInd/>
        <w:spacing w:line="480" w:lineRule="exact"/>
        <w:ind w:firstLine="420"/>
        <w:rPr>
          <w:color w:val="auto"/>
          <w:kern w:val="0"/>
          <w:sz w:val="21"/>
          <w:szCs w:val="21"/>
          <w:highlight w:val="none"/>
        </w:rPr>
      </w:pPr>
      <w:r>
        <w:rPr>
          <w:rFonts w:hint="eastAsia"/>
          <w:color w:val="auto"/>
          <w:kern w:val="0"/>
          <w:sz w:val="21"/>
          <w:szCs w:val="21"/>
          <w:highlight w:val="none"/>
        </w:rPr>
        <w:t>质保期</w:t>
      </w:r>
      <w:r>
        <w:rPr>
          <w:rFonts w:hint="eastAsia"/>
          <w:i/>
          <w:iCs/>
          <w:color w:val="auto"/>
          <w:kern w:val="0"/>
          <w:sz w:val="21"/>
          <w:szCs w:val="21"/>
          <w:highlight w:val="none"/>
          <w:u w:val="single"/>
          <w:lang w:val="en-US" w:eastAsia="zh-CN"/>
        </w:rPr>
        <w:t xml:space="preserve">      </w:t>
      </w:r>
      <w:r>
        <w:rPr>
          <w:rFonts w:hint="eastAsia"/>
          <w:color w:val="auto"/>
          <w:kern w:val="0"/>
          <w:sz w:val="21"/>
          <w:szCs w:val="21"/>
          <w:highlight w:val="none"/>
        </w:rPr>
        <w:t>年。乙方应按照国家有关法律法规和“三包”规定以及招标文件要求和投标文件的“服务承诺”提供服务。</w:t>
      </w:r>
    </w:p>
    <w:p w14:paraId="7F1D2D2A">
      <w:pPr>
        <w:pStyle w:val="38"/>
        <w:pageBreakBefore w:val="0"/>
        <w:kinsoku/>
        <w:wordWrap/>
        <w:overflowPunct/>
        <w:topLinePunct w:val="0"/>
        <w:autoSpaceDE/>
        <w:autoSpaceDN/>
        <w:bidi w:val="0"/>
        <w:adjustRightInd/>
        <w:spacing w:before="120" w:beforeLines="50" w:after="120" w:afterLines="50" w:line="480" w:lineRule="exact"/>
        <w:ind w:firstLine="500" w:firstLineChars="166"/>
        <w:outlineLvl w:val="1"/>
        <w:rPr>
          <w:rFonts w:hint="eastAsia"/>
          <w:b/>
          <w:color w:val="auto"/>
          <w:sz w:val="30"/>
          <w:szCs w:val="30"/>
          <w:highlight w:val="none"/>
        </w:rPr>
      </w:pPr>
      <w:bookmarkStart w:id="215" w:name="_Toc31285"/>
      <w:r>
        <w:rPr>
          <w:rFonts w:hint="eastAsia"/>
          <w:b/>
          <w:color w:val="auto"/>
          <w:kern w:val="0"/>
          <w:sz w:val="30"/>
          <w:szCs w:val="30"/>
          <w:highlight w:val="none"/>
        </w:rPr>
        <w:t xml:space="preserve">第十条 </w:t>
      </w:r>
      <w:r>
        <w:rPr>
          <w:rFonts w:hint="eastAsia"/>
          <w:b/>
          <w:color w:val="auto"/>
          <w:sz w:val="30"/>
          <w:szCs w:val="30"/>
          <w:highlight w:val="none"/>
        </w:rPr>
        <w:t>履约保证金</w:t>
      </w:r>
      <w:bookmarkEnd w:id="215"/>
    </w:p>
    <w:p w14:paraId="6BEEF1B8">
      <w:pPr>
        <w:pageBreakBefore w:val="0"/>
        <w:widowControl/>
        <w:kinsoku/>
        <w:wordWrap/>
        <w:overflowPunct/>
        <w:topLinePunct w:val="0"/>
        <w:autoSpaceDE/>
        <w:autoSpaceDN/>
        <w:bidi w:val="0"/>
        <w:adjustRightInd/>
        <w:spacing w:line="480" w:lineRule="exact"/>
        <w:ind w:firstLine="525" w:firstLineChars="25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1.乙方在签订本合同之前，向甲方提交履约保证金人民币（大写）</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 xml:space="preserve"> 元，￥</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 xml:space="preserve"> 。</w:t>
      </w:r>
    </w:p>
    <w:p w14:paraId="011F586C">
      <w:pPr>
        <w:pageBreakBefore w:val="0"/>
        <w:widowControl/>
        <w:kinsoku/>
        <w:wordWrap/>
        <w:overflowPunct/>
        <w:topLinePunct w:val="0"/>
        <w:autoSpaceDE/>
        <w:autoSpaceDN/>
        <w:bidi w:val="0"/>
        <w:adjustRightInd/>
        <w:spacing w:line="480" w:lineRule="exact"/>
        <w:ind w:firstLine="525" w:firstLineChars="25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2.履约保证金的有效期为乙方承诺的货物（产品）质保期。</w:t>
      </w:r>
    </w:p>
    <w:p w14:paraId="18F7D02B">
      <w:pPr>
        <w:pageBreakBefore w:val="0"/>
        <w:widowControl/>
        <w:kinsoku/>
        <w:wordWrap/>
        <w:overflowPunct/>
        <w:topLinePunct w:val="0"/>
        <w:autoSpaceDE/>
        <w:autoSpaceDN/>
        <w:bidi w:val="0"/>
        <w:adjustRightInd/>
        <w:spacing w:line="480" w:lineRule="exact"/>
        <w:ind w:firstLine="525" w:firstLineChars="25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3.如乙方未能履行合同规定的义务，甲方有权从履约保证金中取得补偿。</w:t>
      </w:r>
    </w:p>
    <w:p w14:paraId="467B570B">
      <w:pPr>
        <w:pageBreakBefore w:val="0"/>
        <w:widowControl/>
        <w:kinsoku/>
        <w:wordWrap/>
        <w:overflowPunct/>
        <w:topLinePunct w:val="0"/>
        <w:autoSpaceDE/>
        <w:autoSpaceDN/>
        <w:bidi w:val="0"/>
        <w:adjustRightInd/>
        <w:spacing w:line="480" w:lineRule="exact"/>
        <w:ind w:firstLine="525" w:firstLineChars="25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4.</w:t>
      </w:r>
      <w:r>
        <w:rPr>
          <w:rFonts w:hint="eastAsia" w:ascii="宋体" w:hAnsi="宋体"/>
          <w:color w:val="auto"/>
          <w:szCs w:val="21"/>
          <w:highlight w:val="none"/>
        </w:rPr>
        <w:t>货物（产品）质保期结束后，甲方财务部门接到甲方确认本合同货物质量与服务等约定事项已经履行完毕的正式书面文件后的</w:t>
      </w:r>
      <w:r>
        <w:rPr>
          <w:rFonts w:hint="eastAsia" w:ascii="宋体" w:hAnsi="宋体"/>
          <w:color w:val="auto"/>
          <w:szCs w:val="21"/>
          <w:highlight w:val="none"/>
          <w:u w:val="single"/>
        </w:rPr>
        <w:t xml:space="preserve">   </w:t>
      </w:r>
      <w:r>
        <w:rPr>
          <w:rFonts w:hint="eastAsia" w:ascii="宋体" w:hAnsi="宋体"/>
          <w:color w:val="auto"/>
          <w:szCs w:val="21"/>
          <w:highlight w:val="none"/>
        </w:rPr>
        <w:t>日内，向乙方退还履约保证金。</w:t>
      </w:r>
    </w:p>
    <w:p w14:paraId="08A90D99">
      <w:pPr>
        <w:pageBreakBefore w:val="0"/>
        <w:widowControl/>
        <w:kinsoku/>
        <w:wordWrap/>
        <w:overflowPunct/>
        <w:topLinePunct w:val="0"/>
        <w:autoSpaceDE/>
        <w:autoSpaceDN/>
        <w:bidi w:val="0"/>
        <w:adjustRightInd/>
        <w:spacing w:line="480" w:lineRule="exact"/>
        <w:ind w:firstLine="525" w:firstLineChars="250"/>
        <w:jc w:val="left"/>
        <w:rPr>
          <w:rFonts w:hint="eastAsia" w:ascii="宋体" w:hAnsi="宋体"/>
          <w:bCs/>
          <w:color w:val="auto"/>
          <w:szCs w:val="21"/>
          <w:highlight w:val="none"/>
        </w:rPr>
      </w:pPr>
      <w:r>
        <w:rPr>
          <w:rFonts w:hint="eastAsia" w:ascii="宋体" w:hAnsi="宋体"/>
          <w:color w:val="auto"/>
          <w:szCs w:val="21"/>
          <w:highlight w:val="none"/>
        </w:rPr>
        <w:t>5.乙方可以履约担保函的形式交纳履约保证金（格式见附件1）。</w:t>
      </w:r>
    </w:p>
    <w:p w14:paraId="61910765">
      <w:pPr>
        <w:pStyle w:val="38"/>
        <w:pageBreakBefore w:val="0"/>
        <w:kinsoku/>
        <w:wordWrap/>
        <w:overflowPunct/>
        <w:topLinePunct w:val="0"/>
        <w:autoSpaceDE/>
        <w:autoSpaceDN/>
        <w:bidi w:val="0"/>
        <w:adjustRightInd/>
        <w:spacing w:before="120" w:beforeLines="50" w:after="120" w:afterLines="50" w:line="480" w:lineRule="exact"/>
        <w:ind w:firstLine="500" w:firstLineChars="166"/>
        <w:outlineLvl w:val="1"/>
        <w:rPr>
          <w:rFonts w:hint="eastAsia" w:ascii="宋体" w:hAnsi="宋体"/>
          <w:color w:val="auto"/>
          <w:sz w:val="30"/>
          <w:szCs w:val="30"/>
          <w:highlight w:val="none"/>
        </w:rPr>
      </w:pPr>
      <w:bookmarkStart w:id="216" w:name="_Toc15414"/>
      <w:r>
        <w:rPr>
          <w:rFonts w:hint="eastAsia" w:ascii="宋体" w:hAnsi="宋体"/>
          <w:b/>
          <w:color w:val="auto"/>
          <w:sz w:val="30"/>
          <w:szCs w:val="30"/>
          <w:highlight w:val="none"/>
        </w:rPr>
        <w:t>第十一条 违约责任</w:t>
      </w:r>
      <w:bookmarkEnd w:id="216"/>
    </w:p>
    <w:p w14:paraId="77D66A33">
      <w:pPr>
        <w:pStyle w:val="38"/>
        <w:pageBreakBefore w:val="0"/>
        <w:kinsoku/>
        <w:wordWrap/>
        <w:overflowPunct/>
        <w:topLinePunct w:val="0"/>
        <w:autoSpaceDE/>
        <w:autoSpaceDN/>
        <w:bidi w:val="0"/>
        <w:adjustRightInd/>
        <w:spacing w:line="480" w:lineRule="exact"/>
        <w:ind w:firstLine="525" w:firstLineChars="250"/>
        <w:rPr>
          <w:rFonts w:hint="eastAsia" w:ascii="宋体" w:hAnsi="宋体"/>
          <w:color w:val="auto"/>
          <w:sz w:val="21"/>
          <w:szCs w:val="21"/>
          <w:highlight w:val="none"/>
        </w:rPr>
      </w:pPr>
      <w:r>
        <w:rPr>
          <w:rFonts w:hint="eastAsia" w:ascii="宋体" w:hAnsi="宋体"/>
          <w:color w:val="auto"/>
          <w:sz w:val="21"/>
          <w:szCs w:val="21"/>
          <w:highlight w:val="none"/>
        </w:rPr>
        <w:t>1.甲方违约责任</w:t>
      </w:r>
    </w:p>
    <w:p w14:paraId="502A1F51">
      <w:pPr>
        <w:pStyle w:val="38"/>
        <w:pageBreakBefore w:val="0"/>
        <w:kinsoku/>
        <w:wordWrap/>
        <w:overflowPunct/>
        <w:topLinePunct w:val="0"/>
        <w:autoSpaceDE/>
        <w:autoSpaceDN/>
        <w:bidi w:val="0"/>
        <w:adjustRightInd/>
        <w:spacing w:line="480" w:lineRule="exact"/>
        <w:ind w:firstLine="359" w:firstLineChars="171"/>
        <w:rPr>
          <w:rFonts w:hint="eastAsia" w:ascii="宋体" w:hAnsi="宋体"/>
          <w:color w:val="auto"/>
          <w:sz w:val="21"/>
          <w:szCs w:val="21"/>
          <w:highlight w:val="none"/>
        </w:rPr>
      </w:pPr>
      <w:r>
        <w:rPr>
          <w:rFonts w:hint="eastAsia" w:ascii="宋体" w:hAnsi="宋体"/>
          <w:color w:val="auto"/>
          <w:sz w:val="21"/>
          <w:szCs w:val="21"/>
          <w:highlight w:val="none"/>
        </w:rPr>
        <w:t>（1）甲方无正当理由拒收货物的，甲方应偿付合同总价</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 xml:space="preserve"> %的违约金；</w:t>
      </w:r>
    </w:p>
    <w:p w14:paraId="56257927">
      <w:pPr>
        <w:pStyle w:val="38"/>
        <w:pageBreakBefore w:val="0"/>
        <w:kinsoku/>
        <w:wordWrap/>
        <w:overflowPunct/>
        <w:topLinePunct w:val="0"/>
        <w:autoSpaceDE/>
        <w:autoSpaceDN/>
        <w:bidi w:val="0"/>
        <w:adjustRightInd/>
        <w:spacing w:line="480" w:lineRule="exact"/>
        <w:ind w:firstLine="359" w:firstLineChars="171"/>
        <w:rPr>
          <w:rFonts w:hint="eastAsia" w:ascii="宋体" w:hAnsi="宋体"/>
          <w:color w:val="auto"/>
          <w:sz w:val="21"/>
          <w:szCs w:val="21"/>
          <w:highlight w:val="none"/>
        </w:rPr>
      </w:pPr>
      <w:r>
        <w:rPr>
          <w:rFonts w:hint="eastAsia" w:ascii="宋体" w:hAnsi="宋体"/>
          <w:color w:val="auto"/>
          <w:sz w:val="21"/>
          <w:szCs w:val="21"/>
          <w:highlight w:val="none"/>
        </w:rPr>
        <w:t>（2）甲方逾期支付货款的，除应及时付足货款外，应向乙方每天支付欠款总额</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 xml:space="preserve"> ‰的滞纳金；但累计滞纳金总额不超过欠款总额的</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w:t>
      </w:r>
    </w:p>
    <w:p w14:paraId="4CA30288">
      <w:pPr>
        <w:pStyle w:val="38"/>
        <w:pageBreakBefore w:val="0"/>
        <w:kinsoku/>
        <w:wordWrap/>
        <w:overflowPunct/>
        <w:topLinePunct w:val="0"/>
        <w:autoSpaceDE/>
        <w:autoSpaceDN/>
        <w:bidi w:val="0"/>
        <w:adjustRightInd/>
        <w:spacing w:line="480" w:lineRule="exact"/>
        <w:ind w:firstLine="525" w:firstLineChars="250"/>
        <w:rPr>
          <w:rFonts w:hint="eastAsia" w:ascii="宋体" w:hAnsi="宋体"/>
          <w:color w:val="auto"/>
          <w:sz w:val="21"/>
          <w:szCs w:val="21"/>
          <w:highlight w:val="none"/>
        </w:rPr>
      </w:pPr>
      <w:r>
        <w:rPr>
          <w:rFonts w:hint="eastAsia" w:ascii="宋体" w:hAnsi="宋体"/>
          <w:color w:val="auto"/>
          <w:sz w:val="21"/>
          <w:szCs w:val="21"/>
          <w:highlight w:val="none"/>
        </w:rPr>
        <w:t>2.乙方违约责任</w:t>
      </w:r>
    </w:p>
    <w:p w14:paraId="154F868E">
      <w:pPr>
        <w:pageBreakBefore w:val="0"/>
        <w:widowControl/>
        <w:kinsoku/>
        <w:wordWrap/>
        <w:overflowPunct/>
        <w:topLinePunct w:val="0"/>
        <w:autoSpaceDE/>
        <w:autoSpaceDN/>
        <w:bidi w:val="0"/>
        <w:adjustRightInd/>
        <w:spacing w:line="480" w:lineRule="exact"/>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（1）如乙方不能交付货物，甲方有权扣留全部履约保证金；同时乙方应向甲方支付合同总价</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％的违约金；</w:t>
      </w:r>
    </w:p>
    <w:p w14:paraId="03BD4EEA">
      <w:pPr>
        <w:pageBreakBefore w:val="0"/>
        <w:widowControl/>
        <w:kinsoku/>
        <w:wordWrap/>
        <w:overflowPunct/>
        <w:topLinePunct w:val="0"/>
        <w:autoSpaceDE/>
        <w:autoSpaceDN/>
        <w:bidi w:val="0"/>
        <w:adjustRightInd/>
        <w:spacing w:line="480" w:lineRule="exact"/>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（2）乙方逾期交付货物的，每逾期1天，乙方向甲方偿付逾期交货部分货款总额的</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‰的滞纳金。如乙方逾期交货达___天，甲方有权解除合同，解除合同的通知自到达乙方时生效；</w:t>
      </w:r>
    </w:p>
    <w:p w14:paraId="5DC7F223">
      <w:pPr>
        <w:pageBreakBefore w:val="0"/>
        <w:widowControl/>
        <w:kinsoku/>
        <w:wordWrap/>
        <w:overflowPunct/>
        <w:topLinePunct w:val="0"/>
        <w:autoSpaceDE/>
        <w:autoSpaceDN/>
        <w:bidi w:val="0"/>
        <w:adjustRightInd/>
        <w:spacing w:line="480" w:lineRule="exact"/>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 xml:space="preserve">（3）乙方所交付的货物品种、型号、规格不符合合同规定的，甲方有权拒收。甲方拒收的，乙方应向甲方支付货款总额 </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%的违约金；</w:t>
      </w:r>
    </w:p>
    <w:p w14:paraId="00C29FF4">
      <w:pPr>
        <w:pStyle w:val="38"/>
        <w:pageBreakBefore w:val="0"/>
        <w:kinsoku/>
        <w:wordWrap/>
        <w:overflowPunct/>
        <w:topLinePunct w:val="0"/>
        <w:autoSpaceDE/>
        <w:autoSpaceDN/>
        <w:bidi w:val="0"/>
        <w:adjustRightInd/>
        <w:spacing w:line="480" w:lineRule="exact"/>
        <w:ind w:firstLine="420"/>
        <w:rPr>
          <w:rFonts w:hint="eastAsia" w:ascii="宋体" w:hAnsi="宋体"/>
          <w:color w:val="auto"/>
          <w:sz w:val="21"/>
          <w:szCs w:val="21"/>
          <w:highlight w:val="none"/>
        </w:rPr>
      </w:pPr>
      <w:r>
        <w:rPr>
          <w:rFonts w:hint="eastAsia" w:ascii="宋体" w:hAnsi="宋体"/>
          <w:color w:val="auto"/>
          <w:sz w:val="21"/>
          <w:szCs w:val="21"/>
          <w:highlight w:val="none"/>
        </w:rPr>
        <w:t>（4）乙方货物经甲方送交具有法定资格条件的质量技术监督机构检测后，如检测结果认定货物质量不符合本合同规定标准的，则视为乙方没有按时交货而违约，乙方须在</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天内无条件更换合格的货物，如逾期不能更换合格的货物，甲方有权终止本合同，乙方应另向甲方支付货款总额的</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%的违约金；</w:t>
      </w:r>
    </w:p>
    <w:p w14:paraId="0D4D6405">
      <w:pPr>
        <w:pStyle w:val="38"/>
        <w:pageBreakBefore w:val="0"/>
        <w:kinsoku/>
        <w:wordWrap/>
        <w:overflowPunct/>
        <w:topLinePunct w:val="0"/>
        <w:autoSpaceDE/>
        <w:autoSpaceDN/>
        <w:bidi w:val="0"/>
        <w:adjustRightInd/>
        <w:spacing w:line="480" w:lineRule="exact"/>
        <w:ind w:firstLine="420"/>
        <w:rPr>
          <w:rFonts w:hint="eastAsia" w:ascii="宋体" w:hAnsi="宋体"/>
          <w:color w:val="auto"/>
          <w:kern w:val="0"/>
          <w:sz w:val="21"/>
          <w:szCs w:val="21"/>
          <w:highlight w:val="none"/>
        </w:rPr>
      </w:pPr>
      <w:r>
        <w:rPr>
          <w:rFonts w:hint="eastAsia" w:ascii="宋体" w:hAnsi="宋体"/>
          <w:color w:val="auto"/>
          <w:kern w:val="0"/>
          <w:sz w:val="21"/>
          <w:szCs w:val="21"/>
          <w:highlight w:val="none"/>
        </w:rPr>
        <w:t>（5）在乙方承诺的或国家规定的质量保证期内（取两者中最长的期限），如经乙方两次维修或更换，货物仍不能达到合同约定的质量标准，甲方有权退货，乙方应退回全部货款，并按第3款处理，同时，乙方还须赔偿甲方因此遭受的损失；</w:t>
      </w:r>
    </w:p>
    <w:p w14:paraId="1E8A86E3">
      <w:pPr>
        <w:pStyle w:val="38"/>
        <w:pageBreakBefore w:val="0"/>
        <w:kinsoku/>
        <w:wordWrap/>
        <w:overflowPunct/>
        <w:topLinePunct w:val="0"/>
        <w:autoSpaceDE/>
        <w:autoSpaceDN/>
        <w:bidi w:val="0"/>
        <w:adjustRightInd/>
        <w:spacing w:line="480" w:lineRule="exact"/>
        <w:ind w:firstLine="420"/>
        <w:rPr>
          <w:rFonts w:hint="eastAsia" w:ascii="宋体" w:hAnsi="宋体"/>
          <w:color w:val="auto"/>
          <w:kern w:val="0"/>
          <w:sz w:val="21"/>
          <w:szCs w:val="21"/>
          <w:highlight w:val="none"/>
        </w:rPr>
      </w:pPr>
      <w:r>
        <w:rPr>
          <w:rFonts w:hint="eastAsia" w:ascii="宋体" w:hAnsi="宋体"/>
          <w:color w:val="auto"/>
          <w:kern w:val="0"/>
          <w:sz w:val="21"/>
          <w:szCs w:val="21"/>
          <w:highlight w:val="none"/>
        </w:rPr>
        <w:t>（6）乙方未按本合同第十条的规定向甲方交付履约保证金的，应按应交付履约保证金的</w:t>
      </w:r>
      <w:r>
        <w:rPr>
          <w:rFonts w:hint="eastAsia" w:ascii="宋体" w:hAnsi="宋体"/>
          <w:color w:val="auto"/>
          <w:kern w:val="0"/>
          <w:sz w:val="21"/>
          <w:szCs w:val="21"/>
          <w:highlight w:val="none"/>
          <w:u w:val="single"/>
        </w:rPr>
        <w:t xml:space="preserve">  </w:t>
      </w:r>
      <w:r>
        <w:rPr>
          <w:rFonts w:hint="eastAsia" w:ascii="宋体" w:hAnsi="宋体"/>
          <w:color w:val="auto"/>
          <w:kern w:val="0"/>
          <w:sz w:val="21"/>
          <w:szCs w:val="21"/>
          <w:highlight w:val="none"/>
        </w:rPr>
        <w:t>%向甲方支付违约金，该违约金的支付不影响乙方应承担的其他违约责任；</w:t>
      </w:r>
    </w:p>
    <w:p w14:paraId="1F3DAA2C">
      <w:pPr>
        <w:pStyle w:val="38"/>
        <w:pageBreakBefore w:val="0"/>
        <w:kinsoku/>
        <w:wordWrap/>
        <w:overflowPunct/>
        <w:topLinePunct w:val="0"/>
        <w:autoSpaceDE/>
        <w:autoSpaceDN/>
        <w:bidi w:val="0"/>
        <w:adjustRightInd/>
        <w:spacing w:line="480" w:lineRule="exact"/>
        <w:ind w:firstLine="420"/>
        <w:rPr>
          <w:rFonts w:hint="eastAsia" w:ascii="宋体" w:hAnsi="宋体"/>
          <w:color w:val="auto"/>
          <w:kern w:val="0"/>
          <w:sz w:val="21"/>
          <w:szCs w:val="21"/>
          <w:highlight w:val="none"/>
        </w:rPr>
      </w:pPr>
      <w:r>
        <w:rPr>
          <w:rFonts w:hint="eastAsia" w:ascii="宋体" w:hAnsi="宋体"/>
          <w:color w:val="auto"/>
          <w:kern w:val="0"/>
          <w:sz w:val="21"/>
          <w:szCs w:val="21"/>
          <w:highlight w:val="none"/>
        </w:rPr>
        <w:t>（7）乙方未按本合同的规定和“服务承诺”提供伴随服务/售后服务的，应按合同总价款的</w:t>
      </w:r>
      <w:r>
        <w:rPr>
          <w:rFonts w:hint="eastAsia" w:ascii="宋体" w:hAnsi="宋体"/>
          <w:color w:val="auto"/>
          <w:kern w:val="0"/>
          <w:sz w:val="21"/>
          <w:szCs w:val="21"/>
          <w:highlight w:val="none"/>
          <w:u w:val="single"/>
        </w:rPr>
        <w:t xml:space="preserve">  </w:t>
      </w:r>
      <w:r>
        <w:rPr>
          <w:rFonts w:hint="eastAsia" w:ascii="宋体" w:hAnsi="宋体"/>
          <w:color w:val="auto"/>
          <w:kern w:val="0"/>
          <w:sz w:val="21"/>
          <w:szCs w:val="21"/>
          <w:highlight w:val="none"/>
        </w:rPr>
        <w:t>%向甲方承担违约责任；</w:t>
      </w:r>
    </w:p>
    <w:p w14:paraId="21813607">
      <w:pPr>
        <w:pStyle w:val="38"/>
        <w:pageBreakBefore w:val="0"/>
        <w:kinsoku/>
        <w:wordWrap/>
        <w:overflowPunct/>
        <w:topLinePunct w:val="0"/>
        <w:autoSpaceDE/>
        <w:autoSpaceDN/>
        <w:bidi w:val="0"/>
        <w:adjustRightInd/>
        <w:spacing w:line="480" w:lineRule="exact"/>
        <w:ind w:firstLine="420"/>
        <w:rPr>
          <w:rFonts w:hint="eastAsia" w:ascii="宋体" w:hAnsi="宋体"/>
          <w:color w:val="auto"/>
          <w:kern w:val="0"/>
          <w:sz w:val="21"/>
          <w:szCs w:val="21"/>
          <w:highlight w:val="none"/>
        </w:rPr>
      </w:pPr>
      <w:r>
        <w:rPr>
          <w:rFonts w:hint="eastAsia" w:ascii="宋体" w:hAnsi="宋体"/>
          <w:color w:val="auto"/>
          <w:kern w:val="0"/>
          <w:sz w:val="21"/>
          <w:szCs w:val="21"/>
          <w:highlight w:val="none"/>
        </w:rPr>
        <w:t>（8）乙方在承担上述1-7款一项或多项违约责任后，仍应继续履行合同规定的义务（甲方解除合同的除外）。甲方未能及时追究乙方的任何一项违约责任并不表明甲方放弃追究乙方该项或其他违约责任；</w:t>
      </w:r>
    </w:p>
    <w:p w14:paraId="08AC00D7">
      <w:pPr>
        <w:pStyle w:val="38"/>
        <w:pageBreakBefore w:val="0"/>
        <w:kinsoku/>
        <w:wordWrap/>
        <w:overflowPunct/>
        <w:topLinePunct w:val="0"/>
        <w:autoSpaceDE/>
        <w:autoSpaceDN/>
        <w:bidi w:val="0"/>
        <w:adjustRightInd/>
        <w:spacing w:line="480" w:lineRule="exact"/>
        <w:ind w:firstLine="420"/>
        <w:rPr>
          <w:rFonts w:hint="eastAsia" w:ascii="宋体" w:hAnsi="宋体"/>
          <w:color w:val="auto"/>
          <w:sz w:val="21"/>
          <w:szCs w:val="21"/>
          <w:highlight w:val="none"/>
        </w:rPr>
      </w:pPr>
      <w:r>
        <w:rPr>
          <w:rFonts w:hint="eastAsia" w:ascii="宋体" w:hAnsi="宋体"/>
          <w:color w:val="auto"/>
          <w:sz w:val="21"/>
          <w:szCs w:val="21"/>
          <w:highlight w:val="none"/>
        </w:rPr>
        <w:t>（9）乙方偿付的违约金不足以弥补甲方损失的，还应按甲方损失尚未弥补的部分，支付赔偿金给甲方。</w:t>
      </w:r>
    </w:p>
    <w:p w14:paraId="16BB7FC3">
      <w:pPr>
        <w:pageBreakBefore w:val="0"/>
        <w:widowControl/>
        <w:kinsoku/>
        <w:wordWrap/>
        <w:overflowPunct/>
        <w:topLinePunct w:val="0"/>
        <w:autoSpaceDE/>
        <w:autoSpaceDN/>
        <w:bidi w:val="0"/>
        <w:adjustRightInd/>
        <w:spacing w:before="120" w:beforeLines="50" w:after="120" w:afterLines="50" w:line="480" w:lineRule="exact"/>
        <w:ind w:firstLine="452" w:firstLineChars="150"/>
        <w:jc w:val="left"/>
        <w:outlineLvl w:val="1"/>
        <w:rPr>
          <w:rFonts w:hint="eastAsia" w:ascii="宋体" w:hAnsi="宋体" w:cs="宋体"/>
          <w:color w:val="auto"/>
          <w:kern w:val="0"/>
          <w:sz w:val="30"/>
          <w:szCs w:val="30"/>
          <w:highlight w:val="none"/>
        </w:rPr>
      </w:pPr>
      <w:bookmarkStart w:id="217" w:name="_Toc1366"/>
      <w:r>
        <w:rPr>
          <w:rFonts w:hint="eastAsia" w:ascii="宋体" w:hAnsi="宋体"/>
          <w:b/>
          <w:color w:val="auto"/>
          <w:sz w:val="30"/>
          <w:szCs w:val="30"/>
          <w:highlight w:val="none"/>
        </w:rPr>
        <w:t xml:space="preserve">第十二条 </w:t>
      </w:r>
      <w:r>
        <w:rPr>
          <w:rFonts w:hint="eastAsia" w:ascii="宋体" w:hAnsi="宋体" w:cs="宋体"/>
          <w:b/>
          <w:color w:val="auto"/>
          <w:kern w:val="0"/>
          <w:sz w:val="30"/>
          <w:szCs w:val="30"/>
          <w:highlight w:val="none"/>
        </w:rPr>
        <w:t>合同的变更和终止</w:t>
      </w:r>
      <w:bookmarkEnd w:id="217"/>
    </w:p>
    <w:p w14:paraId="412F4720">
      <w:pPr>
        <w:pageBreakBefore w:val="0"/>
        <w:widowControl/>
        <w:kinsoku/>
        <w:wordWrap/>
        <w:overflowPunct/>
        <w:topLinePunct w:val="0"/>
        <w:autoSpaceDE/>
        <w:autoSpaceDN/>
        <w:bidi w:val="0"/>
        <w:adjustRightInd/>
        <w:spacing w:line="480" w:lineRule="exact"/>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除《中华人民共和国政府采购法》第49条、第50条第二款规定的情形外，本合同一经签订，甲乙双方不得擅自变更、中止或终止合同。</w:t>
      </w:r>
    </w:p>
    <w:p w14:paraId="7EC47ECD">
      <w:pPr>
        <w:pageBreakBefore w:val="0"/>
        <w:widowControl/>
        <w:kinsoku/>
        <w:wordWrap/>
        <w:overflowPunct/>
        <w:topLinePunct w:val="0"/>
        <w:autoSpaceDE/>
        <w:autoSpaceDN/>
        <w:bidi w:val="0"/>
        <w:adjustRightInd/>
        <w:spacing w:before="120" w:beforeLines="50" w:after="120" w:afterLines="50" w:line="480" w:lineRule="exact"/>
        <w:ind w:firstLine="452" w:firstLineChars="150"/>
        <w:jc w:val="left"/>
        <w:outlineLvl w:val="1"/>
        <w:rPr>
          <w:rFonts w:hint="eastAsia" w:ascii="宋体" w:hAnsi="宋体" w:cs="宋体"/>
          <w:b/>
          <w:color w:val="auto"/>
          <w:kern w:val="0"/>
          <w:sz w:val="30"/>
          <w:szCs w:val="30"/>
          <w:highlight w:val="none"/>
        </w:rPr>
      </w:pPr>
      <w:bookmarkStart w:id="218" w:name="_Toc14585"/>
      <w:r>
        <w:rPr>
          <w:rFonts w:hint="eastAsia" w:ascii="宋体" w:hAnsi="宋体" w:cs="宋体"/>
          <w:b/>
          <w:color w:val="auto"/>
          <w:kern w:val="0"/>
          <w:sz w:val="30"/>
          <w:szCs w:val="30"/>
          <w:highlight w:val="none"/>
        </w:rPr>
        <w:t>第十三条 争议的解决</w:t>
      </w:r>
      <w:bookmarkEnd w:id="218"/>
    </w:p>
    <w:p w14:paraId="4EF1295E">
      <w:pPr>
        <w:pStyle w:val="38"/>
        <w:pageBreakBefore w:val="0"/>
        <w:kinsoku/>
        <w:wordWrap/>
        <w:overflowPunct/>
        <w:topLinePunct w:val="0"/>
        <w:autoSpaceDE/>
        <w:autoSpaceDN/>
        <w:bidi w:val="0"/>
        <w:adjustRightInd/>
        <w:spacing w:line="480" w:lineRule="exact"/>
        <w:ind w:firstLine="420"/>
        <w:rPr>
          <w:rFonts w:hint="eastAsia" w:ascii="宋体" w:hAnsi="宋体"/>
          <w:color w:val="auto"/>
          <w:sz w:val="21"/>
          <w:szCs w:val="21"/>
          <w:highlight w:val="none"/>
        </w:rPr>
      </w:pPr>
      <w:r>
        <w:rPr>
          <w:rFonts w:hint="eastAsia" w:ascii="宋体" w:hAnsi="宋体"/>
          <w:color w:val="auto"/>
          <w:sz w:val="21"/>
          <w:szCs w:val="21"/>
          <w:highlight w:val="none"/>
        </w:rPr>
        <w:t>1.因货物的质量问题发生争议，由质量技术监督部门或其指定的质量鉴定机构进行质量鉴定。货物符合标准的，鉴定费由甲方承担；货物不符合质量标准的，鉴定费由乙方承担。</w:t>
      </w:r>
    </w:p>
    <w:p w14:paraId="1C0FF3F6">
      <w:pPr>
        <w:pStyle w:val="38"/>
        <w:pageBreakBefore w:val="0"/>
        <w:kinsoku/>
        <w:wordWrap/>
        <w:overflowPunct/>
        <w:topLinePunct w:val="0"/>
        <w:autoSpaceDE/>
        <w:autoSpaceDN/>
        <w:bidi w:val="0"/>
        <w:adjustRightInd/>
        <w:spacing w:line="480" w:lineRule="exact"/>
        <w:ind w:firstLine="420"/>
        <w:rPr>
          <w:rFonts w:hint="eastAsia" w:ascii="宋体" w:hAnsi="宋体"/>
          <w:color w:val="auto"/>
          <w:kern w:val="0"/>
          <w:sz w:val="21"/>
          <w:szCs w:val="21"/>
          <w:highlight w:val="none"/>
        </w:rPr>
      </w:pPr>
      <w:r>
        <w:rPr>
          <w:rFonts w:hint="eastAsia" w:ascii="宋体" w:hAnsi="宋体"/>
          <w:color w:val="auto"/>
          <w:kern w:val="0"/>
          <w:sz w:val="21"/>
          <w:szCs w:val="21"/>
          <w:highlight w:val="none"/>
        </w:rPr>
        <w:t>2.因履行本合同引起的或与本合同有关的争议，甲、乙双方应首先通过友好协商解决，如果协商不成，则采取以下第（1）种方式解决争议：</w:t>
      </w:r>
    </w:p>
    <w:p w14:paraId="79B1C26A">
      <w:pPr>
        <w:pStyle w:val="38"/>
        <w:pageBreakBefore w:val="0"/>
        <w:kinsoku/>
        <w:wordWrap/>
        <w:overflowPunct/>
        <w:topLinePunct w:val="0"/>
        <w:autoSpaceDE/>
        <w:autoSpaceDN/>
        <w:bidi w:val="0"/>
        <w:adjustRightInd/>
        <w:spacing w:line="480" w:lineRule="exact"/>
        <w:ind w:firstLine="420"/>
        <w:rPr>
          <w:rFonts w:hint="eastAsia" w:ascii="宋体" w:hAnsi="宋体"/>
          <w:color w:val="auto"/>
          <w:kern w:val="0"/>
          <w:sz w:val="21"/>
          <w:szCs w:val="21"/>
          <w:highlight w:val="none"/>
        </w:rPr>
      </w:pPr>
      <w:r>
        <w:rPr>
          <w:rFonts w:hint="eastAsia" w:ascii="宋体" w:hAnsi="宋体"/>
          <w:color w:val="auto"/>
          <w:kern w:val="0"/>
          <w:sz w:val="21"/>
          <w:szCs w:val="21"/>
          <w:highlight w:val="none"/>
        </w:rPr>
        <w:t>（1）向甲方所在地有管辖权的人民法院提起诉讼；</w:t>
      </w:r>
    </w:p>
    <w:p w14:paraId="53592ED8">
      <w:pPr>
        <w:pStyle w:val="38"/>
        <w:pageBreakBefore w:val="0"/>
        <w:kinsoku/>
        <w:wordWrap/>
        <w:overflowPunct/>
        <w:topLinePunct w:val="0"/>
        <w:autoSpaceDE/>
        <w:autoSpaceDN/>
        <w:bidi w:val="0"/>
        <w:adjustRightInd/>
        <w:spacing w:line="480" w:lineRule="exact"/>
        <w:ind w:firstLine="420"/>
        <w:rPr>
          <w:rFonts w:hint="eastAsia" w:ascii="宋体" w:hAnsi="宋体"/>
          <w:color w:val="auto"/>
          <w:kern w:val="0"/>
          <w:sz w:val="21"/>
          <w:szCs w:val="21"/>
          <w:highlight w:val="none"/>
        </w:rPr>
      </w:pPr>
      <w:r>
        <w:rPr>
          <w:rFonts w:hint="eastAsia" w:ascii="宋体" w:hAnsi="宋体"/>
          <w:color w:val="auto"/>
          <w:kern w:val="0"/>
          <w:sz w:val="21"/>
          <w:szCs w:val="21"/>
          <w:highlight w:val="none"/>
        </w:rPr>
        <w:t>3.在仲裁期间，本合同应继续履行。</w:t>
      </w:r>
    </w:p>
    <w:p w14:paraId="2AE1BEB1">
      <w:pPr>
        <w:pageBreakBefore w:val="0"/>
        <w:kinsoku/>
        <w:wordWrap/>
        <w:overflowPunct/>
        <w:topLinePunct w:val="0"/>
        <w:autoSpaceDE/>
        <w:autoSpaceDN/>
        <w:bidi w:val="0"/>
        <w:adjustRightInd/>
        <w:snapToGrid w:val="0"/>
        <w:spacing w:before="120" w:beforeLines="50" w:after="120" w:afterLines="50" w:line="480" w:lineRule="exact"/>
        <w:ind w:firstLine="602" w:firstLineChars="200"/>
        <w:textAlignment w:val="baseline"/>
        <w:outlineLvl w:val="1"/>
        <w:rPr>
          <w:rFonts w:hint="eastAsia" w:ascii="宋体" w:hAnsi="宋体"/>
          <w:b/>
          <w:color w:val="auto"/>
          <w:sz w:val="30"/>
          <w:szCs w:val="30"/>
          <w:highlight w:val="none"/>
        </w:rPr>
      </w:pPr>
      <w:bookmarkStart w:id="219" w:name="_Toc31673"/>
      <w:r>
        <w:rPr>
          <w:rFonts w:hint="eastAsia" w:ascii="宋体" w:hAnsi="宋体"/>
          <w:b/>
          <w:color w:val="auto"/>
          <w:sz w:val="30"/>
          <w:szCs w:val="30"/>
          <w:highlight w:val="none"/>
        </w:rPr>
        <w:t>第十四条</w:t>
      </w:r>
      <w:r>
        <w:rPr>
          <w:rFonts w:hint="eastAsia" w:ascii="宋体" w:hAnsi="宋体"/>
          <w:color w:val="auto"/>
          <w:sz w:val="30"/>
          <w:szCs w:val="30"/>
          <w:highlight w:val="none"/>
        </w:rPr>
        <w:t xml:space="preserve"> </w:t>
      </w:r>
      <w:r>
        <w:rPr>
          <w:rFonts w:hint="eastAsia" w:ascii="宋体" w:hAnsi="宋体"/>
          <w:b/>
          <w:color w:val="auto"/>
          <w:sz w:val="30"/>
          <w:szCs w:val="30"/>
          <w:highlight w:val="none"/>
        </w:rPr>
        <w:t>合同文件</w:t>
      </w:r>
      <w:bookmarkEnd w:id="219"/>
    </w:p>
    <w:p w14:paraId="0001873B">
      <w:pPr>
        <w:pageBreakBefore w:val="0"/>
        <w:kinsoku/>
        <w:wordWrap/>
        <w:overflowPunct/>
        <w:topLinePunct w:val="0"/>
        <w:autoSpaceDE/>
        <w:autoSpaceDN/>
        <w:bidi w:val="0"/>
        <w:adjustRightInd/>
        <w:snapToGrid w:val="0"/>
        <w:spacing w:before="120" w:beforeLines="50" w:after="120" w:afterLines="50" w:line="480" w:lineRule="exact"/>
        <w:ind w:firstLine="420" w:firstLineChars="200"/>
        <w:textAlignment w:val="baseline"/>
        <w:rPr>
          <w:rFonts w:hint="eastAsia" w:ascii="宋体" w:hAnsi="宋体"/>
          <w:color w:val="auto"/>
          <w:szCs w:val="21"/>
          <w:highlight w:val="none"/>
        </w:rPr>
      </w:pPr>
      <w:r>
        <w:rPr>
          <w:rFonts w:hint="eastAsia" w:ascii="宋体" w:hAnsi="宋体"/>
          <w:color w:val="auto"/>
          <w:szCs w:val="21"/>
          <w:highlight w:val="none"/>
        </w:rPr>
        <w:t>详细技术说明及其他有关合同项目的特定信息由合同附件予以说明，下列文件构成本合同的组成部分，应该认为是一个整体，彼此相互解释，相互补充。组成合同的多个文件的优先支配地位的次序如下：</w:t>
      </w:r>
    </w:p>
    <w:p w14:paraId="69EA0FA2">
      <w:pPr>
        <w:pageBreakBefore w:val="0"/>
        <w:kinsoku/>
        <w:wordWrap/>
        <w:overflowPunct/>
        <w:topLinePunct w:val="0"/>
        <w:autoSpaceDE/>
        <w:autoSpaceDN/>
        <w:bidi w:val="0"/>
        <w:adjustRightInd/>
        <w:snapToGrid w:val="0"/>
        <w:spacing w:line="480" w:lineRule="exact"/>
        <w:ind w:firstLine="539"/>
        <w:rPr>
          <w:rFonts w:hint="eastAsia" w:ascii="宋体" w:hAnsi="宋体"/>
          <w:color w:val="auto"/>
          <w:szCs w:val="21"/>
          <w:highlight w:val="none"/>
        </w:rPr>
      </w:pPr>
      <w:r>
        <w:rPr>
          <w:rFonts w:hint="eastAsia" w:ascii="宋体" w:hAnsi="宋体"/>
          <w:color w:val="auto"/>
          <w:szCs w:val="21"/>
          <w:highlight w:val="none"/>
        </w:rPr>
        <w:t>1.本合同书</w:t>
      </w:r>
    </w:p>
    <w:p w14:paraId="7EAAA728">
      <w:pPr>
        <w:pageBreakBefore w:val="0"/>
        <w:kinsoku/>
        <w:wordWrap/>
        <w:overflowPunct/>
        <w:topLinePunct w:val="0"/>
        <w:autoSpaceDE/>
        <w:autoSpaceDN/>
        <w:bidi w:val="0"/>
        <w:adjustRightInd/>
        <w:snapToGrid w:val="0"/>
        <w:spacing w:line="480" w:lineRule="exact"/>
        <w:ind w:firstLine="539"/>
        <w:rPr>
          <w:rFonts w:hint="eastAsia" w:ascii="宋体" w:hAnsi="宋体"/>
          <w:color w:val="auto"/>
          <w:szCs w:val="21"/>
          <w:highlight w:val="none"/>
        </w:rPr>
      </w:pPr>
      <w:r>
        <w:rPr>
          <w:rFonts w:hint="eastAsia" w:ascii="宋体" w:hAnsi="宋体"/>
          <w:color w:val="auto"/>
          <w:szCs w:val="21"/>
          <w:highlight w:val="none"/>
        </w:rPr>
        <w:t>2.中标通知书</w:t>
      </w:r>
      <w:r>
        <w:rPr>
          <w:rFonts w:hint="eastAsia" w:ascii="宋体" w:hAnsi="宋体"/>
          <w:color w:val="auto"/>
          <w:szCs w:val="21"/>
          <w:highlight w:val="none"/>
        </w:rPr>
        <w:tab/>
      </w:r>
    </w:p>
    <w:p w14:paraId="64322AC8">
      <w:pPr>
        <w:pageBreakBefore w:val="0"/>
        <w:kinsoku/>
        <w:wordWrap/>
        <w:overflowPunct/>
        <w:topLinePunct w:val="0"/>
        <w:autoSpaceDE/>
        <w:autoSpaceDN/>
        <w:bidi w:val="0"/>
        <w:adjustRightInd/>
        <w:snapToGrid w:val="0"/>
        <w:spacing w:line="480" w:lineRule="exact"/>
        <w:ind w:firstLine="539"/>
        <w:rPr>
          <w:rFonts w:hint="eastAsia" w:ascii="宋体" w:hAnsi="宋体"/>
          <w:color w:val="auto"/>
          <w:szCs w:val="21"/>
          <w:highlight w:val="none"/>
        </w:rPr>
      </w:pPr>
      <w:r>
        <w:rPr>
          <w:rFonts w:hint="eastAsia" w:ascii="宋体" w:hAnsi="宋体"/>
          <w:color w:val="auto"/>
          <w:szCs w:val="21"/>
          <w:highlight w:val="none"/>
        </w:rPr>
        <w:t>3.协议</w:t>
      </w:r>
    </w:p>
    <w:p w14:paraId="554DFD58">
      <w:pPr>
        <w:pageBreakBefore w:val="0"/>
        <w:kinsoku/>
        <w:wordWrap/>
        <w:overflowPunct/>
        <w:topLinePunct w:val="0"/>
        <w:autoSpaceDE/>
        <w:autoSpaceDN/>
        <w:bidi w:val="0"/>
        <w:adjustRightInd/>
        <w:snapToGrid w:val="0"/>
        <w:spacing w:line="480" w:lineRule="exact"/>
        <w:ind w:firstLine="539"/>
        <w:rPr>
          <w:rFonts w:hint="eastAsia" w:ascii="宋体" w:hAnsi="宋体"/>
          <w:color w:val="auto"/>
          <w:szCs w:val="21"/>
          <w:highlight w:val="none"/>
        </w:rPr>
      </w:pPr>
      <w:r>
        <w:rPr>
          <w:rFonts w:hint="eastAsia" w:ascii="宋体" w:hAnsi="宋体"/>
          <w:color w:val="auto"/>
          <w:szCs w:val="21"/>
          <w:highlight w:val="none"/>
        </w:rPr>
        <w:t>4.招标文件(含澄清或者修改文件)</w:t>
      </w:r>
    </w:p>
    <w:p w14:paraId="3D1B8BF0">
      <w:pPr>
        <w:pageBreakBefore w:val="0"/>
        <w:kinsoku/>
        <w:wordWrap/>
        <w:overflowPunct/>
        <w:topLinePunct w:val="0"/>
        <w:autoSpaceDE/>
        <w:autoSpaceDN/>
        <w:bidi w:val="0"/>
        <w:adjustRightInd/>
        <w:snapToGrid w:val="0"/>
        <w:spacing w:line="480" w:lineRule="exact"/>
        <w:ind w:firstLine="539"/>
        <w:rPr>
          <w:rFonts w:hint="eastAsia" w:ascii="宋体" w:hAnsi="宋体"/>
          <w:color w:val="auto"/>
          <w:szCs w:val="21"/>
          <w:highlight w:val="none"/>
        </w:rPr>
      </w:pPr>
      <w:r>
        <w:rPr>
          <w:rFonts w:hint="eastAsia" w:ascii="宋体" w:hAnsi="宋体"/>
          <w:color w:val="auto"/>
          <w:szCs w:val="21"/>
          <w:highlight w:val="none"/>
        </w:rPr>
        <w:t>5.投标文件</w:t>
      </w:r>
    </w:p>
    <w:p w14:paraId="780336FA">
      <w:pPr>
        <w:pageBreakBefore w:val="0"/>
        <w:kinsoku/>
        <w:wordWrap/>
        <w:overflowPunct/>
        <w:topLinePunct w:val="0"/>
        <w:autoSpaceDE/>
        <w:autoSpaceDN/>
        <w:bidi w:val="0"/>
        <w:adjustRightInd/>
        <w:snapToGrid w:val="0"/>
        <w:spacing w:before="120" w:beforeLines="50" w:after="120" w:afterLines="50" w:line="480" w:lineRule="exact"/>
        <w:ind w:firstLine="452" w:firstLineChars="150"/>
        <w:outlineLvl w:val="1"/>
        <w:rPr>
          <w:rFonts w:hint="eastAsia"/>
          <w:b/>
          <w:color w:val="auto"/>
          <w:kern w:val="0"/>
          <w:sz w:val="30"/>
          <w:szCs w:val="30"/>
          <w:highlight w:val="none"/>
        </w:rPr>
      </w:pPr>
      <w:bookmarkStart w:id="220" w:name="_Toc14963"/>
      <w:r>
        <w:rPr>
          <w:rFonts w:hint="eastAsia"/>
          <w:b/>
          <w:color w:val="auto"/>
          <w:sz w:val="30"/>
          <w:szCs w:val="30"/>
          <w:highlight w:val="none"/>
        </w:rPr>
        <w:t xml:space="preserve">第十五条 </w:t>
      </w:r>
      <w:r>
        <w:rPr>
          <w:rFonts w:hint="eastAsia"/>
          <w:b/>
          <w:color w:val="auto"/>
          <w:kern w:val="0"/>
          <w:sz w:val="30"/>
          <w:szCs w:val="30"/>
          <w:highlight w:val="none"/>
        </w:rPr>
        <w:t>合同生效及其他</w:t>
      </w:r>
      <w:bookmarkEnd w:id="220"/>
    </w:p>
    <w:p w14:paraId="6467A81C">
      <w:pPr>
        <w:pageBreakBefore w:val="0"/>
        <w:kinsoku/>
        <w:wordWrap/>
        <w:overflowPunct/>
        <w:topLinePunct w:val="0"/>
        <w:autoSpaceDE/>
        <w:autoSpaceDN/>
        <w:bidi w:val="0"/>
        <w:adjustRightInd/>
        <w:snapToGrid w:val="0"/>
        <w:spacing w:line="480" w:lineRule="exact"/>
        <w:ind w:firstLine="539"/>
        <w:rPr>
          <w:rFonts w:hint="eastAsia" w:ascii="宋体" w:hAnsi="宋体"/>
          <w:color w:val="auto"/>
          <w:szCs w:val="21"/>
          <w:highlight w:val="none"/>
        </w:rPr>
      </w:pPr>
      <w:r>
        <w:rPr>
          <w:rFonts w:hint="eastAsia" w:ascii="宋体" w:hAnsi="宋体" w:cs="宋体"/>
          <w:color w:val="auto"/>
          <w:kern w:val="0"/>
          <w:szCs w:val="21"/>
          <w:highlight w:val="none"/>
        </w:rPr>
        <w:t>1.</w:t>
      </w:r>
      <w:r>
        <w:rPr>
          <w:rFonts w:hint="eastAsia" w:ascii="宋体" w:hAnsi="宋体"/>
          <w:color w:val="auto"/>
          <w:szCs w:val="21"/>
          <w:highlight w:val="none"/>
        </w:rPr>
        <w:t>如有未尽事宜，由双方依法订立补充合同。</w:t>
      </w:r>
    </w:p>
    <w:p w14:paraId="1E7CFEEE">
      <w:pPr>
        <w:pageBreakBefore w:val="0"/>
        <w:kinsoku/>
        <w:wordWrap/>
        <w:overflowPunct/>
        <w:topLinePunct w:val="0"/>
        <w:autoSpaceDE/>
        <w:autoSpaceDN/>
        <w:bidi w:val="0"/>
        <w:adjustRightInd/>
        <w:snapToGrid w:val="0"/>
        <w:spacing w:line="480" w:lineRule="exact"/>
        <w:ind w:firstLine="539"/>
        <w:rPr>
          <w:rFonts w:hint="eastAsia" w:ascii="宋体" w:hAnsi="宋体"/>
          <w:color w:val="auto"/>
          <w:kern w:val="0"/>
          <w:szCs w:val="21"/>
          <w:highlight w:val="none"/>
        </w:rPr>
      </w:pPr>
      <w:r>
        <w:rPr>
          <w:rFonts w:hint="eastAsia" w:ascii="宋体" w:hAnsi="宋体"/>
          <w:color w:val="auto"/>
          <w:kern w:val="0"/>
          <w:szCs w:val="21"/>
          <w:highlight w:val="none"/>
        </w:rPr>
        <w:t>2.本合同自签订之日起生效。</w:t>
      </w:r>
    </w:p>
    <w:p w14:paraId="3D0AB622">
      <w:pPr>
        <w:pageBreakBefore w:val="0"/>
        <w:kinsoku/>
        <w:wordWrap/>
        <w:overflowPunct/>
        <w:topLinePunct w:val="0"/>
        <w:autoSpaceDE/>
        <w:autoSpaceDN/>
        <w:bidi w:val="0"/>
        <w:adjustRightInd/>
        <w:snapToGrid w:val="0"/>
        <w:spacing w:line="480" w:lineRule="exact"/>
        <w:ind w:firstLine="539"/>
        <w:rPr>
          <w:rFonts w:hint="eastAsia" w:ascii="宋体" w:hAnsi="宋体"/>
          <w:color w:val="auto"/>
          <w:szCs w:val="21"/>
          <w:highlight w:val="none"/>
        </w:rPr>
      </w:pPr>
      <w:r>
        <w:rPr>
          <w:rFonts w:hint="eastAsia" w:ascii="宋体" w:hAnsi="宋体"/>
          <w:color w:val="auto"/>
          <w:kern w:val="0"/>
          <w:szCs w:val="21"/>
          <w:highlight w:val="none"/>
        </w:rPr>
        <w:t>3.本合同一式___份，具有同等法律效力，甲乙双方各执____份，___份报送监督管理部门备案，一份采购代理机构存档。</w:t>
      </w:r>
    </w:p>
    <w:p w14:paraId="406276F6">
      <w:pPr>
        <w:pageBreakBefore w:val="0"/>
        <w:kinsoku/>
        <w:wordWrap/>
        <w:overflowPunct/>
        <w:topLinePunct w:val="0"/>
        <w:autoSpaceDE/>
        <w:autoSpaceDN/>
        <w:bidi w:val="0"/>
        <w:adjustRightInd/>
        <w:spacing w:line="480" w:lineRule="exact"/>
        <w:ind w:firstLine="420" w:firstLineChars="200"/>
        <w:rPr>
          <w:rFonts w:hint="eastAsia" w:ascii="宋体" w:hAnsi="宋体"/>
          <w:color w:val="auto"/>
          <w:szCs w:val="21"/>
          <w:highlight w:val="none"/>
        </w:rPr>
      </w:pPr>
    </w:p>
    <w:p w14:paraId="4F693465">
      <w:pPr>
        <w:pageBreakBefore w:val="0"/>
        <w:kinsoku/>
        <w:wordWrap/>
        <w:overflowPunct/>
        <w:topLinePunct w:val="0"/>
        <w:autoSpaceDE/>
        <w:autoSpaceDN/>
        <w:bidi w:val="0"/>
        <w:adjustRightInd/>
        <w:spacing w:line="480" w:lineRule="exact"/>
        <w:ind w:firstLine="420" w:firstLineChars="200"/>
        <w:rPr>
          <w:rFonts w:hint="eastAsia" w:ascii="宋体" w:hAnsi="宋体"/>
          <w:color w:val="auto"/>
          <w:szCs w:val="21"/>
          <w:highlight w:val="none"/>
        </w:rPr>
      </w:pPr>
    </w:p>
    <w:p w14:paraId="2923B4A8">
      <w:pPr>
        <w:pageBreakBefore w:val="0"/>
        <w:kinsoku/>
        <w:wordWrap/>
        <w:overflowPunct/>
        <w:topLinePunct w:val="0"/>
        <w:autoSpaceDE/>
        <w:autoSpaceDN/>
        <w:bidi w:val="0"/>
        <w:adjustRightInd/>
        <w:spacing w:before="120" w:beforeLines="50" w:after="120" w:afterLines="50" w:line="480" w:lineRule="exact"/>
        <w:ind w:firstLine="420" w:firstLineChars="200"/>
        <w:rPr>
          <w:rFonts w:hint="eastAsia" w:ascii="宋体" w:hAnsi="宋体"/>
          <w:color w:val="auto"/>
          <w:szCs w:val="21"/>
          <w:highlight w:val="none"/>
        </w:rPr>
      </w:pPr>
      <w:r>
        <w:rPr>
          <w:rFonts w:hint="eastAsia" w:ascii="宋体" w:hAnsi="宋体"/>
          <w:color w:val="auto"/>
          <w:szCs w:val="21"/>
          <w:highlight w:val="none"/>
        </w:rPr>
        <w:t xml:space="preserve">甲方：   （盖章）   </w:t>
      </w:r>
      <w:r>
        <w:rPr>
          <w:rFonts w:hint="eastAsia" w:ascii="宋体" w:hAnsi="宋体"/>
          <w:color w:val="auto"/>
          <w:szCs w:val="21"/>
          <w:highlight w:val="none"/>
        </w:rPr>
        <w:tab/>
      </w:r>
      <w:r>
        <w:rPr>
          <w:rFonts w:hint="eastAsia" w:ascii="宋体" w:hAnsi="宋体"/>
          <w:color w:val="auto"/>
          <w:szCs w:val="21"/>
          <w:highlight w:val="none"/>
        </w:rPr>
        <w:tab/>
      </w:r>
      <w:r>
        <w:rPr>
          <w:rFonts w:hint="eastAsia" w:ascii="宋体" w:hAnsi="宋体"/>
          <w:color w:val="auto"/>
          <w:szCs w:val="21"/>
          <w:highlight w:val="none"/>
        </w:rPr>
        <w:tab/>
      </w:r>
      <w:r>
        <w:rPr>
          <w:rFonts w:hint="eastAsia" w:ascii="宋体" w:hAnsi="宋体"/>
          <w:color w:val="auto"/>
          <w:szCs w:val="21"/>
          <w:highlight w:val="none"/>
        </w:rPr>
        <w:t xml:space="preserve">   乙方：   （盖章）</w:t>
      </w:r>
    </w:p>
    <w:p w14:paraId="09ABB5AA">
      <w:pPr>
        <w:pageBreakBefore w:val="0"/>
        <w:kinsoku/>
        <w:wordWrap/>
        <w:overflowPunct/>
        <w:topLinePunct w:val="0"/>
        <w:autoSpaceDE/>
        <w:autoSpaceDN/>
        <w:bidi w:val="0"/>
        <w:adjustRightInd/>
        <w:spacing w:before="120" w:beforeLines="50" w:after="120" w:afterLines="50" w:line="480" w:lineRule="exact"/>
        <w:ind w:firstLine="420" w:firstLineChars="200"/>
        <w:rPr>
          <w:rFonts w:hint="eastAsia" w:ascii="宋体" w:hAnsi="宋体"/>
          <w:color w:val="auto"/>
          <w:szCs w:val="21"/>
          <w:highlight w:val="none"/>
        </w:rPr>
      </w:pPr>
      <w:r>
        <w:rPr>
          <w:rFonts w:hint="eastAsia" w:ascii="宋体" w:hAnsi="宋体"/>
          <w:color w:val="auto"/>
          <w:szCs w:val="21"/>
          <w:highlight w:val="none"/>
        </w:rPr>
        <w:t>法定代表人/委托代理人：            法定代表人/委托代理人：</w:t>
      </w:r>
    </w:p>
    <w:p w14:paraId="0222DD02">
      <w:pPr>
        <w:pageBreakBefore w:val="0"/>
        <w:kinsoku/>
        <w:wordWrap/>
        <w:overflowPunct/>
        <w:topLinePunct w:val="0"/>
        <w:autoSpaceDE/>
        <w:autoSpaceDN/>
        <w:bidi w:val="0"/>
        <w:adjustRightInd/>
        <w:spacing w:before="120" w:beforeLines="50" w:after="120" w:afterLines="50" w:line="480" w:lineRule="exact"/>
        <w:ind w:firstLine="420" w:firstLineChars="200"/>
        <w:rPr>
          <w:rFonts w:hint="eastAsia" w:ascii="宋体" w:hAnsi="宋体"/>
          <w:color w:val="auto"/>
          <w:szCs w:val="21"/>
          <w:highlight w:val="none"/>
        </w:rPr>
      </w:pPr>
      <w:r>
        <w:rPr>
          <w:rFonts w:hint="eastAsia" w:ascii="宋体" w:hAnsi="宋体"/>
          <w:color w:val="auto"/>
          <w:szCs w:val="21"/>
          <w:highlight w:val="none"/>
        </w:rPr>
        <w:t>地    址：                         地    址：</w:t>
      </w:r>
    </w:p>
    <w:p w14:paraId="690D05D7">
      <w:pPr>
        <w:pageBreakBefore w:val="0"/>
        <w:kinsoku/>
        <w:wordWrap/>
        <w:overflowPunct/>
        <w:topLinePunct w:val="0"/>
        <w:autoSpaceDE/>
        <w:autoSpaceDN/>
        <w:bidi w:val="0"/>
        <w:adjustRightInd/>
        <w:spacing w:before="120" w:beforeLines="50" w:after="120" w:afterLines="50" w:line="480" w:lineRule="exact"/>
        <w:ind w:firstLine="420" w:firstLineChars="200"/>
        <w:rPr>
          <w:rFonts w:hint="eastAsia" w:ascii="宋体" w:hAnsi="宋体"/>
          <w:color w:val="auto"/>
          <w:szCs w:val="21"/>
          <w:highlight w:val="none"/>
        </w:rPr>
      </w:pPr>
      <w:r>
        <w:rPr>
          <w:rFonts w:hint="eastAsia" w:ascii="宋体" w:hAnsi="宋体"/>
          <w:color w:val="auto"/>
          <w:szCs w:val="21"/>
          <w:highlight w:val="none"/>
        </w:rPr>
        <w:t>开户银行：                         开户银行：</w:t>
      </w:r>
    </w:p>
    <w:p w14:paraId="741C393D">
      <w:pPr>
        <w:pageBreakBefore w:val="0"/>
        <w:kinsoku/>
        <w:wordWrap/>
        <w:overflowPunct/>
        <w:topLinePunct w:val="0"/>
        <w:autoSpaceDE/>
        <w:autoSpaceDN/>
        <w:bidi w:val="0"/>
        <w:adjustRightInd/>
        <w:spacing w:before="120" w:beforeLines="50" w:after="120" w:afterLines="50" w:line="480" w:lineRule="exact"/>
        <w:ind w:firstLine="420" w:firstLineChars="200"/>
        <w:rPr>
          <w:rFonts w:hint="eastAsia" w:ascii="宋体" w:hAnsi="宋体"/>
          <w:color w:val="auto"/>
          <w:szCs w:val="21"/>
          <w:highlight w:val="none"/>
        </w:rPr>
      </w:pPr>
      <w:r>
        <w:rPr>
          <w:rFonts w:hint="eastAsia" w:ascii="宋体" w:hAnsi="宋体"/>
          <w:color w:val="auto"/>
          <w:szCs w:val="21"/>
          <w:highlight w:val="none"/>
        </w:rPr>
        <w:t>账    号：                         账    号：</w:t>
      </w:r>
    </w:p>
    <w:p w14:paraId="5185DC15">
      <w:pPr>
        <w:pageBreakBefore w:val="0"/>
        <w:kinsoku/>
        <w:wordWrap/>
        <w:overflowPunct/>
        <w:topLinePunct w:val="0"/>
        <w:autoSpaceDE/>
        <w:autoSpaceDN/>
        <w:bidi w:val="0"/>
        <w:adjustRightInd/>
        <w:spacing w:before="120" w:beforeLines="50" w:after="120" w:afterLines="50" w:line="480" w:lineRule="exact"/>
        <w:ind w:firstLine="420" w:firstLineChars="200"/>
        <w:rPr>
          <w:rFonts w:hint="eastAsia" w:ascii="宋体" w:hAnsi="宋体"/>
          <w:color w:val="auto"/>
          <w:szCs w:val="21"/>
          <w:highlight w:val="none"/>
        </w:rPr>
      </w:pPr>
      <w:r>
        <w:rPr>
          <w:rFonts w:hint="eastAsia" w:ascii="宋体" w:hAnsi="宋体"/>
          <w:color w:val="auto"/>
          <w:szCs w:val="21"/>
          <w:highlight w:val="none"/>
        </w:rPr>
        <w:t>电    话：                         电    话：</w:t>
      </w:r>
    </w:p>
    <w:p w14:paraId="17A30833">
      <w:pPr>
        <w:pageBreakBefore w:val="0"/>
        <w:kinsoku/>
        <w:wordWrap/>
        <w:overflowPunct/>
        <w:topLinePunct w:val="0"/>
        <w:autoSpaceDE/>
        <w:autoSpaceDN/>
        <w:bidi w:val="0"/>
        <w:adjustRightInd/>
        <w:spacing w:before="120" w:beforeLines="50" w:after="120" w:afterLines="50" w:line="480" w:lineRule="exact"/>
        <w:ind w:firstLine="420" w:firstLineChars="200"/>
        <w:rPr>
          <w:rFonts w:hint="eastAsia" w:ascii="宋体" w:hAnsi="宋体"/>
          <w:color w:val="auto"/>
          <w:szCs w:val="21"/>
          <w:highlight w:val="none"/>
        </w:rPr>
      </w:pPr>
      <w:r>
        <w:rPr>
          <w:rFonts w:hint="eastAsia" w:ascii="宋体" w:hAnsi="宋体"/>
          <w:color w:val="auto"/>
          <w:szCs w:val="21"/>
          <w:highlight w:val="none"/>
        </w:rPr>
        <w:t>传    真：                         传    真：</w:t>
      </w:r>
    </w:p>
    <w:p w14:paraId="2AE65161">
      <w:pPr>
        <w:pageBreakBefore w:val="0"/>
        <w:kinsoku/>
        <w:wordWrap/>
        <w:overflowPunct/>
        <w:topLinePunct w:val="0"/>
        <w:autoSpaceDE/>
        <w:autoSpaceDN/>
        <w:bidi w:val="0"/>
        <w:adjustRightInd/>
        <w:spacing w:before="120" w:beforeLines="50" w:after="120" w:afterLines="50" w:line="480" w:lineRule="exact"/>
        <w:ind w:firstLine="420" w:firstLineChars="200"/>
        <w:rPr>
          <w:rFonts w:hint="eastAsia" w:ascii="宋体" w:hAnsi="宋体"/>
          <w:color w:val="auto"/>
          <w:szCs w:val="21"/>
          <w:highlight w:val="none"/>
        </w:rPr>
      </w:pPr>
      <w:r>
        <w:rPr>
          <w:rFonts w:hint="eastAsia" w:ascii="宋体" w:hAnsi="宋体"/>
          <w:color w:val="auto"/>
          <w:szCs w:val="21"/>
          <w:highlight w:val="none"/>
        </w:rPr>
        <w:t>签约日期：    年  月  日           签约日期：    年  月  日</w:t>
      </w:r>
    </w:p>
    <w:p w14:paraId="1A99BBDF">
      <w:pPr>
        <w:pageBreakBefore w:val="0"/>
        <w:kinsoku/>
        <w:wordWrap/>
        <w:overflowPunct/>
        <w:topLinePunct w:val="0"/>
        <w:autoSpaceDE/>
        <w:autoSpaceDN/>
        <w:bidi w:val="0"/>
        <w:adjustRightInd/>
        <w:spacing w:line="480" w:lineRule="exact"/>
        <w:rPr>
          <w:rFonts w:hint="eastAsia" w:ascii="宋体" w:hAnsi="宋体"/>
          <w:b/>
          <w:color w:val="auto"/>
          <w:sz w:val="28"/>
          <w:szCs w:val="28"/>
          <w:highlight w:val="none"/>
        </w:rPr>
      </w:pPr>
    </w:p>
    <w:p w14:paraId="0C4D9C49">
      <w:pPr>
        <w:pageBreakBefore w:val="0"/>
        <w:kinsoku/>
        <w:wordWrap/>
        <w:overflowPunct/>
        <w:topLinePunct w:val="0"/>
        <w:autoSpaceDE/>
        <w:autoSpaceDN/>
        <w:bidi w:val="0"/>
        <w:adjustRightInd/>
        <w:spacing w:line="480" w:lineRule="exact"/>
        <w:rPr>
          <w:rFonts w:hint="eastAsia" w:ascii="宋体" w:hAnsi="宋体"/>
          <w:b/>
          <w:color w:val="auto"/>
          <w:sz w:val="28"/>
          <w:szCs w:val="28"/>
          <w:highlight w:val="none"/>
        </w:rPr>
      </w:pPr>
    </w:p>
    <w:p w14:paraId="74C68EBD">
      <w:pPr>
        <w:pageBreakBefore w:val="0"/>
        <w:kinsoku/>
        <w:wordWrap/>
        <w:overflowPunct/>
        <w:topLinePunct w:val="0"/>
        <w:autoSpaceDE/>
        <w:autoSpaceDN/>
        <w:bidi w:val="0"/>
        <w:adjustRightInd/>
        <w:spacing w:line="480" w:lineRule="exact"/>
        <w:rPr>
          <w:rFonts w:hint="eastAsia" w:ascii="宋体" w:hAnsi="宋体"/>
          <w:b/>
          <w:color w:val="auto"/>
          <w:sz w:val="28"/>
          <w:szCs w:val="28"/>
          <w:highlight w:val="none"/>
        </w:rPr>
      </w:pPr>
    </w:p>
    <w:p w14:paraId="6AD53010">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黑体" w:hAnsi="宋体" w:eastAsia="黑体"/>
          <w:color w:val="auto"/>
          <w:sz w:val="28"/>
          <w:szCs w:val="28"/>
          <w:highlight w:val="none"/>
        </w:rPr>
      </w:pPr>
      <w:r>
        <w:rPr>
          <w:rFonts w:ascii="黑体" w:hAnsi="宋体" w:eastAsia="黑体"/>
          <w:color w:val="auto"/>
          <w:sz w:val="28"/>
          <w:szCs w:val="28"/>
          <w:highlight w:val="none"/>
        </w:rPr>
        <w:br w:type="page"/>
      </w:r>
      <w:r>
        <w:rPr>
          <w:rFonts w:hint="eastAsia" w:ascii="黑体" w:hAnsi="宋体" w:eastAsia="黑体"/>
          <w:color w:val="auto"/>
          <w:sz w:val="28"/>
          <w:szCs w:val="28"/>
          <w:highlight w:val="none"/>
        </w:rPr>
        <w:t>附件1：</w:t>
      </w:r>
    </w:p>
    <w:p w14:paraId="1F278A5F">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b/>
          <w:color w:val="auto"/>
          <w:sz w:val="36"/>
          <w:szCs w:val="36"/>
          <w:highlight w:val="none"/>
          <w:lang w:eastAsia="zh-CN"/>
        </w:rPr>
      </w:pPr>
      <w:r>
        <w:rPr>
          <w:rFonts w:hint="eastAsia" w:ascii="宋体" w:hAnsi="宋体"/>
          <w:b/>
          <w:color w:val="auto"/>
          <w:sz w:val="36"/>
          <w:szCs w:val="36"/>
          <w:highlight w:val="none"/>
        </w:rPr>
        <w:t>采购履约担保函</w:t>
      </w:r>
      <w:r>
        <w:rPr>
          <w:rFonts w:hint="eastAsia" w:ascii="宋体" w:hAnsi="宋体"/>
          <w:b/>
          <w:color w:val="auto"/>
          <w:sz w:val="36"/>
          <w:szCs w:val="36"/>
          <w:highlight w:val="none"/>
          <w:lang w:eastAsia="zh-CN"/>
        </w:rPr>
        <w:t>（</w:t>
      </w:r>
      <w:r>
        <w:rPr>
          <w:rFonts w:hint="eastAsia" w:ascii="宋体" w:hAnsi="宋体"/>
          <w:b/>
          <w:color w:val="auto"/>
          <w:sz w:val="36"/>
          <w:szCs w:val="36"/>
          <w:highlight w:val="none"/>
          <w:lang w:val="en-US" w:eastAsia="zh-CN"/>
        </w:rPr>
        <w:t>仅供参考</w:t>
      </w:r>
      <w:r>
        <w:rPr>
          <w:rFonts w:hint="eastAsia" w:ascii="宋体" w:hAnsi="宋体"/>
          <w:b/>
          <w:color w:val="auto"/>
          <w:sz w:val="36"/>
          <w:szCs w:val="36"/>
          <w:highlight w:val="none"/>
          <w:lang w:eastAsia="zh-CN"/>
        </w:rPr>
        <w:t>）</w:t>
      </w:r>
    </w:p>
    <w:p w14:paraId="114F4FF8">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color w:val="auto"/>
          <w:highlight w:val="none"/>
        </w:rPr>
      </w:pPr>
    </w:p>
    <w:p w14:paraId="33CC8245">
      <w:pPr>
        <w:keepNext w:val="0"/>
        <w:keepLines w:val="0"/>
        <w:pageBreakBefore w:val="0"/>
        <w:widowControl w:val="0"/>
        <w:kinsoku/>
        <w:wordWrap/>
        <w:overflowPunct/>
        <w:topLinePunct w:val="0"/>
        <w:autoSpaceDE/>
        <w:autoSpaceDN/>
        <w:bidi w:val="0"/>
        <w:adjustRightInd/>
        <w:snapToGrid/>
        <w:spacing w:line="480" w:lineRule="exact"/>
        <w:ind w:firstLine="6615" w:firstLineChars="3150"/>
        <w:textAlignment w:val="auto"/>
        <w:rPr>
          <w:rFonts w:hint="eastAsia"/>
          <w:color w:val="auto"/>
          <w:szCs w:val="21"/>
          <w:highlight w:val="none"/>
        </w:rPr>
      </w:pPr>
      <w:r>
        <w:rPr>
          <w:rFonts w:hint="eastAsia"/>
          <w:color w:val="auto"/>
          <w:szCs w:val="21"/>
          <w:highlight w:val="none"/>
        </w:rPr>
        <w:t xml:space="preserve"> 编号：</w:t>
      </w:r>
    </w:p>
    <w:p w14:paraId="148B1ECD">
      <w:pPr>
        <w:keepNext w:val="0"/>
        <w:keepLines w:val="0"/>
        <w:pageBreakBefore w:val="0"/>
        <w:widowControl w:val="0"/>
        <w:kinsoku/>
        <w:wordWrap/>
        <w:overflowPunct/>
        <w:topLinePunct w:val="0"/>
        <w:autoSpaceDE/>
        <w:autoSpaceDN/>
        <w:bidi w:val="0"/>
        <w:adjustRightInd/>
        <w:snapToGrid/>
        <w:spacing w:line="480" w:lineRule="exact"/>
        <w:textAlignment w:val="auto"/>
        <w:rPr>
          <w:color w:val="auto"/>
          <w:szCs w:val="21"/>
          <w:highlight w:val="none"/>
        </w:rPr>
      </w:pPr>
    </w:p>
    <w:p w14:paraId="5171486C">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color w:val="auto"/>
          <w:szCs w:val="21"/>
          <w:highlight w:val="none"/>
        </w:rPr>
      </w:pPr>
      <w:r>
        <w:rPr>
          <w:rFonts w:hint="eastAsia" w:ascii="宋体" w:hAnsi="宋体"/>
          <w:color w:val="auto"/>
          <w:szCs w:val="21"/>
          <w:highlight w:val="none"/>
          <w:u w:val="single"/>
        </w:rPr>
        <w:t xml:space="preserve">                  </w:t>
      </w:r>
      <w:r>
        <w:rPr>
          <w:rFonts w:hint="eastAsia" w:ascii="宋体" w:hAnsi="宋体"/>
          <w:color w:val="auto"/>
          <w:szCs w:val="21"/>
          <w:highlight w:val="none"/>
        </w:rPr>
        <w:t>（采购人）：</w:t>
      </w:r>
    </w:p>
    <w:p w14:paraId="393F2B1E">
      <w:pPr>
        <w:keepNext w:val="0"/>
        <w:keepLines w:val="0"/>
        <w:pageBreakBefore w:val="0"/>
        <w:widowControl w:val="0"/>
        <w:kinsoku/>
        <w:wordWrap/>
        <w:overflowPunct/>
        <w:topLinePunct w:val="0"/>
        <w:autoSpaceDE/>
        <w:autoSpaceDN/>
        <w:bidi w:val="0"/>
        <w:adjustRightInd/>
        <w:snapToGrid/>
        <w:spacing w:line="480" w:lineRule="exact"/>
        <w:textAlignment w:val="auto"/>
        <w:rPr>
          <w:rFonts w:ascii="宋体" w:hAnsi="宋体"/>
          <w:color w:val="auto"/>
          <w:szCs w:val="21"/>
          <w:highlight w:val="none"/>
        </w:rPr>
      </w:pPr>
    </w:p>
    <w:p w14:paraId="799FB23C">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鉴于你方与</w:t>
      </w:r>
      <w:r>
        <w:rPr>
          <w:rFonts w:hint="eastAsia" w:ascii="宋体" w:hAnsi="宋体"/>
          <w:color w:val="auto"/>
          <w:szCs w:val="21"/>
          <w:highlight w:val="none"/>
          <w:u w:val="single"/>
        </w:rPr>
        <w:t xml:space="preserve">                    </w:t>
      </w:r>
      <w:r>
        <w:rPr>
          <w:rFonts w:hint="eastAsia" w:ascii="宋体" w:hAnsi="宋体"/>
          <w:color w:val="auto"/>
          <w:szCs w:val="21"/>
          <w:highlight w:val="none"/>
        </w:rPr>
        <w:t>（以下简称中标人）于</w:t>
      </w:r>
      <w:r>
        <w:rPr>
          <w:rFonts w:hint="eastAsia" w:ascii="宋体" w:hAnsi="宋体"/>
          <w:color w:val="auto"/>
          <w:szCs w:val="21"/>
          <w:highlight w:val="none"/>
          <w:u w:val="single"/>
        </w:rPr>
        <w:t xml:space="preserve">   </w:t>
      </w:r>
      <w:r>
        <w:rPr>
          <w:rFonts w:hint="eastAsia" w:ascii="宋体" w:hAnsi="宋体"/>
          <w:color w:val="auto"/>
          <w:szCs w:val="21"/>
          <w:highlight w:val="none"/>
        </w:rPr>
        <w:t>年</w:t>
      </w:r>
      <w:r>
        <w:rPr>
          <w:rFonts w:hint="eastAsia" w:ascii="宋体" w:hAnsi="宋体"/>
          <w:color w:val="auto"/>
          <w:szCs w:val="21"/>
          <w:highlight w:val="none"/>
          <w:u w:val="single"/>
        </w:rPr>
        <w:t xml:space="preserve">  </w:t>
      </w:r>
      <w:r>
        <w:rPr>
          <w:rFonts w:hint="eastAsia" w:ascii="宋体" w:hAnsi="宋体"/>
          <w:color w:val="auto"/>
          <w:szCs w:val="21"/>
          <w:highlight w:val="none"/>
        </w:rPr>
        <w:t>月</w:t>
      </w:r>
      <w:r>
        <w:rPr>
          <w:rFonts w:hint="eastAsia" w:ascii="宋体" w:hAnsi="宋体"/>
          <w:color w:val="auto"/>
          <w:szCs w:val="21"/>
          <w:highlight w:val="none"/>
          <w:u w:val="single"/>
        </w:rPr>
        <w:t xml:space="preserve">  </w:t>
      </w:r>
      <w:r>
        <w:rPr>
          <w:rFonts w:hint="eastAsia" w:ascii="宋体" w:hAnsi="宋体"/>
          <w:color w:val="auto"/>
          <w:szCs w:val="21"/>
          <w:highlight w:val="none"/>
        </w:rPr>
        <w:t>日签定编号为</w:t>
      </w:r>
      <w:r>
        <w:rPr>
          <w:rFonts w:hint="eastAsia" w:ascii="宋体" w:hAnsi="宋体"/>
          <w:color w:val="auto"/>
          <w:szCs w:val="21"/>
          <w:highlight w:val="none"/>
          <w:u w:val="single"/>
        </w:rPr>
        <w:t xml:space="preserve">   </w:t>
      </w:r>
      <w:r>
        <w:rPr>
          <w:rFonts w:hint="eastAsia" w:ascii="宋体" w:hAnsi="宋体"/>
          <w:color w:val="auto"/>
          <w:szCs w:val="21"/>
          <w:highlight w:val="none"/>
        </w:rPr>
        <w:t>的《</w:t>
      </w:r>
      <w:r>
        <w:rPr>
          <w:rFonts w:hint="eastAsia" w:ascii="宋体" w:hAnsi="宋体"/>
          <w:color w:val="auto"/>
          <w:szCs w:val="21"/>
          <w:highlight w:val="none"/>
          <w:u w:val="single"/>
        </w:rPr>
        <w:t xml:space="preserve">           </w:t>
      </w:r>
      <w:r>
        <w:rPr>
          <w:rFonts w:hint="eastAsia" w:ascii="宋体" w:hAnsi="宋体"/>
          <w:color w:val="auto"/>
          <w:szCs w:val="21"/>
          <w:highlight w:val="none"/>
        </w:rPr>
        <w:t>采购合同》（以下简称主合同），且依据该合同的约定，中标人应在</w:t>
      </w:r>
      <w:r>
        <w:rPr>
          <w:rFonts w:hint="eastAsia" w:ascii="宋体" w:hAnsi="宋体"/>
          <w:color w:val="auto"/>
          <w:szCs w:val="21"/>
          <w:highlight w:val="none"/>
          <w:u w:val="single"/>
        </w:rPr>
        <w:t xml:space="preserve">    </w:t>
      </w:r>
      <w:r>
        <w:rPr>
          <w:rFonts w:hint="eastAsia" w:ascii="宋体" w:hAnsi="宋体"/>
          <w:color w:val="auto"/>
          <w:szCs w:val="21"/>
          <w:highlight w:val="none"/>
        </w:rPr>
        <w:t>年</w:t>
      </w:r>
      <w:r>
        <w:rPr>
          <w:rFonts w:hint="eastAsia" w:ascii="宋体" w:hAnsi="宋体"/>
          <w:color w:val="auto"/>
          <w:szCs w:val="21"/>
          <w:highlight w:val="none"/>
          <w:u w:val="single"/>
        </w:rPr>
        <w:t xml:space="preserve">    </w:t>
      </w:r>
      <w:r>
        <w:rPr>
          <w:rFonts w:hint="eastAsia" w:ascii="宋体" w:hAnsi="宋体"/>
          <w:color w:val="auto"/>
          <w:szCs w:val="21"/>
          <w:highlight w:val="none"/>
        </w:rPr>
        <w:t>月</w:t>
      </w:r>
      <w:r>
        <w:rPr>
          <w:rFonts w:hint="eastAsia" w:ascii="宋体" w:hAnsi="宋体"/>
          <w:color w:val="auto"/>
          <w:szCs w:val="21"/>
          <w:highlight w:val="none"/>
          <w:u w:val="single"/>
        </w:rPr>
        <w:t xml:space="preserve">   </w:t>
      </w:r>
      <w:r>
        <w:rPr>
          <w:rFonts w:hint="eastAsia" w:ascii="宋体" w:hAnsi="宋体"/>
          <w:color w:val="auto"/>
          <w:szCs w:val="21"/>
          <w:highlight w:val="none"/>
        </w:rPr>
        <w:t>日前向你方交纳履约保证金，且可以履约担保函的形式交纳履约保证金。应中标人的申请，我方以保证的方式向你方提供如下履约保证金担保：</w:t>
      </w:r>
    </w:p>
    <w:p w14:paraId="1BBEEE3B">
      <w:pPr>
        <w:keepNext w:val="0"/>
        <w:keepLines w:val="0"/>
        <w:pageBreakBefore w:val="0"/>
        <w:widowControl w:val="0"/>
        <w:kinsoku/>
        <w:wordWrap/>
        <w:overflowPunct/>
        <w:topLinePunct w:val="0"/>
        <w:autoSpaceDE/>
        <w:autoSpaceDN/>
        <w:bidi w:val="0"/>
        <w:adjustRightInd/>
        <w:snapToGrid/>
        <w:spacing w:before="120" w:beforeLines="50" w:after="120" w:afterLines="50" w:line="480" w:lineRule="exact"/>
        <w:ind w:firstLine="452" w:firstLineChars="150"/>
        <w:textAlignment w:val="auto"/>
        <w:rPr>
          <w:rFonts w:hint="eastAsia" w:ascii="宋体" w:hAnsi="宋体"/>
          <w:b/>
          <w:color w:val="auto"/>
          <w:sz w:val="30"/>
          <w:szCs w:val="30"/>
          <w:highlight w:val="none"/>
        </w:rPr>
      </w:pPr>
      <w:r>
        <w:rPr>
          <w:rFonts w:hint="eastAsia" w:ascii="宋体" w:hAnsi="宋体"/>
          <w:b/>
          <w:color w:val="auto"/>
          <w:sz w:val="30"/>
          <w:szCs w:val="30"/>
          <w:highlight w:val="none"/>
        </w:rPr>
        <w:t>一、保证责任的情形及保证金额</w:t>
      </w:r>
    </w:p>
    <w:p w14:paraId="2843C713">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（一）在中标人出现下列情形之一时，我方承担保证责任：</w:t>
      </w:r>
    </w:p>
    <w:p w14:paraId="1945524E">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1.将中标项目转让给他人，或者在投标文件中未说明，且未经采购招标机构人同意，将中标项目分包给他人的；</w:t>
      </w:r>
    </w:p>
    <w:p w14:paraId="712087AB">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color w:val="auto"/>
          <w:szCs w:val="21"/>
          <w:highlight w:val="none"/>
        </w:rPr>
      </w:pPr>
      <w:r>
        <w:rPr>
          <w:rFonts w:hint="eastAsia" w:ascii="宋体" w:hAnsi="宋体"/>
          <w:color w:val="auto"/>
          <w:szCs w:val="21"/>
          <w:highlight w:val="none"/>
        </w:rPr>
        <w:t xml:space="preserve">　　2.主合同约定的应当缴纳履约保证金的情形: </w:t>
      </w:r>
    </w:p>
    <w:p w14:paraId="7A8FEA53">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（1）未按主合同约定的质量、数量和期限供应货物/提供服务/完成工程的；</w:t>
      </w:r>
    </w:p>
    <w:p w14:paraId="6D282F52">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（2）</w:t>
      </w:r>
      <w:r>
        <w:rPr>
          <w:rFonts w:hint="eastAsia" w:ascii="宋体" w:hAnsi="宋体"/>
          <w:color w:val="auto"/>
          <w:szCs w:val="21"/>
          <w:highlight w:val="none"/>
          <w:u w:val="single"/>
        </w:rPr>
        <w:t xml:space="preserve">                                                           </w:t>
      </w:r>
      <w:r>
        <w:rPr>
          <w:rFonts w:hint="eastAsia" w:ascii="宋体" w:hAnsi="宋体"/>
          <w:color w:val="auto"/>
          <w:szCs w:val="21"/>
          <w:highlight w:val="none"/>
        </w:rPr>
        <w:t>。</w:t>
      </w:r>
    </w:p>
    <w:p w14:paraId="111B0567">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（二）我方的保证范围是主合同约定的合同价款总额的</w:t>
      </w:r>
      <w:r>
        <w:rPr>
          <w:rFonts w:hint="eastAsia" w:ascii="宋体" w:hAnsi="宋体"/>
          <w:color w:val="auto"/>
          <w:szCs w:val="21"/>
          <w:highlight w:val="none"/>
          <w:u w:val="single"/>
        </w:rPr>
        <w:t xml:space="preserve">        </w:t>
      </w:r>
      <w:r>
        <w:rPr>
          <w:rFonts w:hint="eastAsia" w:ascii="宋体" w:hAnsi="宋体"/>
          <w:color w:val="auto"/>
          <w:szCs w:val="21"/>
          <w:highlight w:val="none"/>
        </w:rPr>
        <w:t>%数额为</w:t>
      </w:r>
      <w:r>
        <w:rPr>
          <w:rFonts w:hint="eastAsia" w:ascii="宋体" w:hAnsi="宋体"/>
          <w:color w:val="auto"/>
          <w:szCs w:val="21"/>
          <w:highlight w:val="none"/>
          <w:u w:val="single"/>
        </w:rPr>
        <w:t xml:space="preserve">         </w:t>
      </w:r>
      <w:r>
        <w:rPr>
          <w:rFonts w:hint="eastAsia" w:ascii="宋体" w:hAnsi="宋体"/>
          <w:color w:val="auto"/>
          <w:szCs w:val="21"/>
          <w:highlight w:val="none"/>
        </w:rPr>
        <w:t>元（大写</w:t>
      </w:r>
      <w:r>
        <w:rPr>
          <w:rFonts w:hint="eastAsia" w:ascii="宋体" w:hAnsi="宋体"/>
          <w:color w:val="auto"/>
          <w:szCs w:val="21"/>
          <w:highlight w:val="none"/>
          <w:u w:val="single"/>
        </w:rPr>
        <w:t xml:space="preserve">           </w:t>
      </w:r>
      <w:r>
        <w:rPr>
          <w:rFonts w:hint="eastAsia" w:ascii="宋体" w:hAnsi="宋体"/>
          <w:color w:val="auto"/>
          <w:szCs w:val="21"/>
          <w:highlight w:val="none"/>
        </w:rPr>
        <w:t>），币种为</w:t>
      </w:r>
      <w:r>
        <w:rPr>
          <w:rFonts w:hint="eastAsia" w:ascii="宋体" w:hAnsi="宋体"/>
          <w:color w:val="auto"/>
          <w:szCs w:val="21"/>
          <w:highlight w:val="none"/>
          <w:u w:val="single"/>
        </w:rPr>
        <w:t xml:space="preserve">        </w:t>
      </w:r>
      <w:r>
        <w:rPr>
          <w:rFonts w:hint="eastAsia" w:ascii="宋体" w:hAnsi="宋体"/>
          <w:color w:val="auto"/>
          <w:szCs w:val="21"/>
          <w:highlight w:val="none"/>
        </w:rPr>
        <w:t>。（即主合同履约保证金金额）</w:t>
      </w:r>
    </w:p>
    <w:p w14:paraId="6E7797D2">
      <w:pPr>
        <w:keepNext w:val="0"/>
        <w:keepLines w:val="0"/>
        <w:pageBreakBefore w:val="0"/>
        <w:widowControl w:val="0"/>
        <w:kinsoku/>
        <w:wordWrap/>
        <w:overflowPunct/>
        <w:topLinePunct w:val="0"/>
        <w:autoSpaceDE/>
        <w:autoSpaceDN/>
        <w:bidi w:val="0"/>
        <w:adjustRightInd/>
        <w:snapToGrid/>
        <w:spacing w:before="120" w:beforeLines="50" w:after="120" w:afterLines="50" w:line="480" w:lineRule="exact"/>
        <w:ind w:firstLine="452" w:firstLineChars="150"/>
        <w:textAlignment w:val="auto"/>
        <w:rPr>
          <w:rFonts w:hint="eastAsia" w:ascii="宋体" w:hAnsi="宋体"/>
          <w:b/>
          <w:color w:val="auto"/>
          <w:sz w:val="30"/>
          <w:szCs w:val="30"/>
          <w:highlight w:val="none"/>
        </w:rPr>
      </w:pPr>
      <w:r>
        <w:rPr>
          <w:rFonts w:hint="eastAsia" w:ascii="宋体" w:hAnsi="宋体"/>
          <w:b/>
          <w:color w:val="auto"/>
          <w:sz w:val="30"/>
          <w:szCs w:val="30"/>
          <w:highlight w:val="none"/>
        </w:rPr>
        <w:t>二、保证的方式及保证期间</w:t>
      </w:r>
    </w:p>
    <w:p w14:paraId="5CC560F4">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我方保证的方式为：连带责任保证。</w:t>
      </w:r>
    </w:p>
    <w:p w14:paraId="06355870">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我方保证的期间为：自本合同生效之日起至中标人按照主合同约定的供货/完工期限届满后</w:t>
      </w:r>
      <w:r>
        <w:rPr>
          <w:rFonts w:hint="eastAsia" w:ascii="宋体" w:hAnsi="宋体"/>
          <w:color w:val="auto"/>
          <w:szCs w:val="21"/>
          <w:highlight w:val="none"/>
          <w:u w:val="single"/>
        </w:rPr>
        <w:t xml:space="preserve">     </w:t>
      </w:r>
      <w:r>
        <w:rPr>
          <w:rFonts w:hint="eastAsia" w:ascii="宋体" w:hAnsi="宋体"/>
          <w:color w:val="auto"/>
          <w:szCs w:val="21"/>
          <w:highlight w:val="none"/>
        </w:rPr>
        <w:t>日内。</w:t>
      </w:r>
    </w:p>
    <w:p w14:paraId="40ED41B7">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如果中标人未按主合同约定向贵方供应货物/提供服务/完成工程的，由我方在保证金额内向你方支付上述款项。</w:t>
      </w:r>
    </w:p>
    <w:p w14:paraId="3590EF5B">
      <w:pPr>
        <w:keepNext w:val="0"/>
        <w:keepLines w:val="0"/>
        <w:pageBreakBefore w:val="0"/>
        <w:widowControl w:val="0"/>
        <w:kinsoku/>
        <w:wordWrap/>
        <w:overflowPunct/>
        <w:topLinePunct w:val="0"/>
        <w:autoSpaceDE/>
        <w:autoSpaceDN/>
        <w:bidi w:val="0"/>
        <w:adjustRightInd/>
        <w:snapToGrid/>
        <w:spacing w:before="120" w:beforeLines="50" w:after="120" w:afterLines="50" w:line="480" w:lineRule="exact"/>
        <w:ind w:firstLine="482" w:firstLineChars="150"/>
        <w:textAlignment w:val="auto"/>
        <w:rPr>
          <w:rFonts w:hint="eastAsia" w:ascii="宋体" w:hAnsi="宋体"/>
          <w:b/>
          <w:color w:val="auto"/>
          <w:sz w:val="32"/>
          <w:szCs w:val="32"/>
          <w:highlight w:val="none"/>
        </w:rPr>
      </w:pPr>
      <w:r>
        <w:rPr>
          <w:rFonts w:hint="eastAsia" w:ascii="宋体" w:hAnsi="宋体"/>
          <w:b/>
          <w:color w:val="auto"/>
          <w:sz w:val="32"/>
          <w:szCs w:val="32"/>
          <w:highlight w:val="none"/>
        </w:rPr>
        <w:t>三、承担保证责任的程序</w:t>
      </w:r>
    </w:p>
    <w:p w14:paraId="6FC5639A">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1.你方要求我方承担保证责任的，应在本保函保证期间内向我方发出书面索赔通知。索赔通知应写明要求索赔的金额，支付款项应到达的帐号。并附有证明中标人违约事实的证明材料。</w:t>
      </w:r>
    </w:p>
    <w:p w14:paraId="13FD66CC">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如果你方与中标人因货物质量问题产生争议，你方还需同时提供</w:t>
      </w:r>
      <w:r>
        <w:rPr>
          <w:rFonts w:hint="eastAsia" w:ascii="宋体" w:hAnsi="宋体"/>
          <w:color w:val="auto"/>
          <w:szCs w:val="21"/>
          <w:highlight w:val="none"/>
          <w:u w:val="single"/>
        </w:rPr>
        <w:t xml:space="preserve">        </w:t>
      </w:r>
      <w:r>
        <w:rPr>
          <w:rFonts w:hint="eastAsia" w:ascii="宋体" w:hAnsi="宋体"/>
          <w:color w:val="auto"/>
          <w:szCs w:val="21"/>
          <w:highlight w:val="none"/>
        </w:rPr>
        <w:t>部门出具的质量检测报告，或经诉讼（仲裁）程序裁决后的裁决书、调解书，本保证人即按照检测结果或裁决书、调解书决定是否承担保证责任。</w:t>
      </w:r>
    </w:p>
    <w:p w14:paraId="7DD19BDC">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2.我方收到你方的书面索赔通知及相应证明材料，在</w:t>
      </w:r>
      <w:r>
        <w:rPr>
          <w:rFonts w:hint="eastAsia" w:ascii="宋体" w:hAnsi="宋体"/>
          <w:color w:val="auto"/>
          <w:szCs w:val="21"/>
          <w:highlight w:val="none"/>
          <w:u w:val="single"/>
        </w:rPr>
        <w:t xml:space="preserve">     </w:t>
      </w:r>
      <w:r>
        <w:rPr>
          <w:rFonts w:hint="eastAsia" w:ascii="宋体" w:hAnsi="宋体"/>
          <w:color w:val="auto"/>
          <w:szCs w:val="21"/>
          <w:highlight w:val="none"/>
        </w:rPr>
        <w:t>工作日内进行核定后按照本保函的承诺承担保证责任。</w:t>
      </w:r>
    </w:p>
    <w:p w14:paraId="08D1BF03">
      <w:pPr>
        <w:keepNext w:val="0"/>
        <w:keepLines w:val="0"/>
        <w:pageBreakBefore w:val="0"/>
        <w:widowControl w:val="0"/>
        <w:kinsoku/>
        <w:wordWrap/>
        <w:overflowPunct/>
        <w:topLinePunct w:val="0"/>
        <w:autoSpaceDE/>
        <w:autoSpaceDN/>
        <w:bidi w:val="0"/>
        <w:adjustRightInd/>
        <w:snapToGrid/>
        <w:spacing w:before="120" w:beforeLines="50" w:after="120" w:afterLines="50" w:line="480" w:lineRule="exact"/>
        <w:ind w:firstLine="452" w:firstLineChars="150"/>
        <w:textAlignment w:val="auto"/>
        <w:rPr>
          <w:rFonts w:hint="eastAsia" w:ascii="宋体" w:hAnsi="宋体"/>
          <w:b/>
          <w:color w:val="auto"/>
          <w:sz w:val="30"/>
          <w:szCs w:val="30"/>
          <w:highlight w:val="none"/>
        </w:rPr>
      </w:pPr>
      <w:r>
        <w:rPr>
          <w:rFonts w:hint="eastAsia" w:ascii="宋体" w:hAnsi="宋体"/>
          <w:b/>
          <w:color w:val="auto"/>
          <w:sz w:val="30"/>
          <w:szCs w:val="30"/>
          <w:highlight w:val="none"/>
        </w:rPr>
        <w:t>四、保证责任的终止</w:t>
      </w:r>
    </w:p>
    <w:p w14:paraId="5F53D221">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1.保证期间届满你方未向我方书面主张保证责任的，自保证期间届满次日起，我方保证责任自动终止。保证期间届满前，主合同约定的货物\工程\服务全部验收合格的，自验收合格日起，我方保证责任自动终止。</w:t>
      </w:r>
    </w:p>
    <w:p w14:paraId="25808AEF">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2.我方按照本保函向你方履行了保证责任后，自我方向你方支付款项（支付款项从我方账户划出）之日起，保证责任即终止。</w:t>
      </w:r>
    </w:p>
    <w:p w14:paraId="18279792">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3.按照法律法规的规定或出现应终止我方保证责任的其它情形的，我方在本保函项下的保证责任亦终止。</w:t>
      </w:r>
    </w:p>
    <w:p w14:paraId="7BB6FBE2">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4.你方与中标人修改主合同，加重我方保证责任的，我方对加重部分不承担保证责任，但该等修改事先经我方书面同意的除外；你方与中标人修改主合同履行期限，我方保证期间仍依修改前的履行期限计算，但该等修改事先经我方书面同意的除外。</w:t>
      </w:r>
    </w:p>
    <w:p w14:paraId="1C3D2F50">
      <w:pPr>
        <w:keepNext w:val="0"/>
        <w:keepLines w:val="0"/>
        <w:pageBreakBefore w:val="0"/>
        <w:widowControl w:val="0"/>
        <w:kinsoku/>
        <w:wordWrap/>
        <w:overflowPunct/>
        <w:topLinePunct w:val="0"/>
        <w:autoSpaceDE/>
        <w:autoSpaceDN/>
        <w:bidi w:val="0"/>
        <w:adjustRightInd/>
        <w:snapToGrid/>
        <w:spacing w:before="120" w:beforeLines="50" w:after="120" w:afterLines="50" w:line="480" w:lineRule="exact"/>
        <w:ind w:firstLine="425" w:firstLineChars="141"/>
        <w:textAlignment w:val="auto"/>
        <w:rPr>
          <w:rFonts w:hint="eastAsia" w:ascii="宋体" w:hAnsi="宋体"/>
          <w:b/>
          <w:color w:val="auto"/>
          <w:sz w:val="30"/>
          <w:szCs w:val="30"/>
          <w:highlight w:val="none"/>
        </w:rPr>
      </w:pPr>
      <w:r>
        <w:rPr>
          <w:rFonts w:hint="eastAsia" w:ascii="宋体" w:hAnsi="宋体"/>
          <w:b/>
          <w:color w:val="auto"/>
          <w:sz w:val="30"/>
          <w:szCs w:val="30"/>
          <w:highlight w:val="none"/>
        </w:rPr>
        <w:t>五、免责条款</w:t>
      </w:r>
    </w:p>
    <w:p w14:paraId="3D6E9937">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1.因你方违反主合同约定致使中标人不能履行义务的，我方不承担保证责任。</w:t>
      </w:r>
    </w:p>
    <w:p w14:paraId="30352B5B">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2.依照法律法规的规定或你方与中标人的另行约定，全部或者部分免除中标人应缴纳的保证金义务的，我方亦免除相应的保证责任。</w:t>
      </w:r>
    </w:p>
    <w:p w14:paraId="6C0EC5AB">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3.因不可抗力造成中标人不能履行供货义务的，我方不承担保证责任。</w:t>
      </w:r>
    </w:p>
    <w:p w14:paraId="050523DB">
      <w:pPr>
        <w:keepNext w:val="0"/>
        <w:keepLines w:val="0"/>
        <w:pageBreakBefore w:val="0"/>
        <w:widowControl w:val="0"/>
        <w:kinsoku/>
        <w:wordWrap/>
        <w:overflowPunct/>
        <w:topLinePunct w:val="0"/>
        <w:autoSpaceDE/>
        <w:autoSpaceDN/>
        <w:bidi w:val="0"/>
        <w:adjustRightInd/>
        <w:snapToGrid/>
        <w:spacing w:before="120" w:beforeLines="50" w:after="120" w:afterLines="50" w:line="480" w:lineRule="exact"/>
        <w:ind w:firstLine="425" w:firstLineChars="141"/>
        <w:textAlignment w:val="auto"/>
        <w:rPr>
          <w:rFonts w:hint="eastAsia" w:ascii="宋体" w:hAnsi="宋体"/>
          <w:b/>
          <w:color w:val="auto"/>
          <w:sz w:val="30"/>
          <w:szCs w:val="30"/>
          <w:highlight w:val="none"/>
        </w:rPr>
      </w:pPr>
      <w:r>
        <w:rPr>
          <w:rFonts w:hint="eastAsia" w:ascii="宋体" w:hAnsi="宋体"/>
          <w:b/>
          <w:color w:val="auto"/>
          <w:sz w:val="30"/>
          <w:szCs w:val="30"/>
          <w:highlight w:val="none"/>
        </w:rPr>
        <w:t>六、争议的解决</w:t>
      </w:r>
    </w:p>
    <w:p w14:paraId="0A6CC917">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因本保函发生的纠纷，由你我双方协商解决，协商不成的，通过诉讼程序解决，诉讼管辖地法院为</w:t>
      </w:r>
      <w:r>
        <w:rPr>
          <w:rFonts w:hint="eastAsia" w:ascii="宋体" w:hAnsi="宋体"/>
          <w:color w:val="auto"/>
          <w:szCs w:val="21"/>
          <w:highlight w:val="none"/>
          <w:u w:val="single"/>
        </w:rPr>
        <w:t xml:space="preserve">        </w:t>
      </w:r>
      <w:r>
        <w:rPr>
          <w:rFonts w:hint="eastAsia" w:ascii="宋体" w:hAnsi="宋体"/>
          <w:color w:val="auto"/>
          <w:szCs w:val="21"/>
          <w:highlight w:val="none"/>
        </w:rPr>
        <w:t>法院。</w:t>
      </w:r>
    </w:p>
    <w:p w14:paraId="01EAB271">
      <w:pPr>
        <w:keepNext w:val="0"/>
        <w:keepLines w:val="0"/>
        <w:pageBreakBefore w:val="0"/>
        <w:widowControl w:val="0"/>
        <w:kinsoku/>
        <w:wordWrap/>
        <w:overflowPunct/>
        <w:topLinePunct w:val="0"/>
        <w:autoSpaceDE/>
        <w:autoSpaceDN/>
        <w:bidi w:val="0"/>
        <w:adjustRightInd/>
        <w:snapToGrid/>
        <w:spacing w:before="120" w:beforeLines="50" w:after="120" w:afterLines="50" w:line="480" w:lineRule="exact"/>
        <w:ind w:firstLine="301" w:firstLineChars="100"/>
        <w:textAlignment w:val="auto"/>
        <w:rPr>
          <w:rFonts w:hint="eastAsia" w:ascii="宋体" w:hAnsi="宋体"/>
          <w:b/>
          <w:color w:val="auto"/>
          <w:sz w:val="30"/>
          <w:szCs w:val="30"/>
          <w:highlight w:val="none"/>
        </w:rPr>
      </w:pPr>
      <w:r>
        <w:rPr>
          <w:rFonts w:hint="eastAsia" w:ascii="宋体" w:hAnsi="宋体"/>
          <w:b/>
          <w:color w:val="auto"/>
          <w:sz w:val="30"/>
          <w:szCs w:val="30"/>
          <w:highlight w:val="none"/>
        </w:rPr>
        <w:t>七、保函的生效</w:t>
      </w:r>
    </w:p>
    <w:p w14:paraId="1997054F">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ascii="宋体" w:hAnsi="宋体"/>
          <w:color w:val="auto"/>
          <w:szCs w:val="21"/>
          <w:highlight w:val="none"/>
        </w:rPr>
      </w:pPr>
      <w:r>
        <w:rPr>
          <w:rFonts w:hint="eastAsia" w:ascii="宋体" w:hAnsi="宋体"/>
          <w:color w:val="auto"/>
          <w:szCs w:val="21"/>
          <w:highlight w:val="none"/>
        </w:rPr>
        <w:t>本保函自我方加盖公章之日起生效。</w:t>
      </w:r>
      <w:r>
        <w:rPr>
          <w:rFonts w:ascii="宋体" w:hAnsi="宋体"/>
          <w:color w:val="auto"/>
          <w:szCs w:val="21"/>
          <w:highlight w:val="none"/>
        </w:rPr>
        <w:t xml:space="preserve">                                 </w:t>
      </w:r>
    </w:p>
    <w:p w14:paraId="35DAA77C">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color w:val="auto"/>
          <w:szCs w:val="21"/>
          <w:highlight w:val="none"/>
        </w:rPr>
      </w:pPr>
    </w:p>
    <w:p w14:paraId="233EB1A8">
      <w:pPr>
        <w:keepNext w:val="0"/>
        <w:keepLines w:val="0"/>
        <w:pageBreakBefore w:val="0"/>
        <w:widowControl w:val="0"/>
        <w:kinsoku/>
        <w:wordWrap/>
        <w:overflowPunct/>
        <w:topLinePunct w:val="0"/>
        <w:autoSpaceDE/>
        <w:autoSpaceDN/>
        <w:bidi w:val="0"/>
        <w:adjustRightInd/>
        <w:snapToGrid/>
        <w:spacing w:line="480" w:lineRule="exact"/>
        <w:ind w:firstLine="5250" w:firstLineChars="2500"/>
        <w:textAlignment w:val="auto"/>
        <w:rPr>
          <w:rFonts w:hint="eastAsia" w:ascii="宋体" w:hAnsi="宋体"/>
          <w:color w:val="auto"/>
          <w:szCs w:val="21"/>
          <w:highlight w:val="none"/>
        </w:rPr>
      </w:pPr>
      <w:r>
        <w:rPr>
          <w:rFonts w:hint="eastAsia" w:ascii="宋体" w:hAnsi="宋体"/>
          <w:color w:val="auto"/>
          <w:szCs w:val="21"/>
          <w:highlight w:val="none"/>
        </w:rPr>
        <w:t>保证人：（盖单位章）</w:t>
      </w:r>
    </w:p>
    <w:p w14:paraId="21C9753C">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color w:val="auto"/>
          <w:szCs w:val="21"/>
          <w:highlight w:val="none"/>
        </w:rPr>
      </w:pPr>
      <w:r>
        <w:rPr>
          <w:rFonts w:hint="eastAsia" w:ascii="宋体" w:hAnsi="宋体"/>
          <w:color w:val="auto"/>
          <w:szCs w:val="21"/>
          <w:highlight w:val="none"/>
        </w:rPr>
        <w:t xml:space="preserve">                                                     年  月  日</w:t>
      </w:r>
    </w:p>
    <w:p w14:paraId="29F9F9E9">
      <w:pPr>
        <w:spacing w:before="120" w:beforeLines="50" w:line="520" w:lineRule="exact"/>
        <w:jc w:val="center"/>
        <w:rPr>
          <w:rFonts w:hint="eastAsia" w:ascii="宋体" w:hAnsi="宋体"/>
          <w:b/>
          <w:color w:val="auto"/>
          <w:sz w:val="44"/>
          <w:szCs w:val="44"/>
          <w:highlight w:val="none"/>
        </w:rPr>
      </w:pPr>
    </w:p>
    <w:p w14:paraId="7BAEFB90">
      <w:pPr>
        <w:spacing w:before="120" w:beforeLines="50" w:line="520" w:lineRule="exact"/>
        <w:jc w:val="center"/>
        <w:rPr>
          <w:rFonts w:hint="eastAsia" w:ascii="黑体" w:hAnsi="宋体" w:eastAsia="黑体"/>
          <w:b/>
          <w:color w:val="auto"/>
          <w:sz w:val="44"/>
          <w:szCs w:val="44"/>
          <w:highlight w:val="none"/>
        </w:rPr>
      </w:pPr>
    </w:p>
    <w:p w14:paraId="1D7C9529">
      <w:pPr>
        <w:pStyle w:val="30"/>
        <w:rPr>
          <w:rFonts w:hint="eastAsia" w:ascii="黑体" w:hAnsi="宋体" w:eastAsia="黑体"/>
          <w:b/>
          <w:color w:val="auto"/>
          <w:sz w:val="44"/>
          <w:szCs w:val="44"/>
          <w:highlight w:val="none"/>
        </w:rPr>
      </w:pPr>
    </w:p>
    <w:p w14:paraId="582B7009">
      <w:pPr>
        <w:pStyle w:val="30"/>
        <w:rPr>
          <w:rFonts w:hint="eastAsia" w:ascii="黑体" w:hAnsi="宋体" w:eastAsia="黑体"/>
          <w:b/>
          <w:color w:val="auto"/>
          <w:sz w:val="44"/>
          <w:szCs w:val="44"/>
          <w:highlight w:val="none"/>
        </w:rPr>
      </w:pPr>
    </w:p>
    <w:p w14:paraId="4E1EE09B">
      <w:pPr>
        <w:pStyle w:val="30"/>
        <w:rPr>
          <w:rFonts w:hint="eastAsia" w:ascii="黑体" w:hAnsi="宋体" w:eastAsia="黑体"/>
          <w:b/>
          <w:color w:val="auto"/>
          <w:sz w:val="44"/>
          <w:szCs w:val="44"/>
          <w:highlight w:val="none"/>
        </w:rPr>
      </w:pPr>
    </w:p>
    <w:p w14:paraId="4B3844BE">
      <w:pPr>
        <w:pStyle w:val="30"/>
        <w:rPr>
          <w:rFonts w:hint="eastAsia" w:ascii="黑体" w:hAnsi="宋体" w:eastAsia="黑体"/>
          <w:b/>
          <w:color w:val="auto"/>
          <w:sz w:val="44"/>
          <w:szCs w:val="44"/>
          <w:highlight w:val="none"/>
        </w:rPr>
      </w:pPr>
    </w:p>
    <w:p w14:paraId="3F0FB9DF">
      <w:pPr>
        <w:pStyle w:val="30"/>
        <w:rPr>
          <w:rFonts w:hint="eastAsia" w:ascii="黑体" w:hAnsi="宋体" w:eastAsia="黑体"/>
          <w:b/>
          <w:color w:val="auto"/>
          <w:sz w:val="44"/>
          <w:szCs w:val="44"/>
          <w:highlight w:val="none"/>
        </w:rPr>
      </w:pPr>
    </w:p>
    <w:p w14:paraId="1607D1D3">
      <w:pPr>
        <w:pStyle w:val="30"/>
        <w:rPr>
          <w:rFonts w:hint="eastAsia" w:ascii="黑体" w:hAnsi="宋体" w:eastAsia="黑体"/>
          <w:b/>
          <w:color w:val="auto"/>
          <w:sz w:val="44"/>
          <w:szCs w:val="44"/>
          <w:highlight w:val="none"/>
        </w:rPr>
      </w:pPr>
    </w:p>
    <w:p w14:paraId="25B8CA05">
      <w:pPr>
        <w:pStyle w:val="30"/>
        <w:rPr>
          <w:rFonts w:hint="eastAsia" w:ascii="黑体" w:hAnsi="宋体" w:eastAsia="黑体"/>
          <w:b/>
          <w:color w:val="auto"/>
          <w:sz w:val="44"/>
          <w:szCs w:val="44"/>
          <w:highlight w:val="none"/>
        </w:rPr>
      </w:pPr>
    </w:p>
    <w:p w14:paraId="60353BE2">
      <w:pPr>
        <w:pStyle w:val="30"/>
        <w:rPr>
          <w:rFonts w:hint="eastAsia" w:ascii="黑体" w:hAnsi="宋体" w:eastAsia="黑体"/>
          <w:b/>
          <w:color w:val="auto"/>
          <w:sz w:val="44"/>
          <w:szCs w:val="44"/>
          <w:highlight w:val="none"/>
        </w:rPr>
      </w:pPr>
    </w:p>
    <w:p w14:paraId="642E3D6F">
      <w:pPr>
        <w:pStyle w:val="30"/>
        <w:rPr>
          <w:rFonts w:hint="eastAsia" w:ascii="黑体" w:hAnsi="宋体" w:eastAsia="黑体"/>
          <w:b/>
          <w:color w:val="auto"/>
          <w:sz w:val="44"/>
          <w:szCs w:val="44"/>
          <w:highlight w:val="none"/>
        </w:rPr>
      </w:pPr>
    </w:p>
    <w:p w14:paraId="6F0147CD">
      <w:pPr>
        <w:pStyle w:val="30"/>
        <w:rPr>
          <w:rFonts w:hint="eastAsia" w:ascii="黑体" w:hAnsi="宋体" w:eastAsia="黑体"/>
          <w:b/>
          <w:color w:val="auto"/>
          <w:sz w:val="44"/>
          <w:szCs w:val="44"/>
          <w:highlight w:val="none"/>
        </w:rPr>
      </w:pPr>
    </w:p>
    <w:p w14:paraId="7F93FB08">
      <w:pPr>
        <w:pStyle w:val="30"/>
        <w:rPr>
          <w:rFonts w:hint="eastAsia" w:ascii="黑体" w:hAnsi="宋体" w:eastAsia="黑体"/>
          <w:b/>
          <w:color w:val="auto"/>
          <w:sz w:val="44"/>
          <w:szCs w:val="44"/>
          <w:highlight w:val="none"/>
        </w:rPr>
      </w:pPr>
    </w:p>
    <w:p w14:paraId="547BFC0A">
      <w:pPr>
        <w:pStyle w:val="30"/>
        <w:rPr>
          <w:rFonts w:hint="eastAsia" w:ascii="黑体" w:hAnsi="宋体" w:eastAsia="黑体"/>
          <w:b/>
          <w:color w:val="auto"/>
          <w:sz w:val="44"/>
          <w:szCs w:val="44"/>
          <w:highlight w:val="none"/>
        </w:rPr>
      </w:pPr>
    </w:p>
    <w:p w14:paraId="460A89A1">
      <w:pPr>
        <w:pStyle w:val="30"/>
        <w:rPr>
          <w:rFonts w:hint="eastAsia" w:ascii="黑体" w:hAnsi="宋体" w:eastAsia="黑体"/>
          <w:b/>
          <w:color w:val="auto"/>
          <w:sz w:val="44"/>
          <w:szCs w:val="44"/>
          <w:highlight w:val="none"/>
        </w:rPr>
      </w:pPr>
    </w:p>
    <w:p w14:paraId="34340DAC">
      <w:pPr>
        <w:keepNext w:val="0"/>
        <w:keepLines w:val="0"/>
        <w:pageBreakBefore w:val="0"/>
        <w:widowControl/>
        <w:kinsoku/>
        <w:wordWrap/>
        <w:overflowPunct/>
        <w:topLinePunct w:val="0"/>
        <w:autoSpaceDE/>
        <w:autoSpaceDN/>
        <w:bidi w:val="0"/>
        <w:adjustRightInd/>
        <w:snapToGrid/>
        <w:spacing w:after="240" w:afterLines="100" w:line="480" w:lineRule="exact"/>
        <w:jc w:val="center"/>
        <w:textAlignment w:val="auto"/>
        <w:outlineLvl w:val="0"/>
        <w:rPr>
          <w:rFonts w:hint="eastAsia" w:ascii="黑体" w:hAnsi="宋体" w:eastAsia="黑体" w:cs="Times New Roman"/>
          <w:b/>
          <w:color w:val="auto"/>
          <w:kern w:val="44"/>
          <w:sz w:val="44"/>
          <w:szCs w:val="44"/>
          <w:highlight w:val="none"/>
          <w:lang w:val="en-US" w:eastAsia="zh-CN" w:bidi="ar-SA"/>
        </w:rPr>
      </w:pPr>
      <w:bookmarkStart w:id="221" w:name="_Toc18821"/>
      <w:r>
        <w:rPr>
          <w:rFonts w:hint="eastAsia" w:ascii="黑体" w:hAnsi="宋体" w:eastAsia="黑体" w:cs="Times New Roman"/>
          <w:b/>
          <w:color w:val="auto"/>
          <w:kern w:val="44"/>
          <w:sz w:val="44"/>
          <w:szCs w:val="44"/>
          <w:highlight w:val="none"/>
          <w:lang w:val="en-US" w:eastAsia="zh-CN" w:bidi="ar-SA"/>
        </w:rPr>
        <w:t>第六章 投标文件格式</w:t>
      </w:r>
      <w:bookmarkEnd w:id="178"/>
      <w:bookmarkEnd w:id="221"/>
    </w:p>
    <w:p w14:paraId="22C24ADC">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仿宋_GB2312" w:hAnsi="宋体" w:eastAsia="仿宋_GB2312"/>
          <w:b/>
          <w:color w:val="auto"/>
          <w:sz w:val="28"/>
          <w:szCs w:val="28"/>
          <w:highlight w:val="none"/>
        </w:rPr>
      </w:pPr>
      <w:r>
        <w:rPr>
          <w:rFonts w:hint="eastAsia" w:ascii="宋体" w:hAnsi="宋体"/>
          <w:color w:val="auto"/>
          <w:szCs w:val="21"/>
          <w:highlight w:val="none"/>
        </w:rPr>
        <w:t>投标文件格式是投标人的部分投标文件格式，投标人应当严格按照这些格式编制投标文件。编制投标文件前，请详细阅读招标文件，理解文件中的每一项要求，做出逐一实质性响应，认为有必要，可做补充说明。</w:t>
      </w:r>
    </w:p>
    <w:p w14:paraId="249C0256">
      <w:pPr>
        <w:spacing w:line="400" w:lineRule="exact"/>
        <w:ind w:firstLine="570"/>
        <w:rPr>
          <w:rFonts w:hint="eastAsia" w:ascii="仿宋_GB2312" w:hAnsi="宋体" w:eastAsia="仿宋_GB2312"/>
          <w:color w:val="auto"/>
          <w:sz w:val="28"/>
          <w:szCs w:val="28"/>
          <w:highlight w:val="none"/>
        </w:rPr>
      </w:pPr>
    </w:p>
    <w:p w14:paraId="69993A93">
      <w:pPr>
        <w:spacing w:line="400" w:lineRule="exact"/>
        <w:ind w:firstLine="570"/>
        <w:rPr>
          <w:rFonts w:hint="eastAsia" w:ascii="仿宋_GB2312" w:hAnsi="宋体" w:eastAsia="仿宋_GB2312"/>
          <w:color w:val="auto"/>
          <w:sz w:val="28"/>
          <w:szCs w:val="28"/>
          <w:highlight w:val="none"/>
        </w:rPr>
      </w:pPr>
    </w:p>
    <w:p w14:paraId="78B857FD">
      <w:pPr>
        <w:spacing w:line="400" w:lineRule="exact"/>
        <w:ind w:firstLine="570"/>
        <w:rPr>
          <w:rFonts w:hint="eastAsia" w:ascii="仿宋_GB2312" w:hAnsi="宋体" w:eastAsia="仿宋_GB2312"/>
          <w:color w:val="auto"/>
          <w:sz w:val="28"/>
          <w:szCs w:val="28"/>
          <w:highlight w:val="none"/>
        </w:rPr>
      </w:pPr>
    </w:p>
    <w:p w14:paraId="3C13C82F">
      <w:pPr>
        <w:spacing w:line="400" w:lineRule="exact"/>
        <w:ind w:firstLine="570"/>
        <w:rPr>
          <w:rFonts w:hint="eastAsia" w:ascii="仿宋_GB2312" w:hAnsi="宋体" w:eastAsia="仿宋_GB2312"/>
          <w:color w:val="auto"/>
          <w:sz w:val="28"/>
          <w:szCs w:val="28"/>
          <w:highlight w:val="none"/>
        </w:rPr>
      </w:pPr>
    </w:p>
    <w:p w14:paraId="68AFF9D2">
      <w:pPr>
        <w:spacing w:line="400" w:lineRule="exact"/>
        <w:ind w:firstLine="570"/>
        <w:rPr>
          <w:rFonts w:hint="eastAsia" w:ascii="仿宋_GB2312" w:hAnsi="宋体" w:eastAsia="仿宋_GB2312"/>
          <w:color w:val="auto"/>
          <w:sz w:val="28"/>
          <w:szCs w:val="28"/>
          <w:highlight w:val="none"/>
        </w:rPr>
      </w:pPr>
    </w:p>
    <w:p w14:paraId="6EA40BEE">
      <w:pPr>
        <w:spacing w:line="400" w:lineRule="exact"/>
        <w:ind w:firstLine="570"/>
        <w:rPr>
          <w:rFonts w:hint="eastAsia" w:ascii="仿宋_GB2312" w:hAnsi="宋体" w:eastAsia="仿宋_GB2312"/>
          <w:color w:val="auto"/>
          <w:sz w:val="28"/>
          <w:szCs w:val="28"/>
          <w:highlight w:val="none"/>
        </w:rPr>
      </w:pPr>
    </w:p>
    <w:p w14:paraId="0B2341C7">
      <w:pPr>
        <w:spacing w:line="400" w:lineRule="exact"/>
        <w:ind w:firstLine="570"/>
        <w:rPr>
          <w:rFonts w:hint="eastAsia" w:ascii="仿宋_GB2312" w:hAnsi="宋体" w:eastAsia="仿宋_GB2312"/>
          <w:color w:val="auto"/>
          <w:sz w:val="28"/>
          <w:szCs w:val="28"/>
          <w:highlight w:val="none"/>
        </w:rPr>
      </w:pPr>
    </w:p>
    <w:p w14:paraId="46B4FA2B">
      <w:pPr>
        <w:spacing w:line="400" w:lineRule="exact"/>
        <w:ind w:firstLine="570"/>
        <w:rPr>
          <w:rFonts w:hint="eastAsia" w:ascii="仿宋_GB2312" w:hAnsi="宋体" w:eastAsia="仿宋_GB2312"/>
          <w:color w:val="auto"/>
          <w:sz w:val="28"/>
          <w:szCs w:val="28"/>
          <w:highlight w:val="none"/>
        </w:rPr>
      </w:pPr>
    </w:p>
    <w:p w14:paraId="1EC826C2">
      <w:pPr>
        <w:spacing w:line="400" w:lineRule="exact"/>
        <w:ind w:firstLine="570"/>
        <w:rPr>
          <w:rFonts w:hint="eastAsia" w:ascii="仿宋_GB2312" w:hAnsi="宋体" w:eastAsia="仿宋_GB2312"/>
          <w:color w:val="auto"/>
          <w:sz w:val="28"/>
          <w:szCs w:val="28"/>
          <w:highlight w:val="none"/>
        </w:rPr>
      </w:pPr>
    </w:p>
    <w:p w14:paraId="51DBC6E3">
      <w:pPr>
        <w:spacing w:line="400" w:lineRule="exact"/>
        <w:ind w:firstLine="570"/>
        <w:rPr>
          <w:rFonts w:hint="eastAsia" w:ascii="仿宋_GB2312" w:hAnsi="宋体" w:eastAsia="仿宋_GB2312"/>
          <w:color w:val="auto"/>
          <w:sz w:val="28"/>
          <w:szCs w:val="28"/>
          <w:highlight w:val="none"/>
        </w:rPr>
      </w:pPr>
    </w:p>
    <w:p w14:paraId="2F9E6A6B">
      <w:pPr>
        <w:spacing w:line="400" w:lineRule="exact"/>
        <w:ind w:firstLine="570"/>
        <w:rPr>
          <w:rFonts w:hint="eastAsia" w:ascii="仿宋_GB2312" w:hAnsi="宋体" w:eastAsia="仿宋_GB2312"/>
          <w:color w:val="auto"/>
          <w:sz w:val="28"/>
          <w:szCs w:val="28"/>
          <w:highlight w:val="none"/>
        </w:rPr>
      </w:pPr>
    </w:p>
    <w:p w14:paraId="4D5C0E37">
      <w:pPr>
        <w:spacing w:line="400" w:lineRule="exact"/>
        <w:ind w:firstLine="570"/>
        <w:rPr>
          <w:rFonts w:hint="eastAsia" w:ascii="仿宋_GB2312" w:hAnsi="宋体" w:eastAsia="仿宋_GB2312"/>
          <w:color w:val="auto"/>
          <w:sz w:val="28"/>
          <w:szCs w:val="28"/>
          <w:highlight w:val="none"/>
        </w:rPr>
      </w:pPr>
    </w:p>
    <w:p w14:paraId="14B9ADE0">
      <w:pPr>
        <w:spacing w:line="400" w:lineRule="exact"/>
        <w:ind w:firstLine="570"/>
        <w:rPr>
          <w:rFonts w:hint="eastAsia" w:ascii="仿宋_GB2312" w:hAnsi="宋体" w:eastAsia="仿宋_GB2312"/>
          <w:b/>
          <w:color w:val="auto"/>
          <w:sz w:val="28"/>
          <w:szCs w:val="28"/>
          <w:highlight w:val="none"/>
        </w:rPr>
      </w:pPr>
    </w:p>
    <w:p w14:paraId="7FAF274F">
      <w:pPr>
        <w:spacing w:line="400" w:lineRule="exact"/>
        <w:ind w:firstLine="570"/>
        <w:rPr>
          <w:rFonts w:hint="eastAsia" w:ascii="仿宋_GB2312" w:hAnsi="宋体" w:eastAsia="仿宋_GB2312"/>
          <w:b/>
          <w:color w:val="auto"/>
          <w:sz w:val="28"/>
          <w:szCs w:val="28"/>
          <w:highlight w:val="none"/>
        </w:rPr>
      </w:pPr>
    </w:p>
    <w:p w14:paraId="06FC90DD">
      <w:pPr>
        <w:spacing w:line="400" w:lineRule="exact"/>
        <w:ind w:firstLine="570"/>
        <w:rPr>
          <w:rFonts w:hint="eastAsia" w:ascii="仿宋_GB2312" w:hAnsi="宋体" w:eastAsia="仿宋_GB2312"/>
          <w:b/>
          <w:color w:val="auto"/>
          <w:sz w:val="28"/>
          <w:szCs w:val="28"/>
          <w:highlight w:val="none"/>
        </w:rPr>
      </w:pPr>
    </w:p>
    <w:p w14:paraId="4F8079BA">
      <w:pPr>
        <w:spacing w:line="400" w:lineRule="exact"/>
        <w:ind w:firstLine="570"/>
        <w:rPr>
          <w:rFonts w:hint="eastAsia" w:ascii="仿宋_GB2312" w:hAnsi="宋体" w:eastAsia="仿宋_GB2312"/>
          <w:b/>
          <w:color w:val="auto"/>
          <w:sz w:val="28"/>
          <w:szCs w:val="28"/>
          <w:highlight w:val="none"/>
        </w:rPr>
      </w:pPr>
    </w:p>
    <w:p w14:paraId="5794E4C5">
      <w:pPr>
        <w:spacing w:line="400" w:lineRule="exact"/>
        <w:ind w:firstLine="570"/>
        <w:rPr>
          <w:rFonts w:hint="eastAsia" w:ascii="仿宋_GB2312" w:hAnsi="宋体" w:eastAsia="仿宋_GB2312"/>
          <w:b/>
          <w:color w:val="auto"/>
          <w:sz w:val="28"/>
          <w:szCs w:val="28"/>
          <w:highlight w:val="none"/>
        </w:rPr>
      </w:pPr>
    </w:p>
    <w:p w14:paraId="07BC992E">
      <w:pPr>
        <w:spacing w:line="400" w:lineRule="exact"/>
        <w:ind w:firstLine="570"/>
        <w:rPr>
          <w:rFonts w:hint="eastAsia" w:ascii="仿宋_GB2312" w:hAnsi="宋体" w:eastAsia="仿宋_GB2312"/>
          <w:b/>
          <w:color w:val="auto"/>
          <w:sz w:val="28"/>
          <w:szCs w:val="28"/>
          <w:highlight w:val="none"/>
        </w:rPr>
      </w:pPr>
    </w:p>
    <w:p w14:paraId="6B9FFAD4">
      <w:pPr>
        <w:spacing w:line="400" w:lineRule="exact"/>
        <w:ind w:firstLine="570"/>
        <w:rPr>
          <w:rFonts w:hint="eastAsia" w:ascii="仿宋_GB2312" w:hAnsi="宋体" w:eastAsia="仿宋_GB2312"/>
          <w:b/>
          <w:color w:val="auto"/>
          <w:sz w:val="28"/>
          <w:szCs w:val="28"/>
          <w:highlight w:val="none"/>
        </w:rPr>
      </w:pPr>
    </w:p>
    <w:p w14:paraId="7B1C50F4">
      <w:pPr>
        <w:spacing w:line="400" w:lineRule="exact"/>
        <w:ind w:firstLine="570"/>
        <w:rPr>
          <w:rFonts w:hint="eastAsia" w:ascii="仿宋_GB2312" w:hAnsi="宋体" w:eastAsia="仿宋_GB2312"/>
          <w:b/>
          <w:color w:val="auto"/>
          <w:sz w:val="28"/>
          <w:szCs w:val="28"/>
          <w:highlight w:val="none"/>
        </w:rPr>
      </w:pPr>
    </w:p>
    <w:p w14:paraId="3FAC82E9">
      <w:pPr>
        <w:pStyle w:val="30"/>
        <w:rPr>
          <w:rFonts w:hint="eastAsia" w:ascii="仿宋_GB2312" w:hAnsi="宋体" w:eastAsia="仿宋_GB2312"/>
          <w:b/>
          <w:color w:val="auto"/>
          <w:sz w:val="28"/>
          <w:szCs w:val="28"/>
          <w:highlight w:val="none"/>
        </w:rPr>
      </w:pPr>
    </w:p>
    <w:p w14:paraId="68440DAE">
      <w:pPr>
        <w:pStyle w:val="30"/>
        <w:rPr>
          <w:rFonts w:hint="eastAsia" w:ascii="仿宋_GB2312" w:hAnsi="宋体" w:eastAsia="仿宋_GB2312"/>
          <w:b/>
          <w:color w:val="auto"/>
          <w:sz w:val="28"/>
          <w:szCs w:val="28"/>
          <w:highlight w:val="none"/>
        </w:rPr>
      </w:pPr>
    </w:p>
    <w:p w14:paraId="2FA6288C">
      <w:pPr>
        <w:spacing w:line="400" w:lineRule="exact"/>
        <w:ind w:firstLine="570"/>
        <w:rPr>
          <w:rFonts w:hint="eastAsia" w:ascii="仿宋_GB2312" w:hAnsi="宋体" w:eastAsia="仿宋_GB2312"/>
          <w:b/>
          <w:color w:val="auto"/>
          <w:sz w:val="28"/>
          <w:szCs w:val="28"/>
          <w:highlight w:val="none"/>
        </w:rPr>
      </w:pPr>
    </w:p>
    <w:p w14:paraId="3F9F93B0">
      <w:pPr>
        <w:spacing w:line="400" w:lineRule="exact"/>
        <w:ind w:firstLine="570"/>
        <w:rPr>
          <w:rFonts w:hint="eastAsia" w:ascii="仿宋_GB2312" w:hAnsi="宋体" w:eastAsia="仿宋_GB2312"/>
          <w:b/>
          <w:color w:val="auto"/>
          <w:sz w:val="28"/>
          <w:szCs w:val="28"/>
          <w:highlight w:val="none"/>
        </w:rPr>
      </w:pPr>
    </w:p>
    <w:p w14:paraId="208495B4">
      <w:pPr>
        <w:pStyle w:val="3"/>
        <w:spacing w:before="120" w:after="120" w:line="400" w:lineRule="exact"/>
        <w:rPr>
          <w:rFonts w:hint="eastAsia" w:ascii="宋体" w:hAnsi="宋体" w:eastAsia="宋体"/>
          <w:color w:val="auto"/>
          <w:szCs w:val="28"/>
          <w:highlight w:val="none"/>
        </w:rPr>
      </w:pPr>
      <w:bookmarkStart w:id="222" w:name="_Toc23035"/>
      <w:bookmarkStart w:id="223" w:name="_Toc217446082"/>
      <w:r>
        <w:rPr>
          <w:rFonts w:hint="eastAsia" w:ascii="宋体" w:hAnsi="宋体" w:eastAsia="宋体"/>
          <w:color w:val="auto"/>
          <w:szCs w:val="28"/>
          <w:highlight w:val="none"/>
          <w:lang w:val="en-US" w:eastAsia="zh-CN"/>
        </w:rPr>
        <w:t>采购</w:t>
      </w:r>
      <w:r>
        <w:rPr>
          <w:rFonts w:hint="eastAsia" w:ascii="宋体" w:hAnsi="宋体" w:eastAsia="宋体"/>
          <w:color w:val="auto"/>
          <w:szCs w:val="28"/>
          <w:highlight w:val="none"/>
        </w:rPr>
        <w:t>项目编号：</w:t>
      </w:r>
      <w:bookmarkEnd w:id="222"/>
      <w:r>
        <w:rPr>
          <w:rFonts w:hint="eastAsia" w:ascii="宋体" w:hAnsi="宋体" w:eastAsia="宋体"/>
          <w:color w:val="auto"/>
          <w:szCs w:val="28"/>
          <w:highlight w:val="none"/>
        </w:rPr>
        <w:t xml:space="preserve"> </w:t>
      </w:r>
    </w:p>
    <w:p w14:paraId="39FF1BB0">
      <w:pPr>
        <w:pStyle w:val="3"/>
        <w:spacing w:line="400" w:lineRule="exact"/>
        <w:outlineLvl w:val="9"/>
        <w:rPr>
          <w:rFonts w:hint="eastAsia" w:ascii="仿宋_GB2312" w:eastAsia="仿宋_GB2312"/>
          <w:color w:val="auto"/>
          <w:szCs w:val="28"/>
          <w:highlight w:val="none"/>
        </w:rPr>
      </w:pPr>
      <w:r>
        <w:rPr>
          <w:rFonts w:hint="eastAsia" w:ascii="仿宋_GB2312" w:eastAsia="仿宋_GB2312"/>
          <w:color w:val="auto"/>
          <w:szCs w:val="28"/>
          <w:highlight w:val="none"/>
        </w:rPr>
        <w:t xml:space="preserve">                           </w:t>
      </w:r>
    </w:p>
    <w:p w14:paraId="53090E4D">
      <w:pPr>
        <w:pStyle w:val="3"/>
        <w:spacing w:line="400" w:lineRule="exact"/>
        <w:jc w:val="center"/>
        <w:outlineLvl w:val="9"/>
        <w:rPr>
          <w:rFonts w:hint="eastAsia" w:ascii="仿宋_GB2312" w:eastAsia="仿宋_GB2312"/>
          <w:color w:val="auto"/>
          <w:szCs w:val="28"/>
          <w:highlight w:val="none"/>
        </w:rPr>
      </w:pPr>
    </w:p>
    <w:p w14:paraId="70462F70">
      <w:pPr>
        <w:snapToGrid w:val="0"/>
        <w:spacing w:before="480" w:beforeLines="200" w:line="360" w:lineRule="auto"/>
        <w:jc w:val="center"/>
        <w:rPr>
          <w:rFonts w:hint="eastAsia" w:eastAsia="黑体"/>
          <w:b/>
          <w:color w:val="auto"/>
          <w:sz w:val="44"/>
          <w:szCs w:val="44"/>
          <w:highlight w:val="none"/>
          <w:lang w:eastAsia="zh-CN"/>
        </w:rPr>
      </w:pPr>
      <w:r>
        <w:rPr>
          <w:rFonts w:hint="eastAsia" w:eastAsia="黑体"/>
          <w:b/>
          <w:color w:val="auto"/>
          <w:sz w:val="44"/>
          <w:szCs w:val="44"/>
          <w:highlight w:val="none"/>
          <w:lang w:eastAsia="zh-CN"/>
        </w:rPr>
        <w:t>伊宁县第六中学教学仪器设备采购项目（六标段）</w:t>
      </w:r>
    </w:p>
    <w:p w14:paraId="749424FA">
      <w:pPr>
        <w:pStyle w:val="3"/>
        <w:spacing w:line="680" w:lineRule="exact"/>
        <w:jc w:val="center"/>
        <w:outlineLvl w:val="9"/>
        <w:rPr>
          <w:rFonts w:hint="eastAsia" w:ascii="宋体" w:hAnsi="宋体" w:eastAsia="宋体"/>
          <w:b w:val="0"/>
          <w:color w:val="auto"/>
          <w:sz w:val="44"/>
          <w:szCs w:val="44"/>
          <w:highlight w:val="none"/>
        </w:rPr>
      </w:pPr>
    </w:p>
    <w:p w14:paraId="2E2A5F83">
      <w:pPr>
        <w:pStyle w:val="3"/>
        <w:spacing w:line="400" w:lineRule="exact"/>
        <w:jc w:val="center"/>
        <w:outlineLvl w:val="9"/>
        <w:rPr>
          <w:rFonts w:hint="eastAsia" w:ascii="宋体" w:hAnsi="宋体" w:eastAsia="宋体"/>
          <w:color w:val="auto"/>
          <w:sz w:val="44"/>
          <w:szCs w:val="44"/>
          <w:highlight w:val="none"/>
        </w:rPr>
      </w:pPr>
    </w:p>
    <w:p w14:paraId="0FE3A4FC">
      <w:pPr>
        <w:pStyle w:val="3"/>
        <w:spacing w:line="900" w:lineRule="exact"/>
        <w:jc w:val="center"/>
        <w:rPr>
          <w:rFonts w:hint="eastAsia" w:ascii="微软雅黑" w:hAnsi="宋体" w:eastAsia="微软雅黑"/>
          <w:b w:val="0"/>
          <w:color w:val="auto"/>
          <w:sz w:val="84"/>
          <w:szCs w:val="84"/>
          <w:highlight w:val="none"/>
        </w:rPr>
      </w:pPr>
      <w:bookmarkStart w:id="224" w:name="_Toc20804"/>
      <w:r>
        <w:rPr>
          <w:rFonts w:hint="eastAsia" w:ascii="微软雅黑" w:hAnsi="宋体" w:eastAsia="微软雅黑"/>
          <w:b w:val="0"/>
          <w:color w:val="auto"/>
          <w:sz w:val="84"/>
          <w:szCs w:val="84"/>
          <w:highlight w:val="none"/>
        </w:rPr>
        <w:t>投标文件</w:t>
      </w:r>
      <w:bookmarkEnd w:id="224"/>
    </w:p>
    <w:p w14:paraId="58216080">
      <w:pPr>
        <w:pStyle w:val="4"/>
        <w:ind w:firstLine="0"/>
        <w:jc w:val="center"/>
        <w:rPr>
          <w:rFonts w:hint="eastAsia"/>
          <w:color w:val="auto"/>
          <w:sz w:val="32"/>
          <w:szCs w:val="32"/>
          <w:highlight w:val="none"/>
        </w:rPr>
      </w:pPr>
    </w:p>
    <w:p w14:paraId="72C969EA">
      <w:pPr>
        <w:pStyle w:val="4"/>
        <w:rPr>
          <w:rFonts w:hint="eastAsia"/>
          <w:color w:val="auto"/>
          <w:sz w:val="28"/>
          <w:szCs w:val="28"/>
          <w:highlight w:val="none"/>
        </w:rPr>
      </w:pPr>
    </w:p>
    <w:p w14:paraId="01AF1B85">
      <w:pPr>
        <w:pStyle w:val="4"/>
        <w:rPr>
          <w:rFonts w:hint="eastAsia"/>
          <w:color w:val="auto"/>
          <w:sz w:val="28"/>
          <w:szCs w:val="28"/>
          <w:highlight w:val="none"/>
        </w:rPr>
      </w:pPr>
    </w:p>
    <w:p w14:paraId="628DD6D9">
      <w:pPr>
        <w:pStyle w:val="4"/>
        <w:rPr>
          <w:rFonts w:hint="eastAsia"/>
          <w:color w:val="auto"/>
          <w:sz w:val="28"/>
          <w:szCs w:val="28"/>
          <w:highlight w:val="none"/>
        </w:rPr>
      </w:pPr>
    </w:p>
    <w:p w14:paraId="774C0303">
      <w:pPr>
        <w:pStyle w:val="4"/>
        <w:rPr>
          <w:rFonts w:hint="eastAsia"/>
          <w:color w:val="auto"/>
          <w:sz w:val="28"/>
          <w:szCs w:val="28"/>
          <w:highlight w:val="none"/>
        </w:rPr>
      </w:pPr>
    </w:p>
    <w:p w14:paraId="178A689D">
      <w:pPr>
        <w:pStyle w:val="4"/>
        <w:rPr>
          <w:rFonts w:hint="eastAsia"/>
          <w:color w:val="auto"/>
          <w:sz w:val="28"/>
          <w:szCs w:val="28"/>
          <w:highlight w:val="none"/>
        </w:rPr>
      </w:pPr>
    </w:p>
    <w:p w14:paraId="1F6B53CD">
      <w:pPr>
        <w:pStyle w:val="4"/>
        <w:rPr>
          <w:rFonts w:hint="eastAsia"/>
          <w:color w:val="auto"/>
          <w:sz w:val="28"/>
          <w:szCs w:val="28"/>
          <w:highlight w:val="none"/>
        </w:rPr>
      </w:pPr>
    </w:p>
    <w:p w14:paraId="251D18B2">
      <w:pPr>
        <w:pStyle w:val="4"/>
        <w:spacing w:before="120" w:beforeLines="50"/>
        <w:ind w:firstLine="0"/>
        <w:rPr>
          <w:rFonts w:hint="eastAsia" w:ascii="宋体" w:hAnsi="宋体"/>
          <w:b/>
          <w:color w:val="auto"/>
          <w:sz w:val="28"/>
          <w:szCs w:val="28"/>
          <w:highlight w:val="none"/>
        </w:rPr>
      </w:pPr>
    </w:p>
    <w:p w14:paraId="58237159">
      <w:pPr>
        <w:pStyle w:val="4"/>
        <w:spacing w:before="120" w:beforeLines="50"/>
        <w:ind w:firstLine="0"/>
        <w:rPr>
          <w:rFonts w:hint="eastAsia" w:ascii="宋体" w:hAnsi="宋体"/>
          <w:b/>
          <w:color w:val="auto"/>
          <w:sz w:val="28"/>
          <w:szCs w:val="28"/>
          <w:highlight w:val="none"/>
        </w:rPr>
      </w:pPr>
    </w:p>
    <w:p w14:paraId="7EFA5046">
      <w:pPr>
        <w:pStyle w:val="4"/>
        <w:spacing w:before="120" w:beforeLines="50"/>
        <w:ind w:firstLine="1630" w:firstLineChars="580"/>
        <w:rPr>
          <w:rFonts w:hint="eastAsia" w:ascii="宋体" w:hAnsi="宋体"/>
          <w:b/>
          <w:color w:val="auto"/>
          <w:sz w:val="28"/>
          <w:szCs w:val="28"/>
          <w:highlight w:val="none"/>
        </w:rPr>
      </w:pPr>
    </w:p>
    <w:p w14:paraId="51F0DC30">
      <w:pPr>
        <w:pStyle w:val="4"/>
        <w:spacing w:before="120" w:beforeLines="50"/>
        <w:ind w:firstLine="1630" w:firstLineChars="580"/>
        <w:rPr>
          <w:rFonts w:hint="eastAsia" w:ascii="宋体" w:hAnsi="宋体"/>
          <w:color w:val="auto"/>
          <w:sz w:val="28"/>
          <w:szCs w:val="28"/>
          <w:highlight w:val="none"/>
        </w:rPr>
      </w:pPr>
      <w:r>
        <w:rPr>
          <w:rFonts w:hint="eastAsia" w:ascii="宋体" w:hAnsi="宋体"/>
          <w:b/>
          <w:color w:val="auto"/>
          <w:sz w:val="28"/>
          <w:szCs w:val="28"/>
          <w:highlight w:val="none"/>
        </w:rPr>
        <w:t xml:space="preserve">投标人：                        </w:t>
      </w:r>
      <w:r>
        <w:rPr>
          <w:rFonts w:hint="eastAsia" w:ascii="宋体" w:hAnsi="宋体"/>
          <w:color w:val="auto"/>
          <w:sz w:val="28"/>
          <w:szCs w:val="28"/>
          <w:highlight w:val="none"/>
        </w:rPr>
        <w:t>（盖单位章）</w:t>
      </w:r>
    </w:p>
    <w:p w14:paraId="7B7D8BE2">
      <w:pPr>
        <w:pStyle w:val="4"/>
        <w:spacing w:before="120" w:beforeLines="50"/>
        <w:ind w:firstLine="1630" w:firstLineChars="580"/>
        <w:rPr>
          <w:rFonts w:hint="eastAsia" w:ascii="宋体" w:hAnsi="宋体"/>
          <w:color w:val="auto"/>
          <w:sz w:val="28"/>
          <w:szCs w:val="28"/>
          <w:highlight w:val="none"/>
        </w:rPr>
      </w:pPr>
      <w:r>
        <w:rPr>
          <w:rFonts w:hint="eastAsia" w:ascii="宋体" w:hAnsi="宋体"/>
          <w:b/>
          <w:color w:val="auto"/>
          <w:sz w:val="28"/>
          <w:szCs w:val="28"/>
          <w:highlight w:val="none"/>
        </w:rPr>
        <w:t xml:space="preserve">法定代表人或委托代理人：        </w:t>
      </w:r>
      <w:r>
        <w:rPr>
          <w:rFonts w:hint="eastAsia" w:ascii="宋体" w:hAnsi="宋体"/>
          <w:color w:val="auto"/>
          <w:sz w:val="28"/>
          <w:szCs w:val="28"/>
          <w:highlight w:val="none"/>
        </w:rPr>
        <w:t>（签字）</w:t>
      </w:r>
    </w:p>
    <w:p w14:paraId="65A79556">
      <w:pPr>
        <w:pStyle w:val="4"/>
        <w:spacing w:before="120" w:beforeLines="50"/>
        <w:ind w:firstLine="1630" w:firstLineChars="580"/>
        <w:rPr>
          <w:rFonts w:hint="eastAsia" w:ascii="宋体" w:hAnsi="宋体"/>
          <w:color w:val="auto"/>
          <w:sz w:val="28"/>
          <w:szCs w:val="28"/>
          <w:highlight w:val="none"/>
        </w:rPr>
      </w:pPr>
      <w:r>
        <w:rPr>
          <w:rFonts w:hint="eastAsia"/>
          <w:b/>
          <w:color w:val="auto"/>
          <w:sz w:val="28"/>
          <w:szCs w:val="28"/>
          <w:highlight w:val="none"/>
        </w:rPr>
        <w:t xml:space="preserve">时  间：    </w:t>
      </w:r>
      <w:r>
        <w:rPr>
          <w:rFonts w:hint="eastAsia" w:ascii="宋体" w:hAnsi="宋体"/>
          <w:color w:val="auto"/>
          <w:sz w:val="28"/>
          <w:szCs w:val="28"/>
          <w:highlight w:val="none"/>
        </w:rPr>
        <w:t>20    年  月  日</w:t>
      </w:r>
    </w:p>
    <w:p w14:paraId="0D612FA4">
      <w:pPr>
        <w:pStyle w:val="4"/>
        <w:spacing w:before="120" w:beforeLines="50" w:after="120" w:afterLines="50"/>
        <w:ind w:firstLine="0"/>
        <w:jc w:val="center"/>
        <w:rPr>
          <w:rFonts w:hint="eastAsia"/>
          <w:color w:val="auto"/>
          <w:sz w:val="32"/>
          <w:szCs w:val="32"/>
          <w:highlight w:val="none"/>
        </w:rPr>
      </w:pPr>
    </w:p>
    <w:p w14:paraId="6E6981D0">
      <w:pPr>
        <w:pStyle w:val="4"/>
        <w:spacing w:before="120" w:beforeLines="50" w:after="120" w:afterLines="50"/>
        <w:ind w:firstLine="0"/>
        <w:jc w:val="center"/>
        <w:rPr>
          <w:rFonts w:hint="eastAsia"/>
          <w:b/>
          <w:bCs/>
          <w:color w:val="auto"/>
          <w:sz w:val="32"/>
          <w:szCs w:val="32"/>
          <w:highlight w:val="none"/>
        </w:rPr>
      </w:pPr>
    </w:p>
    <w:p w14:paraId="65CF28DA">
      <w:pPr>
        <w:pStyle w:val="4"/>
        <w:spacing w:before="120" w:beforeLines="50" w:after="120" w:afterLines="50"/>
        <w:ind w:firstLine="0"/>
        <w:jc w:val="center"/>
        <w:rPr>
          <w:rFonts w:hint="eastAsia"/>
          <w:b/>
          <w:bCs/>
          <w:color w:val="auto"/>
          <w:sz w:val="32"/>
          <w:szCs w:val="32"/>
          <w:highlight w:val="none"/>
        </w:rPr>
      </w:pPr>
    </w:p>
    <w:p w14:paraId="6B1E6401">
      <w:pPr>
        <w:pStyle w:val="30"/>
        <w:rPr>
          <w:rFonts w:hint="eastAsia"/>
          <w:color w:val="auto"/>
          <w:highlight w:val="none"/>
        </w:rPr>
      </w:pPr>
    </w:p>
    <w:p w14:paraId="377A251B">
      <w:pPr>
        <w:pStyle w:val="4"/>
        <w:spacing w:before="120" w:beforeLines="50" w:after="120" w:afterLines="50"/>
        <w:ind w:firstLine="0"/>
        <w:jc w:val="center"/>
        <w:rPr>
          <w:rFonts w:hint="eastAsia"/>
          <w:b/>
          <w:bCs/>
          <w:color w:val="auto"/>
          <w:sz w:val="36"/>
          <w:szCs w:val="36"/>
          <w:highlight w:val="none"/>
        </w:rPr>
      </w:pPr>
      <w:r>
        <w:rPr>
          <w:rFonts w:hint="eastAsia"/>
          <w:b/>
          <w:bCs/>
          <w:color w:val="auto"/>
          <w:sz w:val="36"/>
          <w:szCs w:val="36"/>
          <w:highlight w:val="none"/>
        </w:rPr>
        <w:t>（资格审查部分）</w:t>
      </w:r>
    </w:p>
    <w:p w14:paraId="4FCFA9C8">
      <w:pPr>
        <w:rPr>
          <w:rFonts w:hint="eastAsia" w:ascii="微软雅黑" w:eastAsia="微软雅黑"/>
          <w:color w:val="auto"/>
          <w:sz w:val="44"/>
          <w:szCs w:val="44"/>
          <w:highlight w:val="none"/>
        </w:rPr>
      </w:pPr>
      <w:r>
        <w:rPr>
          <w:rFonts w:hint="eastAsia" w:ascii="微软雅黑" w:eastAsia="微软雅黑"/>
          <w:color w:val="auto"/>
          <w:sz w:val="44"/>
          <w:szCs w:val="44"/>
          <w:highlight w:val="none"/>
        </w:rPr>
        <w:br w:type="page"/>
      </w:r>
    </w:p>
    <w:p w14:paraId="6119C0D4">
      <w:pPr>
        <w:pStyle w:val="4"/>
        <w:spacing w:before="120" w:beforeLines="50" w:after="120" w:afterLines="50"/>
        <w:ind w:firstLine="0"/>
        <w:jc w:val="center"/>
        <w:rPr>
          <w:rFonts w:hint="eastAsia" w:ascii="微软雅黑" w:eastAsia="微软雅黑"/>
          <w:color w:val="auto"/>
          <w:sz w:val="44"/>
          <w:szCs w:val="44"/>
          <w:highlight w:val="none"/>
        </w:rPr>
      </w:pPr>
      <w:r>
        <w:rPr>
          <w:rFonts w:hint="eastAsia" w:ascii="微软雅黑" w:eastAsia="微软雅黑"/>
          <w:color w:val="auto"/>
          <w:sz w:val="44"/>
          <w:szCs w:val="44"/>
          <w:highlight w:val="none"/>
        </w:rPr>
        <w:t>目  录</w:t>
      </w:r>
    </w:p>
    <w:p w14:paraId="3DD6C87B">
      <w:pPr>
        <w:pStyle w:val="4"/>
        <w:spacing w:before="120" w:beforeLines="50" w:line="360" w:lineRule="auto"/>
        <w:ind w:firstLine="0"/>
        <w:rPr>
          <w:rFonts w:hint="eastAsia"/>
          <w:color w:val="auto"/>
          <w:sz w:val="24"/>
          <w:szCs w:val="24"/>
          <w:highlight w:val="none"/>
        </w:rPr>
      </w:pPr>
    </w:p>
    <w:p w14:paraId="3A6FB72E">
      <w:pPr>
        <w:rPr>
          <w:rFonts w:hint="eastAsia"/>
          <w:color w:val="auto"/>
          <w:highlight w:val="none"/>
        </w:rPr>
      </w:pPr>
    </w:p>
    <w:p w14:paraId="453BEE3F">
      <w:pPr>
        <w:spacing w:line="480" w:lineRule="auto"/>
        <w:ind w:firstLine="525" w:firstLineChars="250"/>
        <w:rPr>
          <w:rFonts w:hint="eastAsia" w:ascii="宋体" w:hAnsi="宋体"/>
          <w:color w:val="auto"/>
          <w:szCs w:val="21"/>
          <w:highlight w:val="none"/>
        </w:rPr>
      </w:pPr>
      <w:r>
        <w:rPr>
          <w:rFonts w:hint="eastAsia" w:ascii="宋体" w:hAnsi="宋体"/>
          <w:color w:val="auto"/>
          <w:szCs w:val="21"/>
          <w:highlight w:val="none"/>
        </w:rPr>
        <w:t>1.投标人基本情况表…………………………………………………………………………页码</w:t>
      </w:r>
    </w:p>
    <w:p w14:paraId="15C9CB53">
      <w:pPr>
        <w:spacing w:line="480" w:lineRule="auto"/>
        <w:ind w:firstLine="525" w:firstLineChars="250"/>
        <w:rPr>
          <w:rFonts w:hint="eastAsia" w:ascii="宋体" w:hAnsi="宋体"/>
          <w:color w:val="auto"/>
          <w:szCs w:val="21"/>
          <w:highlight w:val="none"/>
        </w:rPr>
      </w:pPr>
      <w:r>
        <w:rPr>
          <w:rFonts w:hint="eastAsia" w:ascii="宋体" w:hAnsi="宋体"/>
          <w:color w:val="auto"/>
          <w:szCs w:val="21"/>
          <w:highlight w:val="none"/>
        </w:rPr>
        <w:t>2.法定代表人身份证明………………………………………………………………………页码</w:t>
      </w:r>
    </w:p>
    <w:p w14:paraId="78BF56D1">
      <w:pPr>
        <w:spacing w:line="480" w:lineRule="auto"/>
        <w:ind w:firstLine="525" w:firstLineChars="250"/>
        <w:rPr>
          <w:rFonts w:hint="eastAsia" w:ascii="宋体" w:hAnsi="宋体"/>
          <w:color w:val="auto"/>
          <w:szCs w:val="21"/>
          <w:highlight w:val="none"/>
        </w:rPr>
      </w:pPr>
      <w:r>
        <w:rPr>
          <w:rFonts w:hint="eastAsia" w:ascii="宋体" w:hAnsi="宋体"/>
          <w:color w:val="auto"/>
          <w:szCs w:val="21"/>
          <w:highlight w:val="none"/>
        </w:rPr>
        <w:t>3.法定代表人授权书…………………………………………………………………………页码</w:t>
      </w:r>
    </w:p>
    <w:p w14:paraId="210F5E7A">
      <w:pPr>
        <w:spacing w:line="480" w:lineRule="auto"/>
        <w:ind w:firstLine="525" w:firstLineChars="250"/>
        <w:rPr>
          <w:rFonts w:hint="eastAsia" w:ascii="宋体" w:hAnsi="宋体"/>
          <w:color w:val="auto"/>
          <w:szCs w:val="21"/>
          <w:highlight w:val="none"/>
        </w:rPr>
      </w:pPr>
      <w:r>
        <w:rPr>
          <w:rFonts w:hint="eastAsia" w:ascii="宋体" w:hAnsi="宋体"/>
          <w:color w:val="auto"/>
          <w:szCs w:val="21"/>
          <w:highlight w:val="none"/>
          <w:lang w:val="en-US" w:eastAsia="zh-CN"/>
        </w:rPr>
        <w:t>4</w:t>
      </w:r>
      <w:r>
        <w:rPr>
          <w:rFonts w:hint="eastAsia" w:ascii="宋体" w:hAnsi="宋体"/>
          <w:color w:val="auto"/>
          <w:szCs w:val="21"/>
          <w:highlight w:val="none"/>
        </w:rPr>
        <w:t>.投标人</w:t>
      </w:r>
      <w:r>
        <w:rPr>
          <w:rFonts w:hint="eastAsia" w:ascii="宋体" w:hAnsi="宋体"/>
          <w:color w:val="auto"/>
          <w:szCs w:val="21"/>
          <w:highlight w:val="none"/>
          <w:lang w:val="zh-CN"/>
        </w:rPr>
        <w:t>营业执照等证明文件，自然人的身份证明</w:t>
      </w:r>
      <w:r>
        <w:rPr>
          <w:rFonts w:hint="eastAsia" w:ascii="宋体" w:hAnsi="宋体"/>
          <w:color w:val="auto"/>
          <w:szCs w:val="21"/>
          <w:highlight w:val="none"/>
        </w:rPr>
        <w:t>………………………………………页码</w:t>
      </w:r>
    </w:p>
    <w:p w14:paraId="4079B094">
      <w:pPr>
        <w:spacing w:line="480" w:lineRule="auto"/>
        <w:ind w:firstLine="525" w:firstLineChars="250"/>
        <w:rPr>
          <w:rFonts w:hint="eastAsia" w:ascii="宋体" w:hAnsi="宋体"/>
          <w:color w:val="auto"/>
          <w:szCs w:val="21"/>
          <w:highlight w:val="none"/>
        </w:rPr>
      </w:pPr>
      <w:r>
        <w:rPr>
          <w:rFonts w:hint="eastAsia" w:ascii="宋体" w:hAnsi="宋体"/>
          <w:color w:val="auto"/>
          <w:szCs w:val="21"/>
          <w:highlight w:val="none"/>
          <w:lang w:val="en-US" w:eastAsia="zh-CN"/>
        </w:rPr>
        <w:t>5</w:t>
      </w:r>
      <w:r>
        <w:rPr>
          <w:rFonts w:hint="eastAsia" w:ascii="宋体" w:hAnsi="宋体"/>
          <w:color w:val="auto"/>
          <w:szCs w:val="21"/>
          <w:highlight w:val="none"/>
        </w:rPr>
        <w:t>.</w:t>
      </w:r>
      <w:r>
        <w:rPr>
          <w:rFonts w:hint="eastAsia"/>
          <w:color w:val="auto"/>
          <w:highlight w:val="none"/>
        </w:rPr>
        <w:t>财务状况报告</w:t>
      </w:r>
      <w:r>
        <w:rPr>
          <w:rFonts w:hint="eastAsia" w:ascii="宋体" w:hAnsi="宋体"/>
          <w:color w:val="auto"/>
          <w:szCs w:val="21"/>
          <w:highlight w:val="none"/>
        </w:rPr>
        <w:t>………………………………………………………………………………页码</w:t>
      </w:r>
    </w:p>
    <w:p w14:paraId="1728B62E">
      <w:pPr>
        <w:spacing w:line="480" w:lineRule="auto"/>
        <w:ind w:firstLine="525" w:firstLineChars="250"/>
        <w:rPr>
          <w:rFonts w:hint="eastAsia" w:ascii="宋体" w:hAnsi="宋体"/>
          <w:color w:val="auto"/>
          <w:szCs w:val="21"/>
          <w:highlight w:val="none"/>
        </w:rPr>
      </w:pPr>
      <w:r>
        <w:rPr>
          <w:rFonts w:hint="eastAsia" w:ascii="宋体" w:hAnsi="宋体"/>
          <w:color w:val="auto"/>
          <w:szCs w:val="21"/>
          <w:highlight w:val="none"/>
          <w:lang w:val="en-US" w:eastAsia="zh-CN"/>
        </w:rPr>
        <w:t>6</w:t>
      </w:r>
      <w:r>
        <w:rPr>
          <w:rFonts w:hint="eastAsia" w:ascii="宋体" w:hAnsi="宋体"/>
          <w:color w:val="auto"/>
          <w:szCs w:val="21"/>
          <w:highlight w:val="none"/>
        </w:rPr>
        <w:t>.税收缴纳证明………………………………………………………………………………页码</w:t>
      </w:r>
    </w:p>
    <w:p w14:paraId="7668147A">
      <w:pPr>
        <w:spacing w:line="480" w:lineRule="auto"/>
        <w:ind w:firstLine="525" w:firstLineChars="250"/>
        <w:rPr>
          <w:rFonts w:hint="eastAsia" w:ascii="宋体" w:hAnsi="宋体"/>
          <w:color w:val="auto"/>
          <w:szCs w:val="21"/>
          <w:highlight w:val="none"/>
        </w:rPr>
      </w:pPr>
      <w:r>
        <w:rPr>
          <w:rFonts w:hint="eastAsia" w:ascii="宋体" w:hAnsi="宋体"/>
          <w:color w:val="auto"/>
          <w:szCs w:val="21"/>
          <w:highlight w:val="none"/>
          <w:lang w:val="en-US" w:eastAsia="zh-CN"/>
        </w:rPr>
        <w:t>7</w:t>
      </w:r>
      <w:r>
        <w:rPr>
          <w:rFonts w:hint="eastAsia" w:ascii="宋体" w:hAnsi="宋体"/>
          <w:color w:val="auto"/>
          <w:szCs w:val="21"/>
          <w:highlight w:val="none"/>
        </w:rPr>
        <w:t>.社会保障资金缴纳证明……………………………………………………………………页码</w:t>
      </w:r>
    </w:p>
    <w:p w14:paraId="4FD2CA59">
      <w:pPr>
        <w:spacing w:line="480" w:lineRule="auto"/>
        <w:ind w:firstLine="525" w:firstLineChars="250"/>
        <w:rPr>
          <w:rFonts w:hint="eastAsia" w:ascii="宋体" w:hAnsi="宋体" w:eastAsia="宋体"/>
          <w:color w:val="auto"/>
          <w:szCs w:val="21"/>
          <w:highlight w:val="none"/>
          <w:lang w:val="en-US" w:eastAsia="zh-CN"/>
        </w:rPr>
      </w:pPr>
      <w:r>
        <w:rPr>
          <w:rFonts w:hint="eastAsia" w:ascii="宋体" w:hAnsi="宋体"/>
          <w:color w:val="auto"/>
          <w:szCs w:val="21"/>
          <w:highlight w:val="none"/>
          <w:lang w:val="en-US" w:eastAsia="zh-CN"/>
        </w:rPr>
        <w:t>8</w:t>
      </w:r>
      <w:r>
        <w:rPr>
          <w:rFonts w:hint="eastAsia" w:ascii="宋体" w:hAnsi="宋体"/>
          <w:color w:val="auto"/>
          <w:szCs w:val="21"/>
          <w:highlight w:val="none"/>
        </w:rPr>
        <w:t>.</w:t>
      </w:r>
      <w:r>
        <w:rPr>
          <w:rFonts w:hint="eastAsia" w:ascii="宋体" w:hAnsi="宋体" w:eastAsia="宋体"/>
          <w:color w:val="auto"/>
          <w:szCs w:val="21"/>
          <w:highlight w:val="none"/>
          <w:lang w:val="en-US" w:eastAsia="zh-CN"/>
        </w:rPr>
        <w:t>信用中国和中国政府采购网截图</w:t>
      </w:r>
      <w:r>
        <w:rPr>
          <w:rFonts w:hint="eastAsia" w:ascii="宋体" w:hAnsi="宋体"/>
          <w:color w:val="auto"/>
          <w:szCs w:val="21"/>
          <w:highlight w:val="none"/>
        </w:rPr>
        <w:t>…………………………………………………………页码</w:t>
      </w:r>
    </w:p>
    <w:p w14:paraId="1EA8DF48">
      <w:pPr>
        <w:spacing w:line="480" w:lineRule="auto"/>
        <w:ind w:firstLine="525" w:firstLineChars="250"/>
        <w:rPr>
          <w:rFonts w:hint="eastAsia" w:ascii="宋体" w:hAnsi="宋体"/>
          <w:color w:val="auto"/>
          <w:szCs w:val="21"/>
          <w:highlight w:val="none"/>
        </w:rPr>
      </w:pPr>
      <w:r>
        <w:rPr>
          <w:rFonts w:hint="eastAsia" w:ascii="宋体" w:hAnsi="宋体"/>
          <w:color w:val="auto"/>
          <w:szCs w:val="21"/>
          <w:highlight w:val="none"/>
          <w:lang w:val="en-US" w:eastAsia="zh-CN"/>
        </w:rPr>
        <w:t>9</w:t>
      </w:r>
      <w:r>
        <w:rPr>
          <w:rFonts w:hint="eastAsia" w:ascii="宋体" w:hAnsi="宋体"/>
          <w:color w:val="auto"/>
          <w:szCs w:val="21"/>
          <w:highlight w:val="none"/>
        </w:rPr>
        <w:t>.</w:t>
      </w:r>
      <w:r>
        <w:rPr>
          <w:rFonts w:hint="eastAsia" w:ascii="宋体" w:hAnsi="宋体"/>
          <w:color w:val="auto"/>
          <w:szCs w:val="21"/>
          <w:highlight w:val="none"/>
          <w:lang w:val="zh-CN"/>
        </w:rPr>
        <w:t>具备履行合同所必需的设备和专业技术能力的证明</w:t>
      </w:r>
      <w:r>
        <w:rPr>
          <w:rFonts w:hint="eastAsia" w:ascii="宋体" w:hAnsi="宋体"/>
          <w:color w:val="auto"/>
          <w:szCs w:val="21"/>
          <w:highlight w:val="none"/>
        </w:rPr>
        <w:t>……………………………………页码</w:t>
      </w:r>
    </w:p>
    <w:p w14:paraId="1BECE782">
      <w:pPr>
        <w:spacing w:line="480" w:lineRule="auto"/>
        <w:ind w:firstLine="525" w:firstLineChars="250"/>
        <w:rPr>
          <w:rFonts w:hint="eastAsia" w:ascii="宋体" w:hAnsi="宋体"/>
          <w:color w:val="auto"/>
          <w:szCs w:val="21"/>
          <w:highlight w:val="none"/>
        </w:rPr>
      </w:pPr>
      <w:r>
        <w:rPr>
          <w:rFonts w:hint="eastAsia" w:ascii="宋体" w:hAnsi="宋体"/>
          <w:color w:val="auto"/>
          <w:szCs w:val="21"/>
          <w:highlight w:val="none"/>
          <w:lang w:val="en-US" w:eastAsia="zh-CN"/>
        </w:rPr>
        <w:t>10</w:t>
      </w:r>
      <w:r>
        <w:rPr>
          <w:rFonts w:hint="eastAsia" w:ascii="宋体" w:hAnsi="宋体"/>
          <w:color w:val="auto"/>
          <w:szCs w:val="21"/>
          <w:highlight w:val="none"/>
        </w:rPr>
        <w:t>.投标声明书…………………………………………………………………………………页码</w:t>
      </w:r>
    </w:p>
    <w:p w14:paraId="3DFEFA96">
      <w:pPr>
        <w:spacing w:line="480" w:lineRule="auto"/>
        <w:ind w:firstLine="525" w:firstLineChars="250"/>
        <w:rPr>
          <w:rFonts w:hint="eastAsia" w:ascii="宋体" w:hAnsi="宋体"/>
          <w:color w:val="auto"/>
          <w:szCs w:val="21"/>
          <w:highlight w:val="none"/>
          <w:lang w:val="en-US" w:eastAsia="zh-CN"/>
        </w:rPr>
      </w:pPr>
      <w:r>
        <w:rPr>
          <w:rFonts w:hint="eastAsia" w:ascii="宋体" w:hAnsi="宋体"/>
          <w:color w:val="auto"/>
          <w:szCs w:val="21"/>
          <w:highlight w:val="none"/>
          <w:lang w:val="en-US" w:eastAsia="zh-CN"/>
        </w:rPr>
        <w:t>11.提供投标人享受政府采购优惠政策的证明材料</w:t>
      </w:r>
      <w:r>
        <w:rPr>
          <w:rFonts w:hint="eastAsia" w:ascii="宋体" w:hAnsi="宋体"/>
          <w:color w:val="auto"/>
          <w:szCs w:val="21"/>
          <w:highlight w:val="none"/>
        </w:rPr>
        <w:t>…………………………………………页码</w:t>
      </w:r>
    </w:p>
    <w:p w14:paraId="63EC9676">
      <w:pPr>
        <w:spacing w:line="480" w:lineRule="auto"/>
        <w:ind w:firstLine="525" w:firstLineChars="250"/>
        <w:rPr>
          <w:rFonts w:hint="eastAsia" w:ascii="宋体" w:hAnsi="宋体"/>
          <w:color w:val="auto"/>
          <w:szCs w:val="21"/>
          <w:highlight w:val="none"/>
        </w:rPr>
      </w:pPr>
      <w:r>
        <w:rPr>
          <w:rFonts w:hint="eastAsia" w:ascii="宋体" w:hAnsi="宋体"/>
          <w:color w:val="auto"/>
          <w:szCs w:val="21"/>
          <w:highlight w:val="none"/>
          <w:lang w:val="en-US" w:eastAsia="zh-CN"/>
        </w:rPr>
        <w:t>12</w:t>
      </w:r>
      <w:r>
        <w:rPr>
          <w:rFonts w:hint="eastAsia" w:ascii="宋体" w:hAnsi="宋体"/>
          <w:color w:val="auto"/>
          <w:szCs w:val="21"/>
          <w:highlight w:val="none"/>
        </w:rPr>
        <w:t>.投标保证金</w:t>
      </w:r>
      <w:r>
        <w:rPr>
          <w:rFonts w:hint="eastAsia" w:ascii="宋体" w:hAnsi="宋体"/>
          <w:color w:val="auto"/>
          <w:szCs w:val="21"/>
          <w:highlight w:val="none"/>
          <w:lang w:eastAsia="zh-CN"/>
        </w:rPr>
        <w:t>凭证</w:t>
      </w:r>
      <w:r>
        <w:rPr>
          <w:rFonts w:hint="eastAsia" w:ascii="宋体" w:hAnsi="宋体"/>
          <w:color w:val="auto"/>
          <w:szCs w:val="21"/>
          <w:highlight w:val="none"/>
        </w:rPr>
        <w:t>……………………………………………………………………………页码</w:t>
      </w:r>
    </w:p>
    <w:p w14:paraId="558762D4">
      <w:pPr>
        <w:pStyle w:val="4"/>
        <w:spacing w:before="120" w:beforeLines="50" w:after="120" w:afterLines="50"/>
        <w:ind w:firstLine="0"/>
        <w:jc w:val="center"/>
        <w:rPr>
          <w:rFonts w:hint="eastAsia"/>
          <w:b/>
          <w:color w:val="auto"/>
          <w:sz w:val="44"/>
          <w:szCs w:val="44"/>
          <w:highlight w:val="none"/>
        </w:rPr>
      </w:pPr>
    </w:p>
    <w:p w14:paraId="779E09F6">
      <w:pPr>
        <w:pStyle w:val="4"/>
        <w:spacing w:before="120" w:beforeLines="50" w:after="120" w:afterLines="50"/>
        <w:ind w:firstLine="0"/>
        <w:jc w:val="center"/>
        <w:rPr>
          <w:rFonts w:hint="eastAsia"/>
          <w:b/>
          <w:color w:val="auto"/>
          <w:sz w:val="44"/>
          <w:szCs w:val="44"/>
          <w:highlight w:val="none"/>
        </w:rPr>
      </w:pPr>
    </w:p>
    <w:p w14:paraId="459CE0F2">
      <w:pPr>
        <w:pStyle w:val="4"/>
        <w:spacing w:before="120" w:beforeLines="50" w:after="120" w:afterLines="50"/>
        <w:ind w:firstLine="0"/>
        <w:jc w:val="center"/>
        <w:rPr>
          <w:rFonts w:hint="eastAsia"/>
          <w:b/>
          <w:color w:val="auto"/>
          <w:sz w:val="44"/>
          <w:szCs w:val="44"/>
          <w:highlight w:val="none"/>
        </w:rPr>
      </w:pPr>
    </w:p>
    <w:p w14:paraId="42C06BFD">
      <w:pPr>
        <w:pStyle w:val="4"/>
        <w:spacing w:before="120" w:beforeLines="50" w:after="120" w:afterLines="50"/>
        <w:ind w:firstLine="0"/>
        <w:rPr>
          <w:rFonts w:hint="eastAsia" w:ascii="仿宋_GB2312" w:eastAsia="仿宋_GB2312"/>
          <w:b/>
          <w:color w:val="auto"/>
          <w:szCs w:val="21"/>
          <w:highlight w:val="none"/>
        </w:rPr>
      </w:pPr>
    </w:p>
    <w:p w14:paraId="1D691FB9">
      <w:pPr>
        <w:pStyle w:val="4"/>
        <w:spacing w:before="120" w:beforeLines="50" w:after="120" w:afterLines="50"/>
        <w:ind w:firstLine="0"/>
        <w:rPr>
          <w:rFonts w:hint="eastAsia" w:ascii="仿宋_GB2312" w:eastAsia="仿宋_GB2312"/>
          <w:b/>
          <w:color w:val="auto"/>
          <w:szCs w:val="21"/>
          <w:highlight w:val="none"/>
        </w:rPr>
      </w:pPr>
    </w:p>
    <w:p w14:paraId="368EC4A3">
      <w:pPr>
        <w:adjustRightInd w:val="0"/>
        <w:snapToGrid w:val="0"/>
        <w:spacing w:line="360" w:lineRule="auto"/>
        <w:jc w:val="center"/>
        <w:rPr>
          <w:rFonts w:ascii="宋体" w:hAnsi="宋体"/>
          <w:b/>
          <w:color w:val="auto"/>
          <w:sz w:val="36"/>
          <w:szCs w:val="36"/>
          <w:highlight w:val="none"/>
        </w:rPr>
      </w:pPr>
    </w:p>
    <w:p w14:paraId="1A9D42FE">
      <w:pPr>
        <w:adjustRightInd w:val="0"/>
        <w:snapToGrid w:val="0"/>
        <w:spacing w:line="360" w:lineRule="auto"/>
        <w:jc w:val="center"/>
        <w:outlineLvl w:val="1"/>
        <w:rPr>
          <w:rFonts w:hint="eastAsia" w:ascii="宋体" w:hAnsi="宋体"/>
          <w:b/>
          <w:color w:val="auto"/>
          <w:sz w:val="36"/>
          <w:szCs w:val="36"/>
          <w:highlight w:val="none"/>
        </w:rPr>
      </w:pPr>
      <w:r>
        <w:rPr>
          <w:rFonts w:ascii="宋体" w:hAnsi="宋体"/>
          <w:b/>
          <w:color w:val="auto"/>
          <w:sz w:val="36"/>
          <w:szCs w:val="36"/>
          <w:highlight w:val="none"/>
        </w:rPr>
        <w:br w:type="page"/>
      </w:r>
      <w:bookmarkStart w:id="225" w:name="_Toc3164"/>
      <w:r>
        <w:rPr>
          <w:rFonts w:hint="eastAsia" w:ascii="宋体" w:hAnsi="宋体"/>
          <w:b/>
          <w:color w:val="auto"/>
          <w:sz w:val="36"/>
          <w:szCs w:val="36"/>
          <w:highlight w:val="none"/>
        </w:rPr>
        <w:t>1.投标人基本情况表</w:t>
      </w:r>
      <w:bookmarkEnd w:id="225"/>
    </w:p>
    <w:tbl>
      <w:tblPr>
        <w:tblStyle w:val="23"/>
        <w:tblW w:w="0" w:type="auto"/>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984"/>
        <w:gridCol w:w="1416"/>
        <w:gridCol w:w="208"/>
        <w:gridCol w:w="1068"/>
        <w:gridCol w:w="143"/>
        <w:gridCol w:w="1418"/>
        <w:gridCol w:w="140"/>
        <w:gridCol w:w="427"/>
        <w:gridCol w:w="814"/>
        <w:gridCol w:w="1382"/>
      </w:tblGrid>
      <w:tr w14:paraId="26B78FB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5" w:hRule="atLeast"/>
        </w:trPr>
        <w:tc>
          <w:tcPr>
            <w:tcW w:w="1984" w:type="dxa"/>
            <w:noWrap w:val="0"/>
            <w:vAlign w:val="center"/>
          </w:tcPr>
          <w:p w14:paraId="343E3631">
            <w:pPr>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投标人名称</w:t>
            </w:r>
          </w:p>
        </w:tc>
        <w:tc>
          <w:tcPr>
            <w:tcW w:w="7016" w:type="dxa"/>
            <w:gridSpan w:val="9"/>
            <w:noWrap w:val="0"/>
            <w:vAlign w:val="center"/>
          </w:tcPr>
          <w:p w14:paraId="74DC4D33">
            <w:pPr>
              <w:topLinePunct/>
              <w:spacing w:line="440" w:lineRule="exact"/>
              <w:jc w:val="center"/>
              <w:rPr>
                <w:rFonts w:hint="eastAsia" w:asciiTheme="minorEastAsia" w:hAnsiTheme="minorEastAsia" w:eastAsiaTheme="minorEastAsia" w:cstheme="minorEastAsia"/>
                <w:color w:val="auto"/>
                <w:szCs w:val="21"/>
                <w:highlight w:val="none"/>
              </w:rPr>
            </w:pPr>
          </w:p>
        </w:tc>
      </w:tr>
      <w:tr w14:paraId="50307CE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3" w:hRule="atLeast"/>
        </w:trPr>
        <w:tc>
          <w:tcPr>
            <w:tcW w:w="1984" w:type="dxa"/>
            <w:noWrap w:val="0"/>
            <w:vAlign w:val="center"/>
          </w:tcPr>
          <w:p w14:paraId="7C00A1DE">
            <w:pPr>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统一社会信用代码</w:t>
            </w:r>
          </w:p>
        </w:tc>
        <w:tc>
          <w:tcPr>
            <w:tcW w:w="1416" w:type="dxa"/>
            <w:noWrap w:val="0"/>
            <w:vAlign w:val="center"/>
          </w:tcPr>
          <w:p w14:paraId="1BD52216">
            <w:pPr>
              <w:topLinePunct/>
              <w:spacing w:line="440" w:lineRule="exact"/>
              <w:jc w:val="center"/>
              <w:rPr>
                <w:rFonts w:hint="eastAsia" w:asciiTheme="minorEastAsia" w:hAnsiTheme="minorEastAsia" w:eastAsiaTheme="minorEastAsia" w:cstheme="minorEastAsia"/>
                <w:color w:val="auto"/>
                <w:szCs w:val="21"/>
                <w:highlight w:val="none"/>
              </w:rPr>
            </w:pPr>
          </w:p>
        </w:tc>
        <w:tc>
          <w:tcPr>
            <w:tcW w:w="1419" w:type="dxa"/>
            <w:gridSpan w:val="3"/>
            <w:noWrap w:val="0"/>
            <w:vAlign w:val="center"/>
          </w:tcPr>
          <w:p w14:paraId="4637CF9E">
            <w:pPr>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注册资金</w:t>
            </w:r>
          </w:p>
        </w:tc>
        <w:tc>
          <w:tcPr>
            <w:tcW w:w="1418" w:type="dxa"/>
            <w:noWrap w:val="0"/>
            <w:vAlign w:val="center"/>
          </w:tcPr>
          <w:p w14:paraId="207673A4">
            <w:pPr>
              <w:topLinePunct/>
              <w:jc w:val="center"/>
              <w:rPr>
                <w:rFonts w:hint="eastAsia" w:asciiTheme="minorEastAsia" w:hAnsiTheme="minorEastAsia" w:eastAsiaTheme="minorEastAsia" w:cstheme="minorEastAsia"/>
                <w:color w:val="auto"/>
                <w:szCs w:val="21"/>
                <w:highlight w:val="none"/>
              </w:rPr>
            </w:pPr>
          </w:p>
        </w:tc>
        <w:tc>
          <w:tcPr>
            <w:tcW w:w="1381" w:type="dxa"/>
            <w:gridSpan w:val="3"/>
            <w:noWrap w:val="0"/>
            <w:vAlign w:val="center"/>
          </w:tcPr>
          <w:p w14:paraId="7E1F6D69">
            <w:pPr>
              <w:topLinePunct/>
              <w:spacing w:line="44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成立时间</w:t>
            </w:r>
          </w:p>
        </w:tc>
        <w:tc>
          <w:tcPr>
            <w:tcW w:w="1382" w:type="dxa"/>
            <w:noWrap w:val="0"/>
            <w:vAlign w:val="center"/>
          </w:tcPr>
          <w:p w14:paraId="52536263">
            <w:pPr>
              <w:topLinePunct/>
              <w:spacing w:line="440" w:lineRule="exact"/>
              <w:jc w:val="center"/>
              <w:rPr>
                <w:rFonts w:hint="eastAsia" w:asciiTheme="minorEastAsia" w:hAnsiTheme="minorEastAsia" w:eastAsiaTheme="minorEastAsia" w:cstheme="minorEastAsia"/>
                <w:color w:val="auto"/>
                <w:szCs w:val="21"/>
                <w:highlight w:val="none"/>
              </w:rPr>
            </w:pPr>
          </w:p>
        </w:tc>
      </w:tr>
      <w:tr w14:paraId="68DB497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20" w:hRule="atLeast"/>
        </w:trPr>
        <w:tc>
          <w:tcPr>
            <w:tcW w:w="1984" w:type="dxa"/>
            <w:noWrap w:val="0"/>
            <w:vAlign w:val="center"/>
          </w:tcPr>
          <w:p w14:paraId="5D45420F">
            <w:pPr>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注册地址</w:t>
            </w:r>
          </w:p>
        </w:tc>
        <w:tc>
          <w:tcPr>
            <w:tcW w:w="4253" w:type="dxa"/>
            <w:gridSpan w:val="5"/>
            <w:noWrap w:val="0"/>
            <w:vAlign w:val="center"/>
          </w:tcPr>
          <w:p w14:paraId="0EF1DC70">
            <w:pPr>
              <w:topLinePunct/>
              <w:spacing w:line="440" w:lineRule="exact"/>
              <w:jc w:val="center"/>
              <w:rPr>
                <w:rFonts w:hint="eastAsia" w:asciiTheme="minorEastAsia" w:hAnsiTheme="minorEastAsia" w:eastAsiaTheme="minorEastAsia" w:cstheme="minorEastAsia"/>
                <w:color w:val="auto"/>
                <w:szCs w:val="21"/>
                <w:highlight w:val="none"/>
              </w:rPr>
            </w:pPr>
          </w:p>
        </w:tc>
        <w:tc>
          <w:tcPr>
            <w:tcW w:w="1381" w:type="dxa"/>
            <w:gridSpan w:val="3"/>
            <w:noWrap w:val="0"/>
            <w:vAlign w:val="center"/>
          </w:tcPr>
          <w:p w14:paraId="2F872683">
            <w:pPr>
              <w:topLinePunct/>
              <w:spacing w:line="44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资产总额</w:t>
            </w:r>
          </w:p>
        </w:tc>
        <w:tc>
          <w:tcPr>
            <w:tcW w:w="1382" w:type="dxa"/>
            <w:noWrap w:val="0"/>
            <w:vAlign w:val="center"/>
          </w:tcPr>
          <w:p w14:paraId="2A3FCC5C">
            <w:pPr>
              <w:topLinePunct/>
              <w:spacing w:line="440" w:lineRule="exact"/>
              <w:jc w:val="center"/>
              <w:rPr>
                <w:rFonts w:hint="eastAsia" w:asciiTheme="minorEastAsia" w:hAnsiTheme="minorEastAsia" w:eastAsiaTheme="minorEastAsia" w:cstheme="minorEastAsia"/>
                <w:color w:val="auto"/>
                <w:szCs w:val="21"/>
                <w:highlight w:val="none"/>
              </w:rPr>
            </w:pPr>
          </w:p>
        </w:tc>
      </w:tr>
      <w:tr w14:paraId="632726B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noWrap w:val="0"/>
            <w:vAlign w:val="center"/>
          </w:tcPr>
          <w:p w14:paraId="25038F1C">
            <w:pPr>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上年营业额</w:t>
            </w:r>
          </w:p>
        </w:tc>
        <w:tc>
          <w:tcPr>
            <w:tcW w:w="1416" w:type="dxa"/>
            <w:noWrap w:val="0"/>
            <w:vAlign w:val="center"/>
          </w:tcPr>
          <w:p w14:paraId="40135E99">
            <w:pPr>
              <w:topLinePunct/>
              <w:jc w:val="center"/>
              <w:rPr>
                <w:rFonts w:hint="eastAsia" w:asciiTheme="minorEastAsia" w:hAnsiTheme="minorEastAsia" w:eastAsiaTheme="minorEastAsia" w:cstheme="minorEastAsia"/>
                <w:color w:val="auto"/>
                <w:szCs w:val="21"/>
                <w:highlight w:val="none"/>
              </w:rPr>
            </w:pPr>
          </w:p>
        </w:tc>
        <w:tc>
          <w:tcPr>
            <w:tcW w:w="1419" w:type="dxa"/>
            <w:gridSpan w:val="3"/>
            <w:noWrap w:val="0"/>
            <w:vAlign w:val="center"/>
          </w:tcPr>
          <w:p w14:paraId="1F7C08C2">
            <w:pPr>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员工总人数</w:t>
            </w:r>
          </w:p>
        </w:tc>
        <w:tc>
          <w:tcPr>
            <w:tcW w:w="1418" w:type="dxa"/>
            <w:noWrap w:val="0"/>
            <w:vAlign w:val="center"/>
          </w:tcPr>
          <w:p w14:paraId="263BB818">
            <w:pPr>
              <w:topLinePunct/>
              <w:jc w:val="center"/>
              <w:rPr>
                <w:rFonts w:hint="eastAsia" w:asciiTheme="minorEastAsia" w:hAnsiTheme="minorEastAsia" w:eastAsiaTheme="minorEastAsia" w:cstheme="minorEastAsia"/>
                <w:color w:val="auto"/>
                <w:szCs w:val="21"/>
                <w:highlight w:val="none"/>
              </w:rPr>
            </w:pPr>
          </w:p>
        </w:tc>
        <w:tc>
          <w:tcPr>
            <w:tcW w:w="1381" w:type="dxa"/>
            <w:gridSpan w:val="3"/>
            <w:noWrap w:val="0"/>
            <w:vAlign w:val="center"/>
          </w:tcPr>
          <w:p w14:paraId="6C5C6597">
            <w:pPr>
              <w:topLinePunct/>
              <w:spacing w:line="44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企业类型</w:t>
            </w:r>
          </w:p>
        </w:tc>
        <w:tc>
          <w:tcPr>
            <w:tcW w:w="1382" w:type="dxa"/>
            <w:noWrap w:val="0"/>
            <w:vAlign w:val="center"/>
          </w:tcPr>
          <w:p w14:paraId="32FF6589">
            <w:pPr>
              <w:topLinePunct/>
              <w:spacing w:line="440" w:lineRule="exact"/>
              <w:jc w:val="center"/>
              <w:rPr>
                <w:rFonts w:hint="eastAsia" w:asciiTheme="minorEastAsia" w:hAnsiTheme="minorEastAsia" w:eastAsiaTheme="minorEastAsia" w:cstheme="minorEastAsia"/>
                <w:color w:val="auto"/>
                <w:szCs w:val="21"/>
                <w:highlight w:val="none"/>
              </w:rPr>
            </w:pPr>
          </w:p>
        </w:tc>
      </w:tr>
      <w:tr w14:paraId="3C0BA0B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Merge w:val="restart"/>
            <w:noWrap w:val="0"/>
            <w:vAlign w:val="center"/>
          </w:tcPr>
          <w:p w14:paraId="7FCF489F">
            <w:pPr>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法定代表人</w:t>
            </w:r>
          </w:p>
          <w:p w14:paraId="2C8BC702">
            <w:pPr>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 （单位负责人）</w:t>
            </w:r>
          </w:p>
        </w:tc>
        <w:tc>
          <w:tcPr>
            <w:tcW w:w="1416" w:type="dxa"/>
            <w:vMerge w:val="restart"/>
            <w:noWrap w:val="0"/>
            <w:vAlign w:val="center"/>
          </w:tcPr>
          <w:p w14:paraId="62448FBD">
            <w:pPr>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姓名</w:t>
            </w:r>
          </w:p>
        </w:tc>
        <w:tc>
          <w:tcPr>
            <w:tcW w:w="1419" w:type="dxa"/>
            <w:gridSpan w:val="3"/>
            <w:vMerge w:val="restart"/>
            <w:noWrap w:val="0"/>
            <w:vAlign w:val="center"/>
          </w:tcPr>
          <w:p w14:paraId="2654C2E9">
            <w:pPr>
              <w:topLinePunct/>
              <w:jc w:val="center"/>
              <w:rPr>
                <w:rFonts w:hint="eastAsia" w:asciiTheme="minorEastAsia" w:hAnsiTheme="minorEastAsia" w:eastAsiaTheme="minorEastAsia" w:cstheme="minorEastAsia"/>
                <w:color w:val="auto"/>
                <w:szCs w:val="21"/>
                <w:highlight w:val="none"/>
              </w:rPr>
            </w:pPr>
          </w:p>
        </w:tc>
        <w:tc>
          <w:tcPr>
            <w:tcW w:w="1418" w:type="dxa"/>
            <w:vMerge w:val="restart"/>
            <w:noWrap w:val="0"/>
            <w:vAlign w:val="center"/>
          </w:tcPr>
          <w:p w14:paraId="526CB041">
            <w:pPr>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电话</w:t>
            </w:r>
          </w:p>
        </w:tc>
        <w:tc>
          <w:tcPr>
            <w:tcW w:w="1381" w:type="dxa"/>
            <w:gridSpan w:val="3"/>
            <w:noWrap w:val="0"/>
            <w:vAlign w:val="center"/>
          </w:tcPr>
          <w:p w14:paraId="18753679">
            <w:pPr>
              <w:topLinePunct/>
              <w:spacing w:line="44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手机</w:t>
            </w:r>
          </w:p>
        </w:tc>
        <w:tc>
          <w:tcPr>
            <w:tcW w:w="1382" w:type="dxa"/>
            <w:noWrap w:val="0"/>
            <w:vAlign w:val="center"/>
          </w:tcPr>
          <w:p w14:paraId="6E4A5BAD">
            <w:pPr>
              <w:topLinePunct/>
              <w:spacing w:line="440" w:lineRule="exact"/>
              <w:jc w:val="center"/>
              <w:rPr>
                <w:rFonts w:hint="eastAsia" w:asciiTheme="minorEastAsia" w:hAnsiTheme="minorEastAsia" w:eastAsiaTheme="minorEastAsia" w:cstheme="minorEastAsia"/>
                <w:color w:val="auto"/>
                <w:szCs w:val="21"/>
                <w:highlight w:val="none"/>
              </w:rPr>
            </w:pPr>
          </w:p>
        </w:tc>
      </w:tr>
      <w:tr w14:paraId="0AB6C0E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Merge w:val="continue"/>
            <w:noWrap w:val="0"/>
            <w:vAlign w:val="center"/>
          </w:tcPr>
          <w:p w14:paraId="650D8615">
            <w:pPr>
              <w:topLinePunct/>
              <w:jc w:val="center"/>
              <w:rPr>
                <w:rFonts w:hint="eastAsia" w:asciiTheme="minorEastAsia" w:hAnsiTheme="minorEastAsia" w:eastAsiaTheme="minorEastAsia" w:cstheme="minorEastAsia"/>
                <w:color w:val="auto"/>
                <w:szCs w:val="21"/>
                <w:highlight w:val="none"/>
              </w:rPr>
            </w:pPr>
          </w:p>
        </w:tc>
        <w:tc>
          <w:tcPr>
            <w:tcW w:w="1416" w:type="dxa"/>
            <w:vMerge w:val="continue"/>
            <w:noWrap w:val="0"/>
            <w:vAlign w:val="center"/>
          </w:tcPr>
          <w:p w14:paraId="6B6029ED">
            <w:pPr>
              <w:topLinePunct/>
              <w:jc w:val="center"/>
              <w:rPr>
                <w:rFonts w:hint="eastAsia" w:asciiTheme="minorEastAsia" w:hAnsiTheme="minorEastAsia" w:eastAsiaTheme="minorEastAsia" w:cstheme="minorEastAsia"/>
                <w:color w:val="auto"/>
                <w:szCs w:val="21"/>
                <w:highlight w:val="none"/>
              </w:rPr>
            </w:pPr>
          </w:p>
        </w:tc>
        <w:tc>
          <w:tcPr>
            <w:tcW w:w="1419" w:type="dxa"/>
            <w:gridSpan w:val="3"/>
            <w:vMerge w:val="continue"/>
            <w:noWrap w:val="0"/>
            <w:vAlign w:val="center"/>
          </w:tcPr>
          <w:p w14:paraId="6DDBD637">
            <w:pPr>
              <w:topLinePunct/>
              <w:jc w:val="center"/>
              <w:rPr>
                <w:rFonts w:hint="eastAsia" w:asciiTheme="minorEastAsia" w:hAnsiTheme="minorEastAsia" w:eastAsiaTheme="minorEastAsia" w:cstheme="minorEastAsia"/>
                <w:color w:val="auto"/>
                <w:szCs w:val="21"/>
                <w:highlight w:val="none"/>
              </w:rPr>
            </w:pPr>
          </w:p>
        </w:tc>
        <w:tc>
          <w:tcPr>
            <w:tcW w:w="1418" w:type="dxa"/>
            <w:vMerge w:val="continue"/>
            <w:noWrap w:val="0"/>
            <w:vAlign w:val="center"/>
          </w:tcPr>
          <w:p w14:paraId="044896D3">
            <w:pPr>
              <w:topLinePunct/>
              <w:jc w:val="center"/>
              <w:rPr>
                <w:rFonts w:hint="eastAsia" w:asciiTheme="minorEastAsia" w:hAnsiTheme="minorEastAsia" w:eastAsiaTheme="minorEastAsia" w:cstheme="minorEastAsia"/>
                <w:color w:val="auto"/>
                <w:szCs w:val="21"/>
                <w:highlight w:val="none"/>
              </w:rPr>
            </w:pPr>
          </w:p>
        </w:tc>
        <w:tc>
          <w:tcPr>
            <w:tcW w:w="1381" w:type="dxa"/>
            <w:gridSpan w:val="3"/>
            <w:noWrap w:val="0"/>
            <w:vAlign w:val="center"/>
          </w:tcPr>
          <w:p w14:paraId="4C07C2A3">
            <w:pPr>
              <w:topLinePunct/>
              <w:spacing w:line="44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办公</w:t>
            </w:r>
          </w:p>
        </w:tc>
        <w:tc>
          <w:tcPr>
            <w:tcW w:w="1382" w:type="dxa"/>
            <w:noWrap w:val="0"/>
            <w:vAlign w:val="center"/>
          </w:tcPr>
          <w:p w14:paraId="6E852F68">
            <w:pPr>
              <w:topLinePunct/>
              <w:spacing w:line="440" w:lineRule="exact"/>
              <w:jc w:val="center"/>
              <w:rPr>
                <w:rFonts w:hint="eastAsia" w:asciiTheme="minorEastAsia" w:hAnsiTheme="minorEastAsia" w:eastAsiaTheme="minorEastAsia" w:cstheme="minorEastAsia"/>
                <w:color w:val="auto"/>
                <w:szCs w:val="21"/>
                <w:highlight w:val="none"/>
              </w:rPr>
            </w:pPr>
          </w:p>
        </w:tc>
      </w:tr>
      <w:tr w14:paraId="6891F5A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Merge w:val="restart"/>
            <w:noWrap w:val="0"/>
            <w:vAlign w:val="center"/>
          </w:tcPr>
          <w:p w14:paraId="4764C7BD">
            <w:pPr>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联系方式</w:t>
            </w:r>
          </w:p>
        </w:tc>
        <w:tc>
          <w:tcPr>
            <w:tcW w:w="1416" w:type="dxa"/>
            <w:vMerge w:val="restart"/>
            <w:noWrap w:val="0"/>
            <w:vAlign w:val="center"/>
          </w:tcPr>
          <w:p w14:paraId="5998418C">
            <w:pPr>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联系人</w:t>
            </w:r>
          </w:p>
        </w:tc>
        <w:tc>
          <w:tcPr>
            <w:tcW w:w="1419" w:type="dxa"/>
            <w:gridSpan w:val="3"/>
            <w:vMerge w:val="restart"/>
            <w:noWrap w:val="0"/>
            <w:vAlign w:val="center"/>
          </w:tcPr>
          <w:p w14:paraId="1AF1A703">
            <w:pPr>
              <w:topLinePunct/>
              <w:jc w:val="center"/>
              <w:rPr>
                <w:rFonts w:hint="eastAsia" w:asciiTheme="minorEastAsia" w:hAnsiTheme="minorEastAsia" w:eastAsiaTheme="minorEastAsia" w:cstheme="minorEastAsia"/>
                <w:color w:val="auto"/>
                <w:szCs w:val="21"/>
                <w:highlight w:val="none"/>
              </w:rPr>
            </w:pPr>
          </w:p>
        </w:tc>
        <w:tc>
          <w:tcPr>
            <w:tcW w:w="1418" w:type="dxa"/>
            <w:noWrap w:val="0"/>
            <w:vAlign w:val="center"/>
          </w:tcPr>
          <w:p w14:paraId="7B745EBC">
            <w:pPr>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电话</w:t>
            </w:r>
          </w:p>
        </w:tc>
        <w:tc>
          <w:tcPr>
            <w:tcW w:w="2763" w:type="dxa"/>
            <w:gridSpan w:val="4"/>
            <w:noWrap w:val="0"/>
            <w:vAlign w:val="center"/>
          </w:tcPr>
          <w:p w14:paraId="0425FAE7">
            <w:pPr>
              <w:topLinePunct/>
              <w:spacing w:line="440" w:lineRule="exact"/>
              <w:jc w:val="center"/>
              <w:rPr>
                <w:rFonts w:hint="eastAsia" w:asciiTheme="minorEastAsia" w:hAnsiTheme="minorEastAsia" w:eastAsiaTheme="minorEastAsia" w:cstheme="minorEastAsia"/>
                <w:color w:val="auto"/>
                <w:szCs w:val="21"/>
                <w:highlight w:val="none"/>
              </w:rPr>
            </w:pPr>
          </w:p>
        </w:tc>
      </w:tr>
      <w:tr w14:paraId="66A1B2D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Merge w:val="continue"/>
            <w:noWrap w:val="0"/>
            <w:vAlign w:val="center"/>
          </w:tcPr>
          <w:p w14:paraId="159FE89D">
            <w:pPr>
              <w:topLinePunct/>
              <w:jc w:val="center"/>
              <w:rPr>
                <w:rFonts w:hint="eastAsia" w:asciiTheme="minorEastAsia" w:hAnsiTheme="minorEastAsia" w:eastAsiaTheme="minorEastAsia" w:cstheme="minorEastAsia"/>
                <w:color w:val="auto"/>
                <w:szCs w:val="21"/>
                <w:highlight w:val="none"/>
              </w:rPr>
            </w:pPr>
          </w:p>
        </w:tc>
        <w:tc>
          <w:tcPr>
            <w:tcW w:w="1416" w:type="dxa"/>
            <w:vMerge w:val="continue"/>
            <w:noWrap w:val="0"/>
            <w:vAlign w:val="center"/>
          </w:tcPr>
          <w:p w14:paraId="0E3F879D">
            <w:pPr>
              <w:topLinePunct/>
              <w:jc w:val="center"/>
              <w:rPr>
                <w:rFonts w:hint="eastAsia" w:asciiTheme="minorEastAsia" w:hAnsiTheme="minorEastAsia" w:eastAsiaTheme="minorEastAsia" w:cstheme="minorEastAsia"/>
                <w:color w:val="auto"/>
                <w:szCs w:val="21"/>
                <w:highlight w:val="none"/>
              </w:rPr>
            </w:pPr>
          </w:p>
        </w:tc>
        <w:tc>
          <w:tcPr>
            <w:tcW w:w="1419" w:type="dxa"/>
            <w:gridSpan w:val="3"/>
            <w:vMerge w:val="continue"/>
            <w:noWrap w:val="0"/>
            <w:vAlign w:val="center"/>
          </w:tcPr>
          <w:p w14:paraId="6AC02493">
            <w:pPr>
              <w:topLinePunct/>
              <w:jc w:val="center"/>
              <w:rPr>
                <w:rFonts w:hint="eastAsia" w:asciiTheme="minorEastAsia" w:hAnsiTheme="minorEastAsia" w:eastAsiaTheme="minorEastAsia" w:cstheme="minorEastAsia"/>
                <w:color w:val="auto"/>
                <w:szCs w:val="21"/>
                <w:highlight w:val="none"/>
              </w:rPr>
            </w:pPr>
          </w:p>
        </w:tc>
        <w:tc>
          <w:tcPr>
            <w:tcW w:w="1418" w:type="dxa"/>
            <w:noWrap w:val="0"/>
            <w:vAlign w:val="center"/>
          </w:tcPr>
          <w:p w14:paraId="15F11E31">
            <w:pPr>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邮箱</w:t>
            </w:r>
          </w:p>
        </w:tc>
        <w:tc>
          <w:tcPr>
            <w:tcW w:w="2763" w:type="dxa"/>
            <w:gridSpan w:val="4"/>
            <w:noWrap w:val="0"/>
            <w:vAlign w:val="center"/>
          </w:tcPr>
          <w:p w14:paraId="02EA44F2">
            <w:pPr>
              <w:topLinePunct/>
              <w:spacing w:line="440" w:lineRule="exact"/>
              <w:jc w:val="center"/>
              <w:rPr>
                <w:rFonts w:hint="eastAsia" w:asciiTheme="minorEastAsia" w:hAnsiTheme="minorEastAsia" w:eastAsiaTheme="minorEastAsia" w:cstheme="minorEastAsia"/>
                <w:color w:val="auto"/>
                <w:szCs w:val="21"/>
                <w:highlight w:val="none"/>
              </w:rPr>
            </w:pPr>
          </w:p>
        </w:tc>
      </w:tr>
      <w:tr w14:paraId="0BC75EB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95" w:hRule="atLeast"/>
        </w:trPr>
        <w:tc>
          <w:tcPr>
            <w:tcW w:w="1984" w:type="dxa"/>
            <w:noWrap w:val="0"/>
            <w:vAlign w:val="center"/>
          </w:tcPr>
          <w:p w14:paraId="7F9D0D24">
            <w:pPr>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基本账户开</w:t>
            </w:r>
            <w:r>
              <w:rPr>
                <w:rFonts w:hint="eastAsia" w:asciiTheme="minorEastAsia" w:hAnsiTheme="minorEastAsia" w:eastAsiaTheme="minorEastAsia" w:cstheme="minorEastAsia"/>
                <w:color w:val="auto"/>
                <w:szCs w:val="21"/>
                <w:highlight w:val="none"/>
                <w:lang w:val="en-US" w:eastAsia="zh-CN"/>
              </w:rPr>
              <w:t>户银</w:t>
            </w:r>
            <w:r>
              <w:rPr>
                <w:rFonts w:hint="eastAsia" w:asciiTheme="minorEastAsia" w:hAnsiTheme="minorEastAsia" w:eastAsiaTheme="minorEastAsia" w:cstheme="minorEastAsia"/>
                <w:color w:val="auto"/>
                <w:szCs w:val="21"/>
                <w:highlight w:val="none"/>
              </w:rPr>
              <w:t>行</w:t>
            </w:r>
          </w:p>
        </w:tc>
        <w:tc>
          <w:tcPr>
            <w:tcW w:w="2835" w:type="dxa"/>
            <w:gridSpan w:val="4"/>
            <w:noWrap w:val="0"/>
            <w:vAlign w:val="center"/>
          </w:tcPr>
          <w:p w14:paraId="12264A59">
            <w:pPr>
              <w:topLinePunct/>
              <w:spacing w:line="440" w:lineRule="exact"/>
              <w:jc w:val="center"/>
              <w:rPr>
                <w:rFonts w:hint="eastAsia" w:asciiTheme="minorEastAsia" w:hAnsiTheme="minorEastAsia" w:eastAsiaTheme="minorEastAsia" w:cstheme="minorEastAsia"/>
                <w:color w:val="auto"/>
                <w:szCs w:val="21"/>
                <w:highlight w:val="none"/>
              </w:rPr>
            </w:pPr>
          </w:p>
        </w:tc>
        <w:tc>
          <w:tcPr>
            <w:tcW w:w="1985" w:type="dxa"/>
            <w:gridSpan w:val="3"/>
            <w:noWrap w:val="0"/>
            <w:vAlign w:val="center"/>
          </w:tcPr>
          <w:p w14:paraId="1C058C28">
            <w:pPr>
              <w:topLinePunct/>
              <w:spacing w:line="44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基本账户银行账号</w:t>
            </w:r>
          </w:p>
        </w:tc>
        <w:tc>
          <w:tcPr>
            <w:tcW w:w="2196" w:type="dxa"/>
            <w:gridSpan w:val="2"/>
            <w:noWrap w:val="0"/>
            <w:vAlign w:val="center"/>
          </w:tcPr>
          <w:p w14:paraId="38949CC3">
            <w:pPr>
              <w:topLinePunct/>
              <w:spacing w:line="440" w:lineRule="exact"/>
              <w:jc w:val="center"/>
              <w:rPr>
                <w:rFonts w:hint="eastAsia" w:asciiTheme="minorEastAsia" w:hAnsiTheme="minorEastAsia" w:eastAsiaTheme="minorEastAsia" w:cstheme="minorEastAsia"/>
                <w:color w:val="auto"/>
                <w:szCs w:val="21"/>
                <w:highlight w:val="none"/>
              </w:rPr>
            </w:pPr>
          </w:p>
        </w:tc>
      </w:tr>
      <w:tr w14:paraId="625C842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1888" w:hRule="atLeast"/>
        </w:trPr>
        <w:tc>
          <w:tcPr>
            <w:tcW w:w="1984" w:type="dxa"/>
            <w:noWrap w:val="0"/>
            <w:vAlign w:val="center"/>
          </w:tcPr>
          <w:p w14:paraId="6CE7AEE5">
            <w:pPr>
              <w:topLinePunct/>
              <w:spacing w:line="360" w:lineRule="exac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投标人关联企业情况（包括但不限于与投标人法定代表人为同一人或者存在控股、管理关系的不同单位）</w:t>
            </w:r>
          </w:p>
        </w:tc>
        <w:tc>
          <w:tcPr>
            <w:tcW w:w="7016" w:type="dxa"/>
            <w:gridSpan w:val="9"/>
            <w:noWrap w:val="0"/>
            <w:vAlign w:val="center"/>
          </w:tcPr>
          <w:p w14:paraId="78476A3B">
            <w:pPr>
              <w:topLinePunct/>
              <w:spacing w:line="440" w:lineRule="exact"/>
              <w:jc w:val="center"/>
              <w:rPr>
                <w:rFonts w:hint="eastAsia" w:asciiTheme="minorEastAsia" w:hAnsiTheme="minorEastAsia" w:eastAsiaTheme="minorEastAsia" w:cstheme="minorEastAsia"/>
                <w:color w:val="auto"/>
                <w:szCs w:val="21"/>
                <w:highlight w:val="none"/>
              </w:rPr>
            </w:pPr>
          </w:p>
        </w:tc>
      </w:tr>
      <w:tr w14:paraId="1FF655C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89" w:hRule="atLeast"/>
        </w:trPr>
        <w:tc>
          <w:tcPr>
            <w:tcW w:w="3608" w:type="dxa"/>
            <w:gridSpan w:val="3"/>
            <w:noWrap w:val="0"/>
            <w:vAlign w:val="center"/>
          </w:tcPr>
          <w:p w14:paraId="1677E22A">
            <w:pPr>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投标人需具有的资质证书</w:t>
            </w:r>
          </w:p>
        </w:tc>
        <w:tc>
          <w:tcPr>
            <w:tcW w:w="1068" w:type="dxa"/>
            <w:noWrap w:val="0"/>
            <w:vAlign w:val="center"/>
          </w:tcPr>
          <w:p w14:paraId="273E5C81">
            <w:pPr>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等级</w:t>
            </w:r>
          </w:p>
        </w:tc>
        <w:tc>
          <w:tcPr>
            <w:tcW w:w="1701" w:type="dxa"/>
            <w:gridSpan w:val="3"/>
            <w:noWrap w:val="0"/>
            <w:vAlign w:val="center"/>
          </w:tcPr>
          <w:p w14:paraId="09D56EF3">
            <w:pPr>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类型</w:t>
            </w:r>
          </w:p>
        </w:tc>
        <w:tc>
          <w:tcPr>
            <w:tcW w:w="2623" w:type="dxa"/>
            <w:gridSpan w:val="3"/>
            <w:noWrap w:val="0"/>
            <w:vAlign w:val="center"/>
          </w:tcPr>
          <w:p w14:paraId="0F4C9E5A">
            <w:pPr>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证书号</w:t>
            </w:r>
          </w:p>
        </w:tc>
      </w:tr>
      <w:tr w14:paraId="41A2284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74" w:hRule="atLeast"/>
        </w:trPr>
        <w:tc>
          <w:tcPr>
            <w:tcW w:w="3608" w:type="dxa"/>
            <w:gridSpan w:val="3"/>
            <w:noWrap w:val="0"/>
            <w:vAlign w:val="center"/>
          </w:tcPr>
          <w:p w14:paraId="5315093C">
            <w:pPr>
              <w:topLinePunct/>
              <w:jc w:val="center"/>
              <w:rPr>
                <w:rFonts w:hint="eastAsia" w:asciiTheme="minorEastAsia" w:hAnsiTheme="minorEastAsia" w:eastAsiaTheme="minorEastAsia" w:cstheme="minorEastAsia"/>
                <w:color w:val="auto"/>
                <w:szCs w:val="21"/>
                <w:highlight w:val="none"/>
              </w:rPr>
            </w:pPr>
          </w:p>
        </w:tc>
        <w:tc>
          <w:tcPr>
            <w:tcW w:w="1068" w:type="dxa"/>
            <w:noWrap w:val="0"/>
            <w:vAlign w:val="center"/>
          </w:tcPr>
          <w:p w14:paraId="591ACE8E">
            <w:pPr>
              <w:topLinePunct/>
              <w:jc w:val="center"/>
              <w:rPr>
                <w:rFonts w:hint="eastAsia" w:asciiTheme="minorEastAsia" w:hAnsiTheme="minorEastAsia" w:eastAsiaTheme="minorEastAsia" w:cstheme="minorEastAsia"/>
                <w:color w:val="auto"/>
                <w:szCs w:val="21"/>
                <w:highlight w:val="none"/>
              </w:rPr>
            </w:pPr>
          </w:p>
        </w:tc>
        <w:tc>
          <w:tcPr>
            <w:tcW w:w="1701" w:type="dxa"/>
            <w:gridSpan w:val="3"/>
            <w:noWrap w:val="0"/>
            <w:vAlign w:val="center"/>
          </w:tcPr>
          <w:p w14:paraId="71A8E0F4">
            <w:pPr>
              <w:topLinePunct/>
              <w:jc w:val="center"/>
              <w:rPr>
                <w:rFonts w:hint="eastAsia" w:asciiTheme="minorEastAsia" w:hAnsiTheme="minorEastAsia" w:eastAsiaTheme="minorEastAsia" w:cstheme="minorEastAsia"/>
                <w:color w:val="auto"/>
                <w:szCs w:val="21"/>
                <w:highlight w:val="none"/>
              </w:rPr>
            </w:pPr>
          </w:p>
        </w:tc>
        <w:tc>
          <w:tcPr>
            <w:tcW w:w="2623" w:type="dxa"/>
            <w:gridSpan w:val="3"/>
            <w:noWrap w:val="0"/>
            <w:vAlign w:val="center"/>
          </w:tcPr>
          <w:p w14:paraId="5D1FDC6A">
            <w:pPr>
              <w:topLinePunct/>
              <w:jc w:val="center"/>
              <w:rPr>
                <w:rFonts w:hint="eastAsia" w:asciiTheme="minorEastAsia" w:hAnsiTheme="minorEastAsia" w:eastAsiaTheme="minorEastAsia" w:cstheme="minorEastAsia"/>
                <w:color w:val="auto"/>
                <w:szCs w:val="21"/>
                <w:highlight w:val="none"/>
              </w:rPr>
            </w:pPr>
          </w:p>
        </w:tc>
      </w:tr>
      <w:tr w14:paraId="5F2E772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04" w:hRule="atLeast"/>
        </w:trPr>
        <w:tc>
          <w:tcPr>
            <w:tcW w:w="3608" w:type="dxa"/>
            <w:gridSpan w:val="3"/>
            <w:noWrap w:val="0"/>
            <w:vAlign w:val="center"/>
          </w:tcPr>
          <w:p w14:paraId="765C589C">
            <w:pPr>
              <w:topLinePunct/>
              <w:jc w:val="center"/>
              <w:rPr>
                <w:rFonts w:hint="eastAsia" w:asciiTheme="minorEastAsia" w:hAnsiTheme="minorEastAsia" w:eastAsiaTheme="minorEastAsia" w:cstheme="minorEastAsia"/>
                <w:color w:val="auto"/>
                <w:szCs w:val="21"/>
                <w:highlight w:val="none"/>
              </w:rPr>
            </w:pPr>
          </w:p>
        </w:tc>
        <w:tc>
          <w:tcPr>
            <w:tcW w:w="1068" w:type="dxa"/>
            <w:noWrap w:val="0"/>
            <w:vAlign w:val="center"/>
          </w:tcPr>
          <w:p w14:paraId="0EF0F2F2">
            <w:pPr>
              <w:topLinePunct/>
              <w:jc w:val="center"/>
              <w:rPr>
                <w:rFonts w:hint="eastAsia" w:asciiTheme="minorEastAsia" w:hAnsiTheme="minorEastAsia" w:eastAsiaTheme="minorEastAsia" w:cstheme="minorEastAsia"/>
                <w:color w:val="auto"/>
                <w:szCs w:val="21"/>
                <w:highlight w:val="none"/>
              </w:rPr>
            </w:pPr>
          </w:p>
        </w:tc>
        <w:tc>
          <w:tcPr>
            <w:tcW w:w="1701" w:type="dxa"/>
            <w:gridSpan w:val="3"/>
            <w:noWrap w:val="0"/>
            <w:vAlign w:val="center"/>
          </w:tcPr>
          <w:p w14:paraId="554BB2C1">
            <w:pPr>
              <w:topLinePunct/>
              <w:jc w:val="center"/>
              <w:rPr>
                <w:rFonts w:hint="eastAsia" w:asciiTheme="minorEastAsia" w:hAnsiTheme="minorEastAsia" w:eastAsiaTheme="minorEastAsia" w:cstheme="minorEastAsia"/>
                <w:color w:val="auto"/>
                <w:szCs w:val="21"/>
                <w:highlight w:val="none"/>
              </w:rPr>
            </w:pPr>
          </w:p>
        </w:tc>
        <w:tc>
          <w:tcPr>
            <w:tcW w:w="2623" w:type="dxa"/>
            <w:gridSpan w:val="3"/>
            <w:noWrap w:val="0"/>
            <w:vAlign w:val="center"/>
          </w:tcPr>
          <w:p w14:paraId="40C0713B">
            <w:pPr>
              <w:topLinePunct/>
              <w:jc w:val="center"/>
              <w:rPr>
                <w:rFonts w:hint="eastAsia" w:asciiTheme="minorEastAsia" w:hAnsiTheme="minorEastAsia" w:eastAsiaTheme="minorEastAsia" w:cstheme="minorEastAsia"/>
                <w:color w:val="auto"/>
                <w:szCs w:val="21"/>
                <w:highlight w:val="none"/>
              </w:rPr>
            </w:pPr>
          </w:p>
        </w:tc>
      </w:tr>
      <w:tr w14:paraId="7CE70C4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68" w:hRule="atLeast"/>
        </w:trPr>
        <w:tc>
          <w:tcPr>
            <w:tcW w:w="3608" w:type="dxa"/>
            <w:gridSpan w:val="3"/>
            <w:noWrap w:val="0"/>
            <w:vAlign w:val="center"/>
          </w:tcPr>
          <w:p w14:paraId="56986953">
            <w:pPr>
              <w:topLinePunct/>
              <w:jc w:val="center"/>
              <w:rPr>
                <w:rFonts w:hint="eastAsia" w:asciiTheme="minorEastAsia" w:hAnsiTheme="minorEastAsia" w:eastAsiaTheme="minorEastAsia" w:cstheme="minorEastAsia"/>
                <w:color w:val="auto"/>
                <w:szCs w:val="21"/>
                <w:highlight w:val="none"/>
              </w:rPr>
            </w:pPr>
          </w:p>
        </w:tc>
        <w:tc>
          <w:tcPr>
            <w:tcW w:w="1068" w:type="dxa"/>
            <w:noWrap w:val="0"/>
            <w:vAlign w:val="center"/>
          </w:tcPr>
          <w:p w14:paraId="0555BBF2">
            <w:pPr>
              <w:topLinePunct/>
              <w:jc w:val="center"/>
              <w:rPr>
                <w:rFonts w:hint="eastAsia" w:asciiTheme="minorEastAsia" w:hAnsiTheme="minorEastAsia" w:eastAsiaTheme="minorEastAsia" w:cstheme="minorEastAsia"/>
                <w:color w:val="auto"/>
                <w:szCs w:val="21"/>
                <w:highlight w:val="none"/>
              </w:rPr>
            </w:pPr>
          </w:p>
        </w:tc>
        <w:tc>
          <w:tcPr>
            <w:tcW w:w="1701" w:type="dxa"/>
            <w:gridSpan w:val="3"/>
            <w:noWrap w:val="0"/>
            <w:vAlign w:val="center"/>
          </w:tcPr>
          <w:p w14:paraId="6E8B34EE">
            <w:pPr>
              <w:topLinePunct/>
              <w:jc w:val="center"/>
              <w:rPr>
                <w:rFonts w:hint="eastAsia" w:asciiTheme="minorEastAsia" w:hAnsiTheme="minorEastAsia" w:eastAsiaTheme="minorEastAsia" w:cstheme="minorEastAsia"/>
                <w:color w:val="auto"/>
                <w:szCs w:val="21"/>
                <w:highlight w:val="none"/>
              </w:rPr>
            </w:pPr>
          </w:p>
        </w:tc>
        <w:tc>
          <w:tcPr>
            <w:tcW w:w="2623" w:type="dxa"/>
            <w:gridSpan w:val="3"/>
            <w:noWrap w:val="0"/>
            <w:vAlign w:val="center"/>
          </w:tcPr>
          <w:p w14:paraId="1298E0EA">
            <w:pPr>
              <w:topLinePunct/>
              <w:jc w:val="center"/>
              <w:rPr>
                <w:rFonts w:hint="eastAsia" w:asciiTheme="minorEastAsia" w:hAnsiTheme="minorEastAsia" w:eastAsiaTheme="minorEastAsia" w:cstheme="minorEastAsia"/>
                <w:color w:val="auto"/>
                <w:szCs w:val="21"/>
                <w:highlight w:val="none"/>
              </w:rPr>
            </w:pPr>
          </w:p>
        </w:tc>
      </w:tr>
      <w:tr w14:paraId="3DCA160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66" w:hRule="atLeast"/>
        </w:trPr>
        <w:tc>
          <w:tcPr>
            <w:tcW w:w="3608" w:type="dxa"/>
            <w:gridSpan w:val="3"/>
            <w:noWrap w:val="0"/>
            <w:vAlign w:val="center"/>
          </w:tcPr>
          <w:p w14:paraId="4162F3BE">
            <w:pPr>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投标产品制造商名称</w:t>
            </w:r>
          </w:p>
        </w:tc>
        <w:tc>
          <w:tcPr>
            <w:tcW w:w="5392" w:type="dxa"/>
            <w:gridSpan w:val="7"/>
            <w:noWrap w:val="0"/>
            <w:vAlign w:val="center"/>
          </w:tcPr>
          <w:p w14:paraId="1BF72486">
            <w:pPr>
              <w:topLinePunct/>
              <w:jc w:val="center"/>
              <w:rPr>
                <w:rFonts w:hint="eastAsia" w:asciiTheme="minorEastAsia" w:hAnsiTheme="minorEastAsia" w:eastAsiaTheme="minorEastAsia" w:cstheme="minorEastAsia"/>
                <w:color w:val="auto"/>
                <w:szCs w:val="21"/>
                <w:highlight w:val="none"/>
              </w:rPr>
            </w:pPr>
          </w:p>
        </w:tc>
      </w:tr>
      <w:tr w14:paraId="754096F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82" w:hRule="atLeast"/>
        </w:trPr>
        <w:tc>
          <w:tcPr>
            <w:tcW w:w="3608" w:type="dxa"/>
            <w:gridSpan w:val="3"/>
            <w:noWrap w:val="0"/>
            <w:vAlign w:val="center"/>
          </w:tcPr>
          <w:p w14:paraId="47B485FF">
            <w:pPr>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投标产品制造商需具有的资质证书</w:t>
            </w:r>
          </w:p>
        </w:tc>
        <w:tc>
          <w:tcPr>
            <w:tcW w:w="1068" w:type="dxa"/>
            <w:noWrap w:val="0"/>
            <w:vAlign w:val="center"/>
          </w:tcPr>
          <w:p w14:paraId="79E2BBBF">
            <w:pPr>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等级</w:t>
            </w:r>
          </w:p>
        </w:tc>
        <w:tc>
          <w:tcPr>
            <w:tcW w:w="1701" w:type="dxa"/>
            <w:gridSpan w:val="3"/>
            <w:noWrap w:val="0"/>
            <w:vAlign w:val="center"/>
          </w:tcPr>
          <w:p w14:paraId="2E57236D">
            <w:pPr>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类型</w:t>
            </w:r>
          </w:p>
        </w:tc>
        <w:tc>
          <w:tcPr>
            <w:tcW w:w="2623" w:type="dxa"/>
            <w:gridSpan w:val="3"/>
            <w:noWrap w:val="0"/>
            <w:vAlign w:val="center"/>
          </w:tcPr>
          <w:p w14:paraId="1FCEA23B">
            <w:pPr>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证书号</w:t>
            </w:r>
          </w:p>
        </w:tc>
      </w:tr>
      <w:tr w14:paraId="1CD77CD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62" w:hRule="atLeast"/>
        </w:trPr>
        <w:tc>
          <w:tcPr>
            <w:tcW w:w="3608" w:type="dxa"/>
            <w:gridSpan w:val="3"/>
            <w:noWrap w:val="0"/>
            <w:vAlign w:val="center"/>
          </w:tcPr>
          <w:p w14:paraId="133E0F8E">
            <w:pPr>
              <w:topLinePunct/>
              <w:jc w:val="center"/>
              <w:rPr>
                <w:rFonts w:hint="eastAsia" w:asciiTheme="minorEastAsia" w:hAnsiTheme="minorEastAsia" w:eastAsiaTheme="minorEastAsia" w:cstheme="minorEastAsia"/>
                <w:color w:val="auto"/>
                <w:szCs w:val="21"/>
                <w:highlight w:val="none"/>
              </w:rPr>
            </w:pPr>
          </w:p>
        </w:tc>
        <w:tc>
          <w:tcPr>
            <w:tcW w:w="1068" w:type="dxa"/>
            <w:noWrap w:val="0"/>
            <w:vAlign w:val="center"/>
          </w:tcPr>
          <w:p w14:paraId="1356F48F">
            <w:pPr>
              <w:topLinePunct/>
              <w:jc w:val="center"/>
              <w:rPr>
                <w:rFonts w:hint="eastAsia" w:asciiTheme="minorEastAsia" w:hAnsiTheme="minorEastAsia" w:eastAsiaTheme="minorEastAsia" w:cstheme="minorEastAsia"/>
                <w:color w:val="auto"/>
                <w:szCs w:val="21"/>
                <w:highlight w:val="none"/>
              </w:rPr>
            </w:pPr>
          </w:p>
        </w:tc>
        <w:tc>
          <w:tcPr>
            <w:tcW w:w="1701" w:type="dxa"/>
            <w:gridSpan w:val="3"/>
            <w:noWrap w:val="0"/>
            <w:vAlign w:val="center"/>
          </w:tcPr>
          <w:p w14:paraId="6FDEE68E">
            <w:pPr>
              <w:topLinePunct/>
              <w:jc w:val="center"/>
              <w:rPr>
                <w:rFonts w:hint="eastAsia" w:asciiTheme="minorEastAsia" w:hAnsiTheme="minorEastAsia" w:eastAsiaTheme="minorEastAsia" w:cstheme="minorEastAsia"/>
                <w:color w:val="auto"/>
                <w:szCs w:val="21"/>
                <w:highlight w:val="none"/>
              </w:rPr>
            </w:pPr>
          </w:p>
        </w:tc>
        <w:tc>
          <w:tcPr>
            <w:tcW w:w="2623" w:type="dxa"/>
            <w:gridSpan w:val="3"/>
            <w:noWrap w:val="0"/>
            <w:vAlign w:val="center"/>
          </w:tcPr>
          <w:p w14:paraId="3B925EDD">
            <w:pPr>
              <w:topLinePunct/>
              <w:jc w:val="center"/>
              <w:rPr>
                <w:rFonts w:hint="eastAsia" w:asciiTheme="minorEastAsia" w:hAnsiTheme="minorEastAsia" w:eastAsiaTheme="minorEastAsia" w:cstheme="minorEastAsia"/>
                <w:color w:val="auto"/>
                <w:szCs w:val="21"/>
                <w:highlight w:val="none"/>
              </w:rPr>
            </w:pPr>
          </w:p>
        </w:tc>
      </w:tr>
      <w:tr w14:paraId="20F44F7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20" w:hRule="atLeast"/>
        </w:trPr>
        <w:tc>
          <w:tcPr>
            <w:tcW w:w="3608" w:type="dxa"/>
            <w:gridSpan w:val="3"/>
            <w:noWrap w:val="0"/>
            <w:vAlign w:val="center"/>
          </w:tcPr>
          <w:p w14:paraId="02FFD659">
            <w:pPr>
              <w:topLinePunct/>
              <w:jc w:val="center"/>
              <w:rPr>
                <w:rFonts w:hint="eastAsia" w:asciiTheme="minorEastAsia" w:hAnsiTheme="minorEastAsia" w:eastAsiaTheme="minorEastAsia" w:cstheme="minorEastAsia"/>
                <w:color w:val="auto"/>
                <w:szCs w:val="21"/>
                <w:highlight w:val="none"/>
              </w:rPr>
            </w:pPr>
          </w:p>
        </w:tc>
        <w:tc>
          <w:tcPr>
            <w:tcW w:w="1068" w:type="dxa"/>
            <w:noWrap w:val="0"/>
            <w:vAlign w:val="center"/>
          </w:tcPr>
          <w:p w14:paraId="56AEAB2E">
            <w:pPr>
              <w:topLinePunct/>
              <w:jc w:val="center"/>
              <w:rPr>
                <w:rFonts w:hint="eastAsia" w:asciiTheme="minorEastAsia" w:hAnsiTheme="minorEastAsia" w:eastAsiaTheme="minorEastAsia" w:cstheme="minorEastAsia"/>
                <w:color w:val="auto"/>
                <w:szCs w:val="21"/>
                <w:highlight w:val="none"/>
              </w:rPr>
            </w:pPr>
          </w:p>
        </w:tc>
        <w:tc>
          <w:tcPr>
            <w:tcW w:w="1701" w:type="dxa"/>
            <w:gridSpan w:val="3"/>
            <w:noWrap w:val="0"/>
            <w:vAlign w:val="center"/>
          </w:tcPr>
          <w:p w14:paraId="069A36B1">
            <w:pPr>
              <w:topLinePunct/>
              <w:jc w:val="center"/>
              <w:rPr>
                <w:rFonts w:hint="eastAsia" w:asciiTheme="minorEastAsia" w:hAnsiTheme="minorEastAsia" w:eastAsiaTheme="minorEastAsia" w:cstheme="minorEastAsia"/>
                <w:color w:val="auto"/>
                <w:szCs w:val="21"/>
                <w:highlight w:val="none"/>
              </w:rPr>
            </w:pPr>
          </w:p>
        </w:tc>
        <w:tc>
          <w:tcPr>
            <w:tcW w:w="2623" w:type="dxa"/>
            <w:gridSpan w:val="3"/>
            <w:noWrap w:val="0"/>
            <w:vAlign w:val="center"/>
          </w:tcPr>
          <w:p w14:paraId="54B85350">
            <w:pPr>
              <w:topLinePunct/>
              <w:jc w:val="center"/>
              <w:rPr>
                <w:rFonts w:hint="eastAsia" w:asciiTheme="minorEastAsia" w:hAnsiTheme="minorEastAsia" w:eastAsiaTheme="minorEastAsia" w:cstheme="minorEastAsia"/>
                <w:color w:val="auto"/>
                <w:szCs w:val="21"/>
                <w:highlight w:val="none"/>
              </w:rPr>
            </w:pPr>
          </w:p>
        </w:tc>
      </w:tr>
      <w:tr w14:paraId="01ECC25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14" w:hRule="atLeast"/>
        </w:trPr>
        <w:tc>
          <w:tcPr>
            <w:tcW w:w="3608" w:type="dxa"/>
            <w:gridSpan w:val="3"/>
            <w:noWrap w:val="0"/>
            <w:vAlign w:val="center"/>
          </w:tcPr>
          <w:p w14:paraId="273331D6">
            <w:pPr>
              <w:topLinePunct/>
              <w:jc w:val="center"/>
              <w:rPr>
                <w:rFonts w:hint="eastAsia" w:asciiTheme="minorEastAsia" w:hAnsiTheme="minorEastAsia" w:eastAsiaTheme="minorEastAsia" w:cstheme="minorEastAsia"/>
                <w:color w:val="auto"/>
                <w:szCs w:val="21"/>
                <w:highlight w:val="none"/>
              </w:rPr>
            </w:pPr>
          </w:p>
        </w:tc>
        <w:tc>
          <w:tcPr>
            <w:tcW w:w="1068" w:type="dxa"/>
            <w:noWrap w:val="0"/>
            <w:vAlign w:val="center"/>
          </w:tcPr>
          <w:p w14:paraId="72A31A84">
            <w:pPr>
              <w:topLinePunct/>
              <w:jc w:val="center"/>
              <w:rPr>
                <w:rFonts w:hint="eastAsia" w:asciiTheme="minorEastAsia" w:hAnsiTheme="minorEastAsia" w:eastAsiaTheme="minorEastAsia" w:cstheme="minorEastAsia"/>
                <w:color w:val="auto"/>
                <w:szCs w:val="21"/>
                <w:highlight w:val="none"/>
              </w:rPr>
            </w:pPr>
          </w:p>
        </w:tc>
        <w:tc>
          <w:tcPr>
            <w:tcW w:w="1701" w:type="dxa"/>
            <w:gridSpan w:val="3"/>
            <w:noWrap w:val="0"/>
            <w:vAlign w:val="center"/>
          </w:tcPr>
          <w:p w14:paraId="066D9317">
            <w:pPr>
              <w:topLinePunct/>
              <w:jc w:val="center"/>
              <w:rPr>
                <w:rFonts w:hint="eastAsia" w:asciiTheme="minorEastAsia" w:hAnsiTheme="minorEastAsia" w:eastAsiaTheme="minorEastAsia" w:cstheme="minorEastAsia"/>
                <w:color w:val="auto"/>
                <w:szCs w:val="21"/>
                <w:highlight w:val="none"/>
              </w:rPr>
            </w:pPr>
          </w:p>
        </w:tc>
        <w:tc>
          <w:tcPr>
            <w:tcW w:w="2623" w:type="dxa"/>
            <w:gridSpan w:val="3"/>
            <w:noWrap w:val="0"/>
            <w:vAlign w:val="center"/>
          </w:tcPr>
          <w:p w14:paraId="0385FE3B">
            <w:pPr>
              <w:topLinePunct/>
              <w:jc w:val="center"/>
              <w:rPr>
                <w:rFonts w:hint="eastAsia" w:asciiTheme="minorEastAsia" w:hAnsiTheme="minorEastAsia" w:eastAsiaTheme="minorEastAsia" w:cstheme="minorEastAsia"/>
                <w:color w:val="auto"/>
                <w:szCs w:val="21"/>
                <w:highlight w:val="none"/>
              </w:rPr>
            </w:pPr>
          </w:p>
        </w:tc>
      </w:tr>
    </w:tbl>
    <w:p w14:paraId="26CB461E">
      <w:pPr>
        <w:adjustRightInd w:val="0"/>
        <w:snapToGrid w:val="0"/>
        <w:spacing w:before="120" w:beforeLines="50"/>
        <w:ind w:left="630" w:hanging="630" w:hangingChars="3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说明：企业类型指大型、中型、小型、微型；上年营业收入、资产总额应与财务报表中的数据一致， 金额单位为万元。</w:t>
      </w:r>
    </w:p>
    <w:p w14:paraId="3F0D4F67">
      <w:pPr>
        <w:adjustRightInd w:val="0"/>
        <w:snapToGrid w:val="0"/>
        <w:spacing w:before="240" w:beforeLines="100" w:line="360" w:lineRule="auto"/>
        <w:ind w:firstLine="388" w:firstLineChars="185"/>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bCs/>
          <w:color w:val="auto"/>
          <w:szCs w:val="21"/>
          <w:highlight w:val="none"/>
        </w:rPr>
        <w:t>投  标  人：</w:t>
      </w:r>
      <w:r>
        <w:rPr>
          <w:rFonts w:hint="eastAsia" w:asciiTheme="minorEastAsia" w:hAnsiTheme="minorEastAsia" w:eastAsiaTheme="minorEastAsia" w:cstheme="minorEastAsia"/>
          <w:bCs/>
          <w:color w:val="auto"/>
          <w:szCs w:val="21"/>
          <w:highlight w:val="none"/>
          <w:u w:val="single"/>
        </w:rPr>
        <w:t xml:space="preserve">                        </w:t>
      </w:r>
      <w:r>
        <w:rPr>
          <w:rFonts w:hint="eastAsia" w:asciiTheme="minorEastAsia" w:hAnsiTheme="minorEastAsia" w:eastAsiaTheme="minorEastAsia" w:cstheme="minorEastAsia"/>
          <w:bCs/>
          <w:color w:val="auto"/>
          <w:szCs w:val="21"/>
          <w:highlight w:val="none"/>
        </w:rPr>
        <w:t>（盖单位章）</w:t>
      </w:r>
    </w:p>
    <w:p w14:paraId="389A9DB5">
      <w:pPr>
        <w:adjustRightInd w:val="0"/>
        <w:spacing w:line="360" w:lineRule="auto"/>
        <w:ind w:firstLine="367" w:firstLineChars="175"/>
        <w:jc w:val="left"/>
        <w:rPr>
          <w:rFonts w:hint="eastAsia" w:asciiTheme="minorEastAsia" w:hAnsiTheme="minorEastAsia" w:eastAsiaTheme="minorEastAsia" w:cstheme="minorEastAsia"/>
          <w:bCs/>
          <w:color w:val="auto"/>
          <w:szCs w:val="21"/>
          <w:highlight w:val="none"/>
        </w:rPr>
      </w:pPr>
      <w:r>
        <w:rPr>
          <w:rFonts w:hint="eastAsia" w:asciiTheme="minorEastAsia" w:hAnsiTheme="minorEastAsia" w:eastAsiaTheme="minorEastAsia" w:cstheme="minorEastAsia"/>
          <w:color w:val="auto"/>
          <w:szCs w:val="21"/>
          <w:highlight w:val="none"/>
        </w:rPr>
        <w:t>法定代表人或委托代理人：</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（签字）</w:t>
      </w:r>
    </w:p>
    <w:p w14:paraId="372EFF16">
      <w:pPr>
        <w:adjustRightInd w:val="0"/>
        <w:spacing w:line="360" w:lineRule="auto"/>
        <w:ind w:firstLine="367" w:firstLineChars="175"/>
        <w:jc w:val="left"/>
        <w:rPr>
          <w:rFonts w:hint="eastAsia" w:asciiTheme="minorEastAsia" w:hAnsiTheme="minorEastAsia" w:eastAsiaTheme="minorEastAsia" w:cstheme="minorEastAsia"/>
          <w:bCs/>
          <w:color w:val="auto"/>
          <w:szCs w:val="21"/>
          <w:highlight w:val="none"/>
        </w:rPr>
      </w:pPr>
      <w:r>
        <w:rPr>
          <w:rFonts w:hint="eastAsia" w:asciiTheme="minorEastAsia" w:hAnsiTheme="minorEastAsia" w:eastAsiaTheme="minorEastAsia" w:cstheme="minorEastAsia"/>
          <w:bCs/>
          <w:color w:val="auto"/>
          <w:szCs w:val="21"/>
          <w:highlight w:val="none"/>
        </w:rPr>
        <w:t>日      期:20</w:t>
      </w:r>
      <w:r>
        <w:rPr>
          <w:rFonts w:hint="eastAsia" w:asciiTheme="minorEastAsia" w:hAnsiTheme="minorEastAsia" w:eastAsiaTheme="minorEastAsia" w:cstheme="minorEastAsia"/>
          <w:bCs/>
          <w:color w:val="auto"/>
          <w:szCs w:val="21"/>
          <w:highlight w:val="none"/>
          <w:u w:val="single"/>
        </w:rPr>
        <w:t xml:space="preserve">  </w:t>
      </w:r>
      <w:r>
        <w:rPr>
          <w:rFonts w:hint="eastAsia" w:asciiTheme="minorEastAsia" w:hAnsiTheme="minorEastAsia" w:eastAsiaTheme="minorEastAsia" w:cstheme="minorEastAsia"/>
          <w:bCs/>
          <w:color w:val="auto"/>
          <w:szCs w:val="21"/>
          <w:highlight w:val="none"/>
        </w:rPr>
        <w:t>年</w:t>
      </w:r>
      <w:r>
        <w:rPr>
          <w:rFonts w:hint="eastAsia" w:asciiTheme="minorEastAsia" w:hAnsiTheme="minorEastAsia" w:eastAsiaTheme="minorEastAsia" w:cstheme="minorEastAsia"/>
          <w:bCs/>
          <w:color w:val="auto"/>
          <w:szCs w:val="21"/>
          <w:highlight w:val="none"/>
          <w:u w:val="single"/>
        </w:rPr>
        <w:t xml:space="preserve">  </w:t>
      </w:r>
      <w:r>
        <w:rPr>
          <w:rFonts w:hint="eastAsia" w:asciiTheme="minorEastAsia" w:hAnsiTheme="minorEastAsia" w:eastAsiaTheme="minorEastAsia" w:cstheme="minorEastAsia"/>
          <w:bCs/>
          <w:color w:val="auto"/>
          <w:szCs w:val="21"/>
          <w:highlight w:val="none"/>
        </w:rPr>
        <w:t>月</w:t>
      </w:r>
      <w:r>
        <w:rPr>
          <w:rFonts w:hint="eastAsia" w:asciiTheme="minorEastAsia" w:hAnsiTheme="minorEastAsia" w:eastAsiaTheme="minorEastAsia" w:cstheme="minorEastAsia"/>
          <w:bCs/>
          <w:color w:val="auto"/>
          <w:szCs w:val="21"/>
          <w:highlight w:val="none"/>
          <w:u w:val="single"/>
        </w:rPr>
        <w:t xml:space="preserve">  </w:t>
      </w:r>
      <w:r>
        <w:rPr>
          <w:rFonts w:hint="eastAsia" w:asciiTheme="minorEastAsia" w:hAnsiTheme="minorEastAsia" w:eastAsiaTheme="minorEastAsia" w:cstheme="minorEastAsia"/>
          <w:bCs/>
          <w:color w:val="auto"/>
          <w:szCs w:val="21"/>
          <w:highlight w:val="none"/>
        </w:rPr>
        <w:t>日</w:t>
      </w:r>
    </w:p>
    <w:p w14:paraId="793B8883">
      <w:pPr>
        <w:adjustRightInd w:val="0"/>
        <w:snapToGrid w:val="0"/>
        <w:spacing w:line="360" w:lineRule="auto"/>
        <w:jc w:val="center"/>
        <w:rPr>
          <w:rFonts w:hint="eastAsia" w:ascii="宋体" w:hAnsi="宋体"/>
          <w:b/>
          <w:color w:val="auto"/>
          <w:sz w:val="36"/>
          <w:szCs w:val="36"/>
          <w:highlight w:val="none"/>
        </w:rPr>
      </w:pPr>
    </w:p>
    <w:p w14:paraId="6863BD9C">
      <w:pPr>
        <w:adjustRightInd w:val="0"/>
        <w:snapToGrid w:val="0"/>
        <w:spacing w:line="360" w:lineRule="auto"/>
        <w:jc w:val="center"/>
        <w:outlineLvl w:val="1"/>
        <w:rPr>
          <w:rFonts w:hint="eastAsia" w:ascii="宋体" w:hAnsi="宋体"/>
          <w:color w:val="auto"/>
          <w:szCs w:val="21"/>
          <w:highlight w:val="none"/>
        </w:rPr>
      </w:pPr>
      <w:bookmarkStart w:id="226" w:name="_Toc26477"/>
      <w:r>
        <w:rPr>
          <w:rFonts w:hint="eastAsia" w:ascii="宋体" w:hAnsi="宋体"/>
          <w:b/>
          <w:color w:val="auto"/>
          <w:sz w:val="36"/>
          <w:szCs w:val="36"/>
          <w:highlight w:val="none"/>
        </w:rPr>
        <w:t>2.法定代表人（单位负责人）身份证明</w:t>
      </w:r>
      <w:bookmarkEnd w:id="226"/>
    </w:p>
    <w:p w14:paraId="3139623B">
      <w:pPr>
        <w:snapToGrid w:val="0"/>
        <w:spacing w:line="480" w:lineRule="auto"/>
        <w:rPr>
          <w:rFonts w:hint="eastAsia" w:ascii="宋体" w:hAnsi="宋体"/>
          <w:color w:val="auto"/>
          <w:szCs w:val="21"/>
          <w:highlight w:val="none"/>
        </w:rPr>
      </w:pPr>
    </w:p>
    <w:p w14:paraId="3D772E6A">
      <w:pPr>
        <w:autoSpaceDE w:val="0"/>
        <w:autoSpaceDN w:val="0"/>
        <w:adjustRightInd w:val="0"/>
        <w:snapToGrid w:val="0"/>
        <w:spacing w:before="120" w:beforeLines="50" w:line="360" w:lineRule="auto"/>
        <w:jc w:val="left"/>
        <w:rPr>
          <w:rFonts w:hint="eastAsia" w:ascii="宋体" w:hAnsi="宋体" w:cs="宋体"/>
          <w:color w:val="auto"/>
          <w:kern w:val="0"/>
          <w:szCs w:val="21"/>
          <w:highlight w:val="none"/>
        </w:rPr>
      </w:pPr>
      <w:r>
        <w:rPr>
          <w:rFonts w:hint="eastAsia" w:ascii="宋体" w:hAnsi="宋体"/>
          <w:color w:val="auto"/>
          <w:szCs w:val="21"/>
          <w:highlight w:val="none"/>
        </w:rPr>
        <w:t>投标人</w:t>
      </w:r>
      <w:r>
        <w:rPr>
          <w:rFonts w:hint="eastAsia" w:ascii="宋体" w:hAnsi="宋体" w:cs="宋体"/>
          <w:color w:val="auto"/>
          <w:kern w:val="0"/>
          <w:szCs w:val="21"/>
          <w:highlight w:val="none"/>
        </w:rPr>
        <w:t>名称：</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 xml:space="preserve"> </w:t>
      </w:r>
    </w:p>
    <w:p w14:paraId="3F0F3623">
      <w:pPr>
        <w:autoSpaceDE w:val="0"/>
        <w:autoSpaceDN w:val="0"/>
        <w:adjustRightInd w:val="0"/>
        <w:snapToGrid w:val="0"/>
        <w:spacing w:before="120" w:beforeLines="50" w:line="360" w:lineRule="auto"/>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统一社会信用代码：</w:t>
      </w:r>
      <w:r>
        <w:rPr>
          <w:rFonts w:hint="eastAsia" w:ascii="宋体" w:hAnsi="宋体" w:cs="宋体"/>
          <w:color w:val="auto"/>
          <w:kern w:val="0"/>
          <w:szCs w:val="21"/>
          <w:highlight w:val="none"/>
          <w:u w:val="single"/>
        </w:rPr>
        <w:t xml:space="preserve">                </w:t>
      </w:r>
    </w:p>
    <w:p w14:paraId="409CEC2B">
      <w:pPr>
        <w:autoSpaceDE w:val="0"/>
        <w:autoSpaceDN w:val="0"/>
        <w:adjustRightInd w:val="0"/>
        <w:snapToGrid w:val="0"/>
        <w:spacing w:before="120" w:beforeLines="50" w:line="360" w:lineRule="auto"/>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姓名：</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 xml:space="preserve"> 性别：</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 xml:space="preserve"> 年龄：</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 xml:space="preserve"> 职务：</w:t>
      </w:r>
      <w:r>
        <w:rPr>
          <w:rFonts w:hint="eastAsia" w:ascii="宋体" w:hAnsi="宋体" w:cs="宋体"/>
          <w:color w:val="auto"/>
          <w:kern w:val="0"/>
          <w:szCs w:val="21"/>
          <w:highlight w:val="none"/>
          <w:u w:val="single"/>
        </w:rPr>
        <w:t xml:space="preserve">             </w:t>
      </w:r>
    </w:p>
    <w:p w14:paraId="7DF20CFB">
      <w:pPr>
        <w:autoSpaceDE w:val="0"/>
        <w:autoSpaceDN w:val="0"/>
        <w:adjustRightInd w:val="0"/>
        <w:snapToGrid w:val="0"/>
        <w:spacing w:before="120" w:beforeLines="50" w:line="360" w:lineRule="auto"/>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系</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（投标</w:t>
      </w:r>
      <w:r>
        <w:rPr>
          <w:rFonts w:hint="eastAsia" w:ascii="宋体" w:hAnsi="宋体"/>
          <w:color w:val="auto"/>
          <w:szCs w:val="21"/>
          <w:highlight w:val="none"/>
        </w:rPr>
        <w:t>人</w:t>
      </w:r>
      <w:r>
        <w:rPr>
          <w:rFonts w:hint="eastAsia" w:ascii="宋体" w:hAnsi="宋体" w:cs="宋体"/>
          <w:color w:val="auto"/>
          <w:kern w:val="0"/>
          <w:szCs w:val="21"/>
          <w:highlight w:val="none"/>
        </w:rPr>
        <w:t>名称）的法定代表人（单位负责人）。</w:t>
      </w:r>
    </w:p>
    <w:p w14:paraId="213E1D7B">
      <w:pPr>
        <w:autoSpaceDE w:val="0"/>
        <w:autoSpaceDN w:val="0"/>
        <w:adjustRightInd w:val="0"/>
        <w:snapToGrid w:val="0"/>
        <w:spacing w:before="120" w:beforeLines="50" w:line="360" w:lineRule="auto"/>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特此证明。</w:t>
      </w:r>
    </w:p>
    <w:p w14:paraId="1E41A8A6">
      <w:pPr>
        <w:autoSpaceDE w:val="0"/>
        <w:autoSpaceDN w:val="0"/>
        <w:adjustRightInd w:val="0"/>
        <w:snapToGrid w:val="0"/>
        <w:spacing w:before="120" w:beforeLines="50" w:line="360" w:lineRule="auto"/>
        <w:jc w:val="left"/>
        <w:rPr>
          <w:rFonts w:hint="eastAsia" w:ascii="宋体" w:hAnsi="宋体"/>
          <w:color w:val="auto"/>
          <w:szCs w:val="21"/>
          <w:highlight w:val="none"/>
        </w:rPr>
      </w:pPr>
    </w:p>
    <w:p w14:paraId="249FCC3E">
      <w:pPr>
        <w:autoSpaceDE w:val="0"/>
        <w:autoSpaceDN w:val="0"/>
        <w:adjustRightInd w:val="0"/>
        <w:snapToGrid w:val="0"/>
        <w:spacing w:before="120" w:beforeLines="50" w:line="360" w:lineRule="auto"/>
        <w:jc w:val="left"/>
        <w:rPr>
          <w:rFonts w:hint="eastAsia" w:ascii="宋体" w:hAnsi="宋体" w:cs="宋体"/>
          <w:color w:val="auto"/>
          <w:kern w:val="0"/>
          <w:szCs w:val="21"/>
          <w:highlight w:val="none"/>
        </w:rPr>
      </w:pPr>
      <w:r>
        <w:rPr>
          <w:rFonts w:hint="eastAsia" w:ascii="宋体" w:hAnsi="宋体"/>
          <w:color w:val="auto"/>
          <w:szCs w:val="21"/>
          <w:highlight w:val="none"/>
        </w:rPr>
        <w:t>附：法定代表人身份证复印件</w:t>
      </w:r>
    </w:p>
    <w:p w14:paraId="5A6CBC2D">
      <w:pPr>
        <w:snapToGrid w:val="0"/>
        <w:spacing w:line="480" w:lineRule="auto"/>
        <w:rPr>
          <w:rFonts w:ascii="宋体" w:hAnsi="宋体"/>
          <w:color w:val="auto"/>
          <w:szCs w:val="21"/>
          <w:highlight w:val="none"/>
        </w:rPr>
      </w:pPr>
    </w:p>
    <w:tbl>
      <w:tblPr>
        <w:tblStyle w:val="23"/>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29F15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5" w:hRule="atLeast"/>
        </w:trPr>
        <w:tc>
          <w:tcPr>
            <w:tcW w:w="5868" w:type="dxa"/>
            <w:noWrap w:val="0"/>
            <w:vAlign w:val="center"/>
          </w:tcPr>
          <w:p w14:paraId="1B190780">
            <w:pPr>
              <w:snapToGrid w:val="0"/>
              <w:spacing w:line="480" w:lineRule="auto"/>
              <w:jc w:val="center"/>
              <w:rPr>
                <w:rFonts w:hint="eastAsia" w:ascii="宋体" w:hAnsi="宋体"/>
                <w:color w:val="auto"/>
                <w:szCs w:val="21"/>
                <w:highlight w:val="none"/>
              </w:rPr>
            </w:pPr>
          </w:p>
          <w:p w14:paraId="55A8D33E">
            <w:pPr>
              <w:snapToGrid w:val="0"/>
              <w:spacing w:line="480" w:lineRule="auto"/>
              <w:jc w:val="center"/>
              <w:rPr>
                <w:rFonts w:hint="eastAsia" w:ascii="宋体" w:hAnsi="宋体"/>
                <w:color w:val="auto"/>
                <w:szCs w:val="21"/>
                <w:highlight w:val="none"/>
              </w:rPr>
            </w:pPr>
          </w:p>
          <w:p w14:paraId="33BD1D46">
            <w:pPr>
              <w:autoSpaceDE w:val="0"/>
              <w:autoSpaceDN w:val="0"/>
              <w:adjustRightInd w:val="0"/>
              <w:snapToGrid w:val="0"/>
              <w:spacing w:before="120" w:beforeLines="50" w:line="360" w:lineRule="auto"/>
              <w:jc w:val="center"/>
              <w:rPr>
                <w:rFonts w:hint="eastAsia" w:ascii="宋体" w:hAnsi="宋体" w:cs="宋体"/>
                <w:color w:val="auto"/>
                <w:kern w:val="0"/>
                <w:szCs w:val="21"/>
                <w:highlight w:val="none"/>
              </w:rPr>
            </w:pPr>
            <w:r>
              <w:rPr>
                <w:rFonts w:hint="eastAsia" w:ascii="宋体" w:hAnsi="宋体"/>
                <w:color w:val="auto"/>
                <w:szCs w:val="21"/>
                <w:highlight w:val="none"/>
              </w:rPr>
              <w:t>法定代表人身份证复印件粘贴处</w:t>
            </w:r>
          </w:p>
          <w:p w14:paraId="042A6A08">
            <w:pPr>
              <w:snapToGrid w:val="0"/>
              <w:spacing w:line="480" w:lineRule="auto"/>
              <w:jc w:val="center"/>
              <w:rPr>
                <w:rFonts w:hint="eastAsia" w:ascii="宋体" w:hAnsi="宋体"/>
                <w:color w:val="auto"/>
                <w:szCs w:val="21"/>
                <w:highlight w:val="none"/>
              </w:rPr>
            </w:pPr>
          </w:p>
          <w:p w14:paraId="17EA89FA">
            <w:pPr>
              <w:snapToGrid w:val="0"/>
              <w:spacing w:line="480" w:lineRule="auto"/>
              <w:jc w:val="center"/>
              <w:rPr>
                <w:rFonts w:hint="eastAsia" w:ascii="宋体" w:hAnsi="宋体"/>
                <w:color w:val="auto"/>
                <w:szCs w:val="21"/>
                <w:highlight w:val="none"/>
              </w:rPr>
            </w:pPr>
          </w:p>
        </w:tc>
      </w:tr>
    </w:tbl>
    <w:p w14:paraId="4E162CC7">
      <w:pPr>
        <w:snapToGrid w:val="0"/>
        <w:spacing w:line="480" w:lineRule="auto"/>
        <w:rPr>
          <w:rFonts w:hint="eastAsia" w:ascii="宋体" w:hAnsi="宋体"/>
          <w:color w:val="auto"/>
          <w:szCs w:val="21"/>
          <w:highlight w:val="none"/>
        </w:rPr>
      </w:pPr>
    </w:p>
    <w:p w14:paraId="3AA73429">
      <w:pPr>
        <w:snapToGrid w:val="0"/>
        <w:rPr>
          <w:rFonts w:hint="eastAsia" w:ascii="宋体" w:hAnsi="宋体"/>
          <w:color w:val="auto"/>
          <w:szCs w:val="21"/>
          <w:highlight w:val="none"/>
        </w:rPr>
      </w:pPr>
    </w:p>
    <w:p w14:paraId="5470D921">
      <w:pPr>
        <w:snapToGrid w:val="0"/>
        <w:rPr>
          <w:rFonts w:hint="eastAsia" w:ascii="宋体" w:hAnsi="宋体"/>
          <w:color w:val="auto"/>
          <w:szCs w:val="21"/>
          <w:highlight w:val="none"/>
        </w:rPr>
      </w:pPr>
    </w:p>
    <w:p w14:paraId="573CBD70">
      <w:pPr>
        <w:snapToGrid w:val="0"/>
        <w:rPr>
          <w:rFonts w:hint="eastAsia" w:ascii="宋体" w:hAnsi="宋体"/>
          <w:color w:val="auto"/>
          <w:szCs w:val="21"/>
          <w:highlight w:val="none"/>
        </w:rPr>
      </w:pPr>
    </w:p>
    <w:p w14:paraId="4697C096">
      <w:pPr>
        <w:adjustRightInd w:val="0"/>
        <w:snapToGrid w:val="0"/>
        <w:spacing w:line="360" w:lineRule="auto"/>
        <w:rPr>
          <w:rFonts w:hint="eastAsia" w:ascii="宋体" w:hAnsi="宋体"/>
          <w:color w:val="auto"/>
          <w:szCs w:val="21"/>
          <w:highlight w:val="none"/>
        </w:rPr>
      </w:pPr>
    </w:p>
    <w:p w14:paraId="55FD4897">
      <w:pPr>
        <w:adjustRightInd w:val="0"/>
        <w:snapToGrid w:val="0"/>
        <w:spacing w:line="360" w:lineRule="auto"/>
        <w:ind w:right="420"/>
        <w:rPr>
          <w:rFonts w:hint="eastAsia" w:ascii="宋体" w:hAnsi="宋体"/>
          <w:color w:val="auto"/>
          <w:szCs w:val="21"/>
          <w:highlight w:val="none"/>
        </w:rPr>
      </w:pPr>
    </w:p>
    <w:p w14:paraId="536BFA2B">
      <w:pPr>
        <w:adjustRightInd w:val="0"/>
        <w:snapToGrid w:val="0"/>
        <w:spacing w:line="360" w:lineRule="auto"/>
        <w:ind w:right="420"/>
        <w:rPr>
          <w:rFonts w:hint="eastAsia" w:ascii="宋体" w:hAnsi="宋体"/>
          <w:color w:val="auto"/>
          <w:szCs w:val="21"/>
          <w:highlight w:val="none"/>
        </w:rPr>
      </w:pPr>
    </w:p>
    <w:p w14:paraId="393BD84F">
      <w:pPr>
        <w:adjustRightInd w:val="0"/>
        <w:snapToGrid w:val="0"/>
        <w:spacing w:line="360" w:lineRule="auto"/>
        <w:ind w:right="420"/>
        <w:rPr>
          <w:rFonts w:hint="eastAsia" w:ascii="宋体" w:hAnsi="宋体"/>
          <w:color w:val="auto"/>
          <w:szCs w:val="21"/>
          <w:highlight w:val="none"/>
        </w:rPr>
      </w:pPr>
    </w:p>
    <w:p w14:paraId="208423E7">
      <w:pPr>
        <w:adjustRightInd w:val="0"/>
        <w:snapToGrid w:val="0"/>
        <w:spacing w:line="360" w:lineRule="auto"/>
        <w:ind w:right="420"/>
        <w:rPr>
          <w:rFonts w:hint="eastAsia" w:ascii="宋体" w:hAnsi="宋体"/>
          <w:color w:val="auto"/>
          <w:szCs w:val="21"/>
          <w:highlight w:val="none"/>
        </w:rPr>
      </w:pPr>
    </w:p>
    <w:p w14:paraId="67011F30">
      <w:pPr>
        <w:adjustRightInd w:val="0"/>
        <w:snapToGrid w:val="0"/>
        <w:spacing w:line="360" w:lineRule="auto"/>
        <w:ind w:right="420" w:firstLine="210" w:firstLineChars="100"/>
        <w:rPr>
          <w:rFonts w:hint="eastAsia" w:ascii="宋体" w:hAnsi="宋体"/>
          <w:color w:val="auto"/>
          <w:szCs w:val="21"/>
          <w:highlight w:val="none"/>
        </w:rPr>
      </w:pPr>
    </w:p>
    <w:p w14:paraId="6C0F1C89">
      <w:pPr>
        <w:adjustRightInd w:val="0"/>
        <w:snapToGrid w:val="0"/>
        <w:spacing w:line="360" w:lineRule="auto"/>
        <w:ind w:right="420" w:firstLine="3255" w:firstLineChars="1550"/>
        <w:rPr>
          <w:rFonts w:hint="eastAsia" w:ascii="宋体" w:hAnsi="宋体"/>
          <w:color w:val="auto"/>
          <w:szCs w:val="21"/>
          <w:highlight w:val="none"/>
        </w:rPr>
      </w:pPr>
    </w:p>
    <w:p w14:paraId="53B08BA5">
      <w:pPr>
        <w:adjustRightInd w:val="0"/>
        <w:snapToGrid w:val="0"/>
        <w:spacing w:line="360" w:lineRule="auto"/>
        <w:ind w:right="420" w:firstLine="3465" w:firstLineChars="1650"/>
        <w:rPr>
          <w:rFonts w:hint="eastAsia" w:ascii="宋体" w:hAnsi="宋体"/>
          <w:color w:val="auto"/>
          <w:szCs w:val="21"/>
          <w:highlight w:val="none"/>
        </w:rPr>
      </w:pPr>
      <w:r>
        <w:rPr>
          <w:rFonts w:hint="eastAsia" w:ascii="宋体" w:hAnsi="宋体"/>
          <w:color w:val="auto"/>
          <w:szCs w:val="21"/>
          <w:highlight w:val="none"/>
        </w:rPr>
        <w:t>投标人名称：</w:t>
      </w:r>
      <w:r>
        <w:rPr>
          <w:rFonts w:hint="eastAsia" w:ascii="宋体" w:hAnsi="宋体"/>
          <w:color w:val="auto"/>
          <w:szCs w:val="21"/>
          <w:highlight w:val="none"/>
          <w:u w:val="single"/>
        </w:rPr>
        <w:t xml:space="preserve">                </w:t>
      </w:r>
      <w:r>
        <w:rPr>
          <w:rFonts w:hint="eastAsia" w:ascii="宋体" w:hAnsi="宋体"/>
          <w:color w:val="auto"/>
          <w:szCs w:val="21"/>
          <w:highlight w:val="none"/>
        </w:rPr>
        <w:t>（盖单位章）</w:t>
      </w:r>
    </w:p>
    <w:p w14:paraId="00E9A062">
      <w:pPr>
        <w:adjustRightInd w:val="0"/>
        <w:snapToGrid w:val="0"/>
        <w:spacing w:line="360" w:lineRule="auto"/>
        <w:ind w:right="420" w:firstLine="3570" w:firstLineChars="1700"/>
        <w:rPr>
          <w:rFonts w:hint="eastAsia" w:ascii="宋体" w:hAnsi="宋体"/>
          <w:color w:val="auto"/>
          <w:szCs w:val="21"/>
          <w:highlight w:val="none"/>
        </w:rPr>
      </w:pPr>
      <w:r>
        <w:rPr>
          <w:rFonts w:hint="eastAsia" w:ascii="宋体" w:hAnsi="宋体"/>
          <w:color w:val="auto"/>
          <w:szCs w:val="21"/>
          <w:highlight w:val="none"/>
        </w:rPr>
        <w:t>日期：20  年  月  日</w:t>
      </w:r>
    </w:p>
    <w:p w14:paraId="60476E66">
      <w:pPr>
        <w:adjustRightInd w:val="0"/>
        <w:snapToGrid w:val="0"/>
        <w:spacing w:line="360" w:lineRule="auto"/>
        <w:ind w:right="420" w:firstLine="210" w:firstLineChars="100"/>
        <w:rPr>
          <w:rFonts w:hint="eastAsia" w:ascii="仿宋_GB2312" w:hAnsi="宋体" w:eastAsia="仿宋_GB2312"/>
          <w:color w:val="auto"/>
          <w:szCs w:val="21"/>
          <w:highlight w:val="none"/>
        </w:rPr>
      </w:pPr>
    </w:p>
    <w:p w14:paraId="626A719A">
      <w:pPr>
        <w:adjustRightInd w:val="0"/>
        <w:snapToGrid w:val="0"/>
        <w:spacing w:line="360" w:lineRule="auto"/>
        <w:ind w:right="420" w:firstLine="210" w:firstLineChars="100"/>
        <w:rPr>
          <w:rFonts w:hint="eastAsia" w:ascii="仿宋_GB2312" w:hAnsi="宋体" w:eastAsia="仿宋_GB2312"/>
          <w:color w:val="auto"/>
          <w:szCs w:val="21"/>
          <w:highlight w:val="none"/>
        </w:rPr>
      </w:pPr>
    </w:p>
    <w:p w14:paraId="2B53818D">
      <w:pPr>
        <w:adjustRightInd w:val="0"/>
        <w:snapToGrid w:val="0"/>
        <w:spacing w:line="360" w:lineRule="auto"/>
        <w:ind w:right="420" w:firstLine="210" w:firstLineChars="100"/>
        <w:rPr>
          <w:rFonts w:hint="eastAsia" w:ascii="仿宋_GB2312" w:hAnsi="宋体" w:eastAsia="仿宋_GB2312"/>
          <w:color w:val="auto"/>
          <w:szCs w:val="21"/>
          <w:highlight w:val="none"/>
        </w:rPr>
      </w:pPr>
    </w:p>
    <w:p w14:paraId="120F5663">
      <w:pPr>
        <w:adjustRightInd w:val="0"/>
        <w:snapToGrid w:val="0"/>
        <w:spacing w:line="360" w:lineRule="auto"/>
        <w:ind w:right="420" w:firstLine="210" w:firstLineChars="100"/>
        <w:rPr>
          <w:rFonts w:hint="eastAsia" w:ascii="楷体" w:hAnsi="楷体" w:eastAsia="楷体"/>
          <w:color w:val="auto"/>
          <w:szCs w:val="21"/>
          <w:highlight w:val="none"/>
        </w:rPr>
      </w:pPr>
      <w:r>
        <w:rPr>
          <w:rFonts w:hint="eastAsia" w:ascii="楷体" w:hAnsi="楷体" w:eastAsia="楷体"/>
          <w:color w:val="auto"/>
          <w:szCs w:val="21"/>
          <w:highlight w:val="none"/>
        </w:rPr>
        <w:t>说明：仅限法定代表人参加投标时提供</w:t>
      </w:r>
    </w:p>
    <w:p w14:paraId="7C7E7133">
      <w:pPr>
        <w:jc w:val="center"/>
        <w:outlineLvl w:val="1"/>
        <w:rPr>
          <w:rFonts w:hint="eastAsia" w:ascii="宋体" w:hAnsi="宋体"/>
          <w:b/>
          <w:color w:val="auto"/>
          <w:sz w:val="36"/>
          <w:szCs w:val="36"/>
          <w:highlight w:val="none"/>
        </w:rPr>
      </w:pPr>
      <w:r>
        <w:rPr>
          <w:rFonts w:ascii="宋体" w:hAnsi="宋体"/>
          <w:b/>
          <w:color w:val="auto"/>
          <w:sz w:val="36"/>
          <w:szCs w:val="36"/>
          <w:highlight w:val="none"/>
        </w:rPr>
        <w:br w:type="page"/>
      </w:r>
      <w:bookmarkStart w:id="227" w:name="_Toc9116"/>
      <w:r>
        <w:rPr>
          <w:rFonts w:hint="eastAsia" w:ascii="宋体" w:hAnsi="宋体"/>
          <w:b/>
          <w:color w:val="auto"/>
          <w:sz w:val="36"/>
          <w:szCs w:val="36"/>
          <w:highlight w:val="none"/>
        </w:rPr>
        <w:t>3.授权委托书</w:t>
      </w:r>
      <w:bookmarkEnd w:id="227"/>
    </w:p>
    <w:p w14:paraId="4D0603D5">
      <w:pPr>
        <w:spacing w:line="400" w:lineRule="exact"/>
        <w:ind w:firstLine="560" w:firstLineChars="200"/>
        <w:rPr>
          <w:rFonts w:hint="eastAsia" w:ascii="仿宋_GB2312" w:hAnsi="宋体" w:eastAsia="仿宋_GB2312"/>
          <w:color w:val="auto"/>
          <w:sz w:val="28"/>
          <w:szCs w:val="28"/>
          <w:highlight w:val="none"/>
        </w:rPr>
      </w:pPr>
    </w:p>
    <w:p w14:paraId="72710BFB">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lang w:val="zh-CN"/>
        </w:rPr>
        <w:t>本人</w:t>
      </w:r>
      <w:r>
        <w:rPr>
          <w:rFonts w:hint="eastAsia" w:ascii="宋体" w:hAnsi="宋体"/>
          <w:color w:val="auto"/>
          <w:szCs w:val="21"/>
          <w:highlight w:val="none"/>
          <w:u w:val="single"/>
          <w:lang w:val="zh-CN"/>
        </w:rPr>
        <w:t xml:space="preserve">          </w:t>
      </w:r>
      <w:r>
        <w:rPr>
          <w:rFonts w:hint="eastAsia" w:ascii="宋体" w:hAnsi="宋体"/>
          <w:color w:val="auto"/>
          <w:szCs w:val="21"/>
          <w:highlight w:val="none"/>
          <w:lang w:val="zh-CN"/>
        </w:rPr>
        <w:t>（姓名）系</w:t>
      </w:r>
      <w:r>
        <w:rPr>
          <w:rFonts w:hint="eastAsia" w:ascii="宋体" w:hAnsi="宋体"/>
          <w:color w:val="auto"/>
          <w:szCs w:val="21"/>
          <w:highlight w:val="none"/>
          <w:u w:val="single"/>
          <w:lang w:val="zh-CN"/>
        </w:rPr>
        <w:t xml:space="preserve">              </w:t>
      </w:r>
      <w:r>
        <w:rPr>
          <w:rFonts w:hint="eastAsia" w:ascii="宋体" w:hAnsi="宋体"/>
          <w:color w:val="auto"/>
          <w:szCs w:val="21"/>
          <w:highlight w:val="none"/>
          <w:lang w:val="zh-CN"/>
        </w:rPr>
        <w:t>（投标人名称）的法定代表人（单位负责人），现委托</w:t>
      </w:r>
      <w:r>
        <w:rPr>
          <w:rFonts w:hint="eastAsia" w:ascii="宋体" w:hAnsi="宋体"/>
          <w:color w:val="auto"/>
          <w:szCs w:val="21"/>
          <w:highlight w:val="none"/>
          <w:u w:val="single"/>
          <w:lang w:val="zh-CN"/>
        </w:rPr>
        <w:t xml:space="preserve">           </w:t>
      </w:r>
      <w:r>
        <w:rPr>
          <w:rFonts w:hint="eastAsia" w:ascii="宋体" w:hAnsi="宋体"/>
          <w:color w:val="auto"/>
          <w:szCs w:val="21"/>
          <w:highlight w:val="none"/>
          <w:lang w:val="zh-CN"/>
        </w:rPr>
        <w:t>（姓名）为我方代理人。代理人根据授权，以我方的名义签署、澄清确认、递交、撤回、修改</w:t>
      </w:r>
      <w:r>
        <w:rPr>
          <w:rFonts w:hint="eastAsia" w:ascii="宋体" w:hAnsi="宋体"/>
          <w:color w:val="auto"/>
          <w:szCs w:val="21"/>
          <w:highlight w:val="none"/>
          <w:u w:val="single"/>
          <w:lang w:val="zh-CN"/>
        </w:rPr>
        <w:t xml:space="preserve">         （采购项目</w:t>
      </w:r>
      <w:r>
        <w:rPr>
          <w:rFonts w:hint="eastAsia" w:ascii="宋体" w:hAnsi="宋体"/>
          <w:color w:val="auto"/>
          <w:szCs w:val="21"/>
          <w:highlight w:val="none"/>
          <w:u w:val="single"/>
          <w:lang w:val="en-US" w:eastAsia="zh-CN"/>
        </w:rPr>
        <w:t>名称</w:t>
      </w:r>
      <w:r>
        <w:rPr>
          <w:rFonts w:hint="eastAsia" w:ascii="宋体" w:hAnsi="宋体"/>
          <w:color w:val="auto"/>
          <w:szCs w:val="21"/>
          <w:highlight w:val="none"/>
          <w:u w:val="single"/>
          <w:lang w:val="zh-CN"/>
        </w:rPr>
        <w:t>）</w:t>
      </w:r>
      <w:r>
        <w:rPr>
          <w:rFonts w:hint="eastAsia" w:ascii="宋体" w:hAnsi="宋体"/>
          <w:color w:val="auto"/>
          <w:szCs w:val="21"/>
          <w:highlight w:val="none"/>
          <w:lang w:val="zh-CN"/>
        </w:rPr>
        <w:t>投标文件、签订合同和全权处理一切与之有关的事宜，</w:t>
      </w:r>
      <w:r>
        <w:rPr>
          <w:rFonts w:hint="eastAsia" w:ascii="宋体" w:hAnsi="宋体" w:cs="宋体"/>
          <w:color w:val="auto"/>
          <w:kern w:val="0"/>
          <w:szCs w:val="21"/>
          <w:highlight w:val="none"/>
        </w:rPr>
        <w:t>其法律后果由我方承担。</w:t>
      </w:r>
    </w:p>
    <w:p w14:paraId="32F50A27">
      <w:pPr>
        <w:spacing w:line="480" w:lineRule="auto"/>
        <w:ind w:firstLine="420" w:firstLineChars="200"/>
        <w:rPr>
          <w:rFonts w:hint="eastAsia" w:ascii="宋体" w:hAnsi="宋体"/>
          <w:color w:val="auto"/>
          <w:szCs w:val="21"/>
          <w:highlight w:val="none"/>
        </w:rPr>
      </w:pPr>
      <w:r>
        <w:rPr>
          <w:rFonts w:hint="eastAsia" w:ascii="宋体" w:hAnsi="宋体"/>
          <w:color w:val="auto"/>
          <w:szCs w:val="21"/>
          <w:highlight w:val="none"/>
          <w:lang w:val="zh-CN"/>
        </w:rPr>
        <w:t>委托期限</w:t>
      </w:r>
      <w:r>
        <w:rPr>
          <w:rFonts w:hint="eastAsia" w:ascii="宋体" w:hAnsi="宋体"/>
          <w:color w:val="auto"/>
          <w:szCs w:val="21"/>
          <w:highlight w:val="none"/>
        </w:rPr>
        <w:t xml:space="preserve">：    </w:t>
      </w:r>
      <w:r>
        <w:rPr>
          <w:rFonts w:hint="eastAsia" w:ascii="宋体" w:hAnsi="宋体"/>
          <w:color w:val="auto"/>
          <w:szCs w:val="21"/>
          <w:highlight w:val="none"/>
          <w:lang w:val="zh-CN"/>
        </w:rPr>
        <w:t>年</w:t>
      </w:r>
      <w:r>
        <w:rPr>
          <w:rFonts w:hint="eastAsia" w:ascii="宋体" w:hAnsi="宋体"/>
          <w:color w:val="auto"/>
          <w:szCs w:val="21"/>
          <w:highlight w:val="none"/>
        </w:rPr>
        <w:t xml:space="preserve">    </w:t>
      </w:r>
      <w:r>
        <w:rPr>
          <w:rFonts w:hint="eastAsia" w:ascii="宋体" w:hAnsi="宋体"/>
          <w:color w:val="auto"/>
          <w:szCs w:val="21"/>
          <w:highlight w:val="none"/>
          <w:lang w:val="zh-CN"/>
        </w:rPr>
        <w:t>月</w:t>
      </w:r>
      <w:r>
        <w:rPr>
          <w:rFonts w:hint="eastAsia" w:ascii="宋体" w:hAnsi="宋体"/>
          <w:color w:val="auto"/>
          <w:szCs w:val="21"/>
          <w:highlight w:val="none"/>
        </w:rPr>
        <w:t xml:space="preserve">   </w:t>
      </w:r>
      <w:r>
        <w:rPr>
          <w:rFonts w:hint="eastAsia" w:ascii="宋体" w:hAnsi="宋体"/>
          <w:color w:val="auto"/>
          <w:szCs w:val="21"/>
          <w:highlight w:val="none"/>
          <w:lang w:val="zh-CN"/>
        </w:rPr>
        <w:t>日至</w:t>
      </w:r>
      <w:r>
        <w:rPr>
          <w:rFonts w:hint="eastAsia" w:ascii="宋体" w:hAnsi="宋体"/>
          <w:color w:val="auto"/>
          <w:szCs w:val="21"/>
          <w:highlight w:val="none"/>
        </w:rPr>
        <w:t xml:space="preserve">     </w:t>
      </w:r>
      <w:r>
        <w:rPr>
          <w:rFonts w:hint="eastAsia" w:ascii="宋体" w:hAnsi="宋体"/>
          <w:color w:val="auto"/>
          <w:szCs w:val="21"/>
          <w:highlight w:val="none"/>
          <w:lang w:val="zh-CN"/>
        </w:rPr>
        <w:t>年</w:t>
      </w:r>
      <w:r>
        <w:rPr>
          <w:rFonts w:hint="eastAsia" w:ascii="宋体" w:hAnsi="宋体"/>
          <w:color w:val="auto"/>
          <w:szCs w:val="21"/>
          <w:highlight w:val="none"/>
        </w:rPr>
        <w:t xml:space="preserve">   </w:t>
      </w:r>
      <w:r>
        <w:rPr>
          <w:rFonts w:hint="eastAsia" w:ascii="宋体" w:hAnsi="宋体"/>
          <w:color w:val="auto"/>
          <w:szCs w:val="21"/>
          <w:highlight w:val="none"/>
          <w:lang w:val="zh-CN"/>
        </w:rPr>
        <w:t>月</w:t>
      </w:r>
      <w:r>
        <w:rPr>
          <w:rFonts w:hint="eastAsia" w:ascii="宋体" w:hAnsi="宋体"/>
          <w:color w:val="auto"/>
          <w:szCs w:val="21"/>
          <w:highlight w:val="none"/>
        </w:rPr>
        <w:t xml:space="preserve">   </w:t>
      </w:r>
      <w:r>
        <w:rPr>
          <w:rFonts w:hint="eastAsia" w:ascii="宋体" w:hAnsi="宋体"/>
          <w:color w:val="auto"/>
          <w:szCs w:val="21"/>
          <w:highlight w:val="none"/>
          <w:lang w:val="zh-CN"/>
        </w:rPr>
        <w:t>日。</w:t>
      </w:r>
    </w:p>
    <w:p w14:paraId="31B42093">
      <w:pPr>
        <w:spacing w:line="480" w:lineRule="auto"/>
        <w:ind w:firstLine="420" w:firstLineChars="200"/>
        <w:rPr>
          <w:rFonts w:hint="eastAsia" w:ascii="宋体" w:hAnsi="宋体"/>
          <w:b/>
          <w:bCs/>
          <w:color w:val="auto"/>
          <w:szCs w:val="21"/>
          <w:highlight w:val="none"/>
        </w:rPr>
      </w:pPr>
      <w:r>
        <w:rPr>
          <w:rFonts w:hint="eastAsia" w:ascii="宋体" w:hAnsi="宋体"/>
          <w:color w:val="auto"/>
          <w:szCs w:val="21"/>
          <w:highlight w:val="none"/>
        </w:rPr>
        <w:t>代理人无转委托权。</w:t>
      </w:r>
    </w:p>
    <w:p w14:paraId="05D312FA">
      <w:pPr>
        <w:spacing w:line="360" w:lineRule="auto"/>
        <w:ind w:firstLine="420" w:firstLineChars="200"/>
        <w:rPr>
          <w:rFonts w:hint="eastAsia" w:ascii="宋体" w:hAnsi="宋体"/>
          <w:color w:val="auto"/>
          <w:szCs w:val="21"/>
          <w:highlight w:val="none"/>
        </w:rPr>
      </w:pPr>
    </w:p>
    <w:p w14:paraId="60F71EE4">
      <w:pPr>
        <w:spacing w:line="360" w:lineRule="auto"/>
        <w:ind w:firstLine="210" w:firstLineChars="100"/>
        <w:rPr>
          <w:rFonts w:hint="eastAsia" w:ascii="宋体" w:hAnsi="宋体"/>
          <w:color w:val="auto"/>
          <w:szCs w:val="21"/>
          <w:highlight w:val="none"/>
          <w:u w:val="single"/>
        </w:rPr>
      </w:pPr>
      <w:r>
        <w:rPr>
          <w:rFonts w:hint="eastAsia" w:ascii="宋体" w:hAnsi="宋体"/>
          <w:color w:val="auto"/>
          <w:szCs w:val="21"/>
          <w:highlight w:val="none"/>
          <w:lang w:val="zh-CN"/>
        </w:rPr>
        <w:t>附：法定代表人（单位负责人）身份证复印件</w:t>
      </w:r>
      <w:r>
        <w:rPr>
          <w:rFonts w:hint="eastAsia" w:ascii="宋体" w:hAnsi="宋体"/>
          <w:color w:val="auto"/>
          <w:szCs w:val="21"/>
          <w:highlight w:val="none"/>
        </w:rPr>
        <w:t>、</w:t>
      </w:r>
      <w:r>
        <w:rPr>
          <w:rFonts w:hint="eastAsia" w:ascii="宋体" w:hAnsi="宋体"/>
          <w:color w:val="auto"/>
          <w:szCs w:val="21"/>
          <w:highlight w:val="none"/>
          <w:lang w:val="zh-CN"/>
        </w:rPr>
        <w:t>委托代理人身份证复印件</w:t>
      </w:r>
    </w:p>
    <w:tbl>
      <w:tblPr>
        <w:tblStyle w:val="23"/>
        <w:tblW w:w="0" w:type="auto"/>
        <w:tblInd w:w="359" w:type="dxa"/>
        <w:tblLayout w:type="fixed"/>
        <w:tblCellMar>
          <w:top w:w="0" w:type="dxa"/>
          <w:left w:w="108" w:type="dxa"/>
          <w:bottom w:w="0" w:type="dxa"/>
          <w:right w:w="108" w:type="dxa"/>
        </w:tblCellMar>
      </w:tblPr>
      <w:tblGrid>
        <w:gridCol w:w="4262"/>
        <w:gridCol w:w="3915"/>
      </w:tblGrid>
      <w:tr w14:paraId="1C6EC669">
        <w:tblPrEx>
          <w:tblCellMar>
            <w:top w:w="0" w:type="dxa"/>
            <w:left w:w="108" w:type="dxa"/>
            <w:bottom w:w="0" w:type="dxa"/>
            <w:right w:w="108" w:type="dxa"/>
          </w:tblCellMar>
        </w:tblPrEx>
        <w:trPr>
          <w:trHeight w:val="3117" w:hRule="atLeast"/>
        </w:trPr>
        <w:tc>
          <w:tcPr>
            <w:tcW w:w="4262" w:type="dxa"/>
            <w:tcBorders>
              <w:top w:val="single" w:color="auto" w:sz="6" w:space="0"/>
              <w:left w:val="single" w:color="auto" w:sz="6" w:space="0"/>
              <w:bottom w:val="single" w:color="auto" w:sz="6" w:space="0"/>
              <w:right w:val="single" w:color="auto" w:sz="6" w:space="0"/>
            </w:tcBorders>
            <w:noWrap w:val="0"/>
            <w:vAlign w:val="center"/>
          </w:tcPr>
          <w:p w14:paraId="7305E7FB">
            <w:pPr>
              <w:spacing w:line="360" w:lineRule="auto"/>
              <w:jc w:val="center"/>
              <w:rPr>
                <w:rFonts w:hint="eastAsia" w:ascii="宋体" w:hAnsi="宋体"/>
                <w:color w:val="auto"/>
                <w:szCs w:val="21"/>
                <w:highlight w:val="none"/>
                <w:u w:val="single"/>
              </w:rPr>
            </w:pPr>
            <w:r>
              <w:rPr>
                <w:rFonts w:hint="eastAsia" w:ascii="宋体" w:hAnsi="宋体"/>
                <w:color w:val="auto"/>
                <w:szCs w:val="21"/>
                <w:highlight w:val="none"/>
                <w:lang w:val="zh-CN"/>
              </w:rPr>
              <w:t>法定代表人（单位负责人）身份证复印件</w:t>
            </w:r>
          </w:p>
        </w:tc>
        <w:tc>
          <w:tcPr>
            <w:tcW w:w="3915" w:type="dxa"/>
            <w:tcBorders>
              <w:top w:val="single" w:color="auto" w:sz="6" w:space="0"/>
              <w:left w:val="single" w:color="auto" w:sz="6" w:space="0"/>
              <w:bottom w:val="single" w:color="auto" w:sz="6" w:space="0"/>
              <w:right w:val="single" w:color="auto" w:sz="6" w:space="0"/>
            </w:tcBorders>
            <w:noWrap w:val="0"/>
            <w:vAlign w:val="center"/>
          </w:tcPr>
          <w:p w14:paraId="0CE73A72">
            <w:pPr>
              <w:spacing w:line="360" w:lineRule="auto"/>
              <w:jc w:val="center"/>
              <w:rPr>
                <w:rFonts w:hint="eastAsia" w:ascii="宋体" w:hAnsi="宋体"/>
                <w:color w:val="auto"/>
                <w:szCs w:val="21"/>
                <w:highlight w:val="none"/>
                <w:u w:val="single"/>
              </w:rPr>
            </w:pPr>
            <w:r>
              <w:rPr>
                <w:rFonts w:hint="eastAsia" w:ascii="宋体" w:hAnsi="宋体"/>
                <w:color w:val="auto"/>
                <w:szCs w:val="21"/>
                <w:highlight w:val="none"/>
                <w:lang w:val="zh-CN"/>
              </w:rPr>
              <w:t>委托代理人身份证复印件</w:t>
            </w:r>
          </w:p>
        </w:tc>
      </w:tr>
    </w:tbl>
    <w:p w14:paraId="5EF108FD">
      <w:pPr>
        <w:ind w:firstLine="420" w:firstLineChars="200"/>
        <w:rPr>
          <w:rFonts w:hint="eastAsia" w:ascii="宋体" w:hAnsi="宋体"/>
          <w:color w:val="auto"/>
          <w:szCs w:val="21"/>
          <w:highlight w:val="none"/>
        </w:rPr>
      </w:pPr>
    </w:p>
    <w:p w14:paraId="26B6F364">
      <w:pPr>
        <w:ind w:firstLine="420" w:firstLineChars="200"/>
        <w:rPr>
          <w:rFonts w:hint="eastAsia" w:ascii="宋体" w:hAnsi="宋体"/>
          <w:color w:val="auto"/>
          <w:szCs w:val="21"/>
          <w:highlight w:val="none"/>
        </w:rPr>
      </w:pPr>
    </w:p>
    <w:p w14:paraId="5E11910D">
      <w:pPr>
        <w:ind w:firstLine="420" w:firstLineChars="200"/>
        <w:rPr>
          <w:rFonts w:hint="eastAsia" w:ascii="宋体" w:hAnsi="宋体"/>
          <w:color w:val="auto"/>
          <w:szCs w:val="21"/>
          <w:highlight w:val="none"/>
        </w:rPr>
      </w:pPr>
    </w:p>
    <w:p w14:paraId="7AC906F4">
      <w:pPr>
        <w:ind w:firstLine="2835" w:firstLineChars="1350"/>
        <w:rPr>
          <w:rFonts w:hint="eastAsia" w:ascii="宋体" w:hAnsi="宋体"/>
          <w:color w:val="auto"/>
          <w:szCs w:val="21"/>
          <w:highlight w:val="none"/>
        </w:rPr>
      </w:pPr>
      <w:r>
        <w:rPr>
          <w:rFonts w:hint="eastAsia" w:ascii="宋体" w:hAnsi="宋体"/>
          <w:color w:val="auto"/>
          <w:szCs w:val="21"/>
          <w:highlight w:val="none"/>
        </w:rPr>
        <w:t>投 标 人：</w:t>
      </w:r>
      <w:r>
        <w:rPr>
          <w:rFonts w:hint="eastAsia" w:ascii="宋体" w:hAnsi="宋体"/>
          <w:color w:val="auto"/>
          <w:szCs w:val="21"/>
          <w:highlight w:val="none"/>
          <w:u w:val="single"/>
        </w:rPr>
        <w:t xml:space="preserve">                      </w:t>
      </w:r>
      <w:r>
        <w:rPr>
          <w:rFonts w:hint="eastAsia" w:ascii="宋体" w:hAnsi="宋体"/>
          <w:color w:val="auto"/>
          <w:szCs w:val="21"/>
          <w:highlight w:val="none"/>
        </w:rPr>
        <w:t xml:space="preserve">（盖单位章） </w:t>
      </w:r>
    </w:p>
    <w:p w14:paraId="2316DADE">
      <w:pPr>
        <w:ind w:firstLine="420" w:firstLineChars="200"/>
        <w:rPr>
          <w:rFonts w:hint="eastAsia" w:ascii="宋体" w:hAnsi="宋体"/>
          <w:color w:val="auto"/>
          <w:szCs w:val="21"/>
          <w:highlight w:val="none"/>
        </w:rPr>
      </w:pPr>
    </w:p>
    <w:p w14:paraId="115B3F03">
      <w:pPr>
        <w:ind w:firstLine="2835" w:firstLineChars="1350"/>
        <w:rPr>
          <w:rFonts w:hint="eastAsia" w:ascii="宋体" w:hAnsi="宋体"/>
          <w:color w:val="auto"/>
          <w:szCs w:val="21"/>
          <w:highlight w:val="none"/>
        </w:rPr>
      </w:pPr>
      <w:r>
        <w:rPr>
          <w:rFonts w:hint="eastAsia" w:ascii="宋体" w:hAnsi="宋体"/>
          <w:color w:val="auto"/>
          <w:szCs w:val="21"/>
          <w:highlight w:val="none"/>
        </w:rPr>
        <w:t xml:space="preserve">法定代表人（单位负责人）: </w:t>
      </w:r>
      <w:r>
        <w:rPr>
          <w:rFonts w:hint="eastAsia" w:ascii="宋体" w:hAnsi="宋体"/>
          <w:color w:val="auto"/>
          <w:szCs w:val="21"/>
          <w:highlight w:val="none"/>
          <w:u w:val="single"/>
        </w:rPr>
        <w:t xml:space="preserve">           </w:t>
      </w:r>
      <w:r>
        <w:rPr>
          <w:rFonts w:hint="eastAsia" w:ascii="宋体" w:hAnsi="宋体"/>
          <w:color w:val="auto"/>
          <w:szCs w:val="21"/>
          <w:highlight w:val="none"/>
        </w:rPr>
        <w:t xml:space="preserve"> （签字）</w:t>
      </w:r>
    </w:p>
    <w:p w14:paraId="5E575D72">
      <w:pPr>
        <w:ind w:firstLine="3465" w:firstLineChars="1650"/>
        <w:rPr>
          <w:rFonts w:hint="eastAsia" w:ascii="宋体" w:hAnsi="宋体"/>
          <w:color w:val="auto"/>
          <w:szCs w:val="21"/>
          <w:highlight w:val="none"/>
        </w:rPr>
      </w:pPr>
    </w:p>
    <w:p w14:paraId="6D1DDF6E">
      <w:pPr>
        <w:ind w:firstLine="2835" w:firstLineChars="1350"/>
        <w:jc w:val="left"/>
        <w:rPr>
          <w:rFonts w:hint="eastAsia" w:ascii="宋体" w:hAnsi="宋体"/>
          <w:color w:val="auto"/>
          <w:szCs w:val="21"/>
          <w:highlight w:val="none"/>
          <w:u w:val="single"/>
        </w:rPr>
      </w:pPr>
      <w:r>
        <w:rPr>
          <w:rFonts w:hint="eastAsia" w:ascii="宋体" w:hAnsi="宋体"/>
          <w:color w:val="auto"/>
          <w:szCs w:val="21"/>
          <w:highlight w:val="none"/>
        </w:rPr>
        <w:t>身 份 证 号：</w:t>
      </w:r>
      <w:r>
        <w:rPr>
          <w:rFonts w:hint="eastAsia" w:ascii="宋体" w:hAnsi="宋体"/>
          <w:color w:val="auto"/>
          <w:szCs w:val="21"/>
          <w:highlight w:val="none"/>
          <w:u w:val="single"/>
        </w:rPr>
        <w:t xml:space="preserve">                               </w:t>
      </w:r>
    </w:p>
    <w:p w14:paraId="21FD6B9B">
      <w:pPr>
        <w:ind w:firstLine="3465" w:firstLineChars="1650"/>
        <w:rPr>
          <w:rFonts w:hint="eastAsia" w:ascii="宋体" w:hAnsi="宋体"/>
          <w:color w:val="auto"/>
          <w:szCs w:val="21"/>
          <w:highlight w:val="none"/>
        </w:rPr>
      </w:pPr>
    </w:p>
    <w:p w14:paraId="76582E82">
      <w:pPr>
        <w:ind w:firstLine="2835" w:firstLineChars="1350"/>
        <w:rPr>
          <w:rFonts w:hint="eastAsia" w:ascii="宋体" w:hAnsi="宋体"/>
          <w:color w:val="auto"/>
          <w:szCs w:val="21"/>
          <w:highlight w:val="none"/>
        </w:rPr>
      </w:pPr>
      <w:r>
        <w:rPr>
          <w:rFonts w:hint="eastAsia" w:ascii="宋体" w:hAnsi="宋体"/>
          <w:color w:val="auto"/>
          <w:szCs w:val="21"/>
          <w:highlight w:val="none"/>
        </w:rPr>
        <w:t>委托代理人：</w:t>
      </w:r>
      <w:r>
        <w:rPr>
          <w:rFonts w:hint="eastAsia" w:ascii="宋体" w:hAnsi="宋体"/>
          <w:color w:val="auto"/>
          <w:szCs w:val="21"/>
          <w:highlight w:val="none"/>
          <w:u w:val="single"/>
        </w:rPr>
        <w:t xml:space="preserve">                          </w:t>
      </w:r>
      <w:r>
        <w:rPr>
          <w:rFonts w:hint="eastAsia" w:ascii="宋体" w:hAnsi="宋体"/>
          <w:color w:val="auto"/>
          <w:szCs w:val="21"/>
          <w:highlight w:val="none"/>
        </w:rPr>
        <w:t xml:space="preserve"> </w:t>
      </w:r>
      <w:r>
        <w:rPr>
          <w:rFonts w:hint="eastAsia" w:ascii="宋体" w:hAnsi="宋体"/>
          <w:color w:val="auto"/>
          <w:szCs w:val="21"/>
          <w:highlight w:val="none"/>
          <w:lang w:val="en-US" w:eastAsia="zh-CN"/>
        </w:rPr>
        <w:t xml:space="preserve"> </w:t>
      </w:r>
      <w:r>
        <w:rPr>
          <w:rFonts w:hint="eastAsia" w:ascii="宋体" w:hAnsi="宋体"/>
          <w:color w:val="auto"/>
          <w:szCs w:val="21"/>
          <w:highlight w:val="none"/>
        </w:rPr>
        <w:t xml:space="preserve">（签字）     </w:t>
      </w:r>
    </w:p>
    <w:p w14:paraId="6F3EC7DA">
      <w:pPr>
        <w:ind w:firstLine="2835" w:firstLineChars="1350"/>
        <w:jc w:val="left"/>
        <w:rPr>
          <w:rFonts w:hint="eastAsia" w:ascii="宋体" w:hAnsi="宋体"/>
          <w:color w:val="auto"/>
          <w:szCs w:val="21"/>
          <w:highlight w:val="none"/>
        </w:rPr>
      </w:pPr>
    </w:p>
    <w:p w14:paraId="6A789D61">
      <w:pPr>
        <w:ind w:firstLine="2835" w:firstLineChars="1350"/>
        <w:jc w:val="left"/>
        <w:rPr>
          <w:rFonts w:hint="eastAsia" w:ascii="宋体" w:hAnsi="宋体"/>
          <w:color w:val="auto"/>
          <w:szCs w:val="21"/>
          <w:highlight w:val="none"/>
          <w:u w:val="single"/>
        </w:rPr>
      </w:pPr>
      <w:r>
        <w:rPr>
          <w:rFonts w:hint="eastAsia" w:ascii="宋体" w:hAnsi="宋体"/>
          <w:color w:val="auto"/>
          <w:szCs w:val="21"/>
          <w:highlight w:val="none"/>
        </w:rPr>
        <w:t>身 份 证 号：</w:t>
      </w:r>
      <w:r>
        <w:rPr>
          <w:rFonts w:hint="eastAsia" w:ascii="宋体" w:hAnsi="宋体"/>
          <w:color w:val="auto"/>
          <w:szCs w:val="21"/>
          <w:highlight w:val="none"/>
          <w:u w:val="single"/>
        </w:rPr>
        <w:t xml:space="preserve">                               </w:t>
      </w:r>
    </w:p>
    <w:p w14:paraId="687A4400">
      <w:pPr>
        <w:ind w:firstLine="420" w:firstLineChars="200"/>
        <w:rPr>
          <w:rFonts w:hint="eastAsia" w:ascii="宋体" w:hAnsi="宋体"/>
          <w:color w:val="auto"/>
          <w:szCs w:val="21"/>
          <w:highlight w:val="none"/>
        </w:rPr>
      </w:pPr>
    </w:p>
    <w:p w14:paraId="5F051AA6">
      <w:pPr>
        <w:ind w:firstLine="2730" w:firstLineChars="1300"/>
        <w:rPr>
          <w:rFonts w:hint="eastAsia" w:ascii="仿宋_GB2312" w:eastAsia="仿宋_GB2312"/>
          <w:color w:val="auto"/>
          <w:szCs w:val="21"/>
          <w:highlight w:val="none"/>
          <w:lang w:val="zh-CN"/>
        </w:rPr>
      </w:pPr>
      <w:r>
        <w:rPr>
          <w:rFonts w:hint="eastAsia" w:ascii="宋体" w:hAnsi="宋体"/>
          <w:color w:val="auto"/>
          <w:szCs w:val="21"/>
          <w:highlight w:val="none"/>
        </w:rPr>
        <w:t xml:space="preserve"> 授权委托日期：20</w:t>
      </w:r>
      <w:r>
        <w:rPr>
          <w:rFonts w:hint="eastAsia" w:ascii="宋体" w:hAnsi="宋体"/>
          <w:color w:val="auto"/>
          <w:szCs w:val="21"/>
          <w:highlight w:val="none"/>
          <w:u w:val="single"/>
        </w:rPr>
        <w:t xml:space="preserve">    </w:t>
      </w:r>
      <w:r>
        <w:rPr>
          <w:rFonts w:hint="eastAsia" w:ascii="宋体" w:hAnsi="宋体"/>
          <w:color w:val="auto"/>
          <w:szCs w:val="21"/>
          <w:highlight w:val="none"/>
        </w:rPr>
        <w:t xml:space="preserve"> 年</w:t>
      </w:r>
      <w:r>
        <w:rPr>
          <w:rFonts w:hint="eastAsia" w:ascii="宋体" w:hAnsi="宋体"/>
          <w:color w:val="auto"/>
          <w:szCs w:val="21"/>
          <w:highlight w:val="none"/>
          <w:u w:val="single"/>
        </w:rPr>
        <w:t xml:space="preserve">  </w:t>
      </w:r>
      <w:r>
        <w:rPr>
          <w:rFonts w:hint="eastAsia" w:ascii="宋体" w:hAnsi="宋体"/>
          <w:color w:val="auto"/>
          <w:szCs w:val="21"/>
          <w:highlight w:val="none"/>
        </w:rPr>
        <w:t xml:space="preserve"> 月</w:t>
      </w:r>
      <w:r>
        <w:rPr>
          <w:rFonts w:hint="eastAsia" w:ascii="宋体" w:hAnsi="宋体"/>
          <w:color w:val="auto"/>
          <w:szCs w:val="21"/>
          <w:highlight w:val="none"/>
          <w:u w:val="single"/>
        </w:rPr>
        <w:t xml:space="preserve">  </w:t>
      </w:r>
      <w:r>
        <w:rPr>
          <w:rFonts w:hint="eastAsia" w:ascii="宋体" w:hAnsi="宋体"/>
          <w:color w:val="auto"/>
          <w:szCs w:val="21"/>
          <w:highlight w:val="none"/>
        </w:rPr>
        <w:t xml:space="preserve"> 日</w:t>
      </w:r>
    </w:p>
    <w:p w14:paraId="50B62355">
      <w:pPr>
        <w:ind w:firstLine="420" w:firstLineChars="200"/>
        <w:rPr>
          <w:rFonts w:hint="eastAsia" w:ascii="仿宋_GB2312" w:eastAsia="仿宋_GB2312"/>
          <w:color w:val="auto"/>
          <w:highlight w:val="none"/>
          <w:lang w:val="zh-CN"/>
        </w:rPr>
      </w:pPr>
    </w:p>
    <w:p w14:paraId="3401AE63">
      <w:pPr>
        <w:ind w:firstLine="420" w:firstLineChars="200"/>
        <w:rPr>
          <w:rFonts w:hint="eastAsia" w:ascii="仿宋_GB2312" w:eastAsia="仿宋_GB2312"/>
          <w:color w:val="auto"/>
          <w:highlight w:val="none"/>
          <w:lang w:val="zh-CN"/>
        </w:rPr>
      </w:pPr>
    </w:p>
    <w:p w14:paraId="79828746">
      <w:pPr>
        <w:ind w:firstLine="420" w:firstLineChars="200"/>
        <w:rPr>
          <w:rFonts w:hint="eastAsia" w:ascii="仿宋_GB2312" w:eastAsia="仿宋_GB2312"/>
          <w:color w:val="auto"/>
          <w:highlight w:val="none"/>
          <w:lang w:val="zh-CN"/>
        </w:rPr>
      </w:pPr>
    </w:p>
    <w:p w14:paraId="00F2EB2F">
      <w:pPr>
        <w:ind w:firstLine="420" w:firstLineChars="200"/>
        <w:rPr>
          <w:rFonts w:hint="eastAsia" w:ascii="仿宋_GB2312" w:eastAsia="仿宋_GB2312"/>
          <w:color w:val="auto"/>
          <w:highlight w:val="none"/>
          <w:lang w:val="zh-CN"/>
        </w:rPr>
      </w:pPr>
    </w:p>
    <w:p w14:paraId="668F825D">
      <w:pPr>
        <w:rPr>
          <w:rFonts w:hint="eastAsia" w:ascii="楷体" w:hAnsi="楷体" w:eastAsia="楷体"/>
          <w:color w:val="auto"/>
          <w:highlight w:val="none"/>
          <w:lang w:val="zh-CN"/>
        </w:rPr>
      </w:pPr>
      <w:r>
        <w:rPr>
          <w:rFonts w:hint="eastAsia" w:ascii="楷体" w:hAnsi="楷体" w:eastAsia="楷体"/>
          <w:color w:val="auto"/>
          <w:highlight w:val="none"/>
          <w:lang w:val="zh-CN"/>
        </w:rPr>
        <w:t>说明：本授权委托书有效期自开标之日起不得少于</w:t>
      </w:r>
      <w:r>
        <w:rPr>
          <w:rFonts w:hint="eastAsia" w:ascii="楷体" w:hAnsi="楷体" w:eastAsia="楷体"/>
          <w:color w:val="auto"/>
          <w:highlight w:val="none"/>
        </w:rPr>
        <w:t>90</w:t>
      </w:r>
      <w:r>
        <w:rPr>
          <w:rFonts w:hint="eastAsia" w:ascii="楷体" w:hAnsi="楷体" w:eastAsia="楷体"/>
          <w:color w:val="auto"/>
          <w:highlight w:val="none"/>
          <w:lang w:val="zh-CN"/>
        </w:rPr>
        <w:t>天，仅限委托代理人参加投标时提供。</w:t>
      </w:r>
    </w:p>
    <w:p w14:paraId="1012ADCB">
      <w:pPr>
        <w:jc w:val="center"/>
        <w:rPr>
          <w:rFonts w:hint="eastAsia" w:ascii="宋体" w:hAnsi="宋体"/>
          <w:b/>
          <w:color w:val="auto"/>
          <w:sz w:val="36"/>
          <w:szCs w:val="36"/>
          <w:highlight w:val="none"/>
        </w:rPr>
      </w:pPr>
    </w:p>
    <w:p w14:paraId="5B5FFA75">
      <w:pPr>
        <w:rPr>
          <w:rFonts w:hint="eastAsia" w:ascii="宋体" w:hAnsi="宋体"/>
          <w:b/>
          <w:color w:val="auto"/>
          <w:sz w:val="36"/>
          <w:szCs w:val="36"/>
          <w:highlight w:val="none"/>
        </w:rPr>
      </w:pPr>
    </w:p>
    <w:p w14:paraId="0D95CA80">
      <w:pPr>
        <w:jc w:val="center"/>
        <w:outlineLvl w:val="1"/>
        <w:rPr>
          <w:rFonts w:hint="eastAsia" w:hAnsi="宋体"/>
          <w:color w:val="auto"/>
          <w:sz w:val="24"/>
          <w:szCs w:val="24"/>
          <w:highlight w:val="none"/>
        </w:rPr>
      </w:pPr>
      <w:bookmarkStart w:id="228" w:name="_Toc28569"/>
      <w:r>
        <w:rPr>
          <w:rFonts w:hint="eastAsia" w:ascii="宋体" w:hAnsi="宋体"/>
          <w:b/>
          <w:color w:val="auto"/>
          <w:sz w:val="36"/>
          <w:szCs w:val="36"/>
          <w:highlight w:val="none"/>
        </w:rPr>
        <w:t>4.</w:t>
      </w:r>
      <w:r>
        <w:rPr>
          <w:rFonts w:hint="eastAsia" w:ascii="宋体" w:hAnsi="宋体" w:cs="宋体"/>
          <w:b/>
          <w:color w:val="auto"/>
          <w:kern w:val="0"/>
          <w:sz w:val="36"/>
          <w:szCs w:val="36"/>
          <w:highlight w:val="none"/>
          <w:lang w:val="zh-CN"/>
        </w:rPr>
        <w:t>投标人的营业执照等证明文件，自然人的身份证明</w:t>
      </w:r>
      <w:bookmarkEnd w:id="228"/>
    </w:p>
    <w:p w14:paraId="30CB38C8">
      <w:pPr>
        <w:pStyle w:val="12"/>
        <w:adjustRightInd w:val="0"/>
        <w:snapToGrid w:val="0"/>
        <w:spacing w:line="360" w:lineRule="auto"/>
        <w:jc w:val="left"/>
        <w:rPr>
          <w:rFonts w:hint="eastAsia" w:ascii="楷体" w:hAnsi="楷体" w:eastAsia="楷体"/>
          <w:color w:val="auto"/>
          <w:highlight w:val="none"/>
        </w:rPr>
      </w:pPr>
      <w:r>
        <w:rPr>
          <w:rFonts w:hint="eastAsia" w:ascii="楷体" w:hAnsi="楷体" w:eastAsia="楷体"/>
          <w:color w:val="auto"/>
          <w:highlight w:val="none"/>
        </w:rPr>
        <w:t>说明：</w:t>
      </w:r>
    </w:p>
    <w:p w14:paraId="48F52DD6">
      <w:pPr>
        <w:pStyle w:val="12"/>
        <w:adjustRightInd w:val="0"/>
        <w:snapToGrid w:val="0"/>
        <w:spacing w:line="360" w:lineRule="auto"/>
        <w:ind w:firstLine="420" w:firstLineChars="200"/>
        <w:jc w:val="left"/>
        <w:rPr>
          <w:rFonts w:hint="eastAsia" w:ascii="楷体" w:hAnsi="楷体" w:eastAsia="楷体"/>
          <w:color w:val="auto"/>
          <w:highlight w:val="none"/>
        </w:rPr>
      </w:pPr>
      <w:r>
        <w:rPr>
          <w:rFonts w:hint="eastAsia" w:ascii="楷体" w:hAnsi="楷体" w:eastAsia="楷体"/>
          <w:color w:val="auto"/>
          <w:highlight w:val="none"/>
        </w:rPr>
        <w:t>投标人为企业法人应提供合法有效的标识有统一社会信用代码的营业执照；事业法人应提供事业单位法人证书；其他组织应提供合法登记证明文件；</w:t>
      </w:r>
    </w:p>
    <w:p w14:paraId="7919EB3F">
      <w:pPr>
        <w:pStyle w:val="12"/>
        <w:adjustRightInd w:val="0"/>
        <w:snapToGrid w:val="0"/>
        <w:spacing w:line="360" w:lineRule="auto"/>
        <w:ind w:firstLine="420" w:firstLineChars="200"/>
        <w:rPr>
          <w:rFonts w:hint="eastAsia" w:ascii="楷体" w:hAnsi="楷体" w:eastAsia="楷体"/>
          <w:color w:val="auto"/>
          <w:highlight w:val="none"/>
        </w:rPr>
      </w:pPr>
    </w:p>
    <w:p w14:paraId="37FDCFFF">
      <w:pPr>
        <w:pStyle w:val="12"/>
        <w:adjustRightInd w:val="0"/>
        <w:snapToGrid w:val="0"/>
        <w:spacing w:line="360" w:lineRule="auto"/>
        <w:jc w:val="center"/>
        <w:rPr>
          <w:rFonts w:hint="eastAsia"/>
          <w:b/>
          <w:color w:val="auto"/>
          <w:sz w:val="36"/>
          <w:szCs w:val="36"/>
          <w:highlight w:val="none"/>
        </w:rPr>
      </w:pPr>
    </w:p>
    <w:p w14:paraId="5B59A6CF">
      <w:pPr>
        <w:pStyle w:val="12"/>
        <w:adjustRightInd w:val="0"/>
        <w:snapToGrid w:val="0"/>
        <w:spacing w:line="360" w:lineRule="auto"/>
        <w:jc w:val="center"/>
        <w:rPr>
          <w:rFonts w:hint="eastAsia"/>
          <w:b/>
          <w:color w:val="auto"/>
          <w:sz w:val="36"/>
          <w:szCs w:val="36"/>
          <w:highlight w:val="none"/>
        </w:rPr>
      </w:pPr>
    </w:p>
    <w:p w14:paraId="104EC548">
      <w:pPr>
        <w:pStyle w:val="12"/>
        <w:adjustRightInd w:val="0"/>
        <w:snapToGrid w:val="0"/>
        <w:spacing w:line="360" w:lineRule="auto"/>
        <w:jc w:val="center"/>
        <w:rPr>
          <w:rFonts w:hint="eastAsia"/>
          <w:b/>
          <w:color w:val="auto"/>
          <w:sz w:val="36"/>
          <w:szCs w:val="36"/>
          <w:highlight w:val="none"/>
        </w:rPr>
      </w:pPr>
    </w:p>
    <w:p w14:paraId="3CD042AB">
      <w:pPr>
        <w:pStyle w:val="12"/>
        <w:adjustRightInd w:val="0"/>
        <w:snapToGrid w:val="0"/>
        <w:spacing w:line="360" w:lineRule="auto"/>
        <w:jc w:val="center"/>
        <w:rPr>
          <w:rFonts w:hint="eastAsia"/>
          <w:b/>
          <w:color w:val="auto"/>
          <w:sz w:val="36"/>
          <w:szCs w:val="36"/>
          <w:highlight w:val="none"/>
        </w:rPr>
      </w:pPr>
    </w:p>
    <w:p w14:paraId="08F49D35">
      <w:pPr>
        <w:pStyle w:val="12"/>
        <w:adjustRightInd w:val="0"/>
        <w:snapToGrid w:val="0"/>
        <w:spacing w:line="360" w:lineRule="auto"/>
        <w:jc w:val="center"/>
        <w:rPr>
          <w:rFonts w:hint="eastAsia"/>
          <w:b/>
          <w:color w:val="auto"/>
          <w:sz w:val="36"/>
          <w:szCs w:val="36"/>
          <w:highlight w:val="none"/>
        </w:rPr>
      </w:pPr>
    </w:p>
    <w:p w14:paraId="06A77D03">
      <w:pPr>
        <w:pStyle w:val="12"/>
        <w:adjustRightInd w:val="0"/>
        <w:snapToGrid w:val="0"/>
        <w:spacing w:line="360" w:lineRule="auto"/>
        <w:jc w:val="center"/>
        <w:rPr>
          <w:rFonts w:hint="eastAsia"/>
          <w:b/>
          <w:color w:val="auto"/>
          <w:sz w:val="36"/>
          <w:szCs w:val="36"/>
          <w:highlight w:val="none"/>
        </w:rPr>
      </w:pPr>
    </w:p>
    <w:p w14:paraId="551342FE">
      <w:pPr>
        <w:pStyle w:val="12"/>
        <w:adjustRightInd w:val="0"/>
        <w:snapToGrid w:val="0"/>
        <w:spacing w:line="360" w:lineRule="auto"/>
        <w:jc w:val="center"/>
        <w:rPr>
          <w:rFonts w:hint="eastAsia"/>
          <w:b/>
          <w:color w:val="auto"/>
          <w:sz w:val="36"/>
          <w:szCs w:val="36"/>
          <w:highlight w:val="none"/>
        </w:rPr>
      </w:pPr>
    </w:p>
    <w:p w14:paraId="6CE071F5">
      <w:pPr>
        <w:pStyle w:val="12"/>
        <w:adjustRightInd w:val="0"/>
        <w:snapToGrid w:val="0"/>
        <w:spacing w:line="360" w:lineRule="auto"/>
        <w:jc w:val="center"/>
        <w:rPr>
          <w:rFonts w:hint="eastAsia"/>
          <w:b/>
          <w:color w:val="auto"/>
          <w:sz w:val="36"/>
          <w:szCs w:val="36"/>
          <w:highlight w:val="none"/>
        </w:rPr>
      </w:pPr>
    </w:p>
    <w:p w14:paraId="7BDE5606">
      <w:pPr>
        <w:pStyle w:val="12"/>
        <w:adjustRightInd w:val="0"/>
        <w:snapToGrid w:val="0"/>
        <w:spacing w:line="360" w:lineRule="auto"/>
        <w:jc w:val="center"/>
        <w:rPr>
          <w:rFonts w:hint="eastAsia"/>
          <w:b/>
          <w:color w:val="auto"/>
          <w:sz w:val="36"/>
          <w:szCs w:val="36"/>
          <w:highlight w:val="none"/>
        </w:rPr>
      </w:pPr>
    </w:p>
    <w:p w14:paraId="406B8AB9">
      <w:pPr>
        <w:pStyle w:val="12"/>
        <w:adjustRightInd w:val="0"/>
        <w:snapToGrid w:val="0"/>
        <w:spacing w:line="360" w:lineRule="auto"/>
        <w:jc w:val="center"/>
        <w:rPr>
          <w:rFonts w:hint="eastAsia"/>
          <w:b/>
          <w:color w:val="auto"/>
          <w:sz w:val="36"/>
          <w:szCs w:val="36"/>
          <w:highlight w:val="none"/>
        </w:rPr>
      </w:pPr>
    </w:p>
    <w:p w14:paraId="4B22B031">
      <w:pPr>
        <w:pStyle w:val="12"/>
        <w:adjustRightInd w:val="0"/>
        <w:snapToGrid w:val="0"/>
        <w:spacing w:line="360" w:lineRule="auto"/>
        <w:jc w:val="center"/>
        <w:rPr>
          <w:rFonts w:hint="eastAsia"/>
          <w:b/>
          <w:color w:val="auto"/>
          <w:sz w:val="36"/>
          <w:szCs w:val="36"/>
          <w:highlight w:val="none"/>
        </w:rPr>
      </w:pPr>
    </w:p>
    <w:p w14:paraId="6446C6C7">
      <w:pPr>
        <w:pStyle w:val="12"/>
        <w:adjustRightInd w:val="0"/>
        <w:snapToGrid w:val="0"/>
        <w:spacing w:line="360" w:lineRule="auto"/>
        <w:jc w:val="center"/>
        <w:rPr>
          <w:rFonts w:hint="eastAsia"/>
          <w:b/>
          <w:color w:val="auto"/>
          <w:sz w:val="36"/>
          <w:szCs w:val="36"/>
          <w:highlight w:val="none"/>
        </w:rPr>
      </w:pPr>
    </w:p>
    <w:p w14:paraId="3265F219">
      <w:pPr>
        <w:pStyle w:val="12"/>
        <w:adjustRightInd w:val="0"/>
        <w:snapToGrid w:val="0"/>
        <w:spacing w:line="360" w:lineRule="auto"/>
        <w:jc w:val="center"/>
        <w:rPr>
          <w:rFonts w:hint="eastAsia"/>
          <w:b/>
          <w:color w:val="auto"/>
          <w:sz w:val="36"/>
          <w:szCs w:val="36"/>
          <w:highlight w:val="none"/>
        </w:rPr>
      </w:pPr>
    </w:p>
    <w:p w14:paraId="3CCAF593">
      <w:pPr>
        <w:pStyle w:val="12"/>
        <w:adjustRightInd w:val="0"/>
        <w:snapToGrid w:val="0"/>
        <w:spacing w:line="360" w:lineRule="auto"/>
        <w:jc w:val="center"/>
        <w:rPr>
          <w:rFonts w:hint="eastAsia"/>
          <w:b/>
          <w:color w:val="auto"/>
          <w:sz w:val="36"/>
          <w:szCs w:val="36"/>
          <w:highlight w:val="none"/>
        </w:rPr>
      </w:pPr>
    </w:p>
    <w:p w14:paraId="6C42F2F3">
      <w:pPr>
        <w:pStyle w:val="12"/>
        <w:adjustRightInd w:val="0"/>
        <w:snapToGrid w:val="0"/>
        <w:spacing w:line="360" w:lineRule="auto"/>
        <w:jc w:val="center"/>
        <w:rPr>
          <w:b/>
          <w:color w:val="auto"/>
          <w:sz w:val="36"/>
          <w:szCs w:val="36"/>
          <w:highlight w:val="none"/>
        </w:rPr>
      </w:pPr>
      <w:r>
        <w:rPr>
          <w:b/>
          <w:color w:val="auto"/>
          <w:sz w:val="36"/>
          <w:szCs w:val="36"/>
          <w:highlight w:val="none"/>
        </w:rPr>
        <w:br w:type="page"/>
      </w:r>
    </w:p>
    <w:p w14:paraId="6132F77F">
      <w:pPr>
        <w:pStyle w:val="12"/>
        <w:adjustRightInd w:val="0"/>
        <w:snapToGrid w:val="0"/>
        <w:spacing w:line="360" w:lineRule="auto"/>
        <w:jc w:val="center"/>
        <w:outlineLvl w:val="1"/>
        <w:rPr>
          <w:rFonts w:hint="eastAsia"/>
          <w:b/>
          <w:color w:val="auto"/>
          <w:sz w:val="36"/>
          <w:szCs w:val="36"/>
          <w:highlight w:val="none"/>
        </w:rPr>
      </w:pPr>
      <w:bookmarkStart w:id="229" w:name="_Toc4088"/>
      <w:r>
        <w:rPr>
          <w:rFonts w:hint="eastAsia"/>
          <w:b/>
          <w:color w:val="auto"/>
          <w:sz w:val="36"/>
          <w:szCs w:val="36"/>
          <w:highlight w:val="none"/>
          <w:lang w:val="en-US" w:eastAsia="zh-CN"/>
        </w:rPr>
        <w:t>5</w:t>
      </w:r>
      <w:r>
        <w:rPr>
          <w:rFonts w:hint="eastAsia"/>
          <w:b/>
          <w:color w:val="auto"/>
          <w:sz w:val="36"/>
          <w:szCs w:val="36"/>
          <w:highlight w:val="none"/>
        </w:rPr>
        <w:t>.财务状况报告</w:t>
      </w:r>
      <w:bookmarkEnd w:id="229"/>
    </w:p>
    <w:p w14:paraId="7412AAFA">
      <w:pPr>
        <w:pStyle w:val="12"/>
        <w:adjustRightInd w:val="0"/>
        <w:snapToGrid w:val="0"/>
        <w:spacing w:line="360" w:lineRule="auto"/>
        <w:jc w:val="left"/>
        <w:rPr>
          <w:rFonts w:hint="eastAsia" w:ascii="楷体" w:hAnsi="楷体" w:eastAsia="楷体"/>
          <w:color w:val="auto"/>
          <w:highlight w:val="none"/>
        </w:rPr>
      </w:pPr>
      <w:r>
        <w:rPr>
          <w:rFonts w:hint="eastAsia" w:ascii="楷体" w:hAnsi="楷体" w:eastAsia="楷体"/>
          <w:color w:val="auto"/>
          <w:highlight w:val="none"/>
        </w:rPr>
        <w:t>说明：</w:t>
      </w:r>
    </w:p>
    <w:p w14:paraId="5BB15652">
      <w:pPr>
        <w:pStyle w:val="12"/>
        <w:adjustRightInd w:val="0"/>
        <w:snapToGrid w:val="0"/>
        <w:spacing w:line="360" w:lineRule="auto"/>
        <w:ind w:firstLine="420" w:firstLineChars="200"/>
        <w:jc w:val="left"/>
        <w:rPr>
          <w:rFonts w:hint="eastAsia" w:ascii="楷体" w:hAnsi="楷体" w:eastAsia="楷体"/>
          <w:color w:val="auto"/>
          <w:highlight w:val="none"/>
        </w:rPr>
      </w:pPr>
      <w:r>
        <w:rPr>
          <w:rFonts w:hint="eastAsia" w:ascii="楷体" w:hAnsi="楷体" w:eastAsia="楷体"/>
          <w:color w:val="auto"/>
          <w:highlight w:val="none"/>
        </w:rPr>
        <w:t>投标人提供202</w:t>
      </w:r>
      <w:r>
        <w:rPr>
          <w:rFonts w:hint="eastAsia" w:ascii="楷体" w:hAnsi="楷体" w:eastAsia="楷体"/>
          <w:color w:val="auto"/>
          <w:highlight w:val="none"/>
          <w:lang w:val="en-US" w:eastAsia="zh-CN"/>
        </w:rPr>
        <w:t>2（或2023）</w:t>
      </w:r>
      <w:r>
        <w:rPr>
          <w:rFonts w:hint="eastAsia" w:ascii="楷体" w:hAnsi="楷体" w:eastAsia="楷体"/>
          <w:color w:val="auto"/>
          <w:highlight w:val="none"/>
        </w:rPr>
        <w:t>年的财务审计报告（成立时间至提交投标文件截止时间不足一年的可提供成立后任意时段的资产负债表），或其开标前三个月内基本存款账户开户银行出具的资信证明及基本存款账户开户许可证；</w:t>
      </w:r>
    </w:p>
    <w:p w14:paraId="55B9DD45">
      <w:pPr>
        <w:pStyle w:val="12"/>
        <w:adjustRightInd w:val="0"/>
        <w:snapToGrid w:val="0"/>
        <w:spacing w:line="360" w:lineRule="auto"/>
        <w:jc w:val="left"/>
        <w:rPr>
          <w:rFonts w:hint="eastAsia"/>
          <w:b/>
          <w:color w:val="auto"/>
          <w:sz w:val="24"/>
          <w:szCs w:val="24"/>
          <w:highlight w:val="none"/>
        </w:rPr>
      </w:pPr>
    </w:p>
    <w:p w14:paraId="7BD55E9B">
      <w:pPr>
        <w:pStyle w:val="12"/>
        <w:adjustRightInd w:val="0"/>
        <w:snapToGrid w:val="0"/>
        <w:spacing w:line="360" w:lineRule="auto"/>
        <w:jc w:val="left"/>
        <w:rPr>
          <w:rFonts w:hint="eastAsia"/>
          <w:b/>
          <w:color w:val="auto"/>
          <w:sz w:val="24"/>
          <w:szCs w:val="24"/>
          <w:highlight w:val="none"/>
        </w:rPr>
      </w:pPr>
    </w:p>
    <w:p w14:paraId="10A8B494">
      <w:pPr>
        <w:pStyle w:val="12"/>
        <w:adjustRightInd w:val="0"/>
        <w:snapToGrid w:val="0"/>
        <w:spacing w:line="360" w:lineRule="auto"/>
        <w:jc w:val="left"/>
        <w:rPr>
          <w:rFonts w:hint="eastAsia"/>
          <w:b/>
          <w:color w:val="auto"/>
          <w:sz w:val="24"/>
          <w:szCs w:val="24"/>
          <w:highlight w:val="none"/>
        </w:rPr>
      </w:pPr>
    </w:p>
    <w:p w14:paraId="0CDD75E0">
      <w:pPr>
        <w:pStyle w:val="12"/>
        <w:adjustRightInd w:val="0"/>
        <w:snapToGrid w:val="0"/>
        <w:spacing w:line="360" w:lineRule="auto"/>
        <w:jc w:val="left"/>
        <w:rPr>
          <w:rFonts w:hint="eastAsia"/>
          <w:b/>
          <w:color w:val="auto"/>
          <w:sz w:val="24"/>
          <w:szCs w:val="24"/>
          <w:highlight w:val="none"/>
        </w:rPr>
      </w:pPr>
    </w:p>
    <w:p w14:paraId="6A6486EB">
      <w:pPr>
        <w:pStyle w:val="12"/>
        <w:adjustRightInd w:val="0"/>
        <w:snapToGrid w:val="0"/>
        <w:spacing w:line="360" w:lineRule="auto"/>
        <w:jc w:val="left"/>
        <w:rPr>
          <w:rFonts w:hint="eastAsia"/>
          <w:b/>
          <w:color w:val="auto"/>
          <w:sz w:val="24"/>
          <w:szCs w:val="24"/>
          <w:highlight w:val="none"/>
        </w:rPr>
      </w:pPr>
    </w:p>
    <w:p w14:paraId="10AD3A27">
      <w:pPr>
        <w:pStyle w:val="12"/>
        <w:adjustRightInd w:val="0"/>
        <w:snapToGrid w:val="0"/>
        <w:spacing w:line="360" w:lineRule="auto"/>
        <w:jc w:val="left"/>
        <w:rPr>
          <w:rFonts w:hint="eastAsia"/>
          <w:b/>
          <w:color w:val="auto"/>
          <w:sz w:val="24"/>
          <w:szCs w:val="24"/>
          <w:highlight w:val="none"/>
        </w:rPr>
      </w:pPr>
    </w:p>
    <w:p w14:paraId="6C812E7C">
      <w:pPr>
        <w:pStyle w:val="12"/>
        <w:adjustRightInd w:val="0"/>
        <w:snapToGrid w:val="0"/>
        <w:spacing w:line="360" w:lineRule="auto"/>
        <w:jc w:val="left"/>
        <w:rPr>
          <w:rFonts w:hint="eastAsia"/>
          <w:b/>
          <w:color w:val="auto"/>
          <w:sz w:val="24"/>
          <w:szCs w:val="24"/>
          <w:highlight w:val="none"/>
        </w:rPr>
      </w:pPr>
    </w:p>
    <w:p w14:paraId="40E903C8">
      <w:pPr>
        <w:pStyle w:val="12"/>
        <w:adjustRightInd w:val="0"/>
        <w:snapToGrid w:val="0"/>
        <w:spacing w:line="360" w:lineRule="auto"/>
        <w:jc w:val="left"/>
        <w:rPr>
          <w:rFonts w:hint="eastAsia"/>
          <w:b/>
          <w:color w:val="auto"/>
          <w:sz w:val="24"/>
          <w:szCs w:val="24"/>
          <w:highlight w:val="none"/>
        </w:rPr>
      </w:pPr>
    </w:p>
    <w:p w14:paraId="35C8E2DB">
      <w:pPr>
        <w:pStyle w:val="12"/>
        <w:adjustRightInd w:val="0"/>
        <w:snapToGrid w:val="0"/>
        <w:spacing w:line="360" w:lineRule="auto"/>
        <w:jc w:val="left"/>
        <w:rPr>
          <w:rFonts w:hint="eastAsia"/>
          <w:b/>
          <w:color w:val="auto"/>
          <w:sz w:val="24"/>
          <w:szCs w:val="24"/>
          <w:highlight w:val="none"/>
        </w:rPr>
      </w:pPr>
    </w:p>
    <w:p w14:paraId="4C438A07">
      <w:pPr>
        <w:pStyle w:val="12"/>
        <w:adjustRightInd w:val="0"/>
        <w:snapToGrid w:val="0"/>
        <w:spacing w:line="360" w:lineRule="auto"/>
        <w:jc w:val="left"/>
        <w:rPr>
          <w:rFonts w:hint="eastAsia"/>
          <w:b/>
          <w:color w:val="auto"/>
          <w:sz w:val="24"/>
          <w:szCs w:val="24"/>
          <w:highlight w:val="none"/>
        </w:rPr>
      </w:pPr>
    </w:p>
    <w:p w14:paraId="0D6C1B1A">
      <w:pPr>
        <w:pStyle w:val="12"/>
        <w:adjustRightInd w:val="0"/>
        <w:snapToGrid w:val="0"/>
        <w:spacing w:line="360" w:lineRule="auto"/>
        <w:jc w:val="left"/>
        <w:rPr>
          <w:rFonts w:hint="eastAsia"/>
          <w:b/>
          <w:color w:val="auto"/>
          <w:sz w:val="24"/>
          <w:szCs w:val="24"/>
          <w:highlight w:val="none"/>
        </w:rPr>
      </w:pPr>
    </w:p>
    <w:p w14:paraId="00A4ABA4">
      <w:pPr>
        <w:pStyle w:val="12"/>
        <w:adjustRightInd w:val="0"/>
        <w:snapToGrid w:val="0"/>
        <w:spacing w:line="360" w:lineRule="auto"/>
        <w:jc w:val="left"/>
        <w:rPr>
          <w:rFonts w:hint="eastAsia"/>
          <w:b/>
          <w:color w:val="auto"/>
          <w:sz w:val="24"/>
          <w:szCs w:val="24"/>
          <w:highlight w:val="none"/>
        </w:rPr>
      </w:pPr>
    </w:p>
    <w:p w14:paraId="07D7C024">
      <w:pPr>
        <w:pStyle w:val="12"/>
        <w:adjustRightInd w:val="0"/>
        <w:snapToGrid w:val="0"/>
        <w:spacing w:line="360" w:lineRule="auto"/>
        <w:jc w:val="left"/>
        <w:rPr>
          <w:rFonts w:hint="eastAsia"/>
          <w:b/>
          <w:color w:val="auto"/>
          <w:sz w:val="24"/>
          <w:szCs w:val="24"/>
          <w:highlight w:val="none"/>
        </w:rPr>
      </w:pPr>
    </w:p>
    <w:p w14:paraId="5C2432D4">
      <w:pPr>
        <w:pStyle w:val="12"/>
        <w:adjustRightInd w:val="0"/>
        <w:snapToGrid w:val="0"/>
        <w:spacing w:line="360" w:lineRule="auto"/>
        <w:jc w:val="left"/>
        <w:rPr>
          <w:rFonts w:hint="eastAsia"/>
          <w:b/>
          <w:color w:val="auto"/>
          <w:sz w:val="24"/>
          <w:szCs w:val="24"/>
          <w:highlight w:val="none"/>
        </w:rPr>
      </w:pPr>
    </w:p>
    <w:p w14:paraId="491F95EC">
      <w:pPr>
        <w:pStyle w:val="12"/>
        <w:adjustRightInd w:val="0"/>
        <w:snapToGrid w:val="0"/>
        <w:spacing w:line="360" w:lineRule="auto"/>
        <w:jc w:val="left"/>
        <w:rPr>
          <w:rFonts w:hint="eastAsia"/>
          <w:b/>
          <w:color w:val="auto"/>
          <w:sz w:val="24"/>
          <w:szCs w:val="24"/>
          <w:highlight w:val="none"/>
        </w:rPr>
      </w:pPr>
    </w:p>
    <w:p w14:paraId="56B43435">
      <w:pPr>
        <w:pStyle w:val="12"/>
        <w:adjustRightInd w:val="0"/>
        <w:snapToGrid w:val="0"/>
        <w:spacing w:line="360" w:lineRule="auto"/>
        <w:jc w:val="left"/>
        <w:rPr>
          <w:rFonts w:hint="eastAsia"/>
          <w:b/>
          <w:color w:val="auto"/>
          <w:sz w:val="24"/>
          <w:szCs w:val="24"/>
          <w:highlight w:val="none"/>
        </w:rPr>
      </w:pPr>
    </w:p>
    <w:p w14:paraId="27CD8C8A">
      <w:pPr>
        <w:pStyle w:val="12"/>
        <w:adjustRightInd w:val="0"/>
        <w:snapToGrid w:val="0"/>
        <w:spacing w:line="360" w:lineRule="auto"/>
        <w:jc w:val="left"/>
        <w:rPr>
          <w:rFonts w:hint="eastAsia"/>
          <w:b/>
          <w:color w:val="auto"/>
          <w:sz w:val="24"/>
          <w:szCs w:val="24"/>
          <w:highlight w:val="none"/>
        </w:rPr>
      </w:pPr>
    </w:p>
    <w:p w14:paraId="04C91ABE">
      <w:pPr>
        <w:pStyle w:val="12"/>
        <w:adjustRightInd w:val="0"/>
        <w:snapToGrid w:val="0"/>
        <w:spacing w:line="360" w:lineRule="auto"/>
        <w:jc w:val="left"/>
        <w:rPr>
          <w:rFonts w:hint="eastAsia"/>
          <w:b/>
          <w:color w:val="auto"/>
          <w:sz w:val="24"/>
          <w:szCs w:val="24"/>
          <w:highlight w:val="none"/>
        </w:rPr>
      </w:pPr>
    </w:p>
    <w:p w14:paraId="1A3ABC5E">
      <w:pPr>
        <w:pStyle w:val="12"/>
        <w:adjustRightInd w:val="0"/>
        <w:snapToGrid w:val="0"/>
        <w:spacing w:line="360" w:lineRule="auto"/>
        <w:jc w:val="left"/>
        <w:rPr>
          <w:rFonts w:hint="eastAsia"/>
          <w:b/>
          <w:color w:val="auto"/>
          <w:sz w:val="24"/>
          <w:szCs w:val="24"/>
          <w:highlight w:val="none"/>
        </w:rPr>
      </w:pPr>
    </w:p>
    <w:p w14:paraId="5B9AF58F">
      <w:pPr>
        <w:pStyle w:val="12"/>
        <w:adjustRightInd w:val="0"/>
        <w:snapToGrid w:val="0"/>
        <w:spacing w:line="360" w:lineRule="auto"/>
        <w:jc w:val="center"/>
        <w:rPr>
          <w:rFonts w:hint="eastAsia"/>
          <w:b/>
          <w:color w:val="auto"/>
          <w:sz w:val="36"/>
          <w:szCs w:val="36"/>
          <w:highlight w:val="none"/>
        </w:rPr>
      </w:pPr>
    </w:p>
    <w:p w14:paraId="6135E933">
      <w:pPr>
        <w:pStyle w:val="12"/>
        <w:adjustRightInd w:val="0"/>
        <w:snapToGrid w:val="0"/>
        <w:spacing w:line="360" w:lineRule="auto"/>
        <w:jc w:val="center"/>
        <w:rPr>
          <w:b/>
          <w:color w:val="auto"/>
          <w:sz w:val="36"/>
          <w:szCs w:val="36"/>
          <w:highlight w:val="none"/>
        </w:rPr>
      </w:pPr>
    </w:p>
    <w:p w14:paraId="396E6A24">
      <w:pPr>
        <w:pStyle w:val="12"/>
        <w:adjustRightInd w:val="0"/>
        <w:snapToGrid w:val="0"/>
        <w:spacing w:line="360" w:lineRule="auto"/>
        <w:jc w:val="center"/>
        <w:rPr>
          <w:rFonts w:hint="eastAsia"/>
          <w:b/>
          <w:color w:val="auto"/>
          <w:sz w:val="36"/>
          <w:szCs w:val="36"/>
          <w:highlight w:val="none"/>
        </w:rPr>
      </w:pPr>
    </w:p>
    <w:p w14:paraId="05A455B5">
      <w:pPr>
        <w:pStyle w:val="12"/>
        <w:adjustRightInd w:val="0"/>
        <w:snapToGrid w:val="0"/>
        <w:spacing w:line="360" w:lineRule="auto"/>
        <w:jc w:val="center"/>
        <w:rPr>
          <w:rFonts w:hint="eastAsia"/>
          <w:b/>
          <w:color w:val="auto"/>
          <w:sz w:val="36"/>
          <w:szCs w:val="36"/>
          <w:highlight w:val="none"/>
          <w:lang w:val="en-US" w:eastAsia="zh-CN"/>
        </w:rPr>
      </w:pPr>
    </w:p>
    <w:p w14:paraId="2A1B14BC">
      <w:pPr>
        <w:pStyle w:val="12"/>
        <w:adjustRightInd w:val="0"/>
        <w:snapToGrid w:val="0"/>
        <w:spacing w:line="360" w:lineRule="auto"/>
        <w:jc w:val="center"/>
        <w:outlineLvl w:val="1"/>
        <w:rPr>
          <w:rFonts w:hint="eastAsia"/>
          <w:b/>
          <w:color w:val="auto"/>
          <w:sz w:val="36"/>
          <w:szCs w:val="36"/>
          <w:highlight w:val="none"/>
        </w:rPr>
      </w:pPr>
      <w:bookmarkStart w:id="230" w:name="_Toc20487"/>
      <w:r>
        <w:rPr>
          <w:rFonts w:hint="eastAsia"/>
          <w:b/>
          <w:color w:val="auto"/>
          <w:sz w:val="36"/>
          <w:szCs w:val="36"/>
          <w:highlight w:val="none"/>
          <w:lang w:val="en-US" w:eastAsia="zh-CN"/>
        </w:rPr>
        <w:t>6</w:t>
      </w:r>
      <w:r>
        <w:rPr>
          <w:rFonts w:hint="eastAsia"/>
          <w:b/>
          <w:color w:val="auto"/>
          <w:sz w:val="36"/>
          <w:szCs w:val="36"/>
          <w:highlight w:val="none"/>
        </w:rPr>
        <w:t>.税收缴纳证明</w:t>
      </w:r>
      <w:bookmarkEnd w:id="230"/>
    </w:p>
    <w:p w14:paraId="61A6AF29">
      <w:pPr>
        <w:pStyle w:val="12"/>
        <w:adjustRightInd w:val="0"/>
        <w:snapToGrid w:val="0"/>
        <w:spacing w:line="360" w:lineRule="auto"/>
        <w:jc w:val="left"/>
        <w:rPr>
          <w:rFonts w:hint="eastAsia" w:ascii="楷体" w:hAnsi="楷体" w:eastAsia="楷体"/>
          <w:color w:val="auto"/>
          <w:highlight w:val="none"/>
        </w:rPr>
      </w:pPr>
      <w:r>
        <w:rPr>
          <w:rFonts w:hint="eastAsia" w:ascii="楷体" w:hAnsi="楷体" w:eastAsia="楷体"/>
          <w:color w:val="auto"/>
          <w:highlight w:val="none"/>
        </w:rPr>
        <w:t>说明：</w:t>
      </w:r>
    </w:p>
    <w:p w14:paraId="6ADA3F93">
      <w:pPr>
        <w:pageBreakBefore w:val="0"/>
        <w:kinsoku/>
        <w:wordWrap/>
        <w:overflowPunct/>
        <w:topLinePunct w:val="0"/>
        <w:bidi w:val="0"/>
        <w:spacing w:line="480" w:lineRule="exact"/>
        <w:ind w:firstLine="420" w:firstLineChars="200"/>
        <w:textAlignment w:val="auto"/>
        <w:rPr>
          <w:rFonts w:hint="eastAsia" w:ascii="楷体" w:hAnsi="楷体" w:eastAsia="楷体" w:cs="Courier New"/>
          <w:color w:val="auto"/>
          <w:kern w:val="2"/>
          <w:sz w:val="21"/>
          <w:szCs w:val="21"/>
          <w:highlight w:val="none"/>
          <w:lang w:val="en-US" w:eastAsia="zh-CN" w:bidi="ar-SA"/>
        </w:rPr>
      </w:pPr>
      <w:r>
        <w:rPr>
          <w:rFonts w:hint="eastAsia" w:ascii="楷体" w:hAnsi="楷体" w:eastAsia="楷体" w:cs="Courier New"/>
          <w:color w:val="auto"/>
          <w:kern w:val="2"/>
          <w:sz w:val="21"/>
          <w:szCs w:val="21"/>
          <w:highlight w:val="none"/>
          <w:lang w:val="en-US" w:eastAsia="zh-CN" w:bidi="ar-SA"/>
        </w:rPr>
        <w:t>投标人提供近半年内已缴纳的至少一个月的纳税证明或完税证明，纳税证明或完税证明上应有代收机构或税务机关的公章，依法免税的投标人应提供相关文件证明；</w:t>
      </w:r>
    </w:p>
    <w:p w14:paraId="03CAE191">
      <w:pPr>
        <w:pStyle w:val="12"/>
        <w:adjustRightInd w:val="0"/>
        <w:snapToGrid w:val="0"/>
        <w:spacing w:line="360" w:lineRule="auto"/>
        <w:ind w:firstLine="420" w:firstLineChars="200"/>
        <w:rPr>
          <w:rFonts w:hint="eastAsia" w:hAnsi="宋体"/>
          <w:color w:val="auto"/>
          <w:highlight w:val="none"/>
        </w:rPr>
      </w:pPr>
    </w:p>
    <w:p w14:paraId="51E3969B">
      <w:pPr>
        <w:pStyle w:val="12"/>
        <w:adjustRightInd w:val="0"/>
        <w:snapToGrid w:val="0"/>
        <w:spacing w:line="360" w:lineRule="auto"/>
        <w:jc w:val="left"/>
        <w:rPr>
          <w:rFonts w:hint="eastAsia"/>
          <w:color w:val="auto"/>
          <w:sz w:val="24"/>
          <w:szCs w:val="24"/>
          <w:highlight w:val="none"/>
        </w:rPr>
      </w:pPr>
    </w:p>
    <w:p w14:paraId="35FA799C">
      <w:pPr>
        <w:pStyle w:val="12"/>
        <w:adjustRightInd w:val="0"/>
        <w:snapToGrid w:val="0"/>
        <w:spacing w:line="360" w:lineRule="auto"/>
        <w:jc w:val="left"/>
        <w:rPr>
          <w:rFonts w:hint="eastAsia"/>
          <w:b/>
          <w:color w:val="auto"/>
          <w:sz w:val="24"/>
          <w:szCs w:val="24"/>
          <w:highlight w:val="none"/>
        </w:rPr>
      </w:pPr>
    </w:p>
    <w:p w14:paraId="1F6E65B2">
      <w:pPr>
        <w:pStyle w:val="12"/>
        <w:adjustRightInd w:val="0"/>
        <w:snapToGrid w:val="0"/>
        <w:spacing w:line="360" w:lineRule="auto"/>
        <w:jc w:val="left"/>
        <w:rPr>
          <w:rFonts w:hint="eastAsia"/>
          <w:b/>
          <w:color w:val="auto"/>
          <w:sz w:val="24"/>
          <w:szCs w:val="24"/>
          <w:highlight w:val="none"/>
        </w:rPr>
      </w:pPr>
    </w:p>
    <w:p w14:paraId="28F95586">
      <w:pPr>
        <w:pStyle w:val="12"/>
        <w:adjustRightInd w:val="0"/>
        <w:snapToGrid w:val="0"/>
        <w:spacing w:line="360" w:lineRule="auto"/>
        <w:jc w:val="left"/>
        <w:rPr>
          <w:rFonts w:hint="eastAsia"/>
          <w:b/>
          <w:color w:val="auto"/>
          <w:sz w:val="24"/>
          <w:szCs w:val="24"/>
          <w:highlight w:val="none"/>
        </w:rPr>
      </w:pPr>
    </w:p>
    <w:p w14:paraId="64B271F7">
      <w:pPr>
        <w:pStyle w:val="12"/>
        <w:adjustRightInd w:val="0"/>
        <w:snapToGrid w:val="0"/>
        <w:spacing w:line="360" w:lineRule="auto"/>
        <w:jc w:val="left"/>
        <w:rPr>
          <w:rFonts w:hint="eastAsia"/>
          <w:b/>
          <w:color w:val="auto"/>
          <w:sz w:val="24"/>
          <w:szCs w:val="24"/>
          <w:highlight w:val="none"/>
        </w:rPr>
      </w:pPr>
    </w:p>
    <w:p w14:paraId="38EF6EA9">
      <w:pPr>
        <w:pStyle w:val="12"/>
        <w:adjustRightInd w:val="0"/>
        <w:snapToGrid w:val="0"/>
        <w:spacing w:line="360" w:lineRule="auto"/>
        <w:jc w:val="left"/>
        <w:rPr>
          <w:rFonts w:hint="eastAsia"/>
          <w:b/>
          <w:color w:val="auto"/>
          <w:sz w:val="24"/>
          <w:szCs w:val="24"/>
          <w:highlight w:val="none"/>
        </w:rPr>
      </w:pPr>
    </w:p>
    <w:p w14:paraId="08BE0DB2">
      <w:pPr>
        <w:pStyle w:val="12"/>
        <w:adjustRightInd w:val="0"/>
        <w:snapToGrid w:val="0"/>
        <w:spacing w:line="360" w:lineRule="auto"/>
        <w:jc w:val="left"/>
        <w:rPr>
          <w:rFonts w:hint="eastAsia"/>
          <w:b/>
          <w:color w:val="auto"/>
          <w:sz w:val="24"/>
          <w:szCs w:val="24"/>
          <w:highlight w:val="none"/>
        </w:rPr>
      </w:pPr>
    </w:p>
    <w:p w14:paraId="3AE6247D">
      <w:pPr>
        <w:pStyle w:val="12"/>
        <w:adjustRightInd w:val="0"/>
        <w:snapToGrid w:val="0"/>
        <w:spacing w:line="360" w:lineRule="auto"/>
        <w:jc w:val="left"/>
        <w:rPr>
          <w:rFonts w:hint="eastAsia"/>
          <w:b/>
          <w:color w:val="auto"/>
          <w:sz w:val="24"/>
          <w:szCs w:val="24"/>
          <w:highlight w:val="none"/>
        </w:rPr>
      </w:pPr>
    </w:p>
    <w:p w14:paraId="175619A0">
      <w:pPr>
        <w:pStyle w:val="12"/>
        <w:adjustRightInd w:val="0"/>
        <w:snapToGrid w:val="0"/>
        <w:spacing w:line="360" w:lineRule="auto"/>
        <w:jc w:val="left"/>
        <w:rPr>
          <w:rFonts w:hint="eastAsia"/>
          <w:b/>
          <w:color w:val="auto"/>
          <w:sz w:val="24"/>
          <w:szCs w:val="24"/>
          <w:highlight w:val="none"/>
        </w:rPr>
      </w:pPr>
    </w:p>
    <w:p w14:paraId="67AF2240">
      <w:pPr>
        <w:pStyle w:val="12"/>
        <w:adjustRightInd w:val="0"/>
        <w:snapToGrid w:val="0"/>
        <w:spacing w:line="360" w:lineRule="auto"/>
        <w:jc w:val="left"/>
        <w:rPr>
          <w:rFonts w:hint="eastAsia"/>
          <w:b/>
          <w:color w:val="auto"/>
          <w:sz w:val="24"/>
          <w:szCs w:val="24"/>
          <w:highlight w:val="none"/>
        </w:rPr>
        <w:sectPr>
          <w:headerReference r:id="rId9" w:type="default"/>
          <w:footerReference r:id="rId10" w:type="default"/>
          <w:pgSz w:w="11907" w:h="16840"/>
          <w:pgMar w:top="1440" w:right="1474" w:bottom="1440" w:left="1474" w:header="851" w:footer="992" w:gutter="0"/>
          <w:pgBorders>
            <w:top w:val="none" w:sz="0" w:space="0"/>
            <w:left w:val="none" w:sz="0" w:space="0"/>
            <w:bottom w:val="none" w:sz="0" w:space="0"/>
            <w:right w:val="none" w:sz="0" w:space="0"/>
          </w:pgBorders>
          <w:pgNumType w:fmt="decimal" w:start="1"/>
          <w:cols w:space="720" w:num="1"/>
        </w:sectPr>
      </w:pPr>
    </w:p>
    <w:p w14:paraId="34D71D02">
      <w:pPr>
        <w:pStyle w:val="12"/>
        <w:adjustRightInd w:val="0"/>
        <w:snapToGrid w:val="0"/>
        <w:spacing w:line="360" w:lineRule="auto"/>
        <w:jc w:val="center"/>
        <w:outlineLvl w:val="1"/>
        <w:rPr>
          <w:rFonts w:hint="eastAsia" w:hAnsi="宋体"/>
          <w:b/>
          <w:color w:val="auto"/>
          <w:sz w:val="36"/>
          <w:szCs w:val="36"/>
          <w:highlight w:val="none"/>
        </w:rPr>
      </w:pPr>
      <w:bookmarkStart w:id="231" w:name="_Toc25023"/>
      <w:r>
        <w:rPr>
          <w:rFonts w:hint="eastAsia"/>
          <w:b/>
          <w:color w:val="auto"/>
          <w:sz w:val="36"/>
          <w:szCs w:val="36"/>
          <w:highlight w:val="none"/>
          <w:lang w:val="en-US" w:eastAsia="zh-CN"/>
        </w:rPr>
        <w:t>7</w:t>
      </w:r>
      <w:r>
        <w:rPr>
          <w:rFonts w:hint="eastAsia"/>
          <w:b/>
          <w:color w:val="auto"/>
          <w:sz w:val="36"/>
          <w:szCs w:val="36"/>
          <w:highlight w:val="none"/>
        </w:rPr>
        <w:t>.缴纳社会保障资金证明</w:t>
      </w:r>
      <w:bookmarkEnd w:id="231"/>
    </w:p>
    <w:p w14:paraId="5EF2ECEB">
      <w:pPr>
        <w:pStyle w:val="12"/>
        <w:adjustRightInd w:val="0"/>
        <w:snapToGrid w:val="0"/>
        <w:spacing w:line="360" w:lineRule="auto"/>
        <w:jc w:val="left"/>
        <w:rPr>
          <w:rFonts w:hint="eastAsia" w:ascii="楷体" w:hAnsi="楷体" w:eastAsia="楷体"/>
          <w:color w:val="auto"/>
          <w:highlight w:val="none"/>
        </w:rPr>
      </w:pPr>
      <w:r>
        <w:rPr>
          <w:rFonts w:hint="eastAsia" w:ascii="楷体" w:hAnsi="楷体" w:eastAsia="楷体"/>
          <w:color w:val="auto"/>
          <w:highlight w:val="none"/>
        </w:rPr>
        <w:t>说明：</w:t>
      </w:r>
    </w:p>
    <w:p w14:paraId="4B9D82A6">
      <w:pPr>
        <w:pStyle w:val="12"/>
        <w:adjustRightInd w:val="0"/>
        <w:snapToGrid w:val="0"/>
        <w:spacing w:line="360" w:lineRule="auto"/>
        <w:ind w:firstLine="420" w:firstLineChars="200"/>
        <w:jc w:val="left"/>
        <w:rPr>
          <w:rFonts w:hint="eastAsia" w:ascii="楷体" w:hAnsi="楷体" w:eastAsia="楷体" w:cs="Courier New"/>
          <w:color w:val="auto"/>
          <w:kern w:val="2"/>
          <w:sz w:val="21"/>
          <w:szCs w:val="21"/>
          <w:highlight w:val="none"/>
          <w:lang w:val="en-US" w:eastAsia="zh-CN" w:bidi="ar-SA"/>
        </w:rPr>
      </w:pPr>
      <w:r>
        <w:rPr>
          <w:rFonts w:hint="eastAsia" w:ascii="楷体" w:hAnsi="楷体" w:eastAsia="楷体" w:cs="Courier New"/>
          <w:color w:val="auto"/>
          <w:kern w:val="2"/>
          <w:sz w:val="21"/>
          <w:szCs w:val="21"/>
          <w:highlight w:val="none"/>
          <w:lang w:val="en-US" w:eastAsia="zh-CN" w:bidi="ar-SA"/>
        </w:rPr>
        <w:t>投标人提供近半年内已缴存的至少一个月的社会保障资金缴存单据或社保机构开具的社会保险参保缴费情况证明，依法不需要缴纳社会保障资金的投标人应提供相关文件证明或投标人提供承诺书；</w:t>
      </w:r>
    </w:p>
    <w:p w14:paraId="4BFE4CF3">
      <w:pPr>
        <w:pStyle w:val="12"/>
        <w:adjustRightInd w:val="0"/>
        <w:snapToGrid w:val="0"/>
        <w:spacing w:line="360" w:lineRule="auto"/>
        <w:jc w:val="left"/>
        <w:rPr>
          <w:rFonts w:hint="eastAsia"/>
          <w:b/>
          <w:color w:val="auto"/>
          <w:sz w:val="24"/>
          <w:szCs w:val="24"/>
          <w:highlight w:val="none"/>
        </w:rPr>
      </w:pPr>
    </w:p>
    <w:p w14:paraId="4AFE8C80">
      <w:pPr>
        <w:pStyle w:val="12"/>
        <w:adjustRightInd w:val="0"/>
        <w:snapToGrid w:val="0"/>
        <w:spacing w:line="360" w:lineRule="auto"/>
        <w:jc w:val="left"/>
        <w:rPr>
          <w:rFonts w:hint="eastAsia"/>
          <w:b/>
          <w:color w:val="auto"/>
          <w:sz w:val="24"/>
          <w:szCs w:val="24"/>
          <w:highlight w:val="none"/>
        </w:rPr>
      </w:pPr>
    </w:p>
    <w:p w14:paraId="506C44C7">
      <w:pPr>
        <w:pStyle w:val="12"/>
        <w:adjustRightInd w:val="0"/>
        <w:snapToGrid w:val="0"/>
        <w:spacing w:line="360" w:lineRule="auto"/>
        <w:jc w:val="left"/>
        <w:rPr>
          <w:rFonts w:hint="eastAsia"/>
          <w:b/>
          <w:color w:val="auto"/>
          <w:sz w:val="24"/>
          <w:szCs w:val="24"/>
          <w:highlight w:val="none"/>
        </w:rPr>
      </w:pPr>
    </w:p>
    <w:p w14:paraId="4B761312">
      <w:pPr>
        <w:pStyle w:val="12"/>
        <w:adjustRightInd w:val="0"/>
        <w:snapToGrid w:val="0"/>
        <w:spacing w:line="360" w:lineRule="auto"/>
        <w:jc w:val="left"/>
        <w:rPr>
          <w:rFonts w:hint="eastAsia"/>
          <w:b/>
          <w:color w:val="auto"/>
          <w:sz w:val="24"/>
          <w:szCs w:val="24"/>
          <w:highlight w:val="none"/>
        </w:rPr>
      </w:pPr>
    </w:p>
    <w:p w14:paraId="6633C2DB">
      <w:pPr>
        <w:pStyle w:val="12"/>
        <w:adjustRightInd w:val="0"/>
        <w:snapToGrid w:val="0"/>
        <w:spacing w:line="360" w:lineRule="auto"/>
        <w:jc w:val="left"/>
        <w:rPr>
          <w:rFonts w:hint="eastAsia"/>
          <w:b/>
          <w:color w:val="auto"/>
          <w:sz w:val="24"/>
          <w:szCs w:val="24"/>
          <w:highlight w:val="none"/>
        </w:rPr>
      </w:pPr>
    </w:p>
    <w:p w14:paraId="480D446D">
      <w:pPr>
        <w:pStyle w:val="12"/>
        <w:adjustRightInd w:val="0"/>
        <w:snapToGrid w:val="0"/>
        <w:spacing w:line="360" w:lineRule="auto"/>
        <w:jc w:val="left"/>
        <w:rPr>
          <w:rFonts w:hint="eastAsia"/>
          <w:b/>
          <w:color w:val="auto"/>
          <w:sz w:val="24"/>
          <w:szCs w:val="24"/>
          <w:highlight w:val="none"/>
        </w:rPr>
      </w:pPr>
    </w:p>
    <w:p w14:paraId="0B1339C4">
      <w:pPr>
        <w:pStyle w:val="12"/>
        <w:adjustRightInd w:val="0"/>
        <w:snapToGrid w:val="0"/>
        <w:spacing w:line="360" w:lineRule="auto"/>
        <w:jc w:val="left"/>
        <w:rPr>
          <w:rFonts w:hint="eastAsia"/>
          <w:b/>
          <w:color w:val="auto"/>
          <w:sz w:val="24"/>
          <w:szCs w:val="24"/>
          <w:highlight w:val="none"/>
        </w:rPr>
      </w:pPr>
    </w:p>
    <w:p w14:paraId="58A11083">
      <w:pPr>
        <w:pStyle w:val="12"/>
        <w:adjustRightInd w:val="0"/>
        <w:snapToGrid w:val="0"/>
        <w:spacing w:line="360" w:lineRule="auto"/>
        <w:jc w:val="center"/>
        <w:rPr>
          <w:rFonts w:hint="eastAsia"/>
          <w:b/>
          <w:color w:val="auto"/>
          <w:sz w:val="36"/>
          <w:szCs w:val="36"/>
          <w:highlight w:val="none"/>
        </w:rPr>
      </w:pPr>
    </w:p>
    <w:p w14:paraId="49BF804E">
      <w:pPr>
        <w:pStyle w:val="12"/>
        <w:adjustRightInd w:val="0"/>
        <w:snapToGrid w:val="0"/>
        <w:spacing w:line="360" w:lineRule="auto"/>
        <w:jc w:val="center"/>
        <w:rPr>
          <w:rFonts w:hint="eastAsia"/>
          <w:b/>
          <w:color w:val="auto"/>
          <w:sz w:val="36"/>
          <w:szCs w:val="36"/>
          <w:highlight w:val="none"/>
        </w:rPr>
      </w:pPr>
    </w:p>
    <w:p w14:paraId="441CF684">
      <w:pPr>
        <w:pStyle w:val="12"/>
        <w:adjustRightInd w:val="0"/>
        <w:snapToGrid w:val="0"/>
        <w:spacing w:line="360" w:lineRule="auto"/>
        <w:jc w:val="center"/>
        <w:rPr>
          <w:rFonts w:hint="eastAsia"/>
          <w:b/>
          <w:color w:val="auto"/>
          <w:sz w:val="36"/>
          <w:szCs w:val="36"/>
          <w:highlight w:val="none"/>
        </w:rPr>
      </w:pPr>
    </w:p>
    <w:p w14:paraId="730C27E2">
      <w:pPr>
        <w:pStyle w:val="12"/>
        <w:adjustRightInd w:val="0"/>
        <w:snapToGrid w:val="0"/>
        <w:spacing w:line="360" w:lineRule="auto"/>
        <w:jc w:val="center"/>
        <w:rPr>
          <w:rFonts w:hint="eastAsia"/>
          <w:b/>
          <w:color w:val="auto"/>
          <w:sz w:val="36"/>
          <w:szCs w:val="36"/>
          <w:highlight w:val="none"/>
        </w:rPr>
      </w:pPr>
    </w:p>
    <w:p w14:paraId="0E29B354">
      <w:pPr>
        <w:rPr>
          <w:rFonts w:hint="eastAsia"/>
          <w:b/>
          <w:color w:val="auto"/>
          <w:sz w:val="36"/>
          <w:szCs w:val="36"/>
          <w:highlight w:val="none"/>
        </w:rPr>
      </w:pPr>
    </w:p>
    <w:p w14:paraId="491A89AF">
      <w:pPr>
        <w:pStyle w:val="30"/>
        <w:rPr>
          <w:rFonts w:hint="eastAsia"/>
          <w:b/>
          <w:color w:val="auto"/>
          <w:sz w:val="36"/>
          <w:szCs w:val="36"/>
          <w:highlight w:val="none"/>
        </w:rPr>
      </w:pPr>
    </w:p>
    <w:p w14:paraId="752A27BC">
      <w:pPr>
        <w:pStyle w:val="30"/>
        <w:rPr>
          <w:rFonts w:hint="eastAsia"/>
          <w:b/>
          <w:color w:val="auto"/>
          <w:sz w:val="36"/>
          <w:szCs w:val="36"/>
          <w:highlight w:val="none"/>
        </w:rPr>
      </w:pPr>
    </w:p>
    <w:p w14:paraId="6B0EDA92">
      <w:pPr>
        <w:pStyle w:val="30"/>
        <w:rPr>
          <w:rFonts w:hint="eastAsia"/>
          <w:b/>
          <w:color w:val="auto"/>
          <w:sz w:val="36"/>
          <w:szCs w:val="36"/>
          <w:highlight w:val="none"/>
        </w:rPr>
      </w:pPr>
    </w:p>
    <w:p w14:paraId="7DA80CF5">
      <w:pPr>
        <w:pStyle w:val="30"/>
        <w:rPr>
          <w:rFonts w:hint="eastAsia"/>
          <w:b/>
          <w:color w:val="auto"/>
          <w:sz w:val="36"/>
          <w:szCs w:val="36"/>
          <w:highlight w:val="none"/>
        </w:rPr>
      </w:pPr>
    </w:p>
    <w:p w14:paraId="2D2CB743">
      <w:pPr>
        <w:pStyle w:val="30"/>
        <w:rPr>
          <w:rFonts w:hint="eastAsia"/>
          <w:b/>
          <w:color w:val="auto"/>
          <w:sz w:val="36"/>
          <w:szCs w:val="36"/>
          <w:highlight w:val="none"/>
        </w:rPr>
      </w:pPr>
    </w:p>
    <w:p w14:paraId="28649717">
      <w:pPr>
        <w:pStyle w:val="30"/>
        <w:rPr>
          <w:rFonts w:hint="eastAsia"/>
          <w:b/>
          <w:color w:val="auto"/>
          <w:sz w:val="36"/>
          <w:szCs w:val="36"/>
          <w:highlight w:val="none"/>
        </w:rPr>
      </w:pPr>
    </w:p>
    <w:p w14:paraId="385BD5F2">
      <w:pPr>
        <w:pStyle w:val="30"/>
        <w:rPr>
          <w:rFonts w:hint="eastAsia"/>
          <w:b/>
          <w:color w:val="auto"/>
          <w:sz w:val="36"/>
          <w:szCs w:val="36"/>
          <w:highlight w:val="none"/>
        </w:rPr>
      </w:pPr>
    </w:p>
    <w:p w14:paraId="23947215">
      <w:pPr>
        <w:pStyle w:val="12"/>
        <w:adjustRightInd w:val="0"/>
        <w:snapToGrid w:val="0"/>
        <w:spacing w:line="360" w:lineRule="auto"/>
        <w:jc w:val="center"/>
        <w:rPr>
          <w:rFonts w:hint="eastAsia" w:ascii="宋体" w:hAnsi="宋体" w:eastAsia="宋体"/>
          <w:color w:val="auto"/>
          <w:szCs w:val="21"/>
          <w:highlight w:val="none"/>
          <w:lang w:val="en-US" w:eastAsia="zh-CN"/>
        </w:rPr>
      </w:pPr>
    </w:p>
    <w:p w14:paraId="4975416D">
      <w:pPr>
        <w:pStyle w:val="12"/>
        <w:adjustRightInd w:val="0"/>
        <w:snapToGrid w:val="0"/>
        <w:spacing w:line="360" w:lineRule="auto"/>
        <w:jc w:val="center"/>
        <w:outlineLvl w:val="1"/>
        <w:rPr>
          <w:rFonts w:hint="eastAsia" w:ascii="宋体" w:eastAsia="宋体"/>
          <w:b/>
          <w:color w:val="auto"/>
          <w:sz w:val="36"/>
          <w:szCs w:val="36"/>
          <w:highlight w:val="none"/>
          <w:lang w:val="en-US" w:eastAsia="zh-CN"/>
        </w:rPr>
      </w:pPr>
      <w:bookmarkStart w:id="232" w:name="_Toc22172"/>
      <w:r>
        <w:rPr>
          <w:rFonts w:hint="eastAsia" w:ascii="宋体" w:eastAsia="宋体"/>
          <w:b/>
          <w:color w:val="auto"/>
          <w:sz w:val="36"/>
          <w:szCs w:val="36"/>
          <w:highlight w:val="none"/>
          <w:lang w:val="en-US" w:eastAsia="zh-CN"/>
        </w:rPr>
        <w:t>8.信用中国和中国政府采购网截图</w:t>
      </w:r>
      <w:bookmarkEnd w:id="232"/>
    </w:p>
    <w:p w14:paraId="5C7A9CFB">
      <w:pPr>
        <w:pStyle w:val="12"/>
        <w:adjustRightInd w:val="0"/>
        <w:snapToGrid w:val="0"/>
        <w:spacing w:line="360" w:lineRule="auto"/>
        <w:jc w:val="left"/>
        <w:rPr>
          <w:rFonts w:hint="eastAsia" w:ascii="楷体" w:hAnsi="楷体" w:eastAsia="楷体"/>
          <w:color w:val="auto"/>
          <w:highlight w:val="none"/>
        </w:rPr>
      </w:pPr>
      <w:r>
        <w:rPr>
          <w:rFonts w:hint="eastAsia" w:ascii="楷体" w:hAnsi="楷体" w:eastAsia="楷体"/>
          <w:color w:val="auto"/>
          <w:highlight w:val="none"/>
        </w:rPr>
        <w:t>说明：</w:t>
      </w:r>
    </w:p>
    <w:p w14:paraId="736C9CEB">
      <w:pPr>
        <w:pageBreakBefore w:val="0"/>
        <w:kinsoku/>
        <w:wordWrap/>
        <w:overflowPunct/>
        <w:topLinePunct w:val="0"/>
        <w:bidi w:val="0"/>
        <w:spacing w:line="480" w:lineRule="exact"/>
        <w:ind w:firstLine="420" w:firstLineChars="200"/>
        <w:textAlignment w:val="auto"/>
        <w:rPr>
          <w:rFonts w:hint="eastAsia" w:ascii="楷体" w:hAnsi="楷体" w:eastAsia="楷体" w:cs="Courier New"/>
          <w:color w:val="auto"/>
          <w:kern w:val="2"/>
          <w:sz w:val="21"/>
          <w:szCs w:val="21"/>
          <w:highlight w:val="none"/>
          <w:lang w:val="en-US" w:eastAsia="zh-CN" w:bidi="ar-SA"/>
        </w:rPr>
      </w:pPr>
      <w:r>
        <w:rPr>
          <w:rFonts w:hint="eastAsia" w:ascii="楷体" w:hAnsi="楷体" w:eastAsia="楷体" w:cs="Courier New"/>
          <w:color w:val="auto"/>
          <w:kern w:val="2"/>
          <w:sz w:val="21"/>
          <w:szCs w:val="21"/>
          <w:highlight w:val="none"/>
          <w:lang w:val="en-US" w:eastAsia="zh-CN" w:bidi="ar-SA"/>
        </w:rPr>
        <w:t>投标人须在“信用中国”（www.creditchina.gov.cn）和中国政府采购网（www.ccgp.gov.cn）上未被列入失信被执行人、重大税收违法失信主体、政府采购严重违法失信行为记录名单（网页打印件须自招标文件发布之日起至投标截止时间从上述网站中打印）；</w:t>
      </w:r>
    </w:p>
    <w:p w14:paraId="5130A512">
      <w:pPr>
        <w:pStyle w:val="12"/>
        <w:adjustRightInd w:val="0"/>
        <w:snapToGrid w:val="0"/>
        <w:spacing w:line="360" w:lineRule="auto"/>
        <w:ind w:firstLine="420" w:firstLineChars="200"/>
        <w:jc w:val="left"/>
        <w:rPr>
          <w:rFonts w:hint="eastAsia" w:ascii="楷体" w:hAnsi="楷体" w:eastAsia="楷体"/>
          <w:color w:val="auto"/>
          <w:highlight w:val="none"/>
        </w:rPr>
      </w:pPr>
    </w:p>
    <w:p w14:paraId="328C7E16">
      <w:pPr>
        <w:spacing w:line="360" w:lineRule="auto"/>
        <w:outlineLvl w:val="1"/>
        <w:rPr>
          <w:rFonts w:hint="eastAsia" w:ascii="宋体" w:hAnsi="Courier New" w:eastAsia="宋体" w:cs="Courier New"/>
          <w:b/>
          <w:color w:val="auto"/>
          <w:kern w:val="2"/>
          <w:sz w:val="36"/>
          <w:szCs w:val="36"/>
          <w:highlight w:val="none"/>
          <w:lang w:val="en-US" w:eastAsia="zh-CN" w:bidi="ar-SA"/>
        </w:rPr>
      </w:pPr>
      <w:bookmarkStart w:id="233" w:name="_Toc23273"/>
      <w:r>
        <w:rPr>
          <w:rFonts w:hint="eastAsia"/>
          <w:b/>
          <w:color w:val="auto"/>
          <w:sz w:val="36"/>
          <w:szCs w:val="36"/>
          <w:highlight w:val="none"/>
          <w:lang w:val="en-US" w:eastAsia="zh-CN"/>
        </w:rPr>
        <w:br w:type="column"/>
      </w:r>
      <w:r>
        <w:rPr>
          <w:rFonts w:hint="eastAsia" w:ascii="宋体" w:hAnsi="Courier New" w:eastAsia="宋体" w:cs="Courier New"/>
          <w:b/>
          <w:color w:val="auto"/>
          <w:kern w:val="2"/>
          <w:sz w:val="36"/>
          <w:szCs w:val="36"/>
          <w:highlight w:val="none"/>
          <w:lang w:val="en-US" w:eastAsia="zh-CN" w:bidi="ar-SA"/>
        </w:rPr>
        <w:t>9.</w:t>
      </w:r>
      <w:r>
        <w:rPr>
          <w:rFonts w:hint="eastAsia" w:ascii="宋体" w:hAnsi="Courier New" w:eastAsia="宋体" w:cs="Courier New"/>
          <w:b/>
          <w:color w:val="auto"/>
          <w:kern w:val="2"/>
          <w:sz w:val="36"/>
          <w:szCs w:val="36"/>
          <w:highlight w:val="none"/>
          <w:lang w:val="zh-CN" w:eastAsia="zh-CN" w:bidi="ar-SA"/>
        </w:rPr>
        <w:t>具备履行合同所必需的设备和专业技术能力的证明</w:t>
      </w:r>
      <w:bookmarkEnd w:id="233"/>
    </w:p>
    <w:p w14:paraId="255C5ADB">
      <w:pPr>
        <w:pStyle w:val="4"/>
        <w:spacing w:after="240" w:afterLines="100"/>
        <w:ind w:firstLine="0"/>
        <w:jc w:val="center"/>
        <w:rPr>
          <w:rFonts w:hint="eastAsia" w:ascii="宋体" w:hAnsi="宋体" w:cs="宋体"/>
          <w:b/>
          <w:color w:val="auto"/>
          <w:kern w:val="0"/>
          <w:sz w:val="32"/>
          <w:szCs w:val="32"/>
          <w:highlight w:val="none"/>
          <w:lang w:val="zh-CN"/>
        </w:rPr>
      </w:pPr>
      <w:r>
        <w:rPr>
          <w:rFonts w:hint="eastAsia" w:ascii="宋体" w:hAnsi="宋体" w:cs="宋体"/>
          <w:b/>
          <w:color w:val="auto"/>
          <w:kern w:val="0"/>
          <w:sz w:val="32"/>
          <w:szCs w:val="32"/>
          <w:highlight w:val="none"/>
          <w:lang w:val="zh-CN"/>
        </w:rPr>
        <w:t>（一）完成本项目必须的设备清单</w:t>
      </w:r>
    </w:p>
    <w:p w14:paraId="0767063D">
      <w:pPr>
        <w:pStyle w:val="4"/>
        <w:spacing w:after="120" w:afterLines="50"/>
        <w:ind w:firstLine="0"/>
        <w:jc w:val="left"/>
        <w:rPr>
          <w:rFonts w:hint="eastAsia" w:ascii="宋体" w:hAnsi="宋体"/>
          <w:color w:val="auto"/>
          <w:szCs w:val="21"/>
          <w:highlight w:val="none"/>
        </w:rPr>
      </w:pPr>
      <w:r>
        <w:rPr>
          <w:rFonts w:hint="eastAsia" w:ascii="宋体" w:hAnsi="宋体"/>
          <w:color w:val="auto"/>
          <w:szCs w:val="21"/>
          <w:highlight w:val="none"/>
        </w:rPr>
        <w:t xml:space="preserve">投标人：                             </w:t>
      </w:r>
      <w:r>
        <w:rPr>
          <w:rFonts w:hint="eastAsia" w:ascii="宋体" w:hAnsi="宋体"/>
          <w:color w:val="auto"/>
          <w:szCs w:val="21"/>
          <w:highlight w:val="none"/>
          <w:lang w:val="en-US" w:eastAsia="zh-CN"/>
        </w:rPr>
        <w:t xml:space="preserve">           </w:t>
      </w:r>
      <w:r>
        <w:rPr>
          <w:rFonts w:hint="eastAsia" w:ascii="宋体" w:hAnsi="宋体"/>
          <w:color w:val="auto"/>
          <w:szCs w:val="21"/>
          <w:highlight w:val="none"/>
        </w:rPr>
        <w:t xml:space="preserve">    </w:t>
      </w:r>
      <w:r>
        <w:rPr>
          <w:rFonts w:hint="eastAsia" w:ascii="宋体" w:hAnsi="宋体"/>
          <w:color w:val="auto"/>
          <w:szCs w:val="21"/>
          <w:highlight w:val="none"/>
          <w:lang w:val="en-US" w:eastAsia="zh-CN"/>
        </w:rPr>
        <w:t xml:space="preserve">          </w:t>
      </w:r>
      <w:r>
        <w:rPr>
          <w:rFonts w:hint="eastAsia" w:ascii="宋体" w:hAnsi="宋体"/>
          <w:color w:val="auto"/>
          <w:szCs w:val="21"/>
          <w:highlight w:val="none"/>
        </w:rPr>
        <w:t>采购项目编号：</w:t>
      </w:r>
      <w:r>
        <w:rPr>
          <w:rFonts w:hint="eastAsia" w:ascii="宋体" w:hAnsi="宋体"/>
          <w:color w:val="auto"/>
          <w:szCs w:val="21"/>
          <w:highlight w:val="none"/>
          <w:lang w:val="en-US" w:eastAsia="zh-CN"/>
        </w:rPr>
        <w:t xml:space="preserve">           </w:t>
      </w:r>
    </w:p>
    <w:tbl>
      <w:tblPr>
        <w:tblStyle w:val="23"/>
        <w:tblW w:w="0" w:type="auto"/>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817"/>
        <w:gridCol w:w="2241"/>
        <w:gridCol w:w="1445"/>
        <w:gridCol w:w="992"/>
        <w:gridCol w:w="2410"/>
        <w:gridCol w:w="1270"/>
      </w:tblGrid>
      <w:tr w14:paraId="259AD1F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817" w:type="dxa"/>
            <w:noWrap w:val="0"/>
            <w:vAlign w:val="center"/>
          </w:tcPr>
          <w:p w14:paraId="64C87545">
            <w:pPr>
              <w:pStyle w:val="4"/>
              <w:ind w:firstLine="0"/>
              <w:jc w:val="center"/>
              <w:rPr>
                <w:rFonts w:hint="eastAsia" w:ascii="宋体" w:hAnsi="宋体"/>
                <w:b/>
                <w:color w:val="auto"/>
                <w:szCs w:val="21"/>
                <w:highlight w:val="none"/>
              </w:rPr>
            </w:pPr>
            <w:r>
              <w:rPr>
                <w:rFonts w:hint="eastAsia" w:ascii="宋体" w:hAnsi="宋体"/>
                <w:b/>
                <w:color w:val="auto"/>
                <w:szCs w:val="21"/>
                <w:highlight w:val="none"/>
              </w:rPr>
              <w:t>序号</w:t>
            </w:r>
          </w:p>
        </w:tc>
        <w:tc>
          <w:tcPr>
            <w:tcW w:w="2241" w:type="dxa"/>
            <w:noWrap w:val="0"/>
            <w:vAlign w:val="center"/>
          </w:tcPr>
          <w:p w14:paraId="46BA97E3">
            <w:pPr>
              <w:pStyle w:val="4"/>
              <w:ind w:firstLine="0"/>
              <w:jc w:val="center"/>
              <w:rPr>
                <w:rFonts w:hint="eastAsia" w:ascii="宋体" w:hAnsi="宋体"/>
                <w:b/>
                <w:color w:val="auto"/>
                <w:szCs w:val="21"/>
                <w:highlight w:val="none"/>
              </w:rPr>
            </w:pPr>
            <w:r>
              <w:rPr>
                <w:rFonts w:hint="eastAsia" w:ascii="宋体" w:hAnsi="宋体"/>
                <w:b/>
                <w:color w:val="auto"/>
                <w:szCs w:val="21"/>
                <w:highlight w:val="none"/>
              </w:rPr>
              <w:t>设备名称</w:t>
            </w:r>
          </w:p>
        </w:tc>
        <w:tc>
          <w:tcPr>
            <w:tcW w:w="1445" w:type="dxa"/>
            <w:noWrap w:val="0"/>
            <w:vAlign w:val="center"/>
          </w:tcPr>
          <w:p w14:paraId="2F5A14DE">
            <w:pPr>
              <w:pStyle w:val="4"/>
              <w:ind w:firstLine="0"/>
              <w:jc w:val="center"/>
              <w:rPr>
                <w:rFonts w:hint="eastAsia" w:ascii="宋体" w:hAnsi="宋体"/>
                <w:b/>
                <w:color w:val="auto"/>
                <w:szCs w:val="21"/>
                <w:highlight w:val="none"/>
              </w:rPr>
            </w:pPr>
            <w:r>
              <w:rPr>
                <w:rFonts w:hint="eastAsia" w:ascii="宋体" w:hAnsi="宋体"/>
                <w:b/>
                <w:color w:val="auto"/>
                <w:szCs w:val="21"/>
                <w:highlight w:val="none"/>
              </w:rPr>
              <w:t>计量单位</w:t>
            </w:r>
          </w:p>
        </w:tc>
        <w:tc>
          <w:tcPr>
            <w:tcW w:w="992" w:type="dxa"/>
            <w:noWrap w:val="0"/>
            <w:vAlign w:val="center"/>
          </w:tcPr>
          <w:p w14:paraId="66033279">
            <w:pPr>
              <w:pStyle w:val="4"/>
              <w:ind w:firstLine="0"/>
              <w:jc w:val="center"/>
              <w:rPr>
                <w:rFonts w:hint="eastAsia" w:ascii="宋体" w:hAnsi="宋体"/>
                <w:b/>
                <w:color w:val="auto"/>
                <w:szCs w:val="21"/>
                <w:highlight w:val="none"/>
              </w:rPr>
            </w:pPr>
            <w:r>
              <w:rPr>
                <w:rFonts w:hint="eastAsia" w:ascii="宋体" w:hAnsi="宋体"/>
                <w:b/>
                <w:color w:val="auto"/>
                <w:szCs w:val="21"/>
                <w:highlight w:val="none"/>
              </w:rPr>
              <w:t>数量</w:t>
            </w:r>
          </w:p>
        </w:tc>
        <w:tc>
          <w:tcPr>
            <w:tcW w:w="2410" w:type="dxa"/>
            <w:noWrap w:val="0"/>
            <w:vAlign w:val="center"/>
          </w:tcPr>
          <w:p w14:paraId="62CBB3BD">
            <w:pPr>
              <w:pStyle w:val="4"/>
              <w:ind w:firstLine="0"/>
              <w:jc w:val="center"/>
              <w:rPr>
                <w:rFonts w:hint="eastAsia" w:ascii="宋体" w:hAnsi="宋体"/>
                <w:b/>
                <w:color w:val="auto"/>
                <w:szCs w:val="21"/>
                <w:highlight w:val="none"/>
              </w:rPr>
            </w:pPr>
            <w:r>
              <w:rPr>
                <w:rFonts w:hint="eastAsia" w:ascii="宋体" w:hAnsi="宋体"/>
                <w:b/>
                <w:color w:val="auto"/>
                <w:szCs w:val="21"/>
                <w:highlight w:val="none"/>
              </w:rPr>
              <w:t>生产企业</w:t>
            </w:r>
          </w:p>
        </w:tc>
        <w:tc>
          <w:tcPr>
            <w:tcW w:w="1270" w:type="dxa"/>
            <w:noWrap w:val="0"/>
            <w:vAlign w:val="center"/>
          </w:tcPr>
          <w:p w14:paraId="4B271371">
            <w:pPr>
              <w:pStyle w:val="4"/>
              <w:ind w:firstLine="0"/>
              <w:jc w:val="center"/>
              <w:rPr>
                <w:rFonts w:hint="eastAsia" w:ascii="宋体" w:hAnsi="宋体"/>
                <w:b/>
                <w:color w:val="auto"/>
                <w:szCs w:val="21"/>
                <w:highlight w:val="none"/>
              </w:rPr>
            </w:pPr>
            <w:r>
              <w:rPr>
                <w:rFonts w:hint="eastAsia" w:ascii="宋体" w:hAnsi="宋体"/>
                <w:b/>
                <w:color w:val="auto"/>
                <w:szCs w:val="21"/>
                <w:highlight w:val="none"/>
              </w:rPr>
              <w:t>使用年限</w:t>
            </w:r>
          </w:p>
        </w:tc>
      </w:tr>
      <w:tr w14:paraId="2B2E131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6" w:hRule="atLeast"/>
        </w:trPr>
        <w:tc>
          <w:tcPr>
            <w:tcW w:w="817" w:type="dxa"/>
            <w:noWrap w:val="0"/>
            <w:vAlign w:val="top"/>
          </w:tcPr>
          <w:p w14:paraId="4FF04B2B">
            <w:pPr>
              <w:pStyle w:val="4"/>
              <w:ind w:firstLine="0"/>
              <w:jc w:val="left"/>
              <w:rPr>
                <w:rFonts w:hint="eastAsia" w:ascii="宋体" w:hAnsi="宋体"/>
                <w:b/>
                <w:color w:val="auto"/>
                <w:sz w:val="28"/>
                <w:szCs w:val="28"/>
                <w:highlight w:val="none"/>
              </w:rPr>
            </w:pPr>
          </w:p>
        </w:tc>
        <w:tc>
          <w:tcPr>
            <w:tcW w:w="2241" w:type="dxa"/>
            <w:noWrap w:val="0"/>
            <w:vAlign w:val="top"/>
          </w:tcPr>
          <w:p w14:paraId="353AF5C0">
            <w:pPr>
              <w:pStyle w:val="4"/>
              <w:ind w:firstLine="0"/>
              <w:jc w:val="left"/>
              <w:rPr>
                <w:rFonts w:hint="eastAsia" w:ascii="宋体" w:hAnsi="宋体"/>
                <w:b/>
                <w:color w:val="auto"/>
                <w:sz w:val="28"/>
                <w:szCs w:val="28"/>
                <w:highlight w:val="none"/>
              </w:rPr>
            </w:pPr>
          </w:p>
        </w:tc>
        <w:tc>
          <w:tcPr>
            <w:tcW w:w="1445" w:type="dxa"/>
            <w:noWrap w:val="0"/>
            <w:vAlign w:val="top"/>
          </w:tcPr>
          <w:p w14:paraId="46F3ABF7">
            <w:pPr>
              <w:pStyle w:val="4"/>
              <w:ind w:firstLine="0"/>
              <w:jc w:val="left"/>
              <w:rPr>
                <w:rFonts w:hint="eastAsia" w:ascii="宋体" w:hAnsi="宋体"/>
                <w:b/>
                <w:color w:val="auto"/>
                <w:sz w:val="28"/>
                <w:szCs w:val="28"/>
                <w:highlight w:val="none"/>
              </w:rPr>
            </w:pPr>
          </w:p>
        </w:tc>
        <w:tc>
          <w:tcPr>
            <w:tcW w:w="992" w:type="dxa"/>
            <w:noWrap w:val="0"/>
            <w:vAlign w:val="top"/>
          </w:tcPr>
          <w:p w14:paraId="02C84FAA">
            <w:pPr>
              <w:pStyle w:val="4"/>
              <w:ind w:firstLine="0"/>
              <w:jc w:val="left"/>
              <w:rPr>
                <w:rFonts w:hint="eastAsia" w:ascii="宋体" w:hAnsi="宋体"/>
                <w:b/>
                <w:color w:val="auto"/>
                <w:sz w:val="28"/>
                <w:szCs w:val="28"/>
                <w:highlight w:val="none"/>
              </w:rPr>
            </w:pPr>
          </w:p>
        </w:tc>
        <w:tc>
          <w:tcPr>
            <w:tcW w:w="2410" w:type="dxa"/>
            <w:noWrap w:val="0"/>
            <w:vAlign w:val="top"/>
          </w:tcPr>
          <w:p w14:paraId="39BE03DF">
            <w:pPr>
              <w:pStyle w:val="4"/>
              <w:ind w:firstLine="0"/>
              <w:jc w:val="left"/>
              <w:rPr>
                <w:rFonts w:hint="eastAsia" w:ascii="宋体" w:hAnsi="宋体"/>
                <w:b/>
                <w:color w:val="auto"/>
                <w:sz w:val="28"/>
                <w:szCs w:val="28"/>
                <w:highlight w:val="none"/>
              </w:rPr>
            </w:pPr>
          </w:p>
        </w:tc>
        <w:tc>
          <w:tcPr>
            <w:tcW w:w="1270" w:type="dxa"/>
            <w:noWrap w:val="0"/>
            <w:vAlign w:val="top"/>
          </w:tcPr>
          <w:p w14:paraId="461673E1">
            <w:pPr>
              <w:pStyle w:val="4"/>
              <w:ind w:firstLine="0"/>
              <w:jc w:val="left"/>
              <w:rPr>
                <w:rFonts w:hint="eastAsia" w:ascii="宋体" w:hAnsi="宋体"/>
                <w:b/>
                <w:color w:val="auto"/>
                <w:sz w:val="28"/>
                <w:szCs w:val="28"/>
                <w:highlight w:val="none"/>
              </w:rPr>
            </w:pPr>
          </w:p>
        </w:tc>
      </w:tr>
      <w:tr w14:paraId="7A9EAA3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7" w:hRule="atLeast"/>
        </w:trPr>
        <w:tc>
          <w:tcPr>
            <w:tcW w:w="817" w:type="dxa"/>
            <w:noWrap w:val="0"/>
            <w:vAlign w:val="top"/>
          </w:tcPr>
          <w:p w14:paraId="46FB0A4C">
            <w:pPr>
              <w:pStyle w:val="4"/>
              <w:ind w:firstLine="0"/>
              <w:jc w:val="left"/>
              <w:rPr>
                <w:rFonts w:hint="eastAsia" w:ascii="宋体" w:hAnsi="宋体"/>
                <w:b/>
                <w:color w:val="auto"/>
                <w:sz w:val="28"/>
                <w:szCs w:val="28"/>
                <w:highlight w:val="none"/>
              </w:rPr>
            </w:pPr>
          </w:p>
        </w:tc>
        <w:tc>
          <w:tcPr>
            <w:tcW w:w="2241" w:type="dxa"/>
            <w:noWrap w:val="0"/>
            <w:vAlign w:val="top"/>
          </w:tcPr>
          <w:p w14:paraId="4EAE588B">
            <w:pPr>
              <w:pStyle w:val="4"/>
              <w:ind w:firstLine="0"/>
              <w:jc w:val="left"/>
              <w:rPr>
                <w:rFonts w:hint="eastAsia" w:ascii="宋体" w:hAnsi="宋体"/>
                <w:b/>
                <w:color w:val="auto"/>
                <w:sz w:val="28"/>
                <w:szCs w:val="28"/>
                <w:highlight w:val="none"/>
              </w:rPr>
            </w:pPr>
          </w:p>
        </w:tc>
        <w:tc>
          <w:tcPr>
            <w:tcW w:w="1445" w:type="dxa"/>
            <w:noWrap w:val="0"/>
            <w:vAlign w:val="top"/>
          </w:tcPr>
          <w:p w14:paraId="131C770B">
            <w:pPr>
              <w:pStyle w:val="4"/>
              <w:ind w:firstLine="0"/>
              <w:jc w:val="left"/>
              <w:rPr>
                <w:rFonts w:hint="eastAsia" w:ascii="宋体" w:hAnsi="宋体"/>
                <w:b/>
                <w:color w:val="auto"/>
                <w:sz w:val="28"/>
                <w:szCs w:val="28"/>
                <w:highlight w:val="none"/>
              </w:rPr>
            </w:pPr>
          </w:p>
        </w:tc>
        <w:tc>
          <w:tcPr>
            <w:tcW w:w="992" w:type="dxa"/>
            <w:noWrap w:val="0"/>
            <w:vAlign w:val="top"/>
          </w:tcPr>
          <w:p w14:paraId="0A08DD51">
            <w:pPr>
              <w:pStyle w:val="4"/>
              <w:ind w:firstLine="0"/>
              <w:jc w:val="left"/>
              <w:rPr>
                <w:rFonts w:hint="eastAsia" w:ascii="宋体" w:hAnsi="宋体"/>
                <w:b/>
                <w:color w:val="auto"/>
                <w:sz w:val="28"/>
                <w:szCs w:val="28"/>
                <w:highlight w:val="none"/>
              </w:rPr>
            </w:pPr>
          </w:p>
        </w:tc>
        <w:tc>
          <w:tcPr>
            <w:tcW w:w="2410" w:type="dxa"/>
            <w:noWrap w:val="0"/>
            <w:vAlign w:val="top"/>
          </w:tcPr>
          <w:p w14:paraId="41D472BD">
            <w:pPr>
              <w:pStyle w:val="4"/>
              <w:ind w:firstLine="0"/>
              <w:jc w:val="left"/>
              <w:rPr>
                <w:rFonts w:hint="eastAsia" w:ascii="宋体" w:hAnsi="宋体"/>
                <w:b/>
                <w:color w:val="auto"/>
                <w:sz w:val="28"/>
                <w:szCs w:val="28"/>
                <w:highlight w:val="none"/>
              </w:rPr>
            </w:pPr>
          </w:p>
        </w:tc>
        <w:tc>
          <w:tcPr>
            <w:tcW w:w="1270" w:type="dxa"/>
            <w:noWrap w:val="0"/>
            <w:vAlign w:val="top"/>
          </w:tcPr>
          <w:p w14:paraId="70D7D664">
            <w:pPr>
              <w:pStyle w:val="4"/>
              <w:ind w:firstLine="0"/>
              <w:jc w:val="left"/>
              <w:rPr>
                <w:rFonts w:hint="eastAsia" w:ascii="宋体" w:hAnsi="宋体"/>
                <w:b/>
                <w:color w:val="auto"/>
                <w:sz w:val="28"/>
                <w:szCs w:val="28"/>
                <w:highlight w:val="none"/>
              </w:rPr>
            </w:pPr>
          </w:p>
        </w:tc>
      </w:tr>
      <w:tr w14:paraId="3E4FC3D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817" w:type="dxa"/>
            <w:noWrap w:val="0"/>
            <w:vAlign w:val="top"/>
          </w:tcPr>
          <w:p w14:paraId="2918B516">
            <w:pPr>
              <w:pStyle w:val="4"/>
              <w:ind w:firstLine="0"/>
              <w:jc w:val="left"/>
              <w:rPr>
                <w:rFonts w:hint="eastAsia" w:ascii="宋体" w:hAnsi="宋体"/>
                <w:b/>
                <w:color w:val="auto"/>
                <w:sz w:val="28"/>
                <w:szCs w:val="28"/>
                <w:highlight w:val="none"/>
              </w:rPr>
            </w:pPr>
          </w:p>
        </w:tc>
        <w:tc>
          <w:tcPr>
            <w:tcW w:w="2241" w:type="dxa"/>
            <w:noWrap w:val="0"/>
            <w:vAlign w:val="top"/>
          </w:tcPr>
          <w:p w14:paraId="77A40958">
            <w:pPr>
              <w:pStyle w:val="4"/>
              <w:ind w:firstLine="0"/>
              <w:jc w:val="left"/>
              <w:rPr>
                <w:rFonts w:hint="eastAsia" w:ascii="宋体" w:hAnsi="宋体"/>
                <w:b/>
                <w:color w:val="auto"/>
                <w:sz w:val="28"/>
                <w:szCs w:val="28"/>
                <w:highlight w:val="none"/>
              </w:rPr>
            </w:pPr>
          </w:p>
        </w:tc>
        <w:tc>
          <w:tcPr>
            <w:tcW w:w="1445" w:type="dxa"/>
            <w:noWrap w:val="0"/>
            <w:vAlign w:val="top"/>
          </w:tcPr>
          <w:p w14:paraId="6C893B3C">
            <w:pPr>
              <w:pStyle w:val="4"/>
              <w:ind w:firstLine="0"/>
              <w:jc w:val="left"/>
              <w:rPr>
                <w:rFonts w:hint="eastAsia" w:ascii="宋体" w:hAnsi="宋体"/>
                <w:b/>
                <w:color w:val="auto"/>
                <w:sz w:val="28"/>
                <w:szCs w:val="28"/>
                <w:highlight w:val="none"/>
              </w:rPr>
            </w:pPr>
          </w:p>
        </w:tc>
        <w:tc>
          <w:tcPr>
            <w:tcW w:w="992" w:type="dxa"/>
            <w:noWrap w:val="0"/>
            <w:vAlign w:val="top"/>
          </w:tcPr>
          <w:p w14:paraId="4A3A467F">
            <w:pPr>
              <w:pStyle w:val="4"/>
              <w:ind w:firstLine="0"/>
              <w:jc w:val="left"/>
              <w:rPr>
                <w:rFonts w:hint="eastAsia" w:ascii="宋体" w:hAnsi="宋体"/>
                <w:b/>
                <w:color w:val="auto"/>
                <w:sz w:val="28"/>
                <w:szCs w:val="28"/>
                <w:highlight w:val="none"/>
              </w:rPr>
            </w:pPr>
          </w:p>
        </w:tc>
        <w:tc>
          <w:tcPr>
            <w:tcW w:w="2410" w:type="dxa"/>
            <w:noWrap w:val="0"/>
            <w:vAlign w:val="top"/>
          </w:tcPr>
          <w:p w14:paraId="06183317">
            <w:pPr>
              <w:pStyle w:val="4"/>
              <w:ind w:firstLine="0"/>
              <w:jc w:val="left"/>
              <w:rPr>
                <w:rFonts w:hint="eastAsia" w:ascii="宋体" w:hAnsi="宋体"/>
                <w:b/>
                <w:color w:val="auto"/>
                <w:sz w:val="28"/>
                <w:szCs w:val="28"/>
                <w:highlight w:val="none"/>
              </w:rPr>
            </w:pPr>
          </w:p>
        </w:tc>
        <w:tc>
          <w:tcPr>
            <w:tcW w:w="1270" w:type="dxa"/>
            <w:noWrap w:val="0"/>
            <w:vAlign w:val="top"/>
          </w:tcPr>
          <w:p w14:paraId="4A990966">
            <w:pPr>
              <w:pStyle w:val="4"/>
              <w:ind w:firstLine="0"/>
              <w:jc w:val="left"/>
              <w:rPr>
                <w:rFonts w:hint="eastAsia" w:ascii="宋体" w:hAnsi="宋体"/>
                <w:b/>
                <w:color w:val="auto"/>
                <w:sz w:val="28"/>
                <w:szCs w:val="28"/>
                <w:highlight w:val="none"/>
              </w:rPr>
            </w:pPr>
          </w:p>
        </w:tc>
      </w:tr>
      <w:tr w14:paraId="297E8C1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817" w:type="dxa"/>
            <w:noWrap w:val="0"/>
            <w:vAlign w:val="top"/>
          </w:tcPr>
          <w:p w14:paraId="7298FAB1">
            <w:pPr>
              <w:pStyle w:val="4"/>
              <w:ind w:firstLine="0"/>
              <w:jc w:val="left"/>
              <w:rPr>
                <w:rFonts w:hint="eastAsia" w:ascii="宋体" w:hAnsi="宋体"/>
                <w:b/>
                <w:color w:val="auto"/>
                <w:sz w:val="28"/>
                <w:szCs w:val="28"/>
                <w:highlight w:val="none"/>
              </w:rPr>
            </w:pPr>
          </w:p>
        </w:tc>
        <w:tc>
          <w:tcPr>
            <w:tcW w:w="2241" w:type="dxa"/>
            <w:noWrap w:val="0"/>
            <w:vAlign w:val="top"/>
          </w:tcPr>
          <w:p w14:paraId="5B6F6C44">
            <w:pPr>
              <w:pStyle w:val="4"/>
              <w:ind w:firstLine="0"/>
              <w:jc w:val="left"/>
              <w:rPr>
                <w:rFonts w:hint="eastAsia" w:ascii="宋体" w:hAnsi="宋体"/>
                <w:b/>
                <w:color w:val="auto"/>
                <w:sz w:val="28"/>
                <w:szCs w:val="28"/>
                <w:highlight w:val="none"/>
              </w:rPr>
            </w:pPr>
          </w:p>
        </w:tc>
        <w:tc>
          <w:tcPr>
            <w:tcW w:w="1445" w:type="dxa"/>
            <w:noWrap w:val="0"/>
            <w:vAlign w:val="top"/>
          </w:tcPr>
          <w:p w14:paraId="2948D3CE">
            <w:pPr>
              <w:pStyle w:val="4"/>
              <w:ind w:firstLine="0"/>
              <w:jc w:val="left"/>
              <w:rPr>
                <w:rFonts w:hint="eastAsia" w:ascii="宋体" w:hAnsi="宋体"/>
                <w:b/>
                <w:color w:val="auto"/>
                <w:sz w:val="28"/>
                <w:szCs w:val="28"/>
                <w:highlight w:val="none"/>
              </w:rPr>
            </w:pPr>
          </w:p>
        </w:tc>
        <w:tc>
          <w:tcPr>
            <w:tcW w:w="992" w:type="dxa"/>
            <w:noWrap w:val="0"/>
            <w:vAlign w:val="top"/>
          </w:tcPr>
          <w:p w14:paraId="03FB1D0D">
            <w:pPr>
              <w:pStyle w:val="4"/>
              <w:ind w:firstLine="0"/>
              <w:jc w:val="left"/>
              <w:rPr>
                <w:rFonts w:hint="eastAsia" w:ascii="宋体" w:hAnsi="宋体"/>
                <w:b/>
                <w:color w:val="auto"/>
                <w:sz w:val="28"/>
                <w:szCs w:val="28"/>
                <w:highlight w:val="none"/>
              </w:rPr>
            </w:pPr>
          </w:p>
        </w:tc>
        <w:tc>
          <w:tcPr>
            <w:tcW w:w="2410" w:type="dxa"/>
            <w:noWrap w:val="0"/>
            <w:vAlign w:val="top"/>
          </w:tcPr>
          <w:p w14:paraId="013B96E4">
            <w:pPr>
              <w:pStyle w:val="4"/>
              <w:ind w:firstLine="0"/>
              <w:jc w:val="left"/>
              <w:rPr>
                <w:rFonts w:hint="eastAsia" w:ascii="宋体" w:hAnsi="宋体"/>
                <w:b/>
                <w:color w:val="auto"/>
                <w:sz w:val="28"/>
                <w:szCs w:val="28"/>
                <w:highlight w:val="none"/>
              </w:rPr>
            </w:pPr>
          </w:p>
        </w:tc>
        <w:tc>
          <w:tcPr>
            <w:tcW w:w="1270" w:type="dxa"/>
            <w:noWrap w:val="0"/>
            <w:vAlign w:val="top"/>
          </w:tcPr>
          <w:p w14:paraId="2D5CE05E">
            <w:pPr>
              <w:pStyle w:val="4"/>
              <w:ind w:firstLine="0"/>
              <w:jc w:val="left"/>
              <w:rPr>
                <w:rFonts w:hint="eastAsia" w:ascii="宋体" w:hAnsi="宋体"/>
                <w:b/>
                <w:color w:val="auto"/>
                <w:sz w:val="28"/>
                <w:szCs w:val="28"/>
                <w:highlight w:val="none"/>
              </w:rPr>
            </w:pPr>
          </w:p>
        </w:tc>
      </w:tr>
      <w:tr w14:paraId="5202879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817" w:type="dxa"/>
            <w:noWrap w:val="0"/>
            <w:vAlign w:val="top"/>
          </w:tcPr>
          <w:p w14:paraId="100CD8CD">
            <w:pPr>
              <w:pStyle w:val="4"/>
              <w:ind w:firstLine="0"/>
              <w:jc w:val="left"/>
              <w:rPr>
                <w:rFonts w:hint="eastAsia" w:ascii="宋体" w:hAnsi="宋体"/>
                <w:b/>
                <w:color w:val="auto"/>
                <w:sz w:val="28"/>
                <w:szCs w:val="28"/>
                <w:highlight w:val="none"/>
              </w:rPr>
            </w:pPr>
          </w:p>
        </w:tc>
        <w:tc>
          <w:tcPr>
            <w:tcW w:w="2241" w:type="dxa"/>
            <w:noWrap w:val="0"/>
            <w:vAlign w:val="top"/>
          </w:tcPr>
          <w:p w14:paraId="143F12E5">
            <w:pPr>
              <w:pStyle w:val="4"/>
              <w:ind w:firstLine="0"/>
              <w:jc w:val="left"/>
              <w:rPr>
                <w:rFonts w:hint="eastAsia" w:ascii="宋体" w:hAnsi="宋体"/>
                <w:b/>
                <w:color w:val="auto"/>
                <w:sz w:val="28"/>
                <w:szCs w:val="28"/>
                <w:highlight w:val="none"/>
              </w:rPr>
            </w:pPr>
          </w:p>
        </w:tc>
        <w:tc>
          <w:tcPr>
            <w:tcW w:w="1445" w:type="dxa"/>
            <w:noWrap w:val="0"/>
            <w:vAlign w:val="top"/>
          </w:tcPr>
          <w:p w14:paraId="3E54AD29">
            <w:pPr>
              <w:pStyle w:val="4"/>
              <w:ind w:firstLine="0"/>
              <w:jc w:val="left"/>
              <w:rPr>
                <w:rFonts w:hint="eastAsia" w:ascii="宋体" w:hAnsi="宋体"/>
                <w:b/>
                <w:color w:val="auto"/>
                <w:sz w:val="28"/>
                <w:szCs w:val="28"/>
                <w:highlight w:val="none"/>
              </w:rPr>
            </w:pPr>
          </w:p>
        </w:tc>
        <w:tc>
          <w:tcPr>
            <w:tcW w:w="992" w:type="dxa"/>
            <w:noWrap w:val="0"/>
            <w:vAlign w:val="top"/>
          </w:tcPr>
          <w:p w14:paraId="6E09A5F5">
            <w:pPr>
              <w:pStyle w:val="4"/>
              <w:ind w:firstLine="0"/>
              <w:jc w:val="left"/>
              <w:rPr>
                <w:rFonts w:hint="eastAsia" w:ascii="宋体" w:hAnsi="宋体"/>
                <w:b/>
                <w:color w:val="auto"/>
                <w:sz w:val="28"/>
                <w:szCs w:val="28"/>
                <w:highlight w:val="none"/>
              </w:rPr>
            </w:pPr>
          </w:p>
        </w:tc>
        <w:tc>
          <w:tcPr>
            <w:tcW w:w="2410" w:type="dxa"/>
            <w:noWrap w:val="0"/>
            <w:vAlign w:val="top"/>
          </w:tcPr>
          <w:p w14:paraId="00D6424B">
            <w:pPr>
              <w:pStyle w:val="4"/>
              <w:ind w:firstLine="0"/>
              <w:jc w:val="left"/>
              <w:rPr>
                <w:rFonts w:hint="eastAsia" w:ascii="宋体" w:hAnsi="宋体"/>
                <w:b/>
                <w:color w:val="auto"/>
                <w:sz w:val="28"/>
                <w:szCs w:val="28"/>
                <w:highlight w:val="none"/>
              </w:rPr>
            </w:pPr>
          </w:p>
        </w:tc>
        <w:tc>
          <w:tcPr>
            <w:tcW w:w="1270" w:type="dxa"/>
            <w:noWrap w:val="0"/>
            <w:vAlign w:val="top"/>
          </w:tcPr>
          <w:p w14:paraId="13F1CE4F">
            <w:pPr>
              <w:pStyle w:val="4"/>
              <w:ind w:firstLine="0"/>
              <w:jc w:val="left"/>
              <w:rPr>
                <w:rFonts w:hint="eastAsia" w:ascii="宋体" w:hAnsi="宋体"/>
                <w:b/>
                <w:color w:val="auto"/>
                <w:sz w:val="28"/>
                <w:szCs w:val="28"/>
                <w:highlight w:val="none"/>
              </w:rPr>
            </w:pPr>
          </w:p>
        </w:tc>
      </w:tr>
      <w:tr w14:paraId="2BC28A1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817" w:type="dxa"/>
            <w:noWrap w:val="0"/>
            <w:vAlign w:val="top"/>
          </w:tcPr>
          <w:p w14:paraId="132E6BD3">
            <w:pPr>
              <w:pStyle w:val="4"/>
              <w:ind w:firstLine="0"/>
              <w:jc w:val="left"/>
              <w:rPr>
                <w:rFonts w:hint="eastAsia" w:ascii="宋体" w:hAnsi="宋体"/>
                <w:b/>
                <w:color w:val="auto"/>
                <w:sz w:val="28"/>
                <w:szCs w:val="28"/>
                <w:highlight w:val="none"/>
              </w:rPr>
            </w:pPr>
          </w:p>
        </w:tc>
        <w:tc>
          <w:tcPr>
            <w:tcW w:w="2241" w:type="dxa"/>
            <w:noWrap w:val="0"/>
            <w:vAlign w:val="top"/>
          </w:tcPr>
          <w:p w14:paraId="7983849E">
            <w:pPr>
              <w:pStyle w:val="4"/>
              <w:ind w:firstLine="0"/>
              <w:jc w:val="left"/>
              <w:rPr>
                <w:rFonts w:hint="eastAsia" w:ascii="宋体" w:hAnsi="宋体"/>
                <w:b/>
                <w:color w:val="auto"/>
                <w:sz w:val="28"/>
                <w:szCs w:val="28"/>
                <w:highlight w:val="none"/>
              </w:rPr>
            </w:pPr>
          </w:p>
        </w:tc>
        <w:tc>
          <w:tcPr>
            <w:tcW w:w="1445" w:type="dxa"/>
            <w:noWrap w:val="0"/>
            <w:vAlign w:val="top"/>
          </w:tcPr>
          <w:p w14:paraId="26B12634">
            <w:pPr>
              <w:pStyle w:val="4"/>
              <w:ind w:firstLine="0"/>
              <w:jc w:val="left"/>
              <w:rPr>
                <w:rFonts w:hint="eastAsia" w:ascii="宋体" w:hAnsi="宋体"/>
                <w:b/>
                <w:color w:val="auto"/>
                <w:sz w:val="28"/>
                <w:szCs w:val="28"/>
                <w:highlight w:val="none"/>
              </w:rPr>
            </w:pPr>
          </w:p>
        </w:tc>
        <w:tc>
          <w:tcPr>
            <w:tcW w:w="992" w:type="dxa"/>
            <w:noWrap w:val="0"/>
            <w:vAlign w:val="top"/>
          </w:tcPr>
          <w:p w14:paraId="7F8093C8">
            <w:pPr>
              <w:pStyle w:val="4"/>
              <w:ind w:firstLine="0"/>
              <w:jc w:val="left"/>
              <w:rPr>
                <w:rFonts w:hint="eastAsia" w:ascii="宋体" w:hAnsi="宋体"/>
                <w:b/>
                <w:color w:val="auto"/>
                <w:sz w:val="28"/>
                <w:szCs w:val="28"/>
                <w:highlight w:val="none"/>
              </w:rPr>
            </w:pPr>
          </w:p>
        </w:tc>
        <w:tc>
          <w:tcPr>
            <w:tcW w:w="2410" w:type="dxa"/>
            <w:noWrap w:val="0"/>
            <w:vAlign w:val="top"/>
          </w:tcPr>
          <w:p w14:paraId="33DB313D">
            <w:pPr>
              <w:pStyle w:val="4"/>
              <w:ind w:firstLine="0"/>
              <w:jc w:val="left"/>
              <w:rPr>
                <w:rFonts w:hint="eastAsia" w:ascii="宋体" w:hAnsi="宋体"/>
                <w:b/>
                <w:color w:val="auto"/>
                <w:sz w:val="28"/>
                <w:szCs w:val="28"/>
                <w:highlight w:val="none"/>
              </w:rPr>
            </w:pPr>
          </w:p>
        </w:tc>
        <w:tc>
          <w:tcPr>
            <w:tcW w:w="1270" w:type="dxa"/>
            <w:noWrap w:val="0"/>
            <w:vAlign w:val="top"/>
          </w:tcPr>
          <w:p w14:paraId="39E945CC">
            <w:pPr>
              <w:pStyle w:val="4"/>
              <w:ind w:firstLine="0"/>
              <w:jc w:val="left"/>
              <w:rPr>
                <w:rFonts w:hint="eastAsia" w:ascii="宋体" w:hAnsi="宋体"/>
                <w:b/>
                <w:color w:val="auto"/>
                <w:sz w:val="28"/>
                <w:szCs w:val="28"/>
                <w:highlight w:val="none"/>
              </w:rPr>
            </w:pPr>
          </w:p>
        </w:tc>
      </w:tr>
      <w:tr w14:paraId="2CBCAD2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817" w:type="dxa"/>
            <w:noWrap w:val="0"/>
            <w:vAlign w:val="top"/>
          </w:tcPr>
          <w:p w14:paraId="5586B66C">
            <w:pPr>
              <w:pStyle w:val="4"/>
              <w:ind w:firstLine="0"/>
              <w:jc w:val="left"/>
              <w:rPr>
                <w:rFonts w:hint="eastAsia" w:ascii="宋体" w:hAnsi="宋体"/>
                <w:b/>
                <w:color w:val="auto"/>
                <w:sz w:val="28"/>
                <w:szCs w:val="28"/>
                <w:highlight w:val="none"/>
              </w:rPr>
            </w:pPr>
          </w:p>
        </w:tc>
        <w:tc>
          <w:tcPr>
            <w:tcW w:w="2241" w:type="dxa"/>
            <w:noWrap w:val="0"/>
            <w:vAlign w:val="top"/>
          </w:tcPr>
          <w:p w14:paraId="7CFBB02C">
            <w:pPr>
              <w:pStyle w:val="4"/>
              <w:ind w:firstLine="0"/>
              <w:jc w:val="left"/>
              <w:rPr>
                <w:rFonts w:hint="eastAsia" w:ascii="宋体" w:hAnsi="宋体"/>
                <w:b/>
                <w:color w:val="auto"/>
                <w:sz w:val="28"/>
                <w:szCs w:val="28"/>
                <w:highlight w:val="none"/>
              </w:rPr>
            </w:pPr>
          </w:p>
        </w:tc>
        <w:tc>
          <w:tcPr>
            <w:tcW w:w="1445" w:type="dxa"/>
            <w:noWrap w:val="0"/>
            <w:vAlign w:val="top"/>
          </w:tcPr>
          <w:p w14:paraId="71FEE59A">
            <w:pPr>
              <w:pStyle w:val="4"/>
              <w:ind w:firstLine="0"/>
              <w:jc w:val="left"/>
              <w:rPr>
                <w:rFonts w:hint="eastAsia" w:ascii="宋体" w:hAnsi="宋体"/>
                <w:b/>
                <w:color w:val="auto"/>
                <w:sz w:val="28"/>
                <w:szCs w:val="28"/>
                <w:highlight w:val="none"/>
              </w:rPr>
            </w:pPr>
          </w:p>
        </w:tc>
        <w:tc>
          <w:tcPr>
            <w:tcW w:w="992" w:type="dxa"/>
            <w:noWrap w:val="0"/>
            <w:vAlign w:val="top"/>
          </w:tcPr>
          <w:p w14:paraId="108A19DF">
            <w:pPr>
              <w:pStyle w:val="4"/>
              <w:ind w:firstLine="0"/>
              <w:jc w:val="left"/>
              <w:rPr>
                <w:rFonts w:hint="eastAsia" w:ascii="宋体" w:hAnsi="宋体"/>
                <w:b/>
                <w:color w:val="auto"/>
                <w:sz w:val="28"/>
                <w:szCs w:val="28"/>
                <w:highlight w:val="none"/>
              </w:rPr>
            </w:pPr>
          </w:p>
        </w:tc>
        <w:tc>
          <w:tcPr>
            <w:tcW w:w="2410" w:type="dxa"/>
            <w:noWrap w:val="0"/>
            <w:vAlign w:val="top"/>
          </w:tcPr>
          <w:p w14:paraId="348FCF09">
            <w:pPr>
              <w:pStyle w:val="4"/>
              <w:ind w:firstLine="0"/>
              <w:jc w:val="left"/>
              <w:rPr>
                <w:rFonts w:hint="eastAsia" w:ascii="宋体" w:hAnsi="宋体"/>
                <w:b/>
                <w:color w:val="auto"/>
                <w:sz w:val="28"/>
                <w:szCs w:val="28"/>
                <w:highlight w:val="none"/>
              </w:rPr>
            </w:pPr>
          </w:p>
        </w:tc>
        <w:tc>
          <w:tcPr>
            <w:tcW w:w="1270" w:type="dxa"/>
            <w:noWrap w:val="0"/>
            <w:vAlign w:val="top"/>
          </w:tcPr>
          <w:p w14:paraId="322B908D">
            <w:pPr>
              <w:pStyle w:val="4"/>
              <w:ind w:firstLine="0"/>
              <w:jc w:val="left"/>
              <w:rPr>
                <w:rFonts w:hint="eastAsia" w:ascii="宋体" w:hAnsi="宋体"/>
                <w:b/>
                <w:color w:val="auto"/>
                <w:sz w:val="28"/>
                <w:szCs w:val="28"/>
                <w:highlight w:val="none"/>
              </w:rPr>
            </w:pPr>
          </w:p>
        </w:tc>
      </w:tr>
      <w:tr w14:paraId="143813F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817" w:type="dxa"/>
            <w:noWrap w:val="0"/>
            <w:vAlign w:val="top"/>
          </w:tcPr>
          <w:p w14:paraId="6D73719C">
            <w:pPr>
              <w:pStyle w:val="4"/>
              <w:ind w:firstLine="0"/>
              <w:jc w:val="left"/>
              <w:rPr>
                <w:rFonts w:hint="eastAsia" w:ascii="宋体" w:hAnsi="宋体"/>
                <w:b/>
                <w:color w:val="auto"/>
                <w:sz w:val="28"/>
                <w:szCs w:val="28"/>
                <w:highlight w:val="none"/>
              </w:rPr>
            </w:pPr>
          </w:p>
        </w:tc>
        <w:tc>
          <w:tcPr>
            <w:tcW w:w="2241" w:type="dxa"/>
            <w:noWrap w:val="0"/>
            <w:vAlign w:val="top"/>
          </w:tcPr>
          <w:p w14:paraId="10FFF17C">
            <w:pPr>
              <w:pStyle w:val="4"/>
              <w:ind w:firstLine="0"/>
              <w:jc w:val="left"/>
              <w:rPr>
                <w:rFonts w:hint="eastAsia" w:ascii="宋体" w:hAnsi="宋体"/>
                <w:b/>
                <w:color w:val="auto"/>
                <w:sz w:val="28"/>
                <w:szCs w:val="28"/>
                <w:highlight w:val="none"/>
              </w:rPr>
            </w:pPr>
          </w:p>
        </w:tc>
        <w:tc>
          <w:tcPr>
            <w:tcW w:w="1445" w:type="dxa"/>
            <w:noWrap w:val="0"/>
            <w:vAlign w:val="top"/>
          </w:tcPr>
          <w:p w14:paraId="1688A582">
            <w:pPr>
              <w:pStyle w:val="4"/>
              <w:ind w:firstLine="0"/>
              <w:jc w:val="left"/>
              <w:rPr>
                <w:rFonts w:hint="eastAsia" w:ascii="宋体" w:hAnsi="宋体"/>
                <w:b/>
                <w:color w:val="auto"/>
                <w:sz w:val="28"/>
                <w:szCs w:val="28"/>
                <w:highlight w:val="none"/>
              </w:rPr>
            </w:pPr>
          </w:p>
        </w:tc>
        <w:tc>
          <w:tcPr>
            <w:tcW w:w="992" w:type="dxa"/>
            <w:noWrap w:val="0"/>
            <w:vAlign w:val="top"/>
          </w:tcPr>
          <w:p w14:paraId="04F0FF6A">
            <w:pPr>
              <w:pStyle w:val="4"/>
              <w:ind w:firstLine="0"/>
              <w:jc w:val="left"/>
              <w:rPr>
                <w:rFonts w:hint="eastAsia" w:ascii="宋体" w:hAnsi="宋体"/>
                <w:b/>
                <w:color w:val="auto"/>
                <w:sz w:val="28"/>
                <w:szCs w:val="28"/>
                <w:highlight w:val="none"/>
              </w:rPr>
            </w:pPr>
          </w:p>
        </w:tc>
        <w:tc>
          <w:tcPr>
            <w:tcW w:w="2410" w:type="dxa"/>
            <w:noWrap w:val="0"/>
            <w:vAlign w:val="top"/>
          </w:tcPr>
          <w:p w14:paraId="0C900961">
            <w:pPr>
              <w:pStyle w:val="4"/>
              <w:ind w:firstLine="0"/>
              <w:jc w:val="left"/>
              <w:rPr>
                <w:rFonts w:hint="eastAsia" w:ascii="宋体" w:hAnsi="宋体"/>
                <w:b/>
                <w:color w:val="auto"/>
                <w:sz w:val="28"/>
                <w:szCs w:val="28"/>
                <w:highlight w:val="none"/>
              </w:rPr>
            </w:pPr>
          </w:p>
        </w:tc>
        <w:tc>
          <w:tcPr>
            <w:tcW w:w="1270" w:type="dxa"/>
            <w:noWrap w:val="0"/>
            <w:vAlign w:val="top"/>
          </w:tcPr>
          <w:p w14:paraId="322F352C">
            <w:pPr>
              <w:pStyle w:val="4"/>
              <w:ind w:firstLine="0"/>
              <w:jc w:val="left"/>
              <w:rPr>
                <w:rFonts w:hint="eastAsia" w:ascii="宋体" w:hAnsi="宋体"/>
                <w:b/>
                <w:color w:val="auto"/>
                <w:sz w:val="28"/>
                <w:szCs w:val="28"/>
                <w:highlight w:val="none"/>
              </w:rPr>
            </w:pPr>
          </w:p>
        </w:tc>
      </w:tr>
      <w:tr w14:paraId="7DF35DD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817" w:type="dxa"/>
            <w:noWrap w:val="0"/>
            <w:vAlign w:val="top"/>
          </w:tcPr>
          <w:p w14:paraId="7D606B36">
            <w:pPr>
              <w:pStyle w:val="4"/>
              <w:ind w:firstLine="0"/>
              <w:jc w:val="left"/>
              <w:rPr>
                <w:rFonts w:hint="eastAsia" w:ascii="宋体" w:hAnsi="宋体"/>
                <w:b/>
                <w:color w:val="auto"/>
                <w:sz w:val="28"/>
                <w:szCs w:val="28"/>
                <w:highlight w:val="none"/>
              </w:rPr>
            </w:pPr>
          </w:p>
        </w:tc>
        <w:tc>
          <w:tcPr>
            <w:tcW w:w="2241" w:type="dxa"/>
            <w:noWrap w:val="0"/>
            <w:vAlign w:val="top"/>
          </w:tcPr>
          <w:p w14:paraId="31597C8A">
            <w:pPr>
              <w:pStyle w:val="4"/>
              <w:ind w:firstLine="0"/>
              <w:jc w:val="left"/>
              <w:rPr>
                <w:rFonts w:hint="eastAsia" w:ascii="宋体" w:hAnsi="宋体"/>
                <w:b/>
                <w:color w:val="auto"/>
                <w:sz w:val="28"/>
                <w:szCs w:val="28"/>
                <w:highlight w:val="none"/>
              </w:rPr>
            </w:pPr>
          </w:p>
        </w:tc>
        <w:tc>
          <w:tcPr>
            <w:tcW w:w="1445" w:type="dxa"/>
            <w:noWrap w:val="0"/>
            <w:vAlign w:val="top"/>
          </w:tcPr>
          <w:p w14:paraId="79C28251">
            <w:pPr>
              <w:pStyle w:val="4"/>
              <w:ind w:firstLine="0"/>
              <w:jc w:val="left"/>
              <w:rPr>
                <w:rFonts w:hint="eastAsia" w:ascii="宋体" w:hAnsi="宋体"/>
                <w:b/>
                <w:color w:val="auto"/>
                <w:sz w:val="28"/>
                <w:szCs w:val="28"/>
                <w:highlight w:val="none"/>
              </w:rPr>
            </w:pPr>
          </w:p>
        </w:tc>
        <w:tc>
          <w:tcPr>
            <w:tcW w:w="992" w:type="dxa"/>
            <w:noWrap w:val="0"/>
            <w:vAlign w:val="top"/>
          </w:tcPr>
          <w:p w14:paraId="370A0213">
            <w:pPr>
              <w:pStyle w:val="4"/>
              <w:ind w:firstLine="0"/>
              <w:jc w:val="left"/>
              <w:rPr>
                <w:rFonts w:hint="eastAsia" w:ascii="宋体" w:hAnsi="宋体"/>
                <w:b/>
                <w:color w:val="auto"/>
                <w:sz w:val="28"/>
                <w:szCs w:val="28"/>
                <w:highlight w:val="none"/>
              </w:rPr>
            </w:pPr>
          </w:p>
        </w:tc>
        <w:tc>
          <w:tcPr>
            <w:tcW w:w="2410" w:type="dxa"/>
            <w:noWrap w:val="0"/>
            <w:vAlign w:val="top"/>
          </w:tcPr>
          <w:p w14:paraId="01DD842D">
            <w:pPr>
              <w:pStyle w:val="4"/>
              <w:ind w:firstLine="0"/>
              <w:jc w:val="left"/>
              <w:rPr>
                <w:rFonts w:hint="eastAsia" w:ascii="宋体" w:hAnsi="宋体"/>
                <w:b/>
                <w:color w:val="auto"/>
                <w:sz w:val="28"/>
                <w:szCs w:val="28"/>
                <w:highlight w:val="none"/>
              </w:rPr>
            </w:pPr>
          </w:p>
        </w:tc>
        <w:tc>
          <w:tcPr>
            <w:tcW w:w="1270" w:type="dxa"/>
            <w:noWrap w:val="0"/>
            <w:vAlign w:val="top"/>
          </w:tcPr>
          <w:p w14:paraId="22C493A0">
            <w:pPr>
              <w:pStyle w:val="4"/>
              <w:ind w:firstLine="0"/>
              <w:jc w:val="left"/>
              <w:rPr>
                <w:rFonts w:hint="eastAsia" w:ascii="宋体" w:hAnsi="宋体"/>
                <w:b/>
                <w:color w:val="auto"/>
                <w:sz w:val="28"/>
                <w:szCs w:val="28"/>
                <w:highlight w:val="none"/>
              </w:rPr>
            </w:pPr>
          </w:p>
        </w:tc>
      </w:tr>
      <w:tr w14:paraId="760F7E0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817" w:type="dxa"/>
            <w:noWrap w:val="0"/>
            <w:vAlign w:val="top"/>
          </w:tcPr>
          <w:p w14:paraId="59EEA11C">
            <w:pPr>
              <w:pStyle w:val="4"/>
              <w:ind w:firstLine="0"/>
              <w:jc w:val="left"/>
              <w:rPr>
                <w:rFonts w:hint="eastAsia" w:ascii="宋体" w:hAnsi="宋体"/>
                <w:b/>
                <w:color w:val="auto"/>
                <w:sz w:val="28"/>
                <w:szCs w:val="28"/>
                <w:highlight w:val="none"/>
              </w:rPr>
            </w:pPr>
          </w:p>
        </w:tc>
        <w:tc>
          <w:tcPr>
            <w:tcW w:w="2241" w:type="dxa"/>
            <w:noWrap w:val="0"/>
            <w:vAlign w:val="top"/>
          </w:tcPr>
          <w:p w14:paraId="7FD99F26">
            <w:pPr>
              <w:pStyle w:val="4"/>
              <w:ind w:firstLine="0"/>
              <w:jc w:val="left"/>
              <w:rPr>
                <w:rFonts w:hint="eastAsia" w:ascii="宋体" w:hAnsi="宋体"/>
                <w:b/>
                <w:color w:val="auto"/>
                <w:sz w:val="28"/>
                <w:szCs w:val="28"/>
                <w:highlight w:val="none"/>
              </w:rPr>
            </w:pPr>
          </w:p>
        </w:tc>
        <w:tc>
          <w:tcPr>
            <w:tcW w:w="1445" w:type="dxa"/>
            <w:noWrap w:val="0"/>
            <w:vAlign w:val="top"/>
          </w:tcPr>
          <w:p w14:paraId="111A90A0">
            <w:pPr>
              <w:pStyle w:val="4"/>
              <w:ind w:firstLine="0"/>
              <w:jc w:val="left"/>
              <w:rPr>
                <w:rFonts w:hint="eastAsia" w:ascii="宋体" w:hAnsi="宋体"/>
                <w:b/>
                <w:color w:val="auto"/>
                <w:sz w:val="28"/>
                <w:szCs w:val="28"/>
                <w:highlight w:val="none"/>
              </w:rPr>
            </w:pPr>
          </w:p>
        </w:tc>
        <w:tc>
          <w:tcPr>
            <w:tcW w:w="992" w:type="dxa"/>
            <w:noWrap w:val="0"/>
            <w:vAlign w:val="top"/>
          </w:tcPr>
          <w:p w14:paraId="69E56F73">
            <w:pPr>
              <w:pStyle w:val="4"/>
              <w:ind w:firstLine="0"/>
              <w:jc w:val="left"/>
              <w:rPr>
                <w:rFonts w:hint="eastAsia" w:ascii="宋体" w:hAnsi="宋体"/>
                <w:b/>
                <w:color w:val="auto"/>
                <w:sz w:val="28"/>
                <w:szCs w:val="28"/>
                <w:highlight w:val="none"/>
              </w:rPr>
            </w:pPr>
          </w:p>
        </w:tc>
        <w:tc>
          <w:tcPr>
            <w:tcW w:w="2410" w:type="dxa"/>
            <w:noWrap w:val="0"/>
            <w:vAlign w:val="top"/>
          </w:tcPr>
          <w:p w14:paraId="560B1BE3">
            <w:pPr>
              <w:pStyle w:val="4"/>
              <w:ind w:firstLine="0"/>
              <w:jc w:val="left"/>
              <w:rPr>
                <w:rFonts w:hint="eastAsia" w:ascii="宋体" w:hAnsi="宋体"/>
                <w:b/>
                <w:color w:val="auto"/>
                <w:sz w:val="28"/>
                <w:szCs w:val="28"/>
                <w:highlight w:val="none"/>
              </w:rPr>
            </w:pPr>
          </w:p>
        </w:tc>
        <w:tc>
          <w:tcPr>
            <w:tcW w:w="1270" w:type="dxa"/>
            <w:noWrap w:val="0"/>
            <w:vAlign w:val="top"/>
          </w:tcPr>
          <w:p w14:paraId="408892C6">
            <w:pPr>
              <w:pStyle w:val="4"/>
              <w:ind w:firstLine="0"/>
              <w:jc w:val="left"/>
              <w:rPr>
                <w:rFonts w:hint="eastAsia" w:ascii="宋体" w:hAnsi="宋体"/>
                <w:b/>
                <w:color w:val="auto"/>
                <w:sz w:val="28"/>
                <w:szCs w:val="28"/>
                <w:highlight w:val="none"/>
              </w:rPr>
            </w:pPr>
          </w:p>
        </w:tc>
      </w:tr>
      <w:tr w14:paraId="5C653E6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817" w:type="dxa"/>
            <w:noWrap w:val="0"/>
            <w:vAlign w:val="top"/>
          </w:tcPr>
          <w:p w14:paraId="5DDCDAF3">
            <w:pPr>
              <w:pStyle w:val="4"/>
              <w:ind w:firstLine="0"/>
              <w:jc w:val="left"/>
              <w:rPr>
                <w:rFonts w:hint="eastAsia" w:ascii="宋体" w:hAnsi="宋体"/>
                <w:b/>
                <w:color w:val="auto"/>
                <w:sz w:val="28"/>
                <w:szCs w:val="28"/>
                <w:highlight w:val="none"/>
              </w:rPr>
            </w:pPr>
          </w:p>
        </w:tc>
        <w:tc>
          <w:tcPr>
            <w:tcW w:w="2241" w:type="dxa"/>
            <w:noWrap w:val="0"/>
            <w:vAlign w:val="top"/>
          </w:tcPr>
          <w:p w14:paraId="4C8A04FA">
            <w:pPr>
              <w:pStyle w:val="4"/>
              <w:ind w:firstLine="0"/>
              <w:jc w:val="left"/>
              <w:rPr>
                <w:rFonts w:hint="eastAsia" w:ascii="宋体" w:hAnsi="宋体"/>
                <w:b/>
                <w:color w:val="auto"/>
                <w:sz w:val="28"/>
                <w:szCs w:val="28"/>
                <w:highlight w:val="none"/>
              </w:rPr>
            </w:pPr>
          </w:p>
        </w:tc>
        <w:tc>
          <w:tcPr>
            <w:tcW w:w="1445" w:type="dxa"/>
            <w:noWrap w:val="0"/>
            <w:vAlign w:val="top"/>
          </w:tcPr>
          <w:p w14:paraId="4A5791E2">
            <w:pPr>
              <w:pStyle w:val="4"/>
              <w:ind w:firstLine="0"/>
              <w:jc w:val="left"/>
              <w:rPr>
                <w:rFonts w:hint="eastAsia" w:ascii="宋体" w:hAnsi="宋体"/>
                <w:b/>
                <w:color w:val="auto"/>
                <w:sz w:val="28"/>
                <w:szCs w:val="28"/>
                <w:highlight w:val="none"/>
              </w:rPr>
            </w:pPr>
          </w:p>
        </w:tc>
        <w:tc>
          <w:tcPr>
            <w:tcW w:w="992" w:type="dxa"/>
            <w:noWrap w:val="0"/>
            <w:vAlign w:val="top"/>
          </w:tcPr>
          <w:p w14:paraId="350A07C8">
            <w:pPr>
              <w:pStyle w:val="4"/>
              <w:ind w:firstLine="0"/>
              <w:jc w:val="left"/>
              <w:rPr>
                <w:rFonts w:hint="eastAsia" w:ascii="宋体" w:hAnsi="宋体"/>
                <w:b/>
                <w:color w:val="auto"/>
                <w:sz w:val="28"/>
                <w:szCs w:val="28"/>
                <w:highlight w:val="none"/>
              </w:rPr>
            </w:pPr>
          </w:p>
        </w:tc>
        <w:tc>
          <w:tcPr>
            <w:tcW w:w="2410" w:type="dxa"/>
            <w:noWrap w:val="0"/>
            <w:vAlign w:val="top"/>
          </w:tcPr>
          <w:p w14:paraId="094F9A1B">
            <w:pPr>
              <w:pStyle w:val="4"/>
              <w:ind w:firstLine="0"/>
              <w:jc w:val="left"/>
              <w:rPr>
                <w:rFonts w:hint="eastAsia" w:ascii="宋体" w:hAnsi="宋体"/>
                <w:b/>
                <w:color w:val="auto"/>
                <w:sz w:val="28"/>
                <w:szCs w:val="28"/>
                <w:highlight w:val="none"/>
              </w:rPr>
            </w:pPr>
          </w:p>
        </w:tc>
        <w:tc>
          <w:tcPr>
            <w:tcW w:w="1270" w:type="dxa"/>
            <w:noWrap w:val="0"/>
            <w:vAlign w:val="top"/>
          </w:tcPr>
          <w:p w14:paraId="44989BB4">
            <w:pPr>
              <w:pStyle w:val="4"/>
              <w:ind w:firstLine="0"/>
              <w:jc w:val="left"/>
              <w:rPr>
                <w:rFonts w:hint="eastAsia" w:ascii="宋体" w:hAnsi="宋体"/>
                <w:b/>
                <w:color w:val="auto"/>
                <w:sz w:val="28"/>
                <w:szCs w:val="28"/>
                <w:highlight w:val="none"/>
              </w:rPr>
            </w:pPr>
          </w:p>
        </w:tc>
      </w:tr>
      <w:tr w14:paraId="619B023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817" w:type="dxa"/>
            <w:noWrap w:val="0"/>
            <w:vAlign w:val="top"/>
          </w:tcPr>
          <w:p w14:paraId="7FA4B2C9">
            <w:pPr>
              <w:pStyle w:val="4"/>
              <w:ind w:firstLine="0"/>
              <w:jc w:val="left"/>
              <w:rPr>
                <w:rFonts w:hint="eastAsia" w:ascii="宋体" w:hAnsi="宋体"/>
                <w:b/>
                <w:color w:val="auto"/>
                <w:sz w:val="28"/>
                <w:szCs w:val="28"/>
                <w:highlight w:val="none"/>
              </w:rPr>
            </w:pPr>
          </w:p>
        </w:tc>
        <w:tc>
          <w:tcPr>
            <w:tcW w:w="2241" w:type="dxa"/>
            <w:noWrap w:val="0"/>
            <w:vAlign w:val="top"/>
          </w:tcPr>
          <w:p w14:paraId="326C3951">
            <w:pPr>
              <w:pStyle w:val="4"/>
              <w:ind w:firstLine="0"/>
              <w:jc w:val="left"/>
              <w:rPr>
                <w:rFonts w:hint="eastAsia" w:ascii="宋体" w:hAnsi="宋体"/>
                <w:b/>
                <w:color w:val="auto"/>
                <w:sz w:val="28"/>
                <w:szCs w:val="28"/>
                <w:highlight w:val="none"/>
              </w:rPr>
            </w:pPr>
          </w:p>
        </w:tc>
        <w:tc>
          <w:tcPr>
            <w:tcW w:w="1445" w:type="dxa"/>
            <w:noWrap w:val="0"/>
            <w:vAlign w:val="top"/>
          </w:tcPr>
          <w:p w14:paraId="430975F0">
            <w:pPr>
              <w:pStyle w:val="4"/>
              <w:ind w:firstLine="0"/>
              <w:jc w:val="left"/>
              <w:rPr>
                <w:rFonts w:hint="eastAsia" w:ascii="宋体" w:hAnsi="宋体"/>
                <w:b/>
                <w:color w:val="auto"/>
                <w:sz w:val="28"/>
                <w:szCs w:val="28"/>
                <w:highlight w:val="none"/>
              </w:rPr>
            </w:pPr>
          </w:p>
        </w:tc>
        <w:tc>
          <w:tcPr>
            <w:tcW w:w="992" w:type="dxa"/>
            <w:noWrap w:val="0"/>
            <w:vAlign w:val="top"/>
          </w:tcPr>
          <w:p w14:paraId="6A10C89F">
            <w:pPr>
              <w:pStyle w:val="4"/>
              <w:ind w:firstLine="0"/>
              <w:jc w:val="left"/>
              <w:rPr>
                <w:rFonts w:hint="eastAsia" w:ascii="宋体" w:hAnsi="宋体"/>
                <w:b/>
                <w:color w:val="auto"/>
                <w:sz w:val="28"/>
                <w:szCs w:val="28"/>
                <w:highlight w:val="none"/>
              </w:rPr>
            </w:pPr>
          </w:p>
        </w:tc>
        <w:tc>
          <w:tcPr>
            <w:tcW w:w="2410" w:type="dxa"/>
            <w:noWrap w:val="0"/>
            <w:vAlign w:val="top"/>
          </w:tcPr>
          <w:p w14:paraId="6565EFE3">
            <w:pPr>
              <w:pStyle w:val="4"/>
              <w:ind w:firstLine="0"/>
              <w:jc w:val="left"/>
              <w:rPr>
                <w:rFonts w:hint="eastAsia" w:ascii="宋体" w:hAnsi="宋体"/>
                <w:b/>
                <w:color w:val="auto"/>
                <w:sz w:val="28"/>
                <w:szCs w:val="28"/>
                <w:highlight w:val="none"/>
              </w:rPr>
            </w:pPr>
          </w:p>
        </w:tc>
        <w:tc>
          <w:tcPr>
            <w:tcW w:w="1270" w:type="dxa"/>
            <w:noWrap w:val="0"/>
            <w:vAlign w:val="top"/>
          </w:tcPr>
          <w:p w14:paraId="17F8C76D">
            <w:pPr>
              <w:pStyle w:val="4"/>
              <w:ind w:firstLine="0"/>
              <w:jc w:val="left"/>
              <w:rPr>
                <w:rFonts w:hint="eastAsia" w:ascii="宋体" w:hAnsi="宋体"/>
                <w:b/>
                <w:color w:val="auto"/>
                <w:sz w:val="28"/>
                <w:szCs w:val="28"/>
                <w:highlight w:val="none"/>
              </w:rPr>
            </w:pPr>
          </w:p>
        </w:tc>
      </w:tr>
      <w:tr w14:paraId="0111423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817" w:type="dxa"/>
            <w:noWrap w:val="0"/>
            <w:vAlign w:val="top"/>
          </w:tcPr>
          <w:p w14:paraId="4E514681">
            <w:pPr>
              <w:pStyle w:val="4"/>
              <w:ind w:firstLine="0"/>
              <w:jc w:val="left"/>
              <w:rPr>
                <w:rFonts w:hint="eastAsia" w:ascii="宋体" w:hAnsi="宋体"/>
                <w:b/>
                <w:color w:val="auto"/>
                <w:sz w:val="28"/>
                <w:szCs w:val="28"/>
                <w:highlight w:val="none"/>
              </w:rPr>
            </w:pPr>
          </w:p>
        </w:tc>
        <w:tc>
          <w:tcPr>
            <w:tcW w:w="2241" w:type="dxa"/>
            <w:noWrap w:val="0"/>
            <w:vAlign w:val="top"/>
          </w:tcPr>
          <w:p w14:paraId="0D4FD5B9">
            <w:pPr>
              <w:pStyle w:val="4"/>
              <w:ind w:firstLine="0"/>
              <w:jc w:val="left"/>
              <w:rPr>
                <w:rFonts w:hint="eastAsia" w:ascii="宋体" w:hAnsi="宋体"/>
                <w:b/>
                <w:color w:val="auto"/>
                <w:sz w:val="28"/>
                <w:szCs w:val="28"/>
                <w:highlight w:val="none"/>
              </w:rPr>
            </w:pPr>
          </w:p>
        </w:tc>
        <w:tc>
          <w:tcPr>
            <w:tcW w:w="1445" w:type="dxa"/>
            <w:noWrap w:val="0"/>
            <w:vAlign w:val="top"/>
          </w:tcPr>
          <w:p w14:paraId="527FFD65">
            <w:pPr>
              <w:pStyle w:val="4"/>
              <w:ind w:firstLine="0"/>
              <w:jc w:val="left"/>
              <w:rPr>
                <w:rFonts w:hint="eastAsia" w:ascii="宋体" w:hAnsi="宋体"/>
                <w:b/>
                <w:color w:val="auto"/>
                <w:sz w:val="28"/>
                <w:szCs w:val="28"/>
                <w:highlight w:val="none"/>
              </w:rPr>
            </w:pPr>
          </w:p>
        </w:tc>
        <w:tc>
          <w:tcPr>
            <w:tcW w:w="992" w:type="dxa"/>
            <w:noWrap w:val="0"/>
            <w:vAlign w:val="top"/>
          </w:tcPr>
          <w:p w14:paraId="2076D197">
            <w:pPr>
              <w:pStyle w:val="4"/>
              <w:ind w:firstLine="0"/>
              <w:jc w:val="left"/>
              <w:rPr>
                <w:rFonts w:hint="eastAsia" w:ascii="宋体" w:hAnsi="宋体"/>
                <w:b/>
                <w:color w:val="auto"/>
                <w:sz w:val="28"/>
                <w:szCs w:val="28"/>
                <w:highlight w:val="none"/>
              </w:rPr>
            </w:pPr>
          </w:p>
        </w:tc>
        <w:tc>
          <w:tcPr>
            <w:tcW w:w="2410" w:type="dxa"/>
            <w:noWrap w:val="0"/>
            <w:vAlign w:val="top"/>
          </w:tcPr>
          <w:p w14:paraId="6E3E8C6B">
            <w:pPr>
              <w:pStyle w:val="4"/>
              <w:ind w:firstLine="0"/>
              <w:jc w:val="left"/>
              <w:rPr>
                <w:rFonts w:hint="eastAsia" w:ascii="宋体" w:hAnsi="宋体"/>
                <w:b/>
                <w:color w:val="auto"/>
                <w:sz w:val="28"/>
                <w:szCs w:val="28"/>
                <w:highlight w:val="none"/>
              </w:rPr>
            </w:pPr>
          </w:p>
        </w:tc>
        <w:tc>
          <w:tcPr>
            <w:tcW w:w="1270" w:type="dxa"/>
            <w:noWrap w:val="0"/>
            <w:vAlign w:val="top"/>
          </w:tcPr>
          <w:p w14:paraId="706EBCD2">
            <w:pPr>
              <w:pStyle w:val="4"/>
              <w:ind w:firstLine="0"/>
              <w:jc w:val="left"/>
              <w:rPr>
                <w:rFonts w:hint="eastAsia" w:ascii="宋体" w:hAnsi="宋体"/>
                <w:b/>
                <w:color w:val="auto"/>
                <w:sz w:val="28"/>
                <w:szCs w:val="28"/>
                <w:highlight w:val="none"/>
              </w:rPr>
            </w:pPr>
          </w:p>
        </w:tc>
      </w:tr>
      <w:tr w14:paraId="43DEB1D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817" w:type="dxa"/>
            <w:noWrap w:val="0"/>
            <w:vAlign w:val="top"/>
          </w:tcPr>
          <w:p w14:paraId="5C85537E">
            <w:pPr>
              <w:pStyle w:val="4"/>
              <w:ind w:firstLine="0"/>
              <w:jc w:val="left"/>
              <w:rPr>
                <w:rFonts w:hint="eastAsia" w:ascii="宋体" w:hAnsi="宋体"/>
                <w:b/>
                <w:color w:val="auto"/>
                <w:sz w:val="28"/>
                <w:szCs w:val="28"/>
                <w:highlight w:val="none"/>
              </w:rPr>
            </w:pPr>
          </w:p>
        </w:tc>
        <w:tc>
          <w:tcPr>
            <w:tcW w:w="2241" w:type="dxa"/>
            <w:noWrap w:val="0"/>
            <w:vAlign w:val="top"/>
          </w:tcPr>
          <w:p w14:paraId="423D5810">
            <w:pPr>
              <w:pStyle w:val="4"/>
              <w:ind w:firstLine="0"/>
              <w:jc w:val="left"/>
              <w:rPr>
                <w:rFonts w:hint="eastAsia" w:ascii="宋体" w:hAnsi="宋体"/>
                <w:b/>
                <w:color w:val="auto"/>
                <w:sz w:val="28"/>
                <w:szCs w:val="28"/>
                <w:highlight w:val="none"/>
              </w:rPr>
            </w:pPr>
          </w:p>
        </w:tc>
        <w:tc>
          <w:tcPr>
            <w:tcW w:w="1445" w:type="dxa"/>
            <w:noWrap w:val="0"/>
            <w:vAlign w:val="top"/>
          </w:tcPr>
          <w:p w14:paraId="7F3F99C4">
            <w:pPr>
              <w:pStyle w:val="4"/>
              <w:ind w:firstLine="0"/>
              <w:jc w:val="left"/>
              <w:rPr>
                <w:rFonts w:hint="eastAsia" w:ascii="宋体" w:hAnsi="宋体"/>
                <w:b/>
                <w:color w:val="auto"/>
                <w:sz w:val="28"/>
                <w:szCs w:val="28"/>
                <w:highlight w:val="none"/>
              </w:rPr>
            </w:pPr>
          </w:p>
        </w:tc>
        <w:tc>
          <w:tcPr>
            <w:tcW w:w="992" w:type="dxa"/>
            <w:noWrap w:val="0"/>
            <w:vAlign w:val="top"/>
          </w:tcPr>
          <w:p w14:paraId="69FA2B57">
            <w:pPr>
              <w:pStyle w:val="4"/>
              <w:ind w:firstLine="0"/>
              <w:jc w:val="left"/>
              <w:rPr>
                <w:rFonts w:hint="eastAsia" w:ascii="宋体" w:hAnsi="宋体"/>
                <w:b/>
                <w:color w:val="auto"/>
                <w:sz w:val="28"/>
                <w:szCs w:val="28"/>
                <w:highlight w:val="none"/>
              </w:rPr>
            </w:pPr>
          </w:p>
        </w:tc>
        <w:tc>
          <w:tcPr>
            <w:tcW w:w="2410" w:type="dxa"/>
            <w:noWrap w:val="0"/>
            <w:vAlign w:val="top"/>
          </w:tcPr>
          <w:p w14:paraId="4CF7F420">
            <w:pPr>
              <w:pStyle w:val="4"/>
              <w:ind w:firstLine="0"/>
              <w:jc w:val="left"/>
              <w:rPr>
                <w:rFonts w:hint="eastAsia" w:ascii="宋体" w:hAnsi="宋体"/>
                <w:b/>
                <w:color w:val="auto"/>
                <w:sz w:val="28"/>
                <w:szCs w:val="28"/>
                <w:highlight w:val="none"/>
              </w:rPr>
            </w:pPr>
          </w:p>
        </w:tc>
        <w:tc>
          <w:tcPr>
            <w:tcW w:w="1270" w:type="dxa"/>
            <w:noWrap w:val="0"/>
            <w:vAlign w:val="top"/>
          </w:tcPr>
          <w:p w14:paraId="4DC13043">
            <w:pPr>
              <w:pStyle w:val="4"/>
              <w:ind w:firstLine="0"/>
              <w:jc w:val="left"/>
              <w:rPr>
                <w:rFonts w:hint="eastAsia" w:ascii="宋体" w:hAnsi="宋体"/>
                <w:b/>
                <w:color w:val="auto"/>
                <w:sz w:val="28"/>
                <w:szCs w:val="28"/>
                <w:highlight w:val="none"/>
              </w:rPr>
            </w:pPr>
          </w:p>
        </w:tc>
      </w:tr>
      <w:tr w14:paraId="1B34CFB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817" w:type="dxa"/>
            <w:noWrap w:val="0"/>
            <w:vAlign w:val="top"/>
          </w:tcPr>
          <w:p w14:paraId="16FFCAE6">
            <w:pPr>
              <w:pStyle w:val="4"/>
              <w:ind w:firstLine="0"/>
              <w:jc w:val="left"/>
              <w:rPr>
                <w:rFonts w:hint="eastAsia" w:ascii="宋体" w:hAnsi="宋体"/>
                <w:b/>
                <w:color w:val="auto"/>
                <w:sz w:val="28"/>
                <w:szCs w:val="28"/>
                <w:highlight w:val="none"/>
              </w:rPr>
            </w:pPr>
          </w:p>
        </w:tc>
        <w:tc>
          <w:tcPr>
            <w:tcW w:w="2241" w:type="dxa"/>
            <w:noWrap w:val="0"/>
            <w:vAlign w:val="top"/>
          </w:tcPr>
          <w:p w14:paraId="4F77F8EA">
            <w:pPr>
              <w:pStyle w:val="4"/>
              <w:ind w:firstLine="0"/>
              <w:jc w:val="left"/>
              <w:rPr>
                <w:rFonts w:hint="eastAsia" w:ascii="宋体" w:hAnsi="宋体"/>
                <w:b/>
                <w:color w:val="auto"/>
                <w:sz w:val="28"/>
                <w:szCs w:val="28"/>
                <w:highlight w:val="none"/>
              </w:rPr>
            </w:pPr>
          </w:p>
        </w:tc>
        <w:tc>
          <w:tcPr>
            <w:tcW w:w="1445" w:type="dxa"/>
            <w:noWrap w:val="0"/>
            <w:vAlign w:val="top"/>
          </w:tcPr>
          <w:p w14:paraId="6B383F80">
            <w:pPr>
              <w:pStyle w:val="4"/>
              <w:ind w:firstLine="0"/>
              <w:jc w:val="left"/>
              <w:rPr>
                <w:rFonts w:hint="eastAsia" w:ascii="宋体" w:hAnsi="宋体"/>
                <w:b/>
                <w:color w:val="auto"/>
                <w:sz w:val="28"/>
                <w:szCs w:val="28"/>
                <w:highlight w:val="none"/>
              </w:rPr>
            </w:pPr>
          </w:p>
        </w:tc>
        <w:tc>
          <w:tcPr>
            <w:tcW w:w="992" w:type="dxa"/>
            <w:noWrap w:val="0"/>
            <w:vAlign w:val="top"/>
          </w:tcPr>
          <w:p w14:paraId="1DC13A69">
            <w:pPr>
              <w:pStyle w:val="4"/>
              <w:ind w:firstLine="0"/>
              <w:jc w:val="left"/>
              <w:rPr>
                <w:rFonts w:hint="eastAsia" w:ascii="宋体" w:hAnsi="宋体"/>
                <w:b/>
                <w:color w:val="auto"/>
                <w:sz w:val="28"/>
                <w:szCs w:val="28"/>
                <w:highlight w:val="none"/>
              </w:rPr>
            </w:pPr>
          </w:p>
        </w:tc>
        <w:tc>
          <w:tcPr>
            <w:tcW w:w="2410" w:type="dxa"/>
            <w:noWrap w:val="0"/>
            <w:vAlign w:val="top"/>
          </w:tcPr>
          <w:p w14:paraId="0337D88B">
            <w:pPr>
              <w:pStyle w:val="4"/>
              <w:ind w:firstLine="0"/>
              <w:jc w:val="left"/>
              <w:rPr>
                <w:rFonts w:hint="eastAsia" w:ascii="宋体" w:hAnsi="宋体"/>
                <w:b/>
                <w:color w:val="auto"/>
                <w:sz w:val="28"/>
                <w:szCs w:val="28"/>
                <w:highlight w:val="none"/>
              </w:rPr>
            </w:pPr>
          </w:p>
        </w:tc>
        <w:tc>
          <w:tcPr>
            <w:tcW w:w="1270" w:type="dxa"/>
            <w:noWrap w:val="0"/>
            <w:vAlign w:val="top"/>
          </w:tcPr>
          <w:p w14:paraId="620CAC71">
            <w:pPr>
              <w:pStyle w:val="4"/>
              <w:ind w:firstLine="0"/>
              <w:jc w:val="left"/>
              <w:rPr>
                <w:rFonts w:hint="eastAsia" w:ascii="宋体" w:hAnsi="宋体"/>
                <w:b/>
                <w:color w:val="auto"/>
                <w:sz w:val="28"/>
                <w:szCs w:val="28"/>
                <w:highlight w:val="none"/>
              </w:rPr>
            </w:pPr>
          </w:p>
        </w:tc>
      </w:tr>
      <w:tr w14:paraId="766158F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5" w:hRule="atLeast"/>
        </w:trPr>
        <w:tc>
          <w:tcPr>
            <w:tcW w:w="817" w:type="dxa"/>
            <w:noWrap w:val="0"/>
            <w:vAlign w:val="top"/>
          </w:tcPr>
          <w:p w14:paraId="0C8BB3BA">
            <w:pPr>
              <w:pStyle w:val="4"/>
              <w:ind w:firstLine="0"/>
              <w:jc w:val="left"/>
              <w:rPr>
                <w:rFonts w:hint="eastAsia" w:ascii="宋体" w:hAnsi="宋体"/>
                <w:b/>
                <w:color w:val="auto"/>
                <w:sz w:val="28"/>
                <w:szCs w:val="28"/>
                <w:highlight w:val="none"/>
              </w:rPr>
            </w:pPr>
          </w:p>
        </w:tc>
        <w:tc>
          <w:tcPr>
            <w:tcW w:w="2241" w:type="dxa"/>
            <w:noWrap w:val="0"/>
            <w:vAlign w:val="top"/>
          </w:tcPr>
          <w:p w14:paraId="3C48456A">
            <w:pPr>
              <w:pStyle w:val="4"/>
              <w:ind w:firstLine="0"/>
              <w:jc w:val="left"/>
              <w:rPr>
                <w:rFonts w:hint="eastAsia" w:ascii="宋体" w:hAnsi="宋体"/>
                <w:b/>
                <w:color w:val="auto"/>
                <w:sz w:val="28"/>
                <w:szCs w:val="28"/>
                <w:highlight w:val="none"/>
              </w:rPr>
            </w:pPr>
          </w:p>
        </w:tc>
        <w:tc>
          <w:tcPr>
            <w:tcW w:w="1445" w:type="dxa"/>
            <w:noWrap w:val="0"/>
            <w:vAlign w:val="top"/>
          </w:tcPr>
          <w:p w14:paraId="478DD116">
            <w:pPr>
              <w:pStyle w:val="4"/>
              <w:ind w:firstLine="0"/>
              <w:jc w:val="left"/>
              <w:rPr>
                <w:rFonts w:hint="eastAsia" w:ascii="宋体" w:hAnsi="宋体"/>
                <w:b/>
                <w:color w:val="auto"/>
                <w:sz w:val="28"/>
                <w:szCs w:val="28"/>
                <w:highlight w:val="none"/>
              </w:rPr>
            </w:pPr>
          </w:p>
        </w:tc>
        <w:tc>
          <w:tcPr>
            <w:tcW w:w="992" w:type="dxa"/>
            <w:noWrap w:val="0"/>
            <w:vAlign w:val="top"/>
          </w:tcPr>
          <w:p w14:paraId="418DFF46">
            <w:pPr>
              <w:pStyle w:val="4"/>
              <w:ind w:firstLine="0"/>
              <w:jc w:val="left"/>
              <w:rPr>
                <w:rFonts w:hint="eastAsia" w:ascii="宋体" w:hAnsi="宋体"/>
                <w:b/>
                <w:color w:val="auto"/>
                <w:sz w:val="28"/>
                <w:szCs w:val="28"/>
                <w:highlight w:val="none"/>
              </w:rPr>
            </w:pPr>
          </w:p>
        </w:tc>
        <w:tc>
          <w:tcPr>
            <w:tcW w:w="2410" w:type="dxa"/>
            <w:noWrap w:val="0"/>
            <w:vAlign w:val="top"/>
          </w:tcPr>
          <w:p w14:paraId="03185F44">
            <w:pPr>
              <w:pStyle w:val="4"/>
              <w:ind w:firstLine="0"/>
              <w:jc w:val="left"/>
              <w:rPr>
                <w:rFonts w:hint="eastAsia" w:ascii="宋体" w:hAnsi="宋体"/>
                <w:b/>
                <w:color w:val="auto"/>
                <w:sz w:val="28"/>
                <w:szCs w:val="28"/>
                <w:highlight w:val="none"/>
              </w:rPr>
            </w:pPr>
          </w:p>
        </w:tc>
        <w:tc>
          <w:tcPr>
            <w:tcW w:w="1270" w:type="dxa"/>
            <w:noWrap w:val="0"/>
            <w:vAlign w:val="top"/>
          </w:tcPr>
          <w:p w14:paraId="09AD99F4">
            <w:pPr>
              <w:pStyle w:val="4"/>
              <w:ind w:firstLine="0"/>
              <w:jc w:val="left"/>
              <w:rPr>
                <w:rFonts w:hint="eastAsia" w:ascii="宋体" w:hAnsi="宋体"/>
                <w:b/>
                <w:color w:val="auto"/>
                <w:sz w:val="28"/>
                <w:szCs w:val="28"/>
                <w:highlight w:val="none"/>
              </w:rPr>
            </w:pPr>
          </w:p>
        </w:tc>
      </w:tr>
    </w:tbl>
    <w:p w14:paraId="654F2EB8">
      <w:pPr>
        <w:adjustRightInd w:val="0"/>
        <w:spacing w:line="400" w:lineRule="exact"/>
        <w:ind w:firstLine="105" w:firstLineChars="50"/>
        <w:jc w:val="left"/>
        <w:rPr>
          <w:rFonts w:hint="eastAsia" w:ascii="楷体" w:hAnsi="楷体" w:eastAsia="楷体"/>
          <w:color w:val="auto"/>
          <w:szCs w:val="21"/>
          <w:highlight w:val="none"/>
        </w:rPr>
      </w:pPr>
      <w:r>
        <w:rPr>
          <w:rFonts w:hint="eastAsia" w:ascii="楷体" w:hAnsi="楷体" w:eastAsia="楷体"/>
          <w:color w:val="auto"/>
          <w:szCs w:val="21"/>
          <w:highlight w:val="none"/>
        </w:rPr>
        <w:t>说明：设备可以填写单台设备，也可以填写成套设备。</w:t>
      </w:r>
    </w:p>
    <w:p w14:paraId="6E65315C">
      <w:pPr>
        <w:adjustRightInd w:val="0"/>
        <w:spacing w:before="480" w:beforeLines="200" w:line="360" w:lineRule="auto"/>
        <w:ind w:firstLine="105" w:firstLineChars="50"/>
        <w:jc w:val="left"/>
        <w:rPr>
          <w:rFonts w:hint="eastAsia" w:ascii="宋体" w:hAnsi="宋体"/>
          <w:color w:val="auto"/>
          <w:szCs w:val="21"/>
          <w:highlight w:val="none"/>
        </w:rPr>
      </w:pPr>
      <w:r>
        <w:rPr>
          <w:rFonts w:hint="eastAsia" w:ascii="宋体" w:hAnsi="宋体"/>
          <w:color w:val="auto"/>
          <w:szCs w:val="21"/>
          <w:highlight w:val="none"/>
        </w:rPr>
        <w:t>投 标 人：</w:t>
      </w:r>
      <w:r>
        <w:rPr>
          <w:rFonts w:hint="eastAsia" w:ascii="宋体" w:hAnsi="宋体"/>
          <w:color w:val="auto"/>
          <w:szCs w:val="21"/>
          <w:highlight w:val="none"/>
          <w:u w:val="single"/>
        </w:rPr>
        <w:t xml:space="preserve">                       </w:t>
      </w:r>
      <w:r>
        <w:rPr>
          <w:rFonts w:hint="eastAsia" w:ascii="宋体" w:hAnsi="宋体"/>
          <w:color w:val="auto"/>
          <w:szCs w:val="21"/>
          <w:highlight w:val="none"/>
        </w:rPr>
        <w:t xml:space="preserve"> （盖单位章）</w:t>
      </w:r>
    </w:p>
    <w:p w14:paraId="4187A1EA">
      <w:pPr>
        <w:spacing w:line="400" w:lineRule="exact"/>
        <w:jc w:val="both"/>
        <w:outlineLvl w:val="9"/>
        <w:rPr>
          <w:rFonts w:hint="eastAsia" w:ascii="宋体" w:hAnsi="宋体"/>
          <w:color w:val="auto"/>
          <w:szCs w:val="21"/>
          <w:highlight w:val="none"/>
        </w:rPr>
      </w:pPr>
    </w:p>
    <w:p w14:paraId="768515C2">
      <w:pPr>
        <w:spacing w:line="400" w:lineRule="exact"/>
        <w:ind w:firstLine="105" w:firstLineChars="50"/>
        <w:outlineLvl w:val="1"/>
        <w:rPr>
          <w:rFonts w:hint="eastAsia" w:ascii="宋体" w:hAnsi="宋体"/>
          <w:color w:val="auto"/>
          <w:szCs w:val="21"/>
          <w:highlight w:val="none"/>
        </w:rPr>
      </w:pPr>
      <w:bookmarkStart w:id="234" w:name="_Toc17026"/>
      <w:r>
        <w:rPr>
          <w:rFonts w:hint="eastAsia" w:ascii="宋体" w:hAnsi="宋体"/>
          <w:color w:val="auto"/>
          <w:szCs w:val="21"/>
          <w:highlight w:val="none"/>
        </w:rPr>
        <w:t>法定代表人或委托代理人：</w:t>
      </w:r>
      <w:r>
        <w:rPr>
          <w:rFonts w:hint="eastAsia" w:ascii="宋体" w:hAnsi="宋体"/>
          <w:color w:val="auto"/>
          <w:szCs w:val="21"/>
          <w:highlight w:val="none"/>
          <w:u w:val="single"/>
        </w:rPr>
        <w:t xml:space="preserve">                </w:t>
      </w:r>
      <w:r>
        <w:rPr>
          <w:rFonts w:hint="eastAsia" w:ascii="宋体" w:hAnsi="宋体"/>
          <w:color w:val="auto"/>
          <w:szCs w:val="21"/>
          <w:highlight w:val="none"/>
        </w:rPr>
        <w:t>（签字）</w:t>
      </w:r>
      <w:bookmarkEnd w:id="234"/>
    </w:p>
    <w:p w14:paraId="1599FB99">
      <w:pPr>
        <w:spacing w:before="480" w:beforeLines="200"/>
        <w:ind w:firstLine="123" w:firstLineChars="59"/>
        <w:outlineLvl w:val="1"/>
        <w:rPr>
          <w:rFonts w:hint="eastAsia" w:ascii="宋体" w:hAnsi="宋体"/>
          <w:b/>
          <w:color w:val="auto"/>
          <w:szCs w:val="21"/>
          <w:highlight w:val="none"/>
        </w:rPr>
      </w:pPr>
      <w:bookmarkStart w:id="235" w:name="_Toc5802"/>
      <w:r>
        <w:rPr>
          <w:rFonts w:hint="eastAsia" w:ascii="宋体" w:hAnsi="宋体"/>
          <w:color w:val="auto"/>
          <w:szCs w:val="21"/>
          <w:highlight w:val="none"/>
        </w:rPr>
        <w:t>日    期：20</w:t>
      </w:r>
      <w:r>
        <w:rPr>
          <w:rFonts w:hint="eastAsia" w:ascii="宋体" w:hAnsi="宋体"/>
          <w:color w:val="auto"/>
          <w:szCs w:val="21"/>
          <w:highlight w:val="none"/>
          <w:u w:val="single"/>
        </w:rPr>
        <w:t xml:space="preserve">  </w:t>
      </w:r>
      <w:r>
        <w:rPr>
          <w:rFonts w:hint="eastAsia" w:ascii="宋体" w:hAnsi="宋体"/>
          <w:color w:val="auto"/>
          <w:szCs w:val="21"/>
          <w:highlight w:val="none"/>
        </w:rPr>
        <w:t xml:space="preserve"> 年</w:t>
      </w:r>
      <w:r>
        <w:rPr>
          <w:rFonts w:hint="eastAsia" w:ascii="宋体" w:hAnsi="宋体"/>
          <w:color w:val="auto"/>
          <w:szCs w:val="21"/>
          <w:highlight w:val="none"/>
          <w:u w:val="single"/>
        </w:rPr>
        <w:t xml:space="preserve">  </w:t>
      </w:r>
      <w:r>
        <w:rPr>
          <w:rFonts w:hint="eastAsia" w:ascii="宋体" w:hAnsi="宋体"/>
          <w:color w:val="auto"/>
          <w:szCs w:val="21"/>
          <w:highlight w:val="none"/>
        </w:rPr>
        <w:t xml:space="preserve"> 月</w:t>
      </w:r>
      <w:r>
        <w:rPr>
          <w:rFonts w:hint="eastAsia" w:ascii="宋体" w:hAnsi="宋体"/>
          <w:color w:val="auto"/>
          <w:szCs w:val="21"/>
          <w:highlight w:val="none"/>
          <w:u w:val="single"/>
        </w:rPr>
        <w:t xml:space="preserve">  </w:t>
      </w:r>
      <w:r>
        <w:rPr>
          <w:rFonts w:hint="eastAsia" w:ascii="宋体" w:hAnsi="宋体"/>
          <w:color w:val="auto"/>
          <w:szCs w:val="21"/>
          <w:highlight w:val="none"/>
        </w:rPr>
        <w:t xml:space="preserve"> 日</w:t>
      </w:r>
      <w:bookmarkEnd w:id="235"/>
    </w:p>
    <w:p w14:paraId="74285CD6">
      <w:pPr>
        <w:pStyle w:val="4"/>
        <w:spacing w:after="240" w:afterLines="100"/>
        <w:ind w:firstLine="0"/>
        <w:jc w:val="center"/>
        <w:rPr>
          <w:rFonts w:hint="eastAsia" w:ascii="宋体" w:hAnsi="宋体"/>
          <w:b/>
          <w:color w:val="auto"/>
          <w:sz w:val="32"/>
          <w:szCs w:val="32"/>
          <w:highlight w:val="none"/>
        </w:rPr>
      </w:pPr>
      <w:r>
        <w:rPr>
          <w:rFonts w:ascii="宋体" w:hAnsi="宋体"/>
          <w:b/>
          <w:color w:val="auto"/>
          <w:sz w:val="32"/>
          <w:szCs w:val="32"/>
          <w:highlight w:val="none"/>
        </w:rPr>
        <w:br w:type="page"/>
      </w:r>
      <w:r>
        <w:rPr>
          <w:rFonts w:hint="eastAsia" w:ascii="宋体" w:hAnsi="宋体"/>
          <w:b/>
          <w:color w:val="auto"/>
          <w:sz w:val="32"/>
          <w:szCs w:val="32"/>
          <w:highlight w:val="none"/>
        </w:rPr>
        <w:t>（二）本项目组织实施人员</w:t>
      </w:r>
    </w:p>
    <w:p w14:paraId="7F494099">
      <w:pPr>
        <w:pStyle w:val="4"/>
        <w:spacing w:after="120" w:afterLines="50"/>
        <w:ind w:firstLine="0"/>
        <w:jc w:val="left"/>
        <w:rPr>
          <w:rFonts w:hint="default" w:ascii="宋体" w:hAnsi="宋体" w:eastAsia="宋体"/>
          <w:color w:val="auto"/>
          <w:szCs w:val="21"/>
          <w:highlight w:val="none"/>
          <w:lang w:val="en-US" w:eastAsia="zh-CN"/>
        </w:rPr>
      </w:pPr>
      <w:r>
        <w:rPr>
          <w:rFonts w:hint="eastAsia" w:ascii="宋体" w:hAnsi="宋体"/>
          <w:color w:val="auto"/>
          <w:szCs w:val="21"/>
          <w:highlight w:val="none"/>
        </w:rPr>
        <w:t xml:space="preserve">投标人：                              </w:t>
      </w:r>
      <w:r>
        <w:rPr>
          <w:rFonts w:hint="eastAsia" w:ascii="宋体" w:hAnsi="宋体"/>
          <w:color w:val="auto"/>
          <w:szCs w:val="21"/>
          <w:highlight w:val="none"/>
          <w:lang w:val="en-US" w:eastAsia="zh-CN"/>
        </w:rPr>
        <w:t xml:space="preserve">                 </w:t>
      </w:r>
      <w:r>
        <w:rPr>
          <w:rFonts w:hint="eastAsia" w:ascii="宋体" w:hAnsi="宋体"/>
          <w:color w:val="auto"/>
          <w:szCs w:val="21"/>
          <w:highlight w:val="none"/>
        </w:rPr>
        <w:t>采购项目编号：</w:t>
      </w:r>
      <w:r>
        <w:rPr>
          <w:rFonts w:hint="eastAsia" w:ascii="宋体" w:hAnsi="宋体"/>
          <w:color w:val="auto"/>
          <w:szCs w:val="21"/>
          <w:highlight w:val="none"/>
          <w:lang w:val="en-US" w:eastAsia="zh-CN"/>
        </w:rPr>
        <w:t xml:space="preserve">             </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850"/>
        <w:gridCol w:w="1134"/>
        <w:gridCol w:w="1560"/>
        <w:gridCol w:w="1701"/>
        <w:gridCol w:w="1984"/>
        <w:gridCol w:w="987"/>
      </w:tblGrid>
      <w:tr w14:paraId="6AABD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trPr>
        <w:tc>
          <w:tcPr>
            <w:tcW w:w="9175" w:type="dxa"/>
            <w:gridSpan w:val="7"/>
            <w:tcBorders>
              <w:top w:val="single" w:color="auto" w:sz="12" w:space="0"/>
              <w:left w:val="single" w:color="auto" w:sz="12" w:space="0"/>
              <w:right w:val="single" w:color="auto" w:sz="12" w:space="0"/>
            </w:tcBorders>
            <w:noWrap w:val="0"/>
            <w:vAlign w:val="center"/>
          </w:tcPr>
          <w:p w14:paraId="57C3274D">
            <w:pPr>
              <w:pStyle w:val="4"/>
              <w:ind w:firstLine="0"/>
              <w:rPr>
                <w:rFonts w:hint="eastAsia" w:ascii="宋体" w:hAnsi="宋体"/>
                <w:b/>
                <w:color w:val="auto"/>
                <w:sz w:val="28"/>
                <w:szCs w:val="28"/>
                <w:highlight w:val="none"/>
              </w:rPr>
            </w:pPr>
            <w:r>
              <w:rPr>
                <w:rFonts w:hint="eastAsia" w:ascii="宋体" w:hAnsi="宋体"/>
                <w:b/>
                <w:color w:val="auto"/>
                <w:sz w:val="28"/>
                <w:szCs w:val="28"/>
                <w:highlight w:val="none"/>
              </w:rPr>
              <w:t>1.项目负责人</w:t>
            </w:r>
          </w:p>
        </w:tc>
      </w:tr>
      <w:tr w14:paraId="5B3D89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Borders>
              <w:left w:val="single" w:color="auto" w:sz="12" w:space="0"/>
            </w:tcBorders>
            <w:noWrap w:val="0"/>
            <w:vAlign w:val="center"/>
          </w:tcPr>
          <w:p w14:paraId="19799C40">
            <w:pPr>
              <w:pStyle w:val="4"/>
              <w:ind w:firstLine="0"/>
              <w:jc w:val="center"/>
              <w:rPr>
                <w:rFonts w:hint="eastAsia" w:ascii="宋体" w:hAnsi="宋体"/>
                <w:color w:val="auto"/>
                <w:szCs w:val="21"/>
                <w:highlight w:val="none"/>
              </w:rPr>
            </w:pPr>
            <w:r>
              <w:rPr>
                <w:rFonts w:hint="eastAsia" w:ascii="宋体" w:hAnsi="宋体"/>
                <w:color w:val="auto"/>
                <w:szCs w:val="21"/>
                <w:highlight w:val="none"/>
              </w:rPr>
              <w:t>姓名</w:t>
            </w:r>
          </w:p>
        </w:tc>
        <w:tc>
          <w:tcPr>
            <w:tcW w:w="850" w:type="dxa"/>
            <w:noWrap w:val="0"/>
            <w:vAlign w:val="center"/>
          </w:tcPr>
          <w:p w14:paraId="53C7AE4F">
            <w:pPr>
              <w:pStyle w:val="4"/>
              <w:ind w:firstLine="0"/>
              <w:jc w:val="center"/>
              <w:rPr>
                <w:rFonts w:hint="eastAsia" w:ascii="宋体" w:hAnsi="宋体"/>
                <w:color w:val="auto"/>
                <w:szCs w:val="21"/>
                <w:highlight w:val="none"/>
              </w:rPr>
            </w:pPr>
            <w:r>
              <w:rPr>
                <w:rFonts w:hint="eastAsia" w:ascii="宋体" w:hAnsi="宋体"/>
                <w:color w:val="auto"/>
                <w:szCs w:val="21"/>
                <w:highlight w:val="none"/>
              </w:rPr>
              <w:t>年龄</w:t>
            </w:r>
          </w:p>
        </w:tc>
        <w:tc>
          <w:tcPr>
            <w:tcW w:w="1134" w:type="dxa"/>
            <w:noWrap w:val="0"/>
            <w:vAlign w:val="center"/>
          </w:tcPr>
          <w:p w14:paraId="025FEB17">
            <w:pPr>
              <w:pStyle w:val="4"/>
              <w:ind w:firstLine="0"/>
              <w:jc w:val="center"/>
              <w:rPr>
                <w:rFonts w:hint="eastAsia" w:ascii="宋体" w:hAnsi="宋体"/>
                <w:color w:val="auto"/>
                <w:szCs w:val="21"/>
                <w:highlight w:val="none"/>
              </w:rPr>
            </w:pPr>
            <w:r>
              <w:rPr>
                <w:rFonts w:hint="eastAsia" w:ascii="宋体" w:hAnsi="宋体"/>
                <w:color w:val="auto"/>
                <w:szCs w:val="21"/>
                <w:highlight w:val="none"/>
              </w:rPr>
              <w:t>职务</w:t>
            </w:r>
          </w:p>
        </w:tc>
        <w:tc>
          <w:tcPr>
            <w:tcW w:w="1560" w:type="dxa"/>
            <w:noWrap w:val="0"/>
            <w:vAlign w:val="center"/>
          </w:tcPr>
          <w:p w14:paraId="6C672878">
            <w:pPr>
              <w:pStyle w:val="4"/>
              <w:ind w:firstLine="0"/>
              <w:jc w:val="center"/>
              <w:rPr>
                <w:rFonts w:hint="eastAsia" w:ascii="宋体" w:hAnsi="宋体"/>
                <w:color w:val="auto"/>
                <w:szCs w:val="21"/>
                <w:highlight w:val="none"/>
              </w:rPr>
            </w:pPr>
            <w:r>
              <w:rPr>
                <w:rFonts w:hint="eastAsia" w:ascii="宋体" w:hAnsi="宋体"/>
                <w:color w:val="auto"/>
                <w:szCs w:val="21"/>
                <w:highlight w:val="none"/>
              </w:rPr>
              <w:t>资格/职称</w:t>
            </w:r>
          </w:p>
        </w:tc>
        <w:tc>
          <w:tcPr>
            <w:tcW w:w="1701" w:type="dxa"/>
            <w:noWrap w:val="0"/>
            <w:vAlign w:val="top"/>
          </w:tcPr>
          <w:p w14:paraId="4D7FDAC9">
            <w:pPr>
              <w:pStyle w:val="4"/>
              <w:ind w:firstLine="0"/>
              <w:jc w:val="center"/>
              <w:rPr>
                <w:rFonts w:hint="eastAsia" w:ascii="宋体" w:hAnsi="宋体"/>
                <w:color w:val="auto"/>
                <w:szCs w:val="21"/>
                <w:highlight w:val="none"/>
              </w:rPr>
            </w:pPr>
            <w:r>
              <w:rPr>
                <w:rFonts w:hint="eastAsia" w:ascii="宋体" w:hAnsi="宋体"/>
                <w:color w:val="auto"/>
                <w:szCs w:val="21"/>
                <w:highlight w:val="none"/>
              </w:rPr>
              <w:t>在本行业从业 工作年限</w:t>
            </w:r>
          </w:p>
        </w:tc>
        <w:tc>
          <w:tcPr>
            <w:tcW w:w="2971" w:type="dxa"/>
            <w:gridSpan w:val="2"/>
            <w:tcBorders>
              <w:right w:val="single" w:color="auto" w:sz="12" w:space="0"/>
            </w:tcBorders>
            <w:noWrap w:val="0"/>
            <w:vAlign w:val="center"/>
          </w:tcPr>
          <w:p w14:paraId="24A5D1C7">
            <w:pPr>
              <w:pStyle w:val="4"/>
              <w:ind w:firstLine="0"/>
              <w:jc w:val="center"/>
              <w:rPr>
                <w:rFonts w:hint="eastAsia" w:ascii="宋体" w:hAnsi="宋体"/>
                <w:color w:val="auto"/>
                <w:szCs w:val="21"/>
                <w:highlight w:val="none"/>
              </w:rPr>
            </w:pPr>
            <w:r>
              <w:rPr>
                <w:rFonts w:hint="eastAsia" w:ascii="宋体" w:hAnsi="宋体"/>
                <w:color w:val="auto"/>
                <w:szCs w:val="21"/>
                <w:highlight w:val="none"/>
              </w:rPr>
              <w:t>主要工作业绩</w:t>
            </w:r>
          </w:p>
        </w:tc>
      </w:tr>
      <w:tr w14:paraId="1A915B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Borders>
              <w:left w:val="single" w:color="auto" w:sz="12" w:space="0"/>
              <w:bottom w:val="single" w:color="auto" w:sz="4" w:space="0"/>
            </w:tcBorders>
            <w:noWrap w:val="0"/>
            <w:vAlign w:val="top"/>
          </w:tcPr>
          <w:p w14:paraId="3C95D4CB">
            <w:pPr>
              <w:pStyle w:val="4"/>
              <w:ind w:firstLine="0"/>
              <w:jc w:val="left"/>
              <w:rPr>
                <w:rFonts w:hint="eastAsia" w:ascii="宋体" w:hAnsi="宋体"/>
                <w:b/>
                <w:color w:val="auto"/>
                <w:sz w:val="28"/>
                <w:szCs w:val="28"/>
                <w:highlight w:val="none"/>
              </w:rPr>
            </w:pPr>
          </w:p>
        </w:tc>
        <w:tc>
          <w:tcPr>
            <w:tcW w:w="850" w:type="dxa"/>
            <w:tcBorders>
              <w:bottom w:val="single" w:color="auto" w:sz="4" w:space="0"/>
            </w:tcBorders>
            <w:noWrap w:val="0"/>
            <w:vAlign w:val="top"/>
          </w:tcPr>
          <w:p w14:paraId="33C50264">
            <w:pPr>
              <w:pStyle w:val="4"/>
              <w:ind w:firstLine="0"/>
              <w:jc w:val="left"/>
              <w:rPr>
                <w:rFonts w:hint="eastAsia" w:ascii="宋体" w:hAnsi="宋体"/>
                <w:b/>
                <w:color w:val="auto"/>
                <w:sz w:val="28"/>
                <w:szCs w:val="28"/>
                <w:highlight w:val="none"/>
              </w:rPr>
            </w:pPr>
          </w:p>
        </w:tc>
        <w:tc>
          <w:tcPr>
            <w:tcW w:w="1134" w:type="dxa"/>
            <w:tcBorders>
              <w:bottom w:val="single" w:color="auto" w:sz="4" w:space="0"/>
            </w:tcBorders>
            <w:noWrap w:val="0"/>
            <w:vAlign w:val="top"/>
          </w:tcPr>
          <w:p w14:paraId="1602EC60">
            <w:pPr>
              <w:pStyle w:val="4"/>
              <w:ind w:firstLine="0"/>
              <w:jc w:val="left"/>
              <w:rPr>
                <w:rFonts w:hint="eastAsia" w:ascii="宋体" w:hAnsi="宋体"/>
                <w:b/>
                <w:color w:val="auto"/>
                <w:sz w:val="28"/>
                <w:szCs w:val="28"/>
                <w:highlight w:val="none"/>
              </w:rPr>
            </w:pPr>
          </w:p>
        </w:tc>
        <w:tc>
          <w:tcPr>
            <w:tcW w:w="1560" w:type="dxa"/>
            <w:tcBorders>
              <w:bottom w:val="single" w:color="auto" w:sz="4" w:space="0"/>
            </w:tcBorders>
            <w:noWrap w:val="0"/>
            <w:vAlign w:val="top"/>
          </w:tcPr>
          <w:p w14:paraId="33C0EC8C">
            <w:pPr>
              <w:pStyle w:val="4"/>
              <w:ind w:firstLine="0"/>
              <w:jc w:val="left"/>
              <w:rPr>
                <w:rFonts w:hint="eastAsia" w:ascii="宋体" w:hAnsi="宋体"/>
                <w:b/>
                <w:color w:val="auto"/>
                <w:sz w:val="28"/>
                <w:szCs w:val="28"/>
                <w:highlight w:val="none"/>
              </w:rPr>
            </w:pPr>
          </w:p>
        </w:tc>
        <w:tc>
          <w:tcPr>
            <w:tcW w:w="1701" w:type="dxa"/>
            <w:tcBorders>
              <w:bottom w:val="single" w:color="auto" w:sz="4" w:space="0"/>
            </w:tcBorders>
            <w:noWrap w:val="0"/>
            <w:vAlign w:val="top"/>
          </w:tcPr>
          <w:p w14:paraId="32135176">
            <w:pPr>
              <w:pStyle w:val="4"/>
              <w:ind w:firstLine="0"/>
              <w:jc w:val="left"/>
              <w:rPr>
                <w:rFonts w:hint="eastAsia" w:ascii="宋体" w:hAnsi="宋体"/>
                <w:b/>
                <w:color w:val="auto"/>
                <w:sz w:val="28"/>
                <w:szCs w:val="28"/>
                <w:highlight w:val="none"/>
              </w:rPr>
            </w:pPr>
          </w:p>
        </w:tc>
        <w:tc>
          <w:tcPr>
            <w:tcW w:w="2971" w:type="dxa"/>
            <w:gridSpan w:val="2"/>
            <w:tcBorders>
              <w:bottom w:val="single" w:color="auto" w:sz="4" w:space="0"/>
              <w:right w:val="single" w:color="auto" w:sz="12" w:space="0"/>
            </w:tcBorders>
            <w:noWrap w:val="0"/>
            <w:vAlign w:val="top"/>
          </w:tcPr>
          <w:p w14:paraId="203A8F60">
            <w:pPr>
              <w:pStyle w:val="4"/>
              <w:ind w:firstLine="0"/>
              <w:jc w:val="left"/>
              <w:rPr>
                <w:rFonts w:hint="eastAsia" w:ascii="宋体" w:hAnsi="宋体"/>
                <w:b/>
                <w:color w:val="auto"/>
                <w:sz w:val="28"/>
                <w:szCs w:val="28"/>
                <w:highlight w:val="none"/>
              </w:rPr>
            </w:pPr>
          </w:p>
        </w:tc>
      </w:tr>
      <w:tr w14:paraId="7D1E0D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Borders>
              <w:left w:val="single" w:color="auto" w:sz="12" w:space="0"/>
              <w:bottom w:val="single" w:color="auto" w:sz="12" w:space="0"/>
            </w:tcBorders>
            <w:noWrap w:val="0"/>
            <w:vAlign w:val="top"/>
          </w:tcPr>
          <w:p w14:paraId="6A55DB06">
            <w:pPr>
              <w:pStyle w:val="4"/>
              <w:ind w:firstLine="0"/>
              <w:jc w:val="left"/>
              <w:rPr>
                <w:rFonts w:hint="eastAsia" w:ascii="宋体" w:hAnsi="宋体"/>
                <w:b/>
                <w:color w:val="auto"/>
                <w:sz w:val="28"/>
                <w:szCs w:val="28"/>
                <w:highlight w:val="none"/>
              </w:rPr>
            </w:pPr>
          </w:p>
        </w:tc>
        <w:tc>
          <w:tcPr>
            <w:tcW w:w="850" w:type="dxa"/>
            <w:tcBorders>
              <w:bottom w:val="single" w:color="auto" w:sz="12" w:space="0"/>
            </w:tcBorders>
            <w:noWrap w:val="0"/>
            <w:vAlign w:val="top"/>
          </w:tcPr>
          <w:p w14:paraId="5595E4B3">
            <w:pPr>
              <w:pStyle w:val="4"/>
              <w:ind w:firstLine="0"/>
              <w:jc w:val="left"/>
              <w:rPr>
                <w:rFonts w:hint="eastAsia" w:ascii="宋体" w:hAnsi="宋体"/>
                <w:b/>
                <w:color w:val="auto"/>
                <w:sz w:val="28"/>
                <w:szCs w:val="28"/>
                <w:highlight w:val="none"/>
              </w:rPr>
            </w:pPr>
          </w:p>
        </w:tc>
        <w:tc>
          <w:tcPr>
            <w:tcW w:w="1134" w:type="dxa"/>
            <w:tcBorders>
              <w:bottom w:val="single" w:color="auto" w:sz="12" w:space="0"/>
            </w:tcBorders>
            <w:noWrap w:val="0"/>
            <w:vAlign w:val="top"/>
          </w:tcPr>
          <w:p w14:paraId="2EA66C11">
            <w:pPr>
              <w:pStyle w:val="4"/>
              <w:ind w:firstLine="0"/>
              <w:jc w:val="left"/>
              <w:rPr>
                <w:rFonts w:hint="eastAsia" w:ascii="宋体" w:hAnsi="宋体"/>
                <w:b/>
                <w:color w:val="auto"/>
                <w:sz w:val="28"/>
                <w:szCs w:val="28"/>
                <w:highlight w:val="none"/>
              </w:rPr>
            </w:pPr>
          </w:p>
        </w:tc>
        <w:tc>
          <w:tcPr>
            <w:tcW w:w="1560" w:type="dxa"/>
            <w:tcBorders>
              <w:bottom w:val="single" w:color="auto" w:sz="12" w:space="0"/>
            </w:tcBorders>
            <w:noWrap w:val="0"/>
            <w:vAlign w:val="top"/>
          </w:tcPr>
          <w:p w14:paraId="2AFD7578">
            <w:pPr>
              <w:pStyle w:val="4"/>
              <w:ind w:firstLine="0"/>
              <w:jc w:val="left"/>
              <w:rPr>
                <w:rFonts w:hint="eastAsia" w:ascii="宋体" w:hAnsi="宋体"/>
                <w:b/>
                <w:color w:val="auto"/>
                <w:sz w:val="28"/>
                <w:szCs w:val="28"/>
                <w:highlight w:val="none"/>
              </w:rPr>
            </w:pPr>
          </w:p>
        </w:tc>
        <w:tc>
          <w:tcPr>
            <w:tcW w:w="1701" w:type="dxa"/>
            <w:tcBorders>
              <w:bottom w:val="single" w:color="auto" w:sz="12" w:space="0"/>
            </w:tcBorders>
            <w:noWrap w:val="0"/>
            <w:vAlign w:val="top"/>
          </w:tcPr>
          <w:p w14:paraId="20A2A193">
            <w:pPr>
              <w:pStyle w:val="4"/>
              <w:ind w:firstLine="0"/>
              <w:jc w:val="left"/>
              <w:rPr>
                <w:rFonts w:hint="eastAsia" w:ascii="宋体" w:hAnsi="宋体"/>
                <w:b/>
                <w:color w:val="auto"/>
                <w:sz w:val="28"/>
                <w:szCs w:val="28"/>
                <w:highlight w:val="none"/>
              </w:rPr>
            </w:pPr>
          </w:p>
        </w:tc>
        <w:tc>
          <w:tcPr>
            <w:tcW w:w="2971" w:type="dxa"/>
            <w:gridSpan w:val="2"/>
            <w:tcBorders>
              <w:bottom w:val="single" w:color="auto" w:sz="12" w:space="0"/>
              <w:right w:val="single" w:color="auto" w:sz="12" w:space="0"/>
            </w:tcBorders>
            <w:noWrap w:val="0"/>
            <w:vAlign w:val="top"/>
          </w:tcPr>
          <w:p w14:paraId="12D07423">
            <w:pPr>
              <w:pStyle w:val="4"/>
              <w:ind w:firstLine="0"/>
              <w:jc w:val="left"/>
              <w:rPr>
                <w:rFonts w:hint="eastAsia" w:ascii="宋体" w:hAnsi="宋体"/>
                <w:b/>
                <w:color w:val="auto"/>
                <w:sz w:val="28"/>
                <w:szCs w:val="28"/>
                <w:highlight w:val="none"/>
              </w:rPr>
            </w:pPr>
          </w:p>
        </w:tc>
      </w:tr>
      <w:tr w14:paraId="0D14CB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9175" w:type="dxa"/>
            <w:gridSpan w:val="7"/>
            <w:tcBorders>
              <w:top w:val="single" w:color="auto" w:sz="12" w:space="0"/>
              <w:left w:val="single" w:color="auto" w:sz="12" w:space="0"/>
              <w:right w:val="single" w:color="auto" w:sz="12" w:space="0"/>
            </w:tcBorders>
            <w:noWrap w:val="0"/>
            <w:vAlign w:val="center"/>
          </w:tcPr>
          <w:p w14:paraId="4307C4DF">
            <w:pPr>
              <w:pStyle w:val="4"/>
              <w:ind w:firstLine="0"/>
              <w:rPr>
                <w:rFonts w:hint="eastAsia" w:ascii="宋体" w:hAnsi="宋体"/>
                <w:b/>
                <w:color w:val="auto"/>
                <w:sz w:val="28"/>
                <w:szCs w:val="28"/>
                <w:highlight w:val="none"/>
              </w:rPr>
            </w:pPr>
            <w:r>
              <w:rPr>
                <w:rFonts w:hint="eastAsia" w:ascii="宋体" w:hAnsi="宋体"/>
                <w:b/>
                <w:color w:val="auto"/>
                <w:sz w:val="28"/>
                <w:szCs w:val="28"/>
                <w:highlight w:val="none"/>
              </w:rPr>
              <w:t>2.管理人员</w:t>
            </w:r>
          </w:p>
        </w:tc>
      </w:tr>
      <w:tr w14:paraId="2060D9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Borders>
              <w:left w:val="single" w:color="auto" w:sz="12" w:space="0"/>
            </w:tcBorders>
            <w:noWrap w:val="0"/>
            <w:vAlign w:val="center"/>
          </w:tcPr>
          <w:p w14:paraId="0526FB21">
            <w:pPr>
              <w:pStyle w:val="4"/>
              <w:ind w:firstLine="0"/>
              <w:jc w:val="center"/>
              <w:rPr>
                <w:rFonts w:hint="eastAsia" w:ascii="宋体" w:hAnsi="宋体"/>
                <w:color w:val="auto"/>
                <w:szCs w:val="21"/>
                <w:highlight w:val="none"/>
              </w:rPr>
            </w:pPr>
            <w:r>
              <w:rPr>
                <w:rFonts w:hint="eastAsia" w:ascii="宋体" w:hAnsi="宋体"/>
                <w:color w:val="auto"/>
                <w:szCs w:val="21"/>
                <w:highlight w:val="none"/>
              </w:rPr>
              <w:t>姓名</w:t>
            </w:r>
          </w:p>
        </w:tc>
        <w:tc>
          <w:tcPr>
            <w:tcW w:w="850" w:type="dxa"/>
            <w:noWrap w:val="0"/>
            <w:vAlign w:val="center"/>
          </w:tcPr>
          <w:p w14:paraId="25962034">
            <w:pPr>
              <w:pStyle w:val="4"/>
              <w:ind w:firstLine="0"/>
              <w:jc w:val="center"/>
              <w:rPr>
                <w:rFonts w:hint="eastAsia" w:ascii="宋体" w:hAnsi="宋体"/>
                <w:color w:val="auto"/>
                <w:szCs w:val="21"/>
                <w:highlight w:val="none"/>
              </w:rPr>
            </w:pPr>
            <w:r>
              <w:rPr>
                <w:rFonts w:hint="eastAsia" w:ascii="宋体" w:hAnsi="宋体"/>
                <w:color w:val="auto"/>
                <w:szCs w:val="21"/>
                <w:highlight w:val="none"/>
              </w:rPr>
              <w:t>年龄</w:t>
            </w:r>
          </w:p>
        </w:tc>
        <w:tc>
          <w:tcPr>
            <w:tcW w:w="1134" w:type="dxa"/>
            <w:noWrap w:val="0"/>
            <w:vAlign w:val="center"/>
          </w:tcPr>
          <w:p w14:paraId="78610E0A">
            <w:pPr>
              <w:pStyle w:val="4"/>
              <w:ind w:firstLine="0"/>
              <w:jc w:val="center"/>
              <w:rPr>
                <w:rFonts w:hint="eastAsia" w:ascii="宋体" w:hAnsi="宋体"/>
                <w:color w:val="auto"/>
                <w:szCs w:val="21"/>
                <w:highlight w:val="none"/>
              </w:rPr>
            </w:pPr>
            <w:r>
              <w:rPr>
                <w:rFonts w:hint="eastAsia" w:ascii="宋体" w:hAnsi="宋体"/>
                <w:color w:val="auto"/>
                <w:szCs w:val="21"/>
                <w:highlight w:val="none"/>
              </w:rPr>
              <w:t>职务</w:t>
            </w:r>
          </w:p>
        </w:tc>
        <w:tc>
          <w:tcPr>
            <w:tcW w:w="1560" w:type="dxa"/>
            <w:noWrap w:val="0"/>
            <w:vAlign w:val="center"/>
          </w:tcPr>
          <w:p w14:paraId="11F3C7CF">
            <w:pPr>
              <w:pStyle w:val="4"/>
              <w:ind w:firstLine="0"/>
              <w:jc w:val="center"/>
              <w:rPr>
                <w:rFonts w:hint="eastAsia" w:ascii="宋体" w:hAnsi="宋体"/>
                <w:color w:val="auto"/>
                <w:szCs w:val="21"/>
                <w:highlight w:val="none"/>
              </w:rPr>
            </w:pPr>
            <w:r>
              <w:rPr>
                <w:rFonts w:hint="eastAsia" w:ascii="宋体" w:hAnsi="宋体"/>
                <w:color w:val="auto"/>
                <w:szCs w:val="21"/>
                <w:highlight w:val="none"/>
              </w:rPr>
              <w:t>资格/职称</w:t>
            </w:r>
          </w:p>
        </w:tc>
        <w:tc>
          <w:tcPr>
            <w:tcW w:w="1701" w:type="dxa"/>
            <w:noWrap w:val="0"/>
            <w:vAlign w:val="center"/>
          </w:tcPr>
          <w:p w14:paraId="13C82614">
            <w:pPr>
              <w:pStyle w:val="4"/>
              <w:ind w:firstLine="0"/>
              <w:jc w:val="center"/>
              <w:rPr>
                <w:rFonts w:hint="eastAsia" w:ascii="宋体" w:hAnsi="宋体"/>
                <w:b/>
                <w:color w:val="auto"/>
                <w:szCs w:val="21"/>
                <w:highlight w:val="none"/>
              </w:rPr>
            </w:pPr>
            <w:r>
              <w:rPr>
                <w:rFonts w:hint="eastAsia" w:ascii="宋体" w:hAnsi="宋体"/>
                <w:color w:val="auto"/>
                <w:szCs w:val="21"/>
                <w:highlight w:val="none"/>
              </w:rPr>
              <w:t>在本行业从业 工作年限</w:t>
            </w:r>
          </w:p>
        </w:tc>
        <w:tc>
          <w:tcPr>
            <w:tcW w:w="1984" w:type="dxa"/>
            <w:noWrap w:val="0"/>
            <w:vAlign w:val="center"/>
          </w:tcPr>
          <w:p w14:paraId="70F50362">
            <w:pPr>
              <w:pStyle w:val="4"/>
              <w:ind w:firstLine="0"/>
              <w:jc w:val="center"/>
              <w:rPr>
                <w:rFonts w:hint="eastAsia" w:ascii="宋体" w:hAnsi="宋体"/>
                <w:b/>
                <w:color w:val="auto"/>
                <w:szCs w:val="21"/>
                <w:highlight w:val="none"/>
              </w:rPr>
            </w:pPr>
            <w:r>
              <w:rPr>
                <w:rFonts w:hint="eastAsia" w:ascii="宋体" w:hAnsi="宋体"/>
                <w:color w:val="auto"/>
                <w:szCs w:val="21"/>
                <w:highlight w:val="none"/>
              </w:rPr>
              <w:t>主要工作业绩</w:t>
            </w:r>
          </w:p>
        </w:tc>
        <w:tc>
          <w:tcPr>
            <w:tcW w:w="987" w:type="dxa"/>
            <w:tcBorders>
              <w:right w:val="single" w:color="auto" w:sz="12" w:space="0"/>
            </w:tcBorders>
            <w:noWrap w:val="0"/>
            <w:vAlign w:val="center"/>
          </w:tcPr>
          <w:p w14:paraId="20A0D975">
            <w:pPr>
              <w:pStyle w:val="4"/>
              <w:ind w:firstLine="0"/>
              <w:jc w:val="center"/>
              <w:rPr>
                <w:rFonts w:hint="eastAsia" w:ascii="宋体" w:hAnsi="宋体"/>
                <w:color w:val="auto"/>
                <w:szCs w:val="21"/>
                <w:highlight w:val="none"/>
              </w:rPr>
            </w:pPr>
            <w:r>
              <w:rPr>
                <w:rFonts w:hint="eastAsia" w:ascii="宋体" w:hAnsi="宋体"/>
                <w:color w:val="auto"/>
                <w:szCs w:val="21"/>
                <w:highlight w:val="none"/>
              </w:rPr>
              <w:t>当前</w:t>
            </w:r>
          </w:p>
          <w:p w14:paraId="07926339">
            <w:pPr>
              <w:pStyle w:val="4"/>
              <w:ind w:firstLine="0"/>
              <w:jc w:val="center"/>
              <w:rPr>
                <w:rFonts w:hint="eastAsia" w:ascii="宋体" w:hAnsi="宋体"/>
                <w:color w:val="auto"/>
                <w:szCs w:val="21"/>
                <w:highlight w:val="none"/>
              </w:rPr>
            </w:pPr>
            <w:r>
              <w:rPr>
                <w:rFonts w:hint="eastAsia" w:ascii="宋体" w:hAnsi="宋体"/>
                <w:color w:val="auto"/>
                <w:szCs w:val="21"/>
                <w:highlight w:val="none"/>
              </w:rPr>
              <w:t>分工</w:t>
            </w:r>
          </w:p>
        </w:tc>
      </w:tr>
      <w:tr w14:paraId="7BD1A0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Borders>
              <w:left w:val="single" w:color="auto" w:sz="12" w:space="0"/>
            </w:tcBorders>
            <w:noWrap w:val="0"/>
            <w:vAlign w:val="top"/>
          </w:tcPr>
          <w:p w14:paraId="49FC6CD9">
            <w:pPr>
              <w:pStyle w:val="4"/>
              <w:ind w:firstLine="0"/>
              <w:jc w:val="left"/>
              <w:rPr>
                <w:rFonts w:hint="eastAsia" w:ascii="宋体" w:hAnsi="宋体"/>
                <w:b/>
                <w:color w:val="auto"/>
                <w:sz w:val="28"/>
                <w:szCs w:val="28"/>
                <w:highlight w:val="none"/>
              </w:rPr>
            </w:pPr>
          </w:p>
        </w:tc>
        <w:tc>
          <w:tcPr>
            <w:tcW w:w="850" w:type="dxa"/>
            <w:noWrap w:val="0"/>
            <w:vAlign w:val="top"/>
          </w:tcPr>
          <w:p w14:paraId="5D5EA706">
            <w:pPr>
              <w:pStyle w:val="4"/>
              <w:ind w:firstLine="0"/>
              <w:jc w:val="left"/>
              <w:rPr>
                <w:rFonts w:hint="eastAsia" w:ascii="宋体" w:hAnsi="宋体"/>
                <w:b/>
                <w:color w:val="auto"/>
                <w:sz w:val="28"/>
                <w:szCs w:val="28"/>
                <w:highlight w:val="none"/>
              </w:rPr>
            </w:pPr>
          </w:p>
        </w:tc>
        <w:tc>
          <w:tcPr>
            <w:tcW w:w="1134" w:type="dxa"/>
            <w:noWrap w:val="0"/>
            <w:vAlign w:val="top"/>
          </w:tcPr>
          <w:p w14:paraId="2BFA262E">
            <w:pPr>
              <w:pStyle w:val="4"/>
              <w:ind w:firstLine="0"/>
              <w:jc w:val="left"/>
              <w:rPr>
                <w:rFonts w:hint="eastAsia" w:ascii="宋体" w:hAnsi="宋体"/>
                <w:b/>
                <w:color w:val="auto"/>
                <w:sz w:val="28"/>
                <w:szCs w:val="28"/>
                <w:highlight w:val="none"/>
              </w:rPr>
            </w:pPr>
          </w:p>
        </w:tc>
        <w:tc>
          <w:tcPr>
            <w:tcW w:w="1560" w:type="dxa"/>
            <w:noWrap w:val="0"/>
            <w:vAlign w:val="top"/>
          </w:tcPr>
          <w:p w14:paraId="4915748F">
            <w:pPr>
              <w:pStyle w:val="4"/>
              <w:ind w:firstLine="0"/>
              <w:jc w:val="left"/>
              <w:rPr>
                <w:rFonts w:hint="eastAsia" w:ascii="宋体" w:hAnsi="宋体"/>
                <w:b/>
                <w:color w:val="auto"/>
                <w:sz w:val="28"/>
                <w:szCs w:val="28"/>
                <w:highlight w:val="none"/>
              </w:rPr>
            </w:pPr>
          </w:p>
        </w:tc>
        <w:tc>
          <w:tcPr>
            <w:tcW w:w="1701" w:type="dxa"/>
            <w:noWrap w:val="0"/>
            <w:vAlign w:val="top"/>
          </w:tcPr>
          <w:p w14:paraId="11B82FD3">
            <w:pPr>
              <w:pStyle w:val="4"/>
              <w:ind w:firstLine="0"/>
              <w:jc w:val="left"/>
              <w:rPr>
                <w:rFonts w:hint="eastAsia" w:ascii="宋体" w:hAnsi="宋体"/>
                <w:b/>
                <w:color w:val="auto"/>
                <w:sz w:val="28"/>
                <w:szCs w:val="28"/>
                <w:highlight w:val="none"/>
              </w:rPr>
            </w:pPr>
          </w:p>
        </w:tc>
        <w:tc>
          <w:tcPr>
            <w:tcW w:w="1984" w:type="dxa"/>
            <w:noWrap w:val="0"/>
            <w:vAlign w:val="top"/>
          </w:tcPr>
          <w:p w14:paraId="7ED65394">
            <w:pPr>
              <w:pStyle w:val="4"/>
              <w:ind w:firstLine="0"/>
              <w:jc w:val="left"/>
              <w:rPr>
                <w:rFonts w:hint="eastAsia" w:ascii="宋体" w:hAnsi="宋体"/>
                <w:b/>
                <w:color w:val="auto"/>
                <w:sz w:val="28"/>
                <w:szCs w:val="28"/>
                <w:highlight w:val="none"/>
              </w:rPr>
            </w:pPr>
          </w:p>
        </w:tc>
        <w:tc>
          <w:tcPr>
            <w:tcW w:w="987" w:type="dxa"/>
            <w:tcBorders>
              <w:right w:val="single" w:color="auto" w:sz="12" w:space="0"/>
            </w:tcBorders>
            <w:noWrap w:val="0"/>
            <w:vAlign w:val="top"/>
          </w:tcPr>
          <w:p w14:paraId="0F8320BC">
            <w:pPr>
              <w:pStyle w:val="4"/>
              <w:ind w:firstLine="0"/>
              <w:jc w:val="left"/>
              <w:rPr>
                <w:rFonts w:hint="eastAsia" w:ascii="宋体" w:hAnsi="宋体"/>
                <w:b/>
                <w:color w:val="auto"/>
                <w:sz w:val="28"/>
                <w:szCs w:val="28"/>
                <w:highlight w:val="none"/>
              </w:rPr>
            </w:pPr>
          </w:p>
        </w:tc>
      </w:tr>
      <w:tr w14:paraId="5C07BA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Borders>
              <w:left w:val="single" w:color="auto" w:sz="12" w:space="0"/>
            </w:tcBorders>
            <w:noWrap w:val="0"/>
            <w:vAlign w:val="top"/>
          </w:tcPr>
          <w:p w14:paraId="4D67BA3B">
            <w:pPr>
              <w:pStyle w:val="4"/>
              <w:ind w:firstLine="0"/>
              <w:jc w:val="left"/>
              <w:rPr>
                <w:rFonts w:hint="eastAsia" w:ascii="宋体" w:hAnsi="宋体"/>
                <w:b/>
                <w:color w:val="auto"/>
                <w:sz w:val="28"/>
                <w:szCs w:val="28"/>
                <w:highlight w:val="none"/>
              </w:rPr>
            </w:pPr>
          </w:p>
        </w:tc>
        <w:tc>
          <w:tcPr>
            <w:tcW w:w="850" w:type="dxa"/>
            <w:noWrap w:val="0"/>
            <w:vAlign w:val="top"/>
          </w:tcPr>
          <w:p w14:paraId="1BEA4333">
            <w:pPr>
              <w:pStyle w:val="4"/>
              <w:ind w:firstLine="0"/>
              <w:jc w:val="left"/>
              <w:rPr>
                <w:rFonts w:hint="eastAsia" w:ascii="宋体" w:hAnsi="宋体"/>
                <w:b/>
                <w:color w:val="auto"/>
                <w:sz w:val="28"/>
                <w:szCs w:val="28"/>
                <w:highlight w:val="none"/>
              </w:rPr>
            </w:pPr>
          </w:p>
        </w:tc>
        <w:tc>
          <w:tcPr>
            <w:tcW w:w="1134" w:type="dxa"/>
            <w:noWrap w:val="0"/>
            <w:vAlign w:val="top"/>
          </w:tcPr>
          <w:p w14:paraId="17907278">
            <w:pPr>
              <w:pStyle w:val="4"/>
              <w:ind w:firstLine="0"/>
              <w:jc w:val="left"/>
              <w:rPr>
                <w:rFonts w:hint="eastAsia" w:ascii="宋体" w:hAnsi="宋体"/>
                <w:b/>
                <w:color w:val="auto"/>
                <w:sz w:val="28"/>
                <w:szCs w:val="28"/>
                <w:highlight w:val="none"/>
              </w:rPr>
            </w:pPr>
          </w:p>
        </w:tc>
        <w:tc>
          <w:tcPr>
            <w:tcW w:w="1560" w:type="dxa"/>
            <w:noWrap w:val="0"/>
            <w:vAlign w:val="top"/>
          </w:tcPr>
          <w:p w14:paraId="62CC698D">
            <w:pPr>
              <w:pStyle w:val="4"/>
              <w:ind w:firstLine="0"/>
              <w:jc w:val="left"/>
              <w:rPr>
                <w:rFonts w:hint="eastAsia" w:ascii="宋体" w:hAnsi="宋体"/>
                <w:b/>
                <w:color w:val="auto"/>
                <w:sz w:val="28"/>
                <w:szCs w:val="28"/>
                <w:highlight w:val="none"/>
              </w:rPr>
            </w:pPr>
          </w:p>
        </w:tc>
        <w:tc>
          <w:tcPr>
            <w:tcW w:w="1701" w:type="dxa"/>
            <w:noWrap w:val="0"/>
            <w:vAlign w:val="top"/>
          </w:tcPr>
          <w:p w14:paraId="1F40BB3E">
            <w:pPr>
              <w:pStyle w:val="4"/>
              <w:ind w:firstLine="0"/>
              <w:jc w:val="left"/>
              <w:rPr>
                <w:rFonts w:hint="eastAsia" w:ascii="宋体" w:hAnsi="宋体"/>
                <w:b/>
                <w:color w:val="auto"/>
                <w:sz w:val="28"/>
                <w:szCs w:val="28"/>
                <w:highlight w:val="none"/>
              </w:rPr>
            </w:pPr>
          </w:p>
        </w:tc>
        <w:tc>
          <w:tcPr>
            <w:tcW w:w="1984" w:type="dxa"/>
            <w:noWrap w:val="0"/>
            <w:vAlign w:val="top"/>
          </w:tcPr>
          <w:p w14:paraId="5E5FBF36">
            <w:pPr>
              <w:pStyle w:val="4"/>
              <w:ind w:firstLine="0"/>
              <w:jc w:val="left"/>
              <w:rPr>
                <w:rFonts w:hint="eastAsia" w:ascii="宋体" w:hAnsi="宋体"/>
                <w:b/>
                <w:color w:val="auto"/>
                <w:sz w:val="28"/>
                <w:szCs w:val="28"/>
                <w:highlight w:val="none"/>
              </w:rPr>
            </w:pPr>
          </w:p>
        </w:tc>
        <w:tc>
          <w:tcPr>
            <w:tcW w:w="987" w:type="dxa"/>
            <w:tcBorders>
              <w:right w:val="single" w:color="auto" w:sz="12" w:space="0"/>
            </w:tcBorders>
            <w:noWrap w:val="0"/>
            <w:vAlign w:val="top"/>
          </w:tcPr>
          <w:p w14:paraId="57096AFB">
            <w:pPr>
              <w:pStyle w:val="4"/>
              <w:ind w:firstLine="0"/>
              <w:jc w:val="left"/>
              <w:rPr>
                <w:rFonts w:hint="eastAsia" w:ascii="宋体" w:hAnsi="宋体"/>
                <w:b/>
                <w:color w:val="auto"/>
                <w:sz w:val="28"/>
                <w:szCs w:val="28"/>
                <w:highlight w:val="none"/>
              </w:rPr>
            </w:pPr>
          </w:p>
        </w:tc>
      </w:tr>
      <w:tr w14:paraId="515274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Borders>
              <w:left w:val="single" w:color="auto" w:sz="12" w:space="0"/>
            </w:tcBorders>
            <w:noWrap w:val="0"/>
            <w:vAlign w:val="top"/>
          </w:tcPr>
          <w:p w14:paraId="766722D4">
            <w:pPr>
              <w:pStyle w:val="4"/>
              <w:ind w:firstLine="0"/>
              <w:jc w:val="left"/>
              <w:rPr>
                <w:rFonts w:hint="eastAsia" w:ascii="宋体" w:hAnsi="宋体"/>
                <w:b/>
                <w:color w:val="auto"/>
                <w:sz w:val="28"/>
                <w:szCs w:val="28"/>
                <w:highlight w:val="none"/>
              </w:rPr>
            </w:pPr>
          </w:p>
        </w:tc>
        <w:tc>
          <w:tcPr>
            <w:tcW w:w="850" w:type="dxa"/>
            <w:noWrap w:val="0"/>
            <w:vAlign w:val="top"/>
          </w:tcPr>
          <w:p w14:paraId="642AABD8">
            <w:pPr>
              <w:pStyle w:val="4"/>
              <w:ind w:firstLine="0"/>
              <w:jc w:val="left"/>
              <w:rPr>
                <w:rFonts w:hint="eastAsia" w:ascii="宋体" w:hAnsi="宋体"/>
                <w:b/>
                <w:color w:val="auto"/>
                <w:sz w:val="28"/>
                <w:szCs w:val="28"/>
                <w:highlight w:val="none"/>
              </w:rPr>
            </w:pPr>
          </w:p>
        </w:tc>
        <w:tc>
          <w:tcPr>
            <w:tcW w:w="1134" w:type="dxa"/>
            <w:noWrap w:val="0"/>
            <w:vAlign w:val="top"/>
          </w:tcPr>
          <w:p w14:paraId="425411B8">
            <w:pPr>
              <w:pStyle w:val="4"/>
              <w:ind w:firstLine="0"/>
              <w:jc w:val="left"/>
              <w:rPr>
                <w:rFonts w:hint="eastAsia" w:ascii="宋体" w:hAnsi="宋体"/>
                <w:b/>
                <w:color w:val="auto"/>
                <w:sz w:val="28"/>
                <w:szCs w:val="28"/>
                <w:highlight w:val="none"/>
              </w:rPr>
            </w:pPr>
          </w:p>
        </w:tc>
        <w:tc>
          <w:tcPr>
            <w:tcW w:w="1560" w:type="dxa"/>
            <w:noWrap w:val="0"/>
            <w:vAlign w:val="top"/>
          </w:tcPr>
          <w:p w14:paraId="3EFBE68D">
            <w:pPr>
              <w:pStyle w:val="4"/>
              <w:ind w:firstLine="0"/>
              <w:jc w:val="left"/>
              <w:rPr>
                <w:rFonts w:hint="eastAsia" w:ascii="宋体" w:hAnsi="宋体"/>
                <w:b/>
                <w:color w:val="auto"/>
                <w:sz w:val="28"/>
                <w:szCs w:val="28"/>
                <w:highlight w:val="none"/>
              </w:rPr>
            </w:pPr>
          </w:p>
        </w:tc>
        <w:tc>
          <w:tcPr>
            <w:tcW w:w="1701" w:type="dxa"/>
            <w:noWrap w:val="0"/>
            <w:vAlign w:val="top"/>
          </w:tcPr>
          <w:p w14:paraId="0EAEE280">
            <w:pPr>
              <w:pStyle w:val="4"/>
              <w:ind w:firstLine="0"/>
              <w:jc w:val="left"/>
              <w:rPr>
                <w:rFonts w:hint="eastAsia" w:ascii="宋体" w:hAnsi="宋体"/>
                <w:b/>
                <w:color w:val="auto"/>
                <w:sz w:val="28"/>
                <w:szCs w:val="28"/>
                <w:highlight w:val="none"/>
              </w:rPr>
            </w:pPr>
          </w:p>
        </w:tc>
        <w:tc>
          <w:tcPr>
            <w:tcW w:w="1984" w:type="dxa"/>
            <w:noWrap w:val="0"/>
            <w:vAlign w:val="top"/>
          </w:tcPr>
          <w:p w14:paraId="0F56C366">
            <w:pPr>
              <w:pStyle w:val="4"/>
              <w:ind w:firstLine="0"/>
              <w:jc w:val="left"/>
              <w:rPr>
                <w:rFonts w:hint="eastAsia" w:ascii="宋体" w:hAnsi="宋体"/>
                <w:b/>
                <w:color w:val="auto"/>
                <w:sz w:val="28"/>
                <w:szCs w:val="28"/>
                <w:highlight w:val="none"/>
              </w:rPr>
            </w:pPr>
          </w:p>
        </w:tc>
        <w:tc>
          <w:tcPr>
            <w:tcW w:w="987" w:type="dxa"/>
            <w:tcBorders>
              <w:right w:val="single" w:color="auto" w:sz="12" w:space="0"/>
            </w:tcBorders>
            <w:noWrap w:val="0"/>
            <w:vAlign w:val="top"/>
          </w:tcPr>
          <w:p w14:paraId="2E57A57D">
            <w:pPr>
              <w:pStyle w:val="4"/>
              <w:ind w:firstLine="0"/>
              <w:jc w:val="left"/>
              <w:rPr>
                <w:rFonts w:hint="eastAsia" w:ascii="宋体" w:hAnsi="宋体"/>
                <w:b/>
                <w:color w:val="auto"/>
                <w:sz w:val="28"/>
                <w:szCs w:val="28"/>
                <w:highlight w:val="none"/>
              </w:rPr>
            </w:pPr>
          </w:p>
        </w:tc>
      </w:tr>
      <w:tr w14:paraId="5720A9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Borders>
              <w:left w:val="single" w:color="auto" w:sz="12" w:space="0"/>
            </w:tcBorders>
            <w:noWrap w:val="0"/>
            <w:vAlign w:val="top"/>
          </w:tcPr>
          <w:p w14:paraId="6184642E">
            <w:pPr>
              <w:pStyle w:val="4"/>
              <w:ind w:firstLine="0"/>
              <w:jc w:val="left"/>
              <w:rPr>
                <w:rFonts w:hint="eastAsia" w:ascii="宋体" w:hAnsi="宋体"/>
                <w:b/>
                <w:color w:val="auto"/>
                <w:sz w:val="28"/>
                <w:szCs w:val="28"/>
                <w:highlight w:val="none"/>
              </w:rPr>
            </w:pPr>
          </w:p>
        </w:tc>
        <w:tc>
          <w:tcPr>
            <w:tcW w:w="850" w:type="dxa"/>
            <w:noWrap w:val="0"/>
            <w:vAlign w:val="top"/>
          </w:tcPr>
          <w:p w14:paraId="05F99602">
            <w:pPr>
              <w:pStyle w:val="4"/>
              <w:ind w:firstLine="0"/>
              <w:jc w:val="left"/>
              <w:rPr>
                <w:rFonts w:hint="eastAsia" w:ascii="宋体" w:hAnsi="宋体"/>
                <w:b/>
                <w:color w:val="auto"/>
                <w:sz w:val="28"/>
                <w:szCs w:val="28"/>
                <w:highlight w:val="none"/>
              </w:rPr>
            </w:pPr>
          </w:p>
        </w:tc>
        <w:tc>
          <w:tcPr>
            <w:tcW w:w="1134" w:type="dxa"/>
            <w:noWrap w:val="0"/>
            <w:vAlign w:val="top"/>
          </w:tcPr>
          <w:p w14:paraId="14DABA2E">
            <w:pPr>
              <w:pStyle w:val="4"/>
              <w:ind w:firstLine="0"/>
              <w:jc w:val="left"/>
              <w:rPr>
                <w:rFonts w:hint="eastAsia" w:ascii="宋体" w:hAnsi="宋体"/>
                <w:b/>
                <w:color w:val="auto"/>
                <w:sz w:val="28"/>
                <w:szCs w:val="28"/>
                <w:highlight w:val="none"/>
              </w:rPr>
            </w:pPr>
          </w:p>
        </w:tc>
        <w:tc>
          <w:tcPr>
            <w:tcW w:w="1560" w:type="dxa"/>
            <w:noWrap w:val="0"/>
            <w:vAlign w:val="top"/>
          </w:tcPr>
          <w:p w14:paraId="26FE2DDD">
            <w:pPr>
              <w:pStyle w:val="4"/>
              <w:ind w:firstLine="0"/>
              <w:jc w:val="left"/>
              <w:rPr>
                <w:rFonts w:hint="eastAsia" w:ascii="宋体" w:hAnsi="宋体"/>
                <w:b/>
                <w:color w:val="auto"/>
                <w:sz w:val="28"/>
                <w:szCs w:val="28"/>
                <w:highlight w:val="none"/>
              </w:rPr>
            </w:pPr>
          </w:p>
        </w:tc>
        <w:tc>
          <w:tcPr>
            <w:tcW w:w="1701" w:type="dxa"/>
            <w:noWrap w:val="0"/>
            <w:vAlign w:val="top"/>
          </w:tcPr>
          <w:p w14:paraId="7FF76472">
            <w:pPr>
              <w:pStyle w:val="4"/>
              <w:ind w:firstLine="0"/>
              <w:jc w:val="left"/>
              <w:rPr>
                <w:rFonts w:hint="eastAsia" w:ascii="宋体" w:hAnsi="宋体"/>
                <w:b/>
                <w:color w:val="auto"/>
                <w:sz w:val="28"/>
                <w:szCs w:val="28"/>
                <w:highlight w:val="none"/>
              </w:rPr>
            </w:pPr>
          </w:p>
        </w:tc>
        <w:tc>
          <w:tcPr>
            <w:tcW w:w="1984" w:type="dxa"/>
            <w:noWrap w:val="0"/>
            <w:vAlign w:val="top"/>
          </w:tcPr>
          <w:p w14:paraId="7F18A6D9">
            <w:pPr>
              <w:pStyle w:val="4"/>
              <w:ind w:firstLine="0"/>
              <w:jc w:val="left"/>
              <w:rPr>
                <w:rFonts w:hint="eastAsia" w:ascii="宋体" w:hAnsi="宋体"/>
                <w:b/>
                <w:color w:val="auto"/>
                <w:sz w:val="28"/>
                <w:szCs w:val="28"/>
                <w:highlight w:val="none"/>
              </w:rPr>
            </w:pPr>
          </w:p>
        </w:tc>
        <w:tc>
          <w:tcPr>
            <w:tcW w:w="987" w:type="dxa"/>
            <w:tcBorders>
              <w:right w:val="single" w:color="auto" w:sz="12" w:space="0"/>
            </w:tcBorders>
            <w:noWrap w:val="0"/>
            <w:vAlign w:val="top"/>
          </w:tcPr>
          <w:p w14:paraId="59635583">
            <w:pPr>
              <w:pStyle w:val="4"/>
              <w:ind w:firstLine="0"/>
              <w:jc w:val="left"/>
              <w:rPr>
                <w:rFonts w:hint="eastAsia" w:ascii="宋体" w:hAnsi="宋体"/>
                <w:b/>
                <w:color w:val="auto"/>
                <w:sz w:val="28"/>
                <w:szCs w:val="28"/>
                <w:highlight w:val="none"/>
              </w:rPr>
            </w:pPr>
          </w:p>
        </w:tc>
      </w:tr>
      <w:tr w14:paraId="45609C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75" w:type="dxa"/>
            <w:gridSpan w:val="7"/>
            <w:tcBorders>
              <w:left w:val="single" w:color="auto" w:sz="12" w:space="0"/>
              <w:right w:val="single" w:color="auto" w:sz="12" w:space="0"/>
            </w:tcBorders>
            <w:noWrap w:val="0"/>
            <w:vAlign w:val="top"/>
          </w:tcPr>
          <w:p w14:paraId="06EB2A22">
            <w:pPr>
              <w:pStyle w:val="4"/>
              <w:ind w:firstLine="0"/>
              <w:jc w:val="left"/>
              <w:rPr>
                <w:rFonts w:hint="eastAsia" w:ascii="宋体" w:hAnsi="宋体"/>
                <w:b/>
                <w:color w:val="auto"/>
                <w:sz w:val="28"/>
                <w:szCs w:val="28"/>
                <w:highlight w:val="none"/>
              </w:rPr>
            </w:pPr>
            <w:r>
              <w:rPr>
                <w:rFonts w:hint="eastAsia" w:ascii="宋体" w:hAnsi="宋体"/>
                <w:b/>
                <w:color w:val="auto"/>
                <w:sz w:val="28"/>
                <w:szCs w:val="28"/>
                <w:highlight w:val="none"/>
              </w:rPr>
              <w:t>3.技术人员</w:t>
            </w:r>
          </w:p>
        </w:tc>
      </w:tr>
      <w:tr w14:paraId="521AEC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Borders>
              <w:left w:val="single" w:color="auto" w:sz="12" w:space="0"/>
            </w:tcBorders>
            <w:noWrap w:val="0"/>
            <w:vAlign w:val="center"/>
          </w:tcPr>
          <w:p w14:paraId="2B46F07F">
            <w:pPr>
              <w:pStyle w:val="4"/>
              <w:ind w:firstLine="0"/>
              <w:jc w:val="center"/>
              <w:rPr>
                <w:rFonts w:hint="eastAsia" w:ascii="宋体" w:hAnsi="宋体"/>
                <w:color w:val="auto"/>
                <w:szCs w:val="21"/>
                <w:highlight w:val="none"/>
              </w:rPr>
            </w:pPr>
            <w:r>
              <w:rPr>
                <w:rFonts w:hint="eastAsia" w:ascii="宋体" w:hAnsi="宋体"/>
                <w:color w:val="auto"/>
                <w:szCs w:val="21"/>
                <w:highlight w:val="none"/>
              </w:rPr>
              <w:t>姓名</w:t>
            </w:r>
          </w:p>
        </w:tc>
        <w:tc>
          <w:tcPr>
            <w:tcW w:w="850" w:type="dxa"/>
            <w:noWrap w:val="0"/>
            <w:vAlign w:val="center"/>
          </w:tcPr>
          <w:p w14:paraId="1F1CCED7">
            <w:pPr>
              <w:pStyle w:val="4"/>
              <w:ind w:firstLine="0"/>
              <w:jc w:val="center"/>
              <w:rPr>
                <w:rFonts w:hint="eastAsia" w:ascii="宋体" w:hAnsi="宋体"/>
                <w:color w:val="auto"/>
                <w:szCs w:val="21"/>
                <w:highlight w:val="none"/>
              </w:rPr>
            </w:pPr>
            <w:r>
              <w:rPr>
                <w:rFonts w:hint="eastAsia" w:ascii="宋体" w:hAnsi="宋体"/>
                <w:color w:val="auto"/>
                <w:szCs w:val="21"/>
                <w:highlight w:val="none"/>
              </w:rPr>
              <w:t>年龄</w:t>
            </w:r>
          </w:p>
        </w:tc>
        <w:tc>
          <w:tcPr>
            <w:tcW w:w="1134" w:type="dxa"/>
            <w:noWrap w:val="0"/>
            <w:vAlign w:val="center"/>
          </w:tcPr>
          <w:p w14:paraId="28099C45">
            <w:pPr>
              <w:pStyle w:val="4"/>
              <w:ind w:firstLine="0"/>
              <w:jc w:val="center"/>
              <w:rPr>
                <w:rFonts w:hint="eastAsia" w:ascii="宋体" w:hAnsi="宋体"/>
                <w:color w:val="auto"/>
                <w:szCs w:val="21"/>
                <w:highlight w:val="none"/>
              </w:rPr>
            </w:pPr>
            <w:r>
              <w:rPr>
                <w:rFonts w:hint="eastAsia" w:ascii="宋体" w:hAnsi="宋体"/>
                <w:color w:val="auto"/>
                <w:szCs w:val="21"/>
                <w:highlight w:val="none"/>
              </w:rPr>
              <w:t>职务</w:t>
            </w:r>
          </w:p>
        </w:tc>
        <w:tc>
          <w:tcPr>
            <w:tcW w:w="1560" w:type="dxa"/>
            <w:noWrap w:val="0"/>
            <w:vAlign w:val="center"/>
          </w:tcPr>
          <w:p w14:paraId="10B0B4C4">
            <w:pPr>
              <w:pStyle w:val="4"/>
              <w:ind w:firstLine="0"/>
              <w:jc w:val="center"/>
              <w:rPr>
                <w:rFonts w:hint="eastAsia" w:ascii="宋体" w:hAnsi="宋体"/>
                <w:color w:val="auto"/>
                <w:szCs w:val="21"/>
                <w:highlight w:val="none"/>
              </w:rPr>
            </w:pPr>
            <w:r>
              <w:rPr>
                <w:rFonts w:hint="eastAsia" w:ascii="宋体" w:hAnsi="宋体"/>
                <w:color w:val="auto"/>
                <w:szCs w:val="21"/>
                <w:highlight w:val="none"/>
              </w:rPr>
              <w:t>资格/职称</w:t>
            </w:r>
          </w:p>
        </w:tc>
        <w:tc>
          <w:tcPr>
            <w:tcW w:w="1701" w:type="dxa"/>
            <w:noWrap w:val="0"/>
            <w:vAlign w:val="center"/>
          </w:tcPr>
          <w:p w14:paraId="45F6F7E5">
            <w:pPr>
              <w:pStyle w:val="4"/>
              <w:ind w:firstLine="0"/>
              <w:jc w:val="center"/>
              <w:rPr>
                <w:rFonts w:hint="eastAsia" w:ascii="宋体" w:hAnsi="宋体"/>
                <w:b/>
                <w:color w:val="auto"/>
                <w:szCs w:val="21"/>
                <w:highlight w:val="none"/>
              </w:rPr>
            </w:pPr>
            <w:r>
              <w:rPr>
                <w:rFonts w:hint="eastAsia" w:ascii="宋体" w:hAnsi="宋体"/>
                <w:color w:val="auto"/>
                <w:szCs w:val="21"/>
                <w:highlight w:val="none"/>
              </w:rPr>
              <w:t>在本行业从业 工作年限</w:t>
            </w:r>
          </w:p>
        </w:tc>
        <w:tc>
          <w:tcPr>
            <w:tcW w:w="1984" w:type="dxa"/>
            <w:noWrap w:val="0"/>
            <w:vAlign w:val="center"/>
          </w:tcPr>
          <w:p w14:paraId="63046EA4">
            <w:pPr>
              <w:pStyle w:val="4"/>
              <w:ind w:firstLine="0"/>
              <w:jc w:val="center"/>
              <w:rPr>
                <w:rFonts w:hint="eastAsia" w:ascii="宋体" w:hAnsi="宋体"/>
                <w:b/>
                <w:color w:val="auto"/>
                <w:szCs w:val="21"/>
                <w:highlight w:val="none"/>
              </w:rPr>
            </w:pPr>
            <w:r>
              <w:rPr>
                <w:rFonts w:hint="eastAsia" w:ascii="宋体" w:hAnsi="宋体"/>
                <w:color w:val="auto"/>
                <w:szCs w:val="21"/>
                <w:highlight w:val="none"/>
              </w:rPr>
              <w:t>主要工作业绩</w:t>
            </w:r>
          </w:p>
        </w:tc>
        <w:tc>
          <w:tcPr>
            <w:tcW w:w="987" w:type="dxa"/>
            <w:tcBorders>
              <w:right w:val="single" w:color="auto" w:sz="12" w:space="0"/>
            </w:tcBorders>
            <w:noWrap w:val="0"/>
            <w:vAlign w:val="center"/>
          </w:tcPr>
          <w:p w14:paraId="64BAA126">
            <w:pPr>
              <w:pStyle w:val="4"/>
              <w:ind w:firstLine="0"/>
              <w:jc w:val="center"/>
              <w:rPr>
                <w:rFonts w:hint="eastAsia" w:ascii="宋体" w:hAnsi="宋体"/>
                <w:color w:val="auto"/>
                <w:szCs w:val="21"/>
                <w:highlight w:val="none"/>
              </w:rPr>
            </w:pPr>
            <w:r>
              <w:rPr>
                <w:rFonts w:hint="eastAsia" w:ascii="宋体" w:hAnsi="宋体"/>
                <w:color w:val="auto"/>
                <w:szCs w:val="21"/>
                <w:highlight w:val="none"/>
              </w:rPr>
              <w:t>当前</w:t>
            </w:r>
          </w:p>
          <w:p w14:paraId="4183435A">
            <w:pPr>
              <w:pStyle w:val="4"/>
              <w:ind w:firstLine="0"/>
              <w:jc w:val="center"/>
              <w:rPr>
                <w:rFonts w:hint="eastAsia" w:ascii="宋体" w:hAnsi="宋体"/>
                <w:color w:val="auto"/>
                <w:szCs w:val="21"/>
                <w:highlight w:val="none"/>
              </w:rPr>
            </w:pPr>
            <w:r>
              <w:rPr>
                <w:rFonts w:hint="eastAsia" w:ascii="宋体" w:hAnsi="宋体"/>
                <w:color w:val="auto"/>
                <w:szCs w:val="21"/>
                <w:highlight w:val="none"/>
              </w:rPr>
              <w:t>分工</w:t>
            </w:r>
          </w:p>
        </w:tc>
      </w:tr>
      <w:tr w14:paraId="1D985B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Borders>
              <w:left w:val="single" w:color="auto" w:sz="12" w:space="0"/>
              <w:bottom w:val="single" w:color="auto" w:sz="4" w:space="0"/>
            </w:tcBorders>
            <w:noWrap w:val="0"/>
            <w:vAlign w:val="top"/>
          </w:tcPr>
          <w:p w14:paraId="23776900">
            <w:pPr>
              <w:pStyle w:val="4"/>
              <w:ind w:firstLine="0"/>
              <w:jc w:val="left"/>
              <w:rPr>
                <w:rFonts w:hint="eastAsia" w:ascii="宋体" w:hAnsi="宋体"/>
                <w:b/>
                <w:color w:val="auto"/>
                <w:sz w:val="28"/>
                <w:szCs w:val="28"/>
                <w:highlight w:val="none"/>
              </w:rPr>
            </w:pPr>
          </w:p>
        </w:tc>
        <w:tc>
          <w:tcPr>
            <w:tcW w:w="850" w:type="dxa"/>
            <w:tcBorders>
              <w:bottom w:val="single" w:color="auto" w:sz="4" w:space="0"/>
            </w:tcBorders>
            <w:noWrap w:val="0"/>
            <w:vAlign w:val="top"/>
          </w:tcPr>
          <w:p w14:paraId="64905790">
            <w:pPr>
              <w:pStyle w:val="4"/>
              <w:ind w:firstLine="0"/>
              <w:jc w:val="left"/>
              <w:rPr>
                <w:rFonts w:hint="eastAsia" w:ascii="宋体" w:hAnsi="宋体"/>
                <w:b/>
                <w:color w:val="auto"/>
                <w:sz w:val="28"/>
                <w:szCs w:val="28"/>
                <w:highlight w:val="none"/>
              </w:rPr>
            </w:pPr>
          </w:p>
        </w:tc>
        <w:tc>
          <w:tcPr>
            <w:tcW w:w="1134" w:type="dxa"/>
            <w:tcBorders>
              <w:bottom w:val="single" w:color="auto" w:sz="4" w:space="0"/>
            </w:tcBorders>
            <w:noWrap w:val="0"/>
            <w:vAlign w:val="top"/>
          </w:tcPr>
          <w:p w14:paraId="6562EFB2">
            <w:pPr>
              <w:pStyle w:val="4"/>
              <w:ind w:firstLine="0"/>
              <w:jc w:val="left"/>
              <w:rPr>
                <w:rFonts w:hint="eastAsia" w:ascii="宋体" w:hAnsi="宋体"/>
                <w:b/>
                <w:color w:val="auto"/>
                <w:sz w:val="28"/>
                <w:szCs w:val="28"/>
                <w:highlight w:val="none"/>
              </w:rPr>
            </w:pPr>
          </w:p>
        </w:tc>
        <w:tc>
          <w:tcPr>
            <w:tcW w:w="1560" w:type="dxa"/>
            <w:tcBorders>
              <w:bottom w:val="single" w:color="auto" w:sz="4" w:space="0"/>
            </w:tcBorders>
            <w:noWrap w:val="0"/>
            <w:vAlign w:val="top"/>
          </w:tcPr>
          <w:p w14:paraId="469D94A6">
            <w:pPr>
              <w:pStyle w:val="4"/>
              <w:ind w:firstLine="0"/>
              <w:jc w:val="left"/>
              <w:rPr>
                <w:rFonts w:hint="eastAsia" w:ascii="宋体" w:hAnsi="宋体"/>
                <w:b/>
                <w:color w:val="auto"/>
                <w:sz w:val="28"/>
                <w:szCs w:val="28"/>
                <w:highlight w:val="none"/>
              </w:rPr>
            </w:pPr>
          </w:p>
        </w:tc>
        <w:tc>
          <w:tcPr>
            <w:tcW w:w="1701" w:type="dxa"/>
            <w:tcBorders>
              <w:bottom w:val="single" w:color="auto" w:sz="4" w:space="0"/>
            </w:tcBorders>
            <w:noWrap w:val="0"/>
            <w:vAlign w:val="top"/>
          </w:tcPr>
          <w:p w14:paraId="341A6C8B">
            <w:pPr>
              <w:pStyle w:val="4"/>
              <w:ind w:firstLine="0"/>
              <w:jc w:val="left"/>
              <w:rPr>
                <w:rFonts w:hint="eastAsia" w:ascii="宋体" w:hAnsi="宋体"/>
                <w:b/>
                <w:color w:val="auto"/>
                <w:sz w:val="28"/>
                <w:szCs w:val="28"/>
                <w:highlight w:val="none"/>
              </w:rPr>
            </w:pPr>
          </w:p>
        </w:tc>
        <w:tc>
          <w:tcPr>
            <w:tcW w:w="1984" w:type="dxa"/>
            <w:tcBorders>
              <w:bottom w:val="single" w:color="auto" w:sz="4" w:space="0"/>
            </w:tcBorders>
            <w:noWrap w:val="0"/>
            <w:vAlign w:val="top"/>
          </w:tcPr>
          <w:p w14:paraId="77E0CBA2">
            <w:pPr>
              <w:pStyle w:val="4"/>
              <w:ind w:firstLine="0"/>
              <w:jc w:val="left"/>
              <w:rPr>
                <w:rFonts w:hint="eastAsia" w:ascii="宋体" w:hAnsi="宋体"/>
                <w:b/>
                <w:color w:val="auto"/>
                <w:sz w:val="28"/>
                <w:szCs w:val="28"/>
                <w:highlight w:val="none"/>
              </w:rPr>
            </w:pPr>
          </w:p>
        </w:tc>
        <w:tc>
          <w:tcPr>
            <w:tcW w:w="987" w:type="dxa"/>
            <w:tcBorders>
              <w:bottom w:val="single" w:color="auto" w:sz="4" w:space="0"/>
              <w:right w:val="single" w:color="auto" w:sz="12" w:space="0"/>
            </w:tcBorders>
            <w:noWrap w:val="0"/>
            <w:vAlign w:val="top"/>
          </w:tcPr>
          <w:p w14:paraId="22DBD548">
            <w:pPr>
              <w:pStyle w:val="4"/>
              <w:ind w:firstLine="0"/>
              <w:jc w:val="left"/>
              <w:rPr>
                <w:rFonts w:hint="eastAsia" w:ascii="宋体" w:hAnsi="宋体"/>
                <w:b/>
                <w:color w:val="auto"/>
                <w:sz w:val="28"/>
                <w:szCs w:val="28"/>
                <w:highlight w:val="none"/>
              </w:rPr>
            </w:pPr>
          </w:p>
        </w:tc>
      </w:tr>
      <w:tr w14:paraId="29B97B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Borders>
              <w:left w:val="single" w:color="auto" w:sz="12" w:space="0"/>
              <w:bottom w:val="single" w:color="auto" w:sz="4" w:space="0"/>
            </w:tcBorders>
            <w:noWrap w:val="0"/>
            <w:vAlign w:val="top"/>
          </w:tcPr>
          <w:p w14:paraId="0C8E5A64">
            <w:pPr>
              <w:pStyle w:val="4"/>
              <w:ind w:firstLine="0"/>
              <w:jc w:val="left"/>
              <w:rPr>
                <w:rFonts w:hint="eastAsia" w:ascii="宋体" w:hAnsi="宋体"/>
                <w:b/>
                <w:color w:val="auto"/>
                <w:sz w:val="28"/>
                <w:szCs w:val="28"/>
                <w:highlight w:val="none"/>
              </w:rPr>
            </w:pPr>
          </w:p>
        </w:tc>
        <w:tc>
          <w:tcPr>
            <w:tcW w:w="850" w:type="dxa"/>
            <w:tcBorders>
              <w:bottom w:val="single" w:color="auto" w:sz="4" w:space="0"/>
            </w:tcBorders>
            <w:noWrap w:val="0"/>
            <w:vAlign w:val="top"/>
          </w:tcPr>
          <w:p w14:paraId="6D2F5219">
            <w:pPr>
              <w:pStyle w:val="4"/>
              <w:ind w:firstLine="0"/>
              <w:jc w:val="left"/>
              <w:rPr>
                <w:rFonts w:hint="eastAsia" w:ascii="宋体" w:hAnsi="宋体"/>
                <w:b/>
                <w:color w:val="auto"/>
                <w:sz w:val="28"/>
                <w:szCs w:val="28"/>
                <w:highlight w:val="none"/>
              </w:rPr>
            </w:pPr>
          </w:p>
        </w:tc>
        <w:tc>
          <w:tcPr>
            <w:tcW w:w="1134" w:type="dxa"/>
            <w:tcBorders>
              <w:bottom w:val="single" w:color="auto" w:sz="4" w:space="0"/>
            </w:tcBorders>
            <w:noWrap w:val="0"/>
            <w:vAlign w:val="top"/>
          </w:tcPr>
          <w:p w14:paraId="354386D3">
            <w:pPr>
              <w:pStyle w:val="4"/>
              <w:ind w:firstLine="0"/>
              <w:jc w:val="left"/>
              <w:rPr>
                <w:rFonts w:hint="eastAsia" w:ascii="宋体" w:hAnsi="宋体"/>
                <w:b/>
                <w:color w:val="auto"/>
                <w:sz w:val="28"/>
                <w:szCs w:val="28"/>
                <w:highlight w:val="none"/>
              </w:rPr>
            </w:pPr>
          </w:p>
        </w:tc>
        <w:tc>
          <w:tcPr>
            <w:tcW w:w="1560" w:type="dxa"/>
            <w:tcBorders>
              <w:bottom w:val="single" w:color="auto" w:sz="4" w:space="0"/>
            </w:tcBorders>
            <w:noWrap w:val="0"/>
            <w:vAlign w:val="top"/>
          </w:tcPr>
          <w:p w14:paraId="06F9911F">
            <w:pPr>
              <w:pStyle w:val="4"/>
              <w:ind w:firstLine="0"/>
              <w:jc w:val="left"/>
              <w:rPr>
                <w:rFonts w:hint="eastAsia" w:ascii="宋体" w:hAnsi="宋体"/>
                <w:b/>
                <w:color w:val="auto"/>
                <w:sz w:val="28"/>
                <w:szCs w:val="28"/>
                <w:highlight w:val="none"/>
              </w:rPr>
            </w:pPr>
          </w:p>
        </w:tc>
        <w:tc>
          <w:tcPr>
            <w:tcW w:w="1701" w:type="dxa"/>
            <w:tcBorders>
              <w:bottom w:val="single" w:color="auto" w:sz="4" w:space="0"/>
            </w:tcBorders>
            <w:noWrap w:val="0"/>
            <w:vAlign w:val="top"/>
          </w:tcPr>
          <w:p w14:paraId="1154F6E5">
            <w:pPr>
              <w:pStyle w:val="4"/>
              <w:ind w:firstLine="0"/>
              <w:jc w:val="left"/>
              <w:rPr>
                <w:rFonts w:hint="eastAsia" w:ascii="宋体" w:hAnsi="宋体"/>
                <w:b/>
                <w:color w:val="auto"/>
                <w:sz w:val="28"/>
                <w:szCs w:val="28"/>
                <w:highlight w:val="none"/>
              </w:rPr>
            </w:pPr>
          </w:p>
        </w:tc>
        <w:tc>
          <w:tcPr>
            <w:tcW w:w="1984" w:type="dxa"/>
            <w:tcBorders>
              <w:bottom w:val="single" w:color="auto" w:sz="4" w:space="0"/>
            </w:tcBorders>
            <w:noWrap w:val="0"/>
            <w:vAlign w:val="top"/>
          </w:tcPr>
          <w:p w14:paraId="7EAF0EFB">
            <w:pPr>
              <w:pStyle w:val="4"/>
              <w:ind w:firstLine="0"/>
              <w:jc w:val="left"/>
              <w:rPr>
                <w:rFonts w:hint="eastAsia" w:ascii="宋体" w:hAnsi="宋体"/>
                <w:b/>
                <w:color w:val="auto"/>
                <w:sz w:val="28"/>
                <w:szCs w:val="28"/>
                <w:highlight w:val="none"/>
              </w:rPr>
            </w:pPr>
          </w:p>
        </w:tc>
        <w:tc>
          <w:tcPr>
            <w:tcW w:w="987" w:type="dxa"/>
            <w:tcBorders>
              <w:bottom w:val="single" w:color="auto" w:sz="4" w:space="0"/>
              <w:right w:val="single" w:color="auto" w:sz="12" w:space="0"/>
            </w:tcBorders>
            <w:noWrap w:val="0"/>
            <w:vAlign w:val="top"/>
          </w:tcPr>
          <w:p w14:paraId="6225626C">
            <w:pPr>
              <w:pStyle w:val="4"/>
              <w:ind w:firstLine="0"/>
              <w:jc w:val="left"/>
              <w:rPr>
                <w:rFonts w:hint="eastAsia" w:ascii="宋体" w:hAnsi="宋体"/>
                <w:b/>
                <w:color w:val="auto"/>
                <w:sz w:val="28"/>
                <w:szCs w:val="28"/>
                <w:highlight w:val="none"/>
              </w:rPr>
            </w:pPr>
          </w:p>
        </w:tc>
      </w:tr>
      <w:tr w14:paraId="7CC474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Borders>
              <w:left w:val="single" w:color="auto" w:sz="12" w:space="0"/>
              <w:bottom w:val="single" w:color="auto" w:sz="4" w:space="0"/>
            </w:tcBorders>
            <w:noWrap w:val="0"/>
            <w:vAlign w:val="top"/>
          </w:tcPr>
          <w:p w14:paraId="0611BBD5">
            <w:pPr>
              <w:pStyle w:val="4"/>
              <w:ind w:firstLine="0"/>
              <w:jc w:val="left"/>
              <w:rPr>
                <w:rFonts w:hint="eastAsia" w:ascii="宋体" w:hAnsi="宋体"/>
                <w:b/>
                <w:color w:val="auto"/>
                <w:sz w:val="28"/>
                <w:szCs w:val="28"/>
                <w:highlight w:val="none"/>
              </w:rPr>
            </w:pPr>
          </w:p>
        </w:tc>
        <w:tc>
          <w:tcPr>
            <w:tcW w:w="850" w:type="dxa"/>
            <w:tcBorders>
              <w:bottom w:val="single" w:color="auto" w:sz="4" w:space="0"/>
            </w:tcBorders>
            <w:noWrap w:val="0"/>
            <w:vAlign w:val="top"/>
          </w:tcPr>
          <w:p w14:paraId="17E904C3">
            <w:pPr>
              <w:pStyle w:val="4"/>
              <w:ind w:firstLine="0"/>
              <w:jc w:val="left"/>
              <w:rPr>
                <w:rFonts w:hint="eastAsia" w:ascii="宋体" w:hAnsi="宋体"/>
                <w:b/>
                <w:color w:val="auto"/>
                <w:sz w:val="28"/>
                <w:szCs w:val="28"/>
                <w:highlight w:val="none"/>
              </w:rPr>
            </w:pPr>
          </w:p>
        </w:tc>
        <w:tc>
          <w:tcPr>
            <w:tcW w:w="1134" w:type="dxa"/>
            <w:tcBorders>
              <w:bottom w:val="single" w:color="auto" w:sz="4" w:space="0"/>
            </w:tcBorders>
            <w:noWrap w:val="0"/>
            <w:vAlign w:val="top"/>
          </w:tcPr>
          <w:p w14:paraId="541A2873">
            <w:pPr>
              <w:pStyle w:val="4"/>
              <w:ind w:firstLine="0"/>
              <w:jc w:val="left"/>
              <w:rPr>
                <w:rFonts w:hint="eastAsia" w:ascii="宋体" w:hAnsi="宋体"/>
                <w:b/>
                <w:color w:val="auto"/>
                <w:sz w:val="28"/>
                <w:szCs w:val="28"/>
                <w:highlight w:val="none"/>
              </w:rPr>
            </w:pPr>
          </w:p>
        </w:tc>
        <w:tc>
          <w:tcPr>
            <w:tcW w:w="1560" w:type="dxa"/>
            <w:tcBorders>
              <w:bottom w:val="single" w:color="auto" w:sz="4" w:space="0"/>
            </w:tcBorders>
            <w:noWrap w:val="0"/>
            <w:vAlign w:val="top"/>
          </w:tcPr>
          <w:p w14:paraId="167E84B7">
            <w:pPr>
              <w:pStyle w:val="4"/>
              <w:ind w:firstLine="0"/>
              <w:jc w:val="left"/>
              <w:rPr>
                <w:rFonts w:hint="eastAsia" w:ascii="宋体" w:hAnsi="宋体"/>
                <w:b/>
                <w:color w:val="auto"/>
                <w:sz w:val="28"/>
                <w:szCs w:val="28"/>
                <w:highlight w:val="none"/>
              </w:rPr>
            </w:pPr>
          </w:p>
        </w:tc>
        <w:tc>
          <w:tcPr>
            <w:tcW w:w="1701" w:type="dxa"/>
            <w:tcBorders>
              <w:bottom w:val="single" w:color="auto" w:sz="4" w:space="0"/>
            </w:tcBorders>
            <w:noWrap w:val="0"/>
            <w:vAlign w:val="top"/>
          </w:tcPr>
          <w:p w14:paraId="1A65B904">
            <w:pPr>
              <w:pStyle w:val="4"/>
              <w:ind w:firstLine="0"/>
              <w:jc w:val="left"/>
              <w:rPr>
                <w:rFonts w:hint="eastAsia" w:ascii="宋体" w:hAnsi="宋体"/>
                <w:b/>
                <w:color w:val="auto"/>
                <w:sz w:val="28"/>
                <w:szCs w:val="28"/>
                <w:highlight w:val="none"/>
              </w:rPr>
            </w:pPr>
          </w:p>
        </w:tc>
        <w:tc>
          <w:tcPr>
            <w:tcW w:w="1984" w:type="dxa"/>
            <w:tcBorders>
              <w:bottom w:val="single" w:color="auto" w:sz="4" w:space="0"/>
            </w:tcBorders>
            <w:noWrap w:val="0"/>
            <w:vAlign w:val="top"/>
          </w:tcPr>
          <w:p w14:paraId="5F4D55FF">
            <w:pPr>
              <w:pStyle w:val="4"/>
              <w:ind w:firstLine="0"/>
              <w:jc w:val="left"/>
              <w:rPr>
                <w:rFonts w:hint="eastAsia" w:ascii="宋体" w:hAnsi="宋体"/>
                <w:b/>
                <w:color w:val="auto"/>
                <w:sz w:val="28"/>
                <w:szCs w:val="28"/>
                <w:highlight w:val="none"/>
              </w:rPr>
            </w:pPr>
          </w:p>
        </w:tc>
        <w:tc>
          <w:tcPr>
            <w:tcW w:w="987" w:type="dxa"/>
            <w:tcBorders>
              <w:bottom w:val="single" w:color="auto" w:sz="4" w:space="0"/>
              <w:right w:val="single" w:color="auto" w:sz="12" w:space="0"/>
            </w:tcBorders>
            <w:noWrap w:val="0"/>
            <w:vAlign w:val="top"/>
          </w:tcPr>
          <w:p w14:paraId="792F2ADF">
            <w:pPr>
              <w:pStyle w:val="4"/>
              <w:ind w:firstLine="0"/>
              <w:jc w:val="left"/>
              <w:rPr>
                <w:rFonts w:hint="eastAsia" w:ascii="宋体" w:hAnsi="宋体"/>
                <w:b/>
                <w:color w:val="auto"/>
                <w:sz w:val="28"/>
                <w:szCs w:val="28"/>
                <w:highlight w:val="none"/>
              </w:rPr>
            </w:pPr>
          </w:p>
        </w:tc>
      </w:tr>
      <w:tr w14:paraId="2948B2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Borders>
              <w:left w:val="single" w:color="auto" w:sz="12" w:space="0"/>
              <w:bottom w:val="single" w:color="auto" w:sz="12" w:space="0"/>
            </w:tcBorders>
            <w:noWrap w:val="0"/>
            <w:vAlign w:val="top"/>
          </w:tcPr>
          <w:p w14:paraId="2FAA45D2">
            <w:pPr>
              <w:pStyle w:val="4"/>
              <w:ind w:firstLine="0"/>
              <w:jc w:val="left"/>
              <w:rPr>
                <w:rFonts w:hint="eastAsia" w:ascii="宋体" w:hAnsi="宋体"/>
                <w:b/>
                <w:color w:val="auto"/>
                <w:sz w:val="28"/>
                <w:szCs w:val="28"/>
                <w:highlight w:val="none"/>
              </w:rPr>
            </w:pPr>
          </w:p>
        </w:tc>
        <w:tc>
          <w:tcPr>
            <w:tcW w:w="850" w:type="dxa"/>
            <w:tcBorders>
              <w:bottom w:val="single" w:color="auto" w:sz="12" w:space="0"/>
            </w:tcBorders>
            <w:noWrap w:val="0"/>
            <w:vAlign w:val="top"/>
          </w:tcPr>
          <w:p w14:paraId="12ECB75C">
            <w:pPr>
              <w:pStyle w:val="4"/>
              <w:ind w:firstLine="0"/>
              <w:jc w:val="left"/>
              <w:rPr>
                <w:rFonts w:hint="eastAsia" w:ascii="宋体" w:hAnsi="宋体"/>
                <w:b/>
                <w:color w:val="auto"/>
                <w:sz w:val="28"/>
                <w:szCs w:val="28"/>
                <w:highlight w:val="none"/>
              </w:rPr>
            </w:pPr>
          </w:p>
        </w:tc>
        <w:tc>
          <w:tcPr>
            <w:tcW w:w="1134" w:type="dxa"/>
            <w:tcBorders>
              <w:bottom w:val="single" w:color="auto" w:sz="12" w:space="0"/>
            </w:tcBorders>
            <w:noWrap w:val="0"/>
            <w:vAlign w:val="top"/>
          </w:tcPr>
          <w:p w14:paraId="4AB46BD2">
            <w:pPr>
              <w:pStyle w:val="4"/>
              <w:ind w:firstLine="0"/>
              <w:jc w:val="left"/>
              <w:rPr>
                <w:rFonts w:hint="eastAsia" w:ascii="宋体" w:hAnsi="宋体"/>
                <w:b/>
                <w:color w:val="auto"/>
                <w:sz w:val="28"/>
                <w:szCs w:val="28"/>
                <w:highlight w:val="none"/>
              </w:rPr>
            </w:pPr>
          </w:p>
        </w:tc>
        <w:tc>
          <w:tcPr>
            <w:tcW w:w="1560" w:type="dxa"/>
            <w:tcBorders>
              <w:bottom w:val="single" w:color="auto" w:sz="12" w:space="0"/>
            </w:tcBorders>
            <w:noWrap w:val="0"/>
            <w:vAlign w:val="top"/>
          </w:tcPr>
          <w:p w14:paraId="33D12194">
            <w:pPr>
              <w:pStyle w:val="4"/>
              <w:ind w:firstLine="0"/>
              <w:jc w:val="left"/>
              <w:rPr>
                <w:rFonts w:hint="eastAsia" w:ascii="宋体" w:hAnsi="宋体"/>
                <w:b/>
                <w:color w:val="auto"/>
                <w:sz w:val="28"/>
                <w:szCs w:val="28"/>
                <w:highlight w:val="none"/>
              </w:rPr>
            </w:pPr>
          </w:p>
        </w:tc>
        <w:tc>
          <w:tcPr>
            <w:tcW w:w="1701" w:type="dxa"/>
            <w:tcBorders>
              <w:bottom w:val="single" w:color="auto" w:sz="12" w:space="0"/>
            </w:tcBorders>
            <w:noWrap w:val="0"/>
            <w:vAlign w:val="top"/>
          </w:tcPr>
          <w:p w14:paraId="23DE5037">
            <w:pPr>
              <w:pStyle w:val="4"/>
              <w:ind w:firstLine="0"/>
              <w:jc w:val="left"/>
              <w:rPr>
                <w:rFonts w:hint="eastAsia" w:ascii="宋体" w:hAnsi="宋体"/>
                <w:b/>
                <w:color w:val="auto"/>
                <w:sz w:val="28"/>
                <w:szCs w:val="28"/>
                <w:highlight w:val="none"/>
              </w:rPr>
            </w:pPr>
          </w:p>
        </w:tc>
        <w:tc>
          <w:tcPr>
            <w:tcW w:w="1984" w:type="dxa"/>
            <w:tcBorders>
              <w:bottom w:val="single" w:color="auto" w:sz="12" w:space="0"/>
            </w:tcBorders>
            <w:noWrap w:val="0"/>
            <w:vAlign w:val="top"/>
          </w:tcPr>
          <w:p w14:paraId="539F76D7">
            <w:pPr>
              <w:pStyle w:val="4"/>
              <w:ind w:firstLine="0"/>
              <w:jc w:val="left"/>
              <w:rPr>
                <w:rFonts w:hint="eastAsia" w:ascii="宋体" w:hAnsi="宋体"/>
                <w:b/>
                <w:color w:val="auto"/>
                <w:sz w:val="28"/>
                <w:szCs w:val="28"/>
                <w:highlight w:val="none"/>
              </w:rPr>
            </w:pPr>
          </w:p>
        </w:tc>
        <w:tc>
          <w:tcPr>
            <w:tcW w:w="987" w:type="dxa"/>
            <w:tcBorders>
              <w:bottom w:val="single" w:color="auto" w:sz="12" w:space="0"/>
              <w:right w:val="single" w:color="auto" w:sz="12" w:space="0"/>
            </w:tcBorders>
            <w:noWrap w:val="0"/>
            <w:vAlign w:val="top"/>
          </w:tcPr>
          <w:p w14:paraId="451E51E9">
            <w:pPr>
              <w:pStyle w:val="4"/>
              <w:ind w:firstLine="0"/>
              <w:jc w:val="left"/>
              <w:rPr>
                <w:rFonts w:hint="eastAsia" w:ascii="宋体" w:hAnsi="宋体"/>
                <w:b/>
                <w:color w:val="auto"/>
                <w:sz w:val="28"/>
                <w:szCs w:val="28"/>
                <w:highlight w:val="none"/>
              </w:rPr>
            </w:pPr>
          </w:p>
        </w:tc>
      </w:tr>
      <w:tr w14:paraId="264EC4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trPr>
        <w:tc>
          <w:tcPr>
            <w:tcW w:w="9175" w:type="dxa"/>
            <w:gridSpan w:val="7"/>
            <w:tcBorders>
              <w:top w:val="single" w:color="auto" w:sz="12" w:space="0"/>
              <w:left w:val="single" w:color="auto" w:sz="12" w:space="0"/>
              <w:right w:val="single" w:color="auto" w:sz="12" w:space="0"/>
            </w:tcBorders>
            <w:noWrap w:val="0"/>
            <w:vAlign w:val="center"/>
          </w:tcPr>
          <w:p w14:paraId="05A545DD">
            <w:pPr>
              <w:pStyle w:val="4"/>
              <w:ind w:firstLine="0"/>
              <w:rPr>
                <w:rFonts w:hint="eastAsia" w:ascii="宋体" w:hAnsi="宋体"/>
                <w:b/>
                <w:color w:val="auto"/>
                <w:sz w:val="28"/>
                <w:szCs w:val="28"/>
                <w:highlight w:val="none"/>
              </w:rPr>
            </w:pPr>
            <w:r>
              <w:rPr>
                <w:rFonts w:hint="eastAsia" w:ascii="宋体" w:hAnsi="宋体"/>
                <w:b/>
                <w:color w:val="auto"/>
                <w:sz w:val="28"/>
                <w:szCs w:val="28"/>
                <w:highlight w:val="none"/>
              </w:rPr>
              <w:t>3.辅助人员</w:t>
            </w:r>
          </w:p>
        </w:tc>
      </w:tr>
      <w:tr w14:paraId="6746ED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Borders>
              <w:left w:val="single" w:color="auto" w:sz="12" w:space="0"/>
            </w:tcBorders>
            <w:noWrap w:val="0"/>
            <w:vAlign w:val="center"/>
          </w:tcPr>
          <w:p w14:paraId="5E6E68FC">
            <w:pPr>
              <w:pStyle w:val="4"/>
              <w:ind w:firstLine="0"/>
              <w:jc w:val="center"/>
              <w:rPr>
                <w:rFonts w:hint="eastAsia" w:ascii="宋体" w:hAnsi="宋体"/>
                <w:color w:val="auto"/>
                <w:szCs w:val="21"/>
                <w:highlight w:val="none"/>
              </w:rPr>
            </w:pPr>
            <w:r>
              <w:rPr>
                <w:rFonts w:hint="eastAsia" w:ascii="宋体" w:hAnsi="宋体"/>
                <w:color w:val="auto"/>
                <w:szCs w:val="21"/>
                <w:highlight w:val="none"/>
              </w:rPr>
              <w:t>姓名</w:t>
            </w:r>
          </w:p>
        </w:tc>
        <w:tc>
          <w:tcPr>
            <w:tcW w:w="850" w:type="dxa"/>
            <w:noWrap w:val="0"/>
            <w:vAlign w:val="center"/>
          </w:tcPr>
          <w:p w14:paraId="194F74DE">
            <w:pPr>
              <w:pStyle w:val="4"/>
              <w:ind w:firstLine="0"/>
              <w:jc w:val="center"/>
              <w:rPr>
                <w:rFonts w:hint="eastAsia" w:ascii="宋体" w:hAnsi="宋体"/>
                <w:color w:val="auto"/>
                <w:szCs w:val="21"/>
                <w:highlight w:val="none"/>
              </w:rPr>
            </w:pPr>
            <w:r>
              <w:rPr>
                <w:rFonts w:hint="eastAsia" w:ascii="宋体" w:hAnsi="宋体"/>
                <w:color w:val="auto"/>
                <w:szCs w:val="21"/>
                <w:highlight w:val="none"/>
              </w:rPr>
              <w:t>年龄</w:t>
            </w:r>
          </w:p>
        </w:tc>
        <w:tc>
          <w:tcPr>
            <w:tcW w:w="1134" w:type="dxa"/>
            <w:noWrap w:val="0"/>
            <w:vAlign w:val="center"/>
          </w:tcPr>
          <w:p w14:paraId="5A19E8AC">
            <w:pPr>
              <w:pStyle w:val="4"/>
              <w:ind w:firstLine="0"/>
              <w:jc w:val="center"/>
              <w:rPr>
                <w:rFonts w:hint="eastAsia" w:ascii="宋体" w:hAnsi="宋体"/>
                <w:color w:val="auto"/>
                <w:szCs w:val="21"/>
                <w:highlight w:val="none"/>
              </w:rPr>
            </w:pPr>
            <w:r>
              <w:rPr>
                <w:rFonts w:hint="eastAsia" w:ascii="宋体" w:hAnsi="宋体"/>
                <w:color w:val="auto"/>
                <w:szCs w:val="21"/>
                <w:highlight w:val="none"/>
              </w:rPr>
              <w:t>职务</w:t>
            </w:r>
          </w:p>
        </w:tc>
        <w:tc>
          <w:tcPr>
            <w:tcW w:w="1560" w:type="dxa"/>
            <w:noWrap w:val="0"/>
            <w:vAlign w:val="center"/>
          </w:tcPr>
          <w:p w14:paraId="0AEA749F">
            <w:pPr>
              <w:pStyle w:val="4"/>
              <w:ind w:firstLine="0"/>
              <w:jc w:val="center"/>
              <w:rPr>
                <w:rFonts w:hint="eastAsia" w:ascii="宋体" w:hAnsi="宋体"/>
                <w:color w:val="auto"/>
                <w:szCs w:val="21"/>
                <w:highlight w:val="none"/>
              </w:rPr>
            </w:pPr>
            <w:r>
              <w:rPr>
                <w:rFonts w:hint="eastAsia" w:ascii="宋体" w:hAnsi="宋体"/>
                <w:color w:val="auto"/>
                <w:szCs w:val="21"/>
                <w:highlight w:val="none"/>
              </w:rPr>
              <w:t>资格/职称</w:t>
            </w:r>
          </w:p>
        </w:tc>
        <w:tc>
          <w:tcPr>
            <w:tcW w:w="1701" w:type="dxa"/>
            <w:noWrap w:val="0"/>
            <w:vAlign w:val="center"/>
          </w:tcPr>
          <w:p w14:paraId="5E6C6748">
            <w:pPr>
              <w:pStyle w:val="4"/>
              <w:ind w:firstLine="0"/>
              <w:jc w:val="center"/>
              <w:rPr>
                <w:rFonts w:hint="eastAsia" w:ascii="宋体" w:hAnsi="宋体"/>
                <w:b/>
                <w:color w:val="auto"/>
                <w:szCs w:val="21"/>
                <w:highlight w:val="none"/>
              </w:rPr>
            </w:pPr>
            <w:r>
              <w:rPr>
                <w:rFonts w:hint="eastAsia" w:ascii="宋体" w:hAnsi="宋体"/>
                <w:color w:val="auto"/>
                <w:szCs w:val="21"/>
                <w:highlight w:val="none"/>
              </w:rPr>
              <w:t>在本行业从业 工作年限</w:t>
            </w:r>
          </w:p>
        </w:tc>
        <w:tc>
          <w:tcPr>
            <w:tcW w:w="1984" w:type="dxa"/>
            <w:noWrap w:val="0"/>
            <w:vAlign w:val="center"/>
          </w:tcPr>
          <w:p w14:paraId="7525071C">
            <w:pPr>
              <w:pStyle w:val="4"/>
              <w:ind w:firstLine="0"/>
              <w:jc w:val="center"/>
              <w:rPr>
                <w:rFonts w:hint="eastAsia" w:ascii="宋体" w:hAnsi="宋体"/>
                <w:b/>
                <w:color w:val="auto"/>
                <w:szCs w:val="21"/>
                <w:highlight w:val="none"/>
              </w:rPr>
            </w:pPr>
            <w:r>
              <w:rPr>
                <w:rFonts w:hint="eastAsia" w:ascii="宋体" w:hAnsi="宋体"/>
                <w:color w:val="auto"/>
                <w:szCs w:val="21"/>
                <w:highlight w:val="none"/>
              </w:rPr>
              <w:t>主要工作业绩</w:t>
            </w:r>
          </w:p>
        </w:tc>
        <w:tc>
          <w:tcPr>
            <w:tcW w:w="987" w:type="dxa"/>
            <w:tcBorders>
              <w:right w:val="single" w:color="auto" w:sz="12" w:space="0"/>
            </w:tcBorders>
            <w:noWrap w:val="0"/>
            <w:vAlign w:val="center"/>
          </w:tcPr>
          <w:p w14:paraId="3C1AB2AC">
            <w:pPr>
              <w:pStyle w:val="4"/>
              <w:ind w:firstLine="0"/>
              <w:jc w:val="center"/>
              <w:rPr>
                <w:rFonts w:hint="eastAsia" w:ascii="宋体" w:hAnsi="宋体"/>
                <w:color w:val="auto"/>
                <w:szCs w:val="21"/>
                <w:highlight w:val="none"/>
              </w:rPr>
            </w:pPr>
            <w:r>
              <w:rPr>
                <w:rFonts w:hint="eastAsia" w:ascii="宋体" w:hAnsi="宋体"/>
                <w:color w:val="auto"/>
                <w:szCs w:val="21"/>
                <w:highlight w:val="none"/>
              </w:rPr>
              <w:t>当前</w:t>
            </w:r>
          </w:p>
          <w:p w14:paraId="5DAF765F">
            <w:pPr>
              <w:pStyle w:val="4"/>
              <w:ind w:firstLine="0"/>
              <w:jc w:val="center"/>
              <w:rPr>
                <w:rFonts w:hint="eastAsia" w:ascii="宋体" w:hAnsi="宋体"/>
                <w:color w:val="auto"/>
                <w:szCs w:val="21"/>
                <w:highlight w:val="none"/>
              </w:rPr>
            </w:pPr>
            <w:r>
              <w:rPr>
                <w:rFonts w:hint="eastAsia" w:ascii="宋体" w:hAnsi="宋体"/>
                <w:color w:val="auto"/>
                <w:szCs w:val="21"/>
                <w:highlight w:val="none"/>
              </w:rPr>
              <w:t>分工</w:t>
            </w:r>
          </w:p>
        </w:tc>
      </w:tr>
      <w:tr w14:paraId="2AE7A9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Borders>
              <w:left w:val="single" w:color="auto" w:sz="12" w:space="0"/>
            </w:tcBorders>
            <w:noWrap w:val="0"/>
            <w:vAlign w:val="top"/>
          </w:tcPr>
          <w:p w14:paraId="53397DBB">
            <w:pPr>
              <w:pStyle w:val="4"/>
              <w:ind w:firstLine="0"/>
              <w:jc w:val="left"/>
              <w:rPr>
                <w:rFonts w:hint="eastAsia" w:ascii="宋体" w:hAnsi="宋体"/>
                <w:b/>
                <w:color w:val="auto"/>
                <w:sz w:val="28"/>
                <w:szCs w:val="28"/>
                <w:highlight w:val="none"/>
              </w:rPr>
            </w:pPr>
          </w:p>
        </w:tc>
        <w:tc>
          <w:tcPr>
            <w:tcW w:w="850" w:type="dxa"/>
            <w:noWrap w:val="0"/>
            <w:vAlign w:val="top"/>
          </w:tcPr>
          <w:p w14:paraId="338172AD">
            <w:pPr>
              <w:pStyle w:val="4"/>
              <w:ind w:firstLine="0"/>
              <w:jc w:val="left"/>
              <w:rPr>
                <w:rFonts w:hint="eastAsia" w:ascii="宋体" w:hAnsi="宋体"/>
                <w:b/>
                <w:color w:val="auto"/>
                <w:sz w:val="28"/>
                <w:szCs w:val="28"/>
                <w:highlight w:val="none"/>
              </w:rPr>
            </w:pPr>
          </w:p>
        </w:tc>
        <w:tc>
          <w:tcPr>
            <w:tcW w:w="1134" w:type="dxa"/>
            <w:noWrap w:val="0"/>
            <w:vAlign w:val="top"/>
          </w:tcPr>
          <w:p w14:paraId="7E1523BE">
            <w:pPr>
              <w:pStyle w:val="4"/>
              <w:ind w:firstLine="0"/>
              <w:jc w:val="left"/>
              <w:rPr>
                <w:rFonts w:hint="eastAsia" w:ascii="宋体" w:hAnsi="宋体"/>
                <w:b/>
                <w:color w:val="auto"/>
                <w:sz w:val="28"/>
                <w:szCs w:val="28"/>
                <w:highlight w:val="none"/>
              </w:rPr>
            </w:pPr>
          </w:p>
        </w:tc>
        <w:tc>
          <w:tcPr>
            <w:tcW w:w="1560" w:type="dxa"/>
            <w:noWrap w:val="0"/>
            <w:vAlign w:val="top"/>
          </w:tcPr>
          <w:p w14:paraId="6E04D141">
            <w:pPr>
              <w:pStyle w:val="4"/>
              <w:ind w:firstLine="0"/>
              <w:jc w:val="left"/>
              <w:rPr>
                <w:rFonts w:hint="eastAsia" w:ascii="宋体" w:hAnsi="宋体"/>
                <w:b/>
                <w:color w:val="auto"/>
                <w:sz w:val="28"/>
                <w:szCs w:val="28"/>
                <w:highlight w:val="none"/>
              </w:rPr>
            </w:pPr>
          </w:p>
        </w:tc>
        <w:tc>
          <w:tcPr>
            <w:tcW w:w="1701" w:type="dxa"/>
            <w:noWrap w:val="0"/>
            <w:vAlign w:val="top"/>
          </w:tcPr>
          <w:p w14:paraId="6BC18B4D">
            <w:pPr>
              <w:pStyle w:val="4"/>
              <w:ind w:firstLine="0"/>
              <w:jc w:val="left"/>
              <w:rPr>
                <w:rFonts w:hint="eastAsia" w:ascii="宋体" w:hAnsi="宋体"/>
                <w:b/>
                <w:color w:val="auto"/>
                <w:sz w:val="28"/>
                <w:szCs w:val="28"/>
                <w:highlight w:val="none"/>
              </w:rPr>
            </w:pPr>
          </w:p>
        </w:tc>
        <w:tc>
          <w:tcPr>
            <w:tcW w:w="1984" w:type="dxa"/>
            <w:noWrap w:val="0"/>
            <w:vAlign w:val="top"/>
          </w:tcPr>
          <w:p w14:paraId="748D80E9">
            <w:pPr>
              <w:pStyle w:val="4"/>
              <w:ind w:firstLine="0"/>
              <w:jc w:val="left"/>
              <w:rPr>
                <w:rFonts w:hint="eastAsia" w:ascii="宋体" w:hAnsi="宋体"/>
                <w:b/>
                <w:color w:val="auto"/>
                <w:sz w:val="28"/>
                <w:szCs w:val="28"/>
                <w:highlight w:val="none"/>
              </w:rPr>
            </w:pPr>
          </w:p>
        </w:tc>
        <w:tc>
          <w:tcPr>
            <w:tcW w:w="987" w:type="dxa"/>
            <w:tcBorders>
              <w:right w:val="single" w:color="auto" w:sz="12" w:space="0"/>
            </w:tcBorders>
            <w:noWrap w:val="0"/>
            <w:vAlign w:val="top"/>
          </w:tcPr>
          <w:p w14:paraId="49794E5F">
            <w:pPr>
              <w:pStyle w:val="4"/>
              <w:ind w:firstLine="0"/>
              <w:jc w:val="left"/>
              <w:rPr>
                <w:rFonts w:hint="eastAsia" w:ascii="宋体" w:hAnsi="宋体"/>
                <w:b/>
                <w:color w:val="auto"/>
                <w:sz w:val="28"/>
                <w:szCs w:val="28"/>
                <w:highlight w:val="none"/>
              </w:rPr>
            </w:pPr>
          </w:p>
        </w:tc>
      </w:tr>
      <w:tr w14:paraId="423E92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Borders>
              <w:left w:val="single" w:color="auto" w:sz="12" w:space="0"/>
            </w:tcBorders>
            <w:noWrap w:val="0"/>
            <w:vAlign w:val="top"/>
          </w:tcPr>
          <w:p w14:paraId="4A59E25C">
            <w:pPr>
              <w:pStyle w:val="4"/>
              <w:ind w:firstLine="0"/>
              <w:jc w:val="left"/>
              <w:rPr>
                <w:rFonts w:hint="eastAsia" w:ascii="宋体" w:hAnsi="宋体"/>
                <w:b/>
                <w:color w:val="auto"/>
                <w:sz w:val="28"/>
                <w:szCs w:val="28"/>
                <w:highlight w:val="none"/>
              </w:rPr>
            </w:pPr>
          </w:p>
        </w:tc>
        <w:tc>
          <w:tcPr>
            <w:tcW w:w="850" w:type="dxa"/>
            <w:noWrap w:val="0"/>
            <w:vAlign w:val="top"/>
          </w:tcPr>
          <w:p w14:paraId="7F3EAEBB">
            <w:pPr>
              <w:pStyle w:val="4"/>
              <w:ind w:firstLine="0"/>
              <w:jc w:val="left"/>
              <w:rPr>
                <w:rFonts w:hint="eastAsia" w:ascii="宋体" w:hAnsi="宋体"/>
                <w:b/>
                <w:color w:val="auto"/>
                <w:sz w:val="28"/>
                <w:szCs w:val="28"/>
                <w:highlight w:val="none"/>
              </w:rPr>
            </w:pPr>
          </w:p>
        </w:tc>
        <w:tc>
          <w:tcPr>
            <w:tcW w:w="1134" w:type="dxa"/>
            <w:noWrap w:val="0"/>
            <w:vAlign w:val="top"/>
          </w:tcPr>
          <w:p w14:paraId="2AE08A27">
            <w:pPr>
              <w:pStyle w:val="4"/>
              <w:ind w:firstLine="0"/>
              <w:jc w:val="left"/>
              <w:rPr>
                <w:rFonts w:hint="eastAsia" w:ascii="宋体" w:hAnsi="宋体"/>
                <w:b/>
                <w:color w:val="auto"/>
                <w:sz w:val="28"/>
                <w:szCs w:val="28"/>
                <w:highlight w:val="none"/>
              </w:rPr>
            </w:pPr>
          </w:p>
        </w:tc>
        <w:tc>
          <w:tcPr>
            <w:tcW w:w="1560" w:type="dxa"/>
            <w:noWrap w:val="0"/>
            <w:vAlign w:val="top"/>
          </w:tcPr>
          <w:p w14:paraId="783BF914">
            <w:pPr>
              <w:pStyle w:val="4"/>
              <w:ind w:firstLine="0"/>
              <w:jc w:val="left"/>
              <w:rPr>
                <w:rFonts w:hint="eastAsia" w:ascii="宋体" w:hAnsi="宋体"/>
                <w:b/>
                <w:color w:val="auto"/>
                <w:sz w:val="28"/>
                <w:szCs w:val="28"/>
                <w:highlight w:val="none"/>
              </w:rPr>
            </w:pPr>
          </w:p>
        </w:tc>
        <w:tc>
          <w:tcPr>
            <w:tcW w:w="1701" w:type="dxa"/>
            <w:noWrap w:val="0"/>
            <w:vAlign w:val="top"/>
          </w:tcPr>
          <w:p w14:paraId="2F2D8CE6">
            <w:pPr>
              <w:pStyle w:val="4"/>
              <w:ind w:firstLine="0"/>
              <w:jc w:val="left"/>
              <w:rPr>
                <w:rFonts w:hint="eastAsia" w:ascii="宋体" w:hAnsi="宋体"/>
                <w:b/>
                <w:color w:val="auto"/>
                <w:sz w:val="28"/>
                <w:szCs w:val="28"/>
                <w:highlight w:val="none"/>
              </w:rPr>
            </w:pPr>
          </w:p>
        </w:tc>
        <w:tc>
          <w:tcPr>
            <w:tcW w:w="1984" w:type="dxa"/>
            <w:noWrap w:val="0"/>
            <w:vAlign w:val="top"/>
          </w:tcPr>
          <w:p w14:paraId="0B48A301">
            <w:pPr>
              <w:pStyle w:val="4"/>
              <w:ind w:firstLine="0"/>
              <w:jc w:val="left"/>
              <w:rPr>
                <w:rFonts w:hint="eastAsia" w:ascii="宋体" w:hAnsi="宋体"/>
                <w:b/>
                <w:color w:val="auto"/>
                <w:sz w:val="28"/>
                <w:szCs w:val="28"/>
                <w:highlight w:val="none"/>
              </w:rPr>
            </w:pPr>
          </w:p>
        </w:tc>
        <w:tc>
          <w:tcPr>
            <w:tcW w:w="987" w:type="dxa"/>
            <w:tcBorders>
              <w:right w:val="single" w:color="auto" w:sz="12" w:space="0"/>
            </w:tcBorders>
            <w:noWrap w:val="0"/>
            <w:vAlign w:val="top"/>
          </w:tcPr>
          <w:p w14:paraId="210399BE">
            <w:pPr>
              <w:pStyle w:val="4"/>
              <w:ind w:firstLine="0"/>
              <w:jc w:val="left"/>
              <w:rPr>
                <w:rFonts w:hint="eastAsia" w:ascii="宋体" w:hAnsi="宋体"/>
                <w:b/>
                <w:color w:val="auto"/>
                <w:sz w:val="28"/>
                <w:szCs w:val="28"/>
                <w:highlight w:val="none"/>
              </w:rPr>
            </w:pPr>
          </w:p>
        </w:tc>
      </w:tr>
      <w:tr w14:paraId="78B5D1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Borders>
              <w:left w:val="single" w:color="auto" w:sz="12" w:space="0"/>
              <w:bottom w:val="single" w:color="auto" w:sz="12" w:space="0"/>
            </w:tcBorders>
            <w:noWrap w:val="0"/>
            <w:vAlign w:val="top"/>
          </w:tcPr>
          <w:p w14:paraId="2344FD67">
            <w:pPr>
              <w:pStyle w:val="4"/>
              <w:ind w:firstLine="0"/>
              <w:jc w:val="left"/>
              <w:rPr>
                <w:rFonts w:hint="eastAsia" w:ascii="宋体" w:hAnsi="宋体"/>
                <w:b/>
                <w:color w:val="auto"/>
                <w:sz w:val="28"/>
                <w:szCs w:val="28"/>
                <w:highlight w:val="none"/>
              </w:rPr>
            </w:pPr>
          </w:p>
        </w:tc>
        <w:tc>
          <w:tcPr>
            <w:tcW w:w="850" w:type="dxa"/>
            <w:tcBorders>
              <w:bottom w:val="single" w:color="auto" w:sz="12" w:space="0"/>
            </w:tcBorders>
            <w:noWrap w:val="0"/>
            <w:vAlign w:val="top"/>
          </w:tcPr>
          <w:p w14:paraId="2A8D45EB">
            <w:pPr>
              <w:pStyle w:val="4"/>
              <w:ind w:firstLine="0"/>
              <w:jc w:val="left"/>
              <w:rPr>
                <w:rFonts w:hint="eastAsia" w:ascii="宋体" w:hAnsi="宋体"/>
                <w:b/>
                <w:color w:val="auto"/>
                <w:sz w:val="28"/>
                <w:szCs w:val="28"/>
                <w:highlight w:val="none"/>
              </w:rPr>
            </w:pPr>
          </w:p>
        </w:tc>
        <w:tc>
          <w:tcPr>
            <w:tcW w:w="1134" w:type="dxa"/>
            <w:tcBorders>
              <w:bottom w:val="single" w:color="auto" w:sz="12" w:space="0"/>
            </w:tcBorders>
            <w:noWrap w:val="0"/>
            <w:vAlign w:val="top"/>
          </w:tcPr>
          <w:p w14:paraId="6EFE50AB">
            <w:pPr>
              <w:pStyle w:val="4"/>
              <w:ind w:firstLine="0"/>
              <w:jc w:val="left"/>
              <w:rPr>
                <w:rFonts w:hint="eastAsia" w:ascii="宋体" w:hAnsi="宋体"/>
                <w:b/>
                <w:color w:val="auto"/>
                <w:sz w:val="28"/>
                <w:szCs w:val="28"/>
                <w:highlight w:val="none"/>
              </w:rPr>
            </w:pPr>
          </w:p>
        </w:tc>
        <w:tc>
          <w:tcPr>
            <w:tcW w:w="1560" w:type="dxa"/>
            <w:tcBorders>
              <w:bottom w:val="single" w:color="auto" w:sz="12" w:space="0"/>
            </w:tcBorders>
            <w:noWrap w:val="0"/>
            <w:vAlign w:val="top"/>
          </w:tcPr>
          <w:p w14:paraId="6BB98607">
            <w:pPr>
              <w:pStyle w:val="4"/>
              <w:ind w:firstLine="0"/>
              <w:jc w:val="left"/>
              <w:rPr>
                <w:rFonts w:hint="eastAsia" w:ascii="宋体" w:hAnsi="宋体"/>
                <w:b/>
                <w:color w:val="auto"/>
                <w:sz w:val="28"/>
                <w:szCs w:val="28"/>
                <w:highlight w:val="none"/>
              </w:rPr>
            </w:pPr>
          </w:p>
        </w:tc>
        <w:tc>
          <w:tcPr>
            <w:tcW w:w="1701" w:type="dxa"/>
            <w:tcBorders>
              <w:bottom w:val="single" w:color="auto" w:sz="12" w:space="0"/>
            </w:tcBorders>
            <w:noWrap w:val="0"/>
            <w:vAlign w:val="top"/>
          </w:tcPr>
          <w:p w14:paraId="40FEE316">
            <w:pPr>
              <w:pStyle w:val="4"/>
              <w:ind w:firstLine="0"/>
              <w:jc w:val="left"/>
              <w:rPr>
                <w:rFonts w:hint="eastAsia" w:ascii="宋体" w:hAnsi="宋体"/>
                <w:b/>
                <w:color w:val="auto"/>
                <w:sz w:val="28"/>
                <w:szCs w:val="28"/>
                <w:highlight w:val="none"/>
              </w:rPr>
            </w:pPr>
          </w:p>
        </w:tc>
        <w:tc>
          <w:tcPr>
            <w:tcW w:w="1984" w:type="dxa"/>
            <w:tcBorders>
              <w:bottom w:val="single" w:color="auto" w:sz="12" w:space="0"/>
            </w:tcBorders>
            <w:noWrap w:val="0"/>
            <w:vAlign w:val="top"/>
          </w:tcPr>
          <w:p w14:paraId="3F0F3A55">
            <w:pPr>
              <w:pStyle w:val="4"/>
              <w:ind w:firstLine="0"/>
              <w:jc w:val="left"/>
              <w:rPr>
                <w:rFonts w:hint="eastAsia" w:ascii="宋体" w:hAnsi="宋体"/>
                <w:b/>
                <w:color w:val="auto"/>
                <w:sz w:val="28"/>
                <w:szCs w:val="28"/>
                <w:highlight w:val="none"/>
              </w:rPr>
            </w:pPr>
          </w:p>
        </w:tc>
        <w:tc>
          <w:tcPr>
            <w:tcW w:w="987" w:type="dxa"/>
            <w:tcBorders>
              <w:bottom w:val="single" w:color="auto" w:sz="12" w:space="0"/>
              <w:right w:val="single" w:color="auto" w:sz="12" w:space="0"/>
            </w:tcBorders>
            <w:noWrap w:val="0"/>
            <w:vAlign w:val="top"/>
          </w:tcPr>
          <w:p w14:paraId="2E289E34">
            <w:pPr>
              <w:pStyle w:val="4"/>
              <w:ind w:firstLine="0"/>
              <w:jc w:val="left"/>
              <w:rPr>
                <w:rFonts w:hint="eastAsia" w:ascii="宋体" w:hAnsi="宋体"/>
                <w:b/>
                <w:color w:val="auto"/>
                <w:sz w:val="28"/>
                <w:szCs w:val="28"/>
                <w:highlight w:val="none"/>
              </w:rPr>
            </w:pPr>
          </w:p>
        </w:tc>
      </w:tr>
    </w:tbl>
    <w:p w14:paraId="5EB682BD">
      <w:pPr>
        <w:pStyle w:val="4"/>
        <w:ind w:firstLine="0"/>
        <w:jc w:val="left"/>
        <w:rPr>
          <w:rFonts w:hint="eastAsia" w:ascii="楷体" w:hAnsi="楷体" w:eastAsia="楷体"/>
          <w:color w:val="auto"/>
          <w:szCs w:val="21"/>
          <w:highlight w:val="none"/>
        </w:rPr>
      </w:pPr>
      <w:r>
        <w:rPr>
          <w:rFonts w:hint="eastAsia" w:ascii="楷体" w:hAnsi="楷体" w:eastAsia="楷体"/>
          <w:color w:val="auto"/>
          <w:szCs w:val="21"/>
          <w:highlight w:val="none"/>
        </w:rPr>
        <w:t>说明：</w:t>
      </w:r>
    </w:p>
    <w:p w14:paraId="69C25D64">
      <w:pPr>
        <w:pStyle w:val="4"/>
        <w:ind w:firstLine="0"/>
        <w:jc w:val="left"/>
        <w:rPr>
          <w:rFonts w:hint="eastAsia" w:ascii="楷体" w:hAnsi="楷体" w:eastAsia="楷体"/>
          <w:color w:val="auto"/>
          <w:szCs w:val="21"/>
          <w:highlight w:val="none"/>
        </w:rPr>
      </w:pPr>
      <w:r>
        <w:rPr>
          <w:rFonts w:hint="eastAsia" w:ascii="楷体" w:hAnsi="楷体" w:eastAsia="楷体"/>
          <w:color w:val="auto"/>
          <w:szCs w:val="21"/>
          <w:highlight w:val="none"/>
        </w:rPr>
        <w:t>1.职务是指在本单位所担任的职务。2.除表（一）（二）外，需要补充的证明材料可另纸说明。</w:t>
      </w:r>
    </w:p>
    <w:p w14:paraId="0CF12244">
      <w:pPr>
        <w:pStyle w:val="4"/>
        <w:ind w:firstLine="0"/>
        <w:jc w:val="left"/>
        <w:rPr>
          <w:rFonts w:hint="eastAsia" w:ascii="宋体" w:hAnsi="宋体"/>
          <w:b/>
          <w:color w:val="auto"/>
          <w:sz w:val="24"/>
          <w:szCs w:val="24"/>
          <w:highlight w:val="none"/>
        </w:rPr>
      </w:pPr>
    </w:p>
    <w:p w14:paraId="4ACE6402">
      <w:pPr>
        <w:pStyle w:val="4"/>
        <w:ind w:firstLine="0"/>
        <w:jc w:val="left"/>
        <w:rPr>
          <w:rFonts w:hint="eastAsia" w:ascii="宋体" w:hAnsi="宋体"/>
          <w:b/>
          <w:color w:val="auto"/>
          <w:sz w:val="24"/>
          <w:szCs w:val="24"/>
          <w:highlight w:val="none"/>
        </w:rPr>
      </w:pPr>
    </w:p>
    <w:p w14:paraId="536DD43F">
      <w:pPr>
        <w:adjustRightInd w:val="0"/>
        <w:spacing w:line="400" w:lineRule="exact"/>
        <w:ind w:firstLine="105" w:firstLineChars="50"/>
        <w:jc w:val="left"/>
        <w:rPr>
          <w:rFonts w:hint="eastAsia" w:ascii="宋体" w:hAnsi="宋体"/>
          <w:color w:val="auto"/>
          <w:szCs w:val="21"/>
          <w:highlight w:val="none"/>
        </w:rPr>
      </w:pPr>
      <w:r>
        <w:rPr>
          <w:rFonts w:hint="eastAsia" w:ascii="宋体" w:hAnsi="宋体"/>
          <w:color w:val="auto"/>
          <w:szCs w:val="21"/>
          <w:highlight w:val="none"/>
        </w:rPr>
        <w:t>投  标  人：</w:t>
      </w:r>
      <w:r>
        <w:rPr>
          <w:rFonts w:hint="eastAsia" w:ascii="宋体" w:hAnsi="宋体"/>
          <w:color w:val="auto"/>
          <w:szCs w:val="21"/>
          <w:highlight w:val="none"/>
          <w:u w:val="single"/>
        </w:rPr>
        <w:t xml:space="preserve">                          </w:t>
      </w:r>
      <w:r>
        <w:rPr>
          <w:rFonts w:hint="eastAsia" w:ascii="宋体" w:hAnsi="宋体"/>
          <w:color w:val="auto"/>
          <w:szCs w:val="21"/>
          <w:highlight w:val="none"/>
        </w:rPr>
        <w:t xml:space="preserve"> （盖单位章）</w:t>
      </w:r>
    </w:p>
    <w:p w14:paraId="33657BD7">
      <w:pPr>
        <w:spacing w:line="400" w:lineRule="exact"/>
        <w:jc w:val="center"/>
        <w:outlineLvl w:val="9"/>
        <w:rPr>
          <w:rFonts w:hint="eastAsia" w:ascii="宋体" w:hAnsi="宋体"/>
          <w:color w:val="auto"/>
          <w:szCs w:val="21"/>
          <w:highlight w:val="none"/>
        </w:rPr>
      </w:pPr>
    </w:p>
    <w:p w14:paraId="1B6FDB5F">
      <w:pPr>
        <w:spacing w:line="400" w:lineRule="exact"/>
        <w:ind w:firstLine="105" w:firstLineChars="50"/>
        <w:outlineLvl w:val="1"/>
        <w:rPr>
          <w:rFonts w:hint="eastAsia" w:ascii="宋体" w:hAnsi="宋体"/>
          <w:color w:val="auto"/>
          <w:szCs w:val="21"/>
          <w:highlight w:val="none"/>
        </w:rPr>
      </w:pPr>
      <w:bookmarkStart w:id="236" w:name="_Toc10"/>
      <w:r>
        <w:rPr>
          <w:rFonts w:hint="eastAsia" w:ascii="宋体" w:hAnsi="宋体"/>
          <w:color w:val="auto"/>
          <w:szCs w:val="21"/>
          <w:highlight w:val="none"/>
        </w:rPr>
        <w:t>法定代表人或委托代理人：</w:t>
      </w:r>
      <w:r>
        <w:rPr>
          <w:rFonts w:hint="eastAsia" w:ascii="宋体" w:hAnsi="宋体"/>
          <w:color w:val="auto"/>
          <w:szCs w:val="21"/>
          <w:highlight w:val="none"/>
          <w:u w:val="single"/>
        </w:rPr>
        <w:t xml:space="preserve">                </w:t>
      </w:r>
      <w:r>
        <w:rPr>
          <w:rFonts w:hint="eastAsia" w:ascii="宋体" w:hAnsi="宋体"/>
          <w:color w:val="auto"/>
          <w:szCs w:val="21"/>
          <w:highlight w:val="none"/>
        </w:rPr>
        <w:t>（签字）</w:t>
      </w:r>
      <w:bookmarkEnd w:id="236"/>
    </w:p>
    <w:p w14:paraId="292BE61D">
      <w:pPr>
        <w:spacing w:before="480" w:beforeLines="200"/>
        <w:ind w:firstLine="123" w:firstLineChars="59"/>
        <w:outlineLvl w:val="1"/>
        <w:rPr>
          <w:rFonts w:hint="eastAsia" w:ascii="宋体" w:hAnsi="宋体"/>
          <w:b/>
          <w:color w:val="auto"/>
          <w:sz w:val="36"/>
          <w:szCs w:val="36"/>
          <w:highlight w:val="none"/>
        </w:rPr>
      </w:pPr>
      <w:bookmarkStart w:id="237" w:name="_Toc15948"/>
      <w:r>
        <w:rPr>
          <w:rFonts w:hint="eastAsia" w:ascii="宋体" w:hAnsi="宋体"/>
          <w:color w:val="auto"/>
          <w:szCs w:val="21"/>
          <w:highlight w:val="none"/>
        </w:rPr>
        <w:t>日    期：20</w:t>
      </w:r>
      <w:r>
        <w:rPr>
          <w:rFonts w:hint="eastAsia" w:ascii="宋体" w:hAnsi="宋体"/>
          <w:color w:val="auto"/>
          <w:szCs w:val="21"/>
          <w:highlight w:val="none"/>
          <w:u w:val="single"/>
        </w:rPr>
        <w:t xml:space="preserve">  </w:t>
      </w:r>
      <w:r>
        <w:rPr>
          <w:rFonts w:hint="eastAsia" w:ascii="宋体" w:hAnsi="宋体"/>
          <w:color w:val="auto"/>
          <w:szCs w:val="21"/>
          <w:highlight w:val="none"/>
        </w:rPr>
        <w:t xml:space="preserve"> 年</w:t>
      </w:r>
      <w:r>
        <w:rPr>
          <w:rFonts w:hint="eastAsia" w:ascii="宋体" w:hAnsi="宋体"/>
          <w:color w:val="auto"/>
          <w:szCs w:val="21"/>
          <w:highlight w:val="none"/>
          <w:u w:val="single"/>
        </w:rPr>
        <w:t xml:space="preserve">  </w:t>
      </w:r>
      <w:r>
        <w:rPr>
          <w:rFonts w:hint="eastAsia" w:ascii="宋体" w:hAnsi="宋体"/>
          <w:color w:val="auto"/>
          <w:szCs w:val="21"/>
          <w:highlight w:val="none"/>
        </w:rPr>
        <w:t>月</w:t>
      </w:r>
      <w:r>
        <w:rPr>
          <w:rFonts w:hint="eastAsia" w:ascii="宋体" w:hAnsi="宋体"/>
          <w:color w:val="auto"/>
          <w:szCs w:val="21"/>
          <w:highlight w:val="none"/>
          <w:u w:val="single"/>
        </w:rPr>
        <w:t xml:space="preserve">  </w:t>
      </w:r>
      <w:r>
        <w:rPr>
          <w:rFonts w:hint="eastAsia" w:ascii="宋体" w:hAnsi="宋体"/>
          <w:color w:val="auto"/>
          <w:szCs w:val="21"/>
          <w:highlight w:val="none"/>
        </w:rPr>
        <w:t>日</w:t>
      </w:r>
      <w:bookmarkEnd w:id="237"/>
    </w:p>
    <w:p w14:paraId="780AE10A">
      <w:pPr>
        <w:pStyle w:val="4"/>
        <w:ind w:firstLine="0"/>
        <w:jc w:val="center"/>
        <w:rPr>
          <w:rFonts w:hint="eastAsia" w:ascii="宋体" w:hAnsi="宋体"/>
          <w:b/>
          <w:color w:val="auto"/>
          <w:sz w:val="36"/>
          <w:szCs w:val="36"/>
          <w:highlight w:val="none"/>
        </w:rPr>
      </w:pPr>
    </w:p>
    <w:p w14:paraId="29450205">
      <w:pPr>
        <w:pStyle w:val="4"/>
        <w:ind w:firstLine="0"/>
        <w:jc w:val="center"/>
        <w:outlineLvl w:val="1"/>
        <w:rPr>
          <w:rFonts w:hint="eastAsia" w:ascii="仿宋_GB2312" w:eastAsia="仿宋_GB2312"/>
          <w:b/>
          <w:color w:val="auto"/>
          <w:sz w:val="36"/>
          <w:szCs w:val="36"/>
          <w:highlight w:val="none"/>
        </w:rPr>
      </w:pPr>
      <w:r>
        <w:rPr>
          <w:rFonts w:ascii="宋体" w:hAnsi="宋体"/>
          <w:b/>
          <w:color w:val="auto"/>
          <w:sz w:val="36"/>
          <w:szCs w:val="36"/>
          <w:highlight w:val="none"/>
        </w:rPr>
        <w:br w:type="page"/>
      </w:r>
      <w:bookmarkStart w:id="238" w:name="_Toc20626"/>
      <w:r>
        <w:rPr>
          <w:rFonts w:hint="eastAsia" w:ascii="宋体" w:hAnsi="宋体"/>
          <w:b/>
          <w:color w:val="auto"/>
          <w:sz w:val="36"/>
          <w:szCs w:val="36"/>
          <w:highlight w:val="none"/>
          <w:lang w:val="en-US" w:eastAsia="zh-CN"/>
        </w:rPr>
        <w:t>10</w:t>
      </w:r>
      <w:r>
        <w:rPr>
          <w:rFonts w:hint="eastAsia" w:ascii="宋体" w:hAnsi="宋体"/>
          <w:b/>
          <w:color w:val="auto"/>
          <w:sz w:val="36"/>
          <w:szCs w:val="36"/>
          <w:highlight w:val="none"/>
        </w:rPr>
        <w:t>.投标声明书</w:t>
      </w:r>
      <w:bookmarkEnd w:id="238"/>
    </w:p>
    <w:p w14:paraId="51573460">
      <w:pPr>
        <w:pStyle w:val="4"/>
        <w:spacing w:after="120" w:afterLines="50" w:line="360" w:lineRule="auto"/>
        <w:ind w:firstLine="0"/>
        <w:rPr>
          <w:rFonts w:hint="eastAsia" w:ascii="宋体" w:hAnsi="宋体"/>
          <w:b/>
          <w:color w:val="auto"/>
          <w:szCs w:val="21"/>
          <w:highlight w:val="none"/>
        </w:rPr>
      </w:pPr>
      <w:r>
        <w:rPr>
          <w:rFonts w:hint="eastAsia" w:ascii="宋体" w:hAnsi="宋体"/>
          <w:b/>
          <w:color w:val="auto"/>
          <w:szCs w:val="21"/>
          <w:highlight w:val="none"/>
          <w:lang w:eastAsia="zh-CN"/>
        </w:rPr>
        <w:t>伊宁县政府采购中心</w:t>
      </w:r>
      <w:r>
        <w:rPr>
          <w:rFonts w:hint="eastAsia" w:ascii="宋体" w:hAnsi="宋体"/>
          <w:b/>
          <w:color w:val="auto"/>
          <w:szCs w:val="21"/>
          <w:highlight w:val="none"/>
        </w:rPr>
        <w:t>：</w:t>
      </w:r>
    </w:p>
    <w:p w14:paraId="4E5AA9B1">
      <w:pPr>
        <w:pStyle w:val="4"/>
        <w:spacing w:line="360" w:lineRule="auto"/>
        <w:ind w:firstLine="573"/>
        <w:rPr>
          <w:rFonts w:hint="eastAsia" w:ascii="宋体" w:hAnsi="宋体"/>
          <w:color w:val="auto"/>
          <w:szCs w:val="21"/>
          <w:highlight w:val="none"/>
        </w:rPr>
      </w:pPr>
      <w:r>
        <w:rPr>
          <w:rFonts w:hint="eastAsia" w:ascii="宋体" w:hAnsi="宋体"/>
          <w:color w:val="auto"/>
          <w:szCs w:val="21"/>
          <w:highlight w:val="none"/>
        </w:rPr>
        <w:t>我方</w:t>
      </w:r>
      <w:r>
        <w:rPr>
          <w:rFonts w:hint="eastAsia" w:ascii="宋体" w:hAnsi="宋体"/>
          <w:color w:val="auto"/>
          <w:szCs w:val="21"/>
          <w:highlight w:val="none"/>
          <w:u w:val="single"/>
        </w:rPr>
        <w:t xml:space="preserve">               </w:t>
      </w:r>
      <w:r>
        <w:rPr>
          <w:rFonts w:hint="eastAsia" w:ascii="宋体" w:hAnsi="宋体"/>
          <w:color w:val="auto"/>
          <w:szCs w:val="21"/>
          <w:highlight w:val="none"/>
        </w:rPr>
        <w:t xml:space="preserve">（投标人），就参加 </w:t>
      </w:r>
      <w:r>
        <w:rPr>
          <w:rFonts w:hint="eastAsia" w:ascii="宋体" w:hAnsi="宋体"/>
          <w:color w:val="auto"/>
          <w:szCs w:val="21"/>
          <w:highlight w:val="none"/>
          <w:u w:val="single"/>
        </w:rPr>
        <w:t xml:space="preserve">          </w:t>
      </w:r>
      <w:r>
        <w:rPr>
          <w:rFonts w:hint="eastAsia" w:ascii="宋体" w:hAnsi="宋体"/>
          <w:color w:val="auto"/>
          <w:szCs w:val="21"/>
          <w:highlight w:val="none"/>
        </w:rPr>
        <w:t xml:space="preserve"> 采购项目（</w:t>
      </w:r>
      <w:r>
        <w:rPr>
          <w:rFonts w:hint="eastAsia" w:ascii="宋体" w:hAnsi="宋体"/>
          <w:color w:val="auto"/>
          <w:szCs w:val="21"/>
          <w:highlight w:val="none"/>
          <w:u w:val="single"/>
        </w:rPr>
        <w:t>采购项目编号</w:t>
      </w:r>
      <w:r>
        <w:rPr>
          <w:rFonts w:hint="eastAsia" w:ascii="宋体" w:hAnsi="宋体"/>
          <w:color w:val="auto"/>
          <w:szCs w:val="21"/>
          <w:highlight w:val="none"/>
        </w:rPr>
        <w:t>）投标事宜，在此郑重声明：</w:t>
      </w:r>
    </w:p>
    <w:p w14:paraId="7C3DED7F">
      <w:pPr>
        <w:pStyle w:val="4"/>
        <w:spacing w:line="360" w:lineRule="auto"/>
        <w:ind w:firstLine="573"/>
        <w:outlineLvl w:val="1"/>
        <w:rPr>
          <w:rFonts w:hint="eastAsia" w:ascii="宋体" w:hAnsi="宋体"/>
          <w:color w:val="auto"/>
          <w:szCs w:val="21"/>
          <w:highlight w:val="none"/>
        </w:rPr>
      </w:pPr>
      <w:bookmarkStart w:id="239" w:name="_Toc15885"/>
      <w:r>
        <w:rPr>
          <w:rFonts w:hint="eastAsia" w:ascii="宋体" w:hAnsi="宋体"/>
          <w:color w:val="auto"/>
          <w:szCs w:val="21"/>
          <w:highlight w:val="none"/>
        </w:rPr>
        <w:t>1.我方所提交的投标文件全部真实有效；</w:t>
      </w:r>
      <w:bookmarkEnd w:id="239"/>
    </w:p>
    <w:p w14:paraId="65E2D802">
      <w:pPr>
        <w:pStyle w:val="4"/>
        <w:spacing w:line="360" w:lineRule="auto"/>
        <w:ind w:firstLine="573"/>
        <w:rPr>
          <w:rFonts w:hint="eastAsia" w:ascii="宋体" w:hAnsi="宋体"/>
          <w:color w:val="auto"/>
          <w:szCs w:val="21"/>
          <w:highlight w:val="none"/>
        </w:rPr>
      </w:pPr>
      <w:r>
        <w:rPr>
          <w:rFonts w:hint="eastAsia" w:ascii="宋体" w:hAnsi="宋体"/>
          <w:color w:val="auto"/>
          <w:szCs w:val="21"/>
          <w:highlight w:val="none"/>
        </w:rPr>
        <w:t>2.我方近3年来无因安全事故、质量事故、投标违规等不良记录被政府有关部门处罚或仍在处罚期限内的情形存在；</w:t>
      </w:r>
    </w:p>
    <w:p w14:paraId="47D657A8">
      <w:pPr>
        <w:pStyle w:val="4"/>
        <w:spacing w:line="360" w:lineRule="auto"/>
        <w:ind w:firstLine="573"/>
        <w:rPr>
          <w:rFonts w:hint="eastAsia" w:ascii="宋体" w:hAnsi="宋体"/>
          <w:color w:val="auto"/>
          <w:szCs w:val="21"/>
          <w:highlight w:val="none"/>
        </w:rPr>
      </w:pPr>
      <w:r>
        <w:rPr>
          <w:rFonts w:hint="eastAsia" w:ascii="宋体" w:hAnsi="宋体"/>
          <w:color w:val="auto"/>
          <w:szCs w:val="21"/>
          <w:highlight w:val="none"/>
        </w:rPr>
        <w:t>3.我方近3年来无违规违法经营受到责令停产(或停止经营)、吊销生产许可证（或经营许可证）、较大数额罚款（举行听证会）等行政处罚的情形存在；</w:t>
      </w:r>
    </w:p>
    <w:p w14:paraId="570D9709">
      <w:pPr>
        <w:pStyle w:val="4"/>
        <w:spacing w:line="360" w:lineRule="auto"/>
        <w:ind w:firstLine="573"/>
        <w:rPr>
          <w:rFonts w:hint="eastAsia" w:ascii="宋体" w:hAnsi="宋体"/>
          <w:color w:val="auto"/>
          <w:szCs w:val="21"/>
          <w:highlight w:val="none"/>
        </w:rPr>
      </w:pPr>
      <w:r>
        <w:rPr>
          <w:rFonts w:hint="eastAsia" w:ascii="宋体" w:hAnsi="宋体"/>
          <w:color w:val="auto"/>
          <w:szCs w:val="21"/>
          <w:highlight w:val="none"/>
        </w:rPr>
        <w:t>4.我方无企业财产被查封、冻结或处于破产状态或严重亏损状态等情形存在；</w:t>
      </w:r>
    </w:p>
    <w:p w14:paraId="4905E3A8">
      <w:pPr>
        <w:pStyle w:val="4"/>
        <w:spacing w:line="360" w:lineRule="auto"/>
        <w:ind w:firstLine="573"/>
        <w:rPr>
          <w:rFonts w:hint="eastAsia" w:ascii="宋体" w:hAnsi="宋体"/>
          <w:color w:val="auto"/>
          <w:szCs w:val="21"/>
          <w:highlight w:val="none"/>
        </w:rPr>
      </w:pPr>
      <w:r>
        <w:rPr>
          <w:rFonts w:hint="eastAsia" w:ascii="宋体" w:hAnsi="宋体"/>
          <w:color w:val="auto"/>
          <w:szCs w:val="21"/>
          <w:highlight w:val="none"/>
        </w:rPr>
        <w:t>5.我方承诺在投标过程中，保证不予其他单位围标、串标，不出让投标资格，不采取不正当手段诋毁、排挤其他投标人，不向采购人、采购代理机构、评标委员会成员行贿；</w:t>
      </w:r>
    </w:p>
    <w:p w14:paraId="248FE759">
      <w:pPr>
        <w:pStyle w:val="4"/>
        <w:spacing w:line="360" w:lineRule="auto"/>
        <w:ind w:firstLine="573"/>
        <w:rPr>
          <w:rFonts w:hint="eastAsia" w:ascii="宋体" w:hAnsi="宋体"/>
          <w:color w:val="auto"/>
          <w:szCs w:val="21"/>
          <w:highlight w:val="none"/>
        </w:rPr>
      </w:pPr>
      <w:r>
        <w:rPr>
          <w:rFonts w:hint="eastAsia" w:ascii="宋体" w:hAnsi="宋体"/>
          <w:color w:val="auto"/>
          <w:szCs w:val="21"/>
          <w:highlight w:val="none"/>
        </w:rPr>
        <w:t>6.我方参加本次政府采购活动近3年内，在经营活动中没有重大违法记录；</w:t>
      </w:r>
    </w:p>
    <w:p w14:paraId="30B202B7">
      <w:pPr>
        <w:pStyle w:val="4"/>
        <w:spacing w:line="360" w:lineRule="auto"/>
        <w:ind w:firstLine="573"/>
        <w:rPr>
          <w:rFonts w:hint="eastAsia" w:ascii="宋体" w:hAnsi="宋体"/>
          <w:color w:val="auto"/>
          <w:szCs w:val="21"/>
          <w:highlight w:val="none"/>
        </w:rPr>
      </w:pPr>
      <w:r>
        <w:rPr>
          <w:rFonts w:hint="eastAsia" w:ascii="宋体" w:hAnsi="宋体"/>
          <w:color w:val="auto"/>
          <w:szCs w:val="21"/>
          <w:highlight w:val="none"/>
        </w:rPr>
        <w:t>7.我方在投标时未列入政府采购严重违法</w:t>
      </w:r>
      <w:r>
        <w:rPr>
          <w:rFonts w:hint="eastAsia" w:ascii="宋体" w:hAnsi="宋体" w:cs="Arial"/>
          <w:color w:val="auto"/>
          <w:szCs w:val="21"/>
          <w:highlight w:val="none"/>
          <w:shd w:val="clear" w:color="auto" w:fill="FFFFFF"/>
        </w:rPr>
        <w:t>失信行为记录</w:t>
      </w:r>
      <w:r>
        <w:rPr>
          <w:rFonts w:hint="eastAsia" w:ascii="宋体" w:hAnsi="宋体"/>
          <w:color w:val="auto"/>
          <w:szCs w:val="21"/>
          <w:highlight w:val="none"/>
        </w:rPr>
        <w:t>名单、失信被执行人、</w:t>
      </w:r>
      <w:r>
        <w:rPr>
          <w:rFonts w:hint="eastAsia" w:ascii="宋体" w:hAnsi="宋体"/>
          <w:color w:val="auto"/>
          <w:szCs w:val="21"/>
          <w:highlight w:val="none"/>
          <w:lang w:eastAsia="zh-CN"/>
        </w:rPr>
        <w:t>重大税收违法失信主体</w:t>
      </w:r>
      <w:r>
        <w:rPr>
          <w:rFonts w:hint="eastAsia" w:ascii="宋体" w:hAnsi="宋体"/>
          <w:color w:val="auto"/>
          <w:szCs w:val="21"/>
          <w:highlight w:val="none"/>
        </w:rPr>
        <w:t>。</w:t>
      </w:r>
    </w:p>
    <w:p w14:paraId="3618419B">
      <w:pPr>
        <w:pStyle w:val="4"/>
        <w:spacing w:line="360" w:lineRule="auto"/>
        <w:ind w:firstLine="573"/>
        <w:rPr>
          <w:rFonts w:hint="eastAsia" w:ascii="宋体" w:hAnsi="宋体"/>
          <w:color w:val="auto"/>
          <w:szCs w:val="21"/>
          <w:highlight w:val="none"/>
        </w:rPr>
      </w:pPr>
      <w:r>
        <w:rPr>
          <w:rFonts w:hint="eastAsia" w:ascii="宋体" w:hAnsi="宋体"/>
          <w:color w:val="auto"/>
          <w:szCs w:val="21"/>
          <w:highlight w:val="none"/>
        </w:rPr>
        <w:t>以上声明若有违反，一经查实，我方愿意接受政府有关部门的相应处罚，并愿意承担由此带来的法律后果。</w:t>
      </w:r>
    </w:p>
    <w:p w14:paraId="6BE0E471">
      <w:pPr>
        <w:pStyle w:val="4"/>
        <w:spacing w:line="480" w:lineRule="auto"/>
        <w:ind w:firstLine="570"/>
        <w:rPr>
          <w:rFonts w:hint="eastAsia" w:ascii="宋体" w:hAnsi="宋体"/>
          <w:color w:val="auto"/>
          <w:szCs w:val="21"/>
          <w:highlight w:val="none"/>
        </w:rPr>
      </w:pPr>
    </w:p>
    <w:p w14:paraId="47A2303C">
      <w:pPr>
        <w:pStyle w:val="4"/>
        <w:spacing w:line="480" w:lineRule="auto"/>
        <w:ind w:firstLine="570"/>
        <w:rPr>
          <w:rFonts w:hint="eastAsia" w:ascii="宋体" w:hAnsi="宋体"/>
          <w:color w:val="auto"/>
          <w:szCs w:val="21"/>
          <w:highlight w:val="none"/>
        </w:rPr>
      </w:pPr>
      <w:r>
        <w:rPr>
          <w:rFonts w:hint="eastAsia" w:ascii="宋体" w:hAnsi="宋体"/>
          <w:color w:val="auto"/>
          <w:szCs w:val="21"/>
          <w:highlight w:val="none"/>
        </w:rPr>
        <w:t>特此声明！</w:t>
      </w:r>
    </w:p>
    <w:p w14:paraId="0CA25515">
      <w:pPr>
        <w:pStyle w:val="4"/>
        <w:spacing w:line="480" w:lineRule="auto"/>
        <w:ind w:firstLine="570"/>
        <w:rPr>
          <w:rFonts w:hint="eastAsia" w:ascii="宋体" w:hAnsi="宋体"/>
          <w:color w:val="auto"/>
          <w:szCs w:val="21"/>
          <w:highlight w:val="none"/>
        </w:rPr>
      </w:pPr>
    </w:p>
    <w:p w14:paraId="51E1C801">
      <w:pPr>
        <w:pStyle w:val="4"/>
        <w:spacing w:line="480" w:lineRule="auto"/>
        <w:ind w:firstLine="570"/>
        <w:rPr>
          <w:rFonts w:hint="eastAsia" w:ascii="宋体" w:hAnsi="宋体"/>
          <w:color w:val="auto"/>
          <w:szCs w:val="21"/>
          <w:highlight w:val="none"/>
        </w:rPr>
      </w:pPr>
      <w:r>
        <w:rPr>
          <w:rFonts w:hint="eastAsia" w:ascii="宋体" w:hAnsi="宋体"/>
          <w:color w:val="auto"/>
          <w:szCs w:val="21"/>
          <w:highlight w:val="none"/>
        </w:rPr>
        <w:t>声  明  人:</w:t>
      </w:r>
      <w:r>
        <w:rPr>
          <w:rFonts w:hint="eastAsia" w:ascii="宋体" w:hAnsi="宋体"/>
          <w:color w:val="auto"/>
          <w:szCs w:val="21"/>
          <w:highlight w:val="none"/>
          <w:u w:val="single"/>
        </w:rPr>
        <w:t xml:space="preserve">                      </w:t>
      </w:r>
      <w:r>
        <w:rPr>
          <w:rFonts w:hint="eastAsia" w:ascii="宋体" w:hAnsi="宋体"/>
          <w:color w:val="auto"/>
          <w:szCs w:val="21"/>
          <w:highlight w:val="none"/>
        </w:rPr>
        <w:t>(投标人名称、盖单位章)</w:t>
      </w:r>
    </w:p>
    <w:p w14:paraId="448257D9">
      <w:pPr>
        <w:pStyle w:val="4"/>
        <w:spacing w:line="480" w:lineRule="auto"/>
        <w:ind w:firstLine="573"/>
        <w:rPr>
          <w:rFonts w:hint="eastAsia" w:ascii="宋体" w:hAnsi="宋体"/>
          <w:color w:val="auto"/>
          <w:szCs w:val="21"/>
          <w:highlight w:val="none"/>
        </w:rPr>
      </w:pPr>
      <w:r>
        <w:rPr>
          <w:rFonts w:hint="eastAsia" w:ascii="宋体" w:hAnsi="宋体"/>
          <w:color w:val="auto"/>
          <w:szCs w:val="21"/>
          <w:highlight w:val="none"/>
        </w:rPr>
        <w:t>法定代表人或委托代理人：</w:t>
      </w:r>
      <w:r>
        <w:rPr>
          <w:rFonts w:hint="eastAsia" w:ascii="宋体" w:hAnsi="宋体"/>
          <w:color w:val="auto"/>
          <w:szCs w:val="21"/>
          <w:highlight w:val="none"/>
          <w:u w:val="single"/>
        </w:rPr>
        <w:t xml:space="preserve">                     </w:t>
      </w:r>
      <w:r>
        <w:rPr>
          <w:rFonts w:hint="eastAsia" w:ascii="宋体" w:hAnsi="宋体"/>
          <w:color w:val="auto"/>
          <w:szCs w:val="21"/>
          <w:highlight w:val="none"/>
        </w:rPr>
        <w:t>（签字）</w:t>
      </w:r>
    </w:p>
    <w:p w14:paraId="48BDEB1E">
      <w:pPr>
        <w:pStyle w:val="4"/>
        <w:spacing w:line="480" w:lineRule="auto"/>
        <w:ind w:firstLine="573"/>
        <w:rPr>
          <w:rFonts w:hint="eastAsia" w:ascii="宋体" w:hAnsi="宋体"/>
          <w:color w:val="auto"/>
          <w:szCs w:val="21"/>
          <w:highlight w:val="none"/>
        </w:rPr>
      </w:pPr>
      <w:r>
        <w:rPr>
          <w:rFonts w:hint="eastAsia" w:ascii="宋体" w:hAnsi="宋体"/>
          <w:color w:val="auto"/>
          <w:szCs w:val="21"/>
          <w:highlight w:val="none"/>
        </w:rPr>
        <w:t>日      期：</w:t>
      </w:r>
      <w:r>
        <w:rPr>
          <w:rFonts w:hint="eastAsia" w:ascii="宋体" w:hAnsi="宋体"/>
          <w:color w:val="auto"/>
          <w:szCs w:val="21"/>
          <w:highlight w:val="none"/>
          <w:u w:val="single"/>
        </w:rPr>
        <w:t xml:space="preserve">                      </w:t>
      </w:r>
      <w:r>
        <w:rPr>
          <w:rFonts w:hint="eastAsia" w:ascii="宋体" w:hAnsi="宋体"/>
          <w:color w:val="auto"/>
          <w:szCs w:val="21"/>
          <w:highlight w:val="none"/>
        </w:rPr>
        <w:t xml:space="preserve">     </w:t>
      </w:r>
    </w:p>
    <w:p w14:paraId="601BFB75">
      <w:pPr>
        <w:spacing w:line="360" w:lineRule="auto"/>
        <w:ind w:firstLine="420" w:firstLineChars="200"/>
        <w:rPr>
          <w:rFonts w:hint="eastAsia" w:ascii="宋体" w:hAnsi="宋体"/>
          <w:color w:val="auto"/>
          <w:szCs w:val="21"/>
          <w:highlight w:val="none"/>
        </w:rPr>
      </w:pPr>
    </w:p>
    <w:p w14:paraId="77F0D51D">
      <w:pPr>
        <w:tabs>
          <w:tab w:val="left" w:pos="3600"/>
        </w:tabs>
        <w:adjustRightInd w:val="0"/>
        <w:snapToGrid w:val="0"/>
        <w:jc w:val="center"/>
        <w:rPr>
          <w:rFonts w:hint="eastAsia" w:ascii="宋体" w:hAnsi="宋体"/>
          <w:b/>
          <w:color w:val="auto"/>
          <w:sz w:val="36"/>
          <w:szCs w:val="36"/>
          <w:highlight w:val="none"/>
        </w:rPr>
      </w:pPr>
    </w:p>
    <w:p w14:paraId="1B1616D1">
      <w:pPr>
        <w:tabs>
          <w:tab w:val="left" w:pos="3600"/>
        </w:tabs>
        <w:adjustRightInd w:val="0"/>
        <w:snapToGrid w:val="0"/>
        <w:jc w:val="center"/>
        <w:rPr>
          <w:rFonts w:hint="eastAsia" w:ascii="宋体" w:hAnsi="宋体"/>
          <w:b/>
          <w:color w:val="auto"/>
          <w:sz w:val="36"/>
          <w:szCs w:val="36"/>
          <w:highlight w:val="none"/>
        </w:rPr>
      </w:pPr>
    </w:p>
    <w:p w14:paraId="6E7B0613">
      <w:pPr>
        <w:pStyle w:val="30"/>
        <w:rPr>
          <w:rFonts w:hint="eastAsia" w:ascii="宋体" w:hAnsi="宋体"/>
          <w:b/>
          <w:color w:val="auto"/>
          <w:sz w:val="36"/>
          <w:szCs w:val="36"/>
          <w:highlight w:val="none"/>
        </w:rPr>
      </w:pPr>
    </w:p>
    <w:p w14:paraId="4FA46FA9">
      <w:pPr>
        <w:pStyle w:val="30"/>
        <w:rPr>
          <w:rFonts w:hint="eastAsia" w:ascii="宋体" w:hAnsi="宋体"/>
          <w:b/>
          <w:color w:val="auto"/>
          <w:sz w:val="36"/>
          <w:szCs w:val="36"/>
          <w:highlight w:val="none"/>
        </w:rPr>
      </w:pPr>
    </w:p>
    <w:p w14:paraId="4C3A1E00">
      <w:pPr>
        <w:pStyle w:val="33"/>
        <w:rPr>
          <w:rFonts w:hint="eastAsia"/>
          <w:color w:val="auto"/>
          <w:highlight w:val="none"/>
        </w:rPr>
      </w:pPr>
    </w:p>
    <w:p w14:paraId="389A192D">
      <w:pPr>
        <w:tabs>
          <w:tab w:val="left" w:pos="3600"/>
        </w:tabs>
        <w:adjustRightInd w:val="0"/>
        <w:snapToGrid w:val="0"/>
        <w:spacing w:before="240" w:beforeLines="100"/>
        <w:jc w:val="center"/>
        <w:outlineLvl w:val="1"/>
        <w:rPr>
          <w:rFonts w:hint="eastAsia" w:ascii="宋体" w:hAnsi="宋体" w:eastAsia="宋体" w:cs="Times New Roman"/>
          <w:b/>
          <w:color w:val="auto"/>
          <w:kern w:val="2"/>
          <w:sz w:val="36"/>
          <w:szCs w:val="36"/>
          <w:highlight w:val="none"/>
          <w:lang w:val="en-US" w:eastAsia="zh-CN" w:bidi="ar-SA"/>
        </w:rPr>
      </w:pPr>
      <w:bookmarkStart w:id="240" w:name="_Toc9832"/>
      <w:r>
        <w:rPr>
          <w:rFonts w:hint="eastAsia" w:ascii="宋体" w:hAnsi="宋体" w:eastAsia="宋体" w:cs="Times New Roman"/>
          <w:b/>
          <w:color w:val="auto"/>
          <w:kern w:val="2"/>
          <w:sz w:val="36"/>
          <w:szCs w:val="36"/>
          <w:highlight w:val="none"/>
          <w:lang w:val="en-US" w:eastAsia="zh-CN" w:bidi="ar-SA"/>
        </w:rPr>
        <w:t>11.提供投标人享受政府采购优惠政策的证明材料</w:t>
      </w:r>
      <w:bookmarkEnd w:id="240"/>
    </w:p>
    <w:p w14:paraId="1B58465F">
      <w:pPr>
        <w:pStyle w:val="12"/>
        <w:adjustRightInd w:val="0"/>
        <w:snapToGrid w:val="0"/>
        <w:spacing w:line="360" w:lineRule="auto"/>
        <w:ind w:firstLine="420" w:firstLineChars="200"/>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说明：本项目不专门面向中小企业；</w:t>
      </w:r>
    </w:p>
    <w:p w14:paraId="3BCE1CB6">
      <w:pPr>
        <w:pStyle w:val="12"/>
        <w:adjustRightInd w:val="0"/>
        <w:snapToGrid w:val="0"/>
        <w:spacing w:line="360" w:lineRule="auto"/>
        <w:ind w:firstLine="420" w:firstLineChars="200"/>
        <w:rPr>
          <w:rFonts w:hint="eastAsia" w:ascii="楷体" w:hAnsi="楷体" w:eastAsia="楷体"/>
          <w:color w:val="auto"/>
          <w:highlight w:val="none"/>
        </w:rPr>
      </w:pPr>
      <w:r>
        <w:rPr>
          <w:rFonts w:hint="eastAsia" w:ascii="楷体" w:hAnsi="楷体" w:eastAsia="楷体"/>
          <w:color w:val="auto"/>
          <w:highlight w:val="none"/>
        </w:rPr>
        <w:t>（1）中小企业声明函格式见附件</w:t>
      </w:r>
      <w:r>
        <w:rPr>
          <w:rFonts w:hint="eastAsia" w:ascii="楷体" w:hAnsi="楷体" w:eastAsia="楷体"/>
          <w:color w:val="auto"/>
          <w:highlight w:val="none"/>
          <w:lang w:val="en-US" w:eastAsia="zh-CN"/>
        </w:rPr>
        <w:t>1</w:t>
      </w:r>
      <w:r>
        <w:rPr>
          <w:rFonts w:hint="eastAsia" w:ascii="楷体" w:hAnsi="楷体" w:eastAsia="楷体"/>
          <w:color w:val="auto"/>
          <w:highlight w:val="none"/>
        </w:rPr>
        <w:t>；（非</w:t>
      </w:r>
      <w:r>
        <w:rPr>
          <w:rFonts w:hint="eastAsia" w:ascii="楷体" w:hAnsi="楷体" w:eastAsia="楷体"/>
          <w:color w:val="auto"/>
          <w:highlight w:val="none"/>
          <w:lang w:eastAsia="zh-CN"/>
        </w:rPr>
        <w:t>中</w:t>
      </w:r>
      <w:r>
        <w:rPr>
          <w:rFonts w:hint="eastAsia" w:ascii="楷体" w:hAnsi="楷体" w:eastAsia="楷体"/>
          <w:color w:val="auto"/>
          <w:highlight w:val="none"/>
        </w:rPr>
        <w:t>小微企业可不提供该附件）</w:t>
      </w:r>
    </w:p>
    <w:p w14:paraId="3F0FA766">
      <w:pPr>
        <w:pStyle w:val="12"/>
        <w:adjustRightInd w:val="0"/>
        <w:snapToGrid w:val="0"/>
        <w:spacing w:line="360" w:lineRule="auto"/>
        <w:ind w:firstLine="420" w:firstLineChars="200"/>
        <w:rPr>
          <w:rFonts w:hint="eastAsia" w:ascii="楷体" w:hAnsi="楷体" w:eastAsia="楷体"/>
          <w:color w:val="auto"/>
          <w:highlight w:val="none"/>
        </w:rPr>
      </w:pPr>
      <w:r>
        <w:rPr>
          <w:rFonts w:hint="eastAsia" w:ascii="楷体" w:hAnsi="楷体" w:eastAsia="楷体"/>
          <w:color w:val="auto"/>
          <w:highlight w:val="none"/>
        </w:rPr>
        <w:t>（2）残疾人福利性单位声明函格式见附件</w:t>
      </w:r>
      <w:r>
        <w:rPr>
          <w:rFonts w:hint="eastAsia" w:ascii="楷体" w:hAnsi="楷体" w:eastAsia="楷体"/>
          <w:color w:val="auto"/>
          <w:highlight w:val="none"/>
          <w:lang w:val="en-US" w:eastAsia="zh-CN"/>
        </w:rPr>
        <w:t>2</w:t>
      </w:r>
      <w:r>
        <w:rPr>
          <w:rFonts w:hint="eastAsia" w:ascii="楷体" w:hAnsi="楷体" w:eastAsia="楷体"/>
          <w:color w:val="auto"/>
          <w:highlight w:val="none"/>
        </w:rPr>
        <w:t>；（非残疾人福利企业可不提供该附件）</w:t>
      </w:r>
    </w:p>
    <w:p w14:paraId="734321B1">
      <w:pPr>
        <w:adjustRightInd w:val="0"/>
        <w:snapToGrid w:val="0"/>
        <w:spacing w:line="360" w:lineRule="auto"/>
        <w:ind w:firstLine="420" w:firstLineChars="200"/>
        <w:rPr>
          <w:rFonts w:hint="eastAsia" w:ascii="楷体" w:hAnsi="楷体" w:eastAsia="楷体"/>
          <w:color w:val="auto"/>
          <w:szCs w:val="21"/>
          <w:highlight w:val="none"/>
        </w:rPr>
      </w:pPr>
      <w:r>
        <w:rPr>
          <w:rFonts w:hint="eastAsia" w:ascii="楷体" w:hAnsi="楷体" w:eastAsia="楷体"/>
          <w:color w:val="auto"/>
          <w:szCs w:val="21"/>
          <w:highlight w:val="none"/>
        </w:rPr>
        <w:t>（3）监狱企业证明文件见附件</w:t>
      </w:r>
      <w:r>
        <w:rPr>
          <w:rFonts w:hint="eastAsia" w:ascii="楷体" w:hAnsi="楷体" w:eastAsia="楷体"/>
          <w:color w:val="auto"/>
          <w:szCs w:val="21"/>
          <w:highlight w:val="none"/>
          <w:lang w:val="en-US" w:eastAsia="zh-CN"/>
        </w:rPr>
        <w:t>3</w:t>
      </w:r>
      <w:r>
        <w:rPr>
          <w:rFonts w:hint="eastAsia" w:ascii="楷体" w:hAnsi="楷体" w:eastAsia="楷体"/>
          <w:color w:val="auto"/>
          <w:szCs w:val="21"/>
          <w:highlight w:val="none"/>
        </w:rPr>
        <w:t>；</w:t>
      </w:r>
      <w:r>
        <w:rPr>
          <w:rFonts w:hint="eastAsia" w:ascii="楷体" w:hAnsi="楷体" w:eastAsia="楷体"/>
          <w:color w:val="auto"/>
          <w:highlight w:val="none"/>
        </w:rPr>
        <w:t>（非监狱企业可不提供该附件）</w:t>
      </w:r>
    </w:p>
    <w:p w14:paraId="401C9DF8">
      <w:pPr>
        <w:pStyle w:val="39"/>
        <w:spacing w:line="400" w:lineRule="exact"/>
        <w:rPr>
          <w:rFonts w:hint="eastAsia" w:ascii="宋体" w:hAnsi="宋体"/>
          <w:b/>
          <w:color w:val="auto"/>
          <w:sz w:val="28"/>
          <w:szCs w:val="28"/>
          <w:highlight w:val="none"/>
        </w:rPr>
      </w:pPr>
    </w:p>
    <w:p w14:paraId="0C4973CC">
      <w:pPr>
        <w:pStyle w:val="39"/>
        <w:spacing w:line="400" w:lineRule="exact"/>
        <w:rPr>
          <w:rFonts w:hint="eastAsia" w:ascii="宋体" w:hAnsi="宋体"/>
          <w:b/>
          <w:color w:val="auto"/>
          <w:sz w:val="28"/>
          <w:szCs w:val="28"/>
          <w:highlight w:val="none"/>
        </w:rPr>
      </w:pPr>
    </w:p>
    <w:p w14:paraId="2A40F633">
      <w:pPr>
        <w:pStyle w:val="39"/>
        <w:spacing w:line="400" w:lineRule="exact"/>
        <w:rPr>
          <w:rFonts w:hint="eastAsia" w:ascii="宋体" w:hAnsi="宋体"/>
          <w:b/>
          <w:color w:val="auto"/>
          <w:sz w:val="28"/>
          <w:szCs w:val="28"/>
          <w:highlight w:val="none"/>
        </w:rPr>
      </w:pPr>
    </w:p>
    <w:p w14:paraId="7020B0A5">
      <w:pPr>
        <w:pStyle w:val="39"/>
        <w:spacing w:line="400" w:lineRule="exact"/>
        <w:rPr>
          <w:rFonts w:hint="eastAsia" w:ascii="宋体" w:hAnsi="宋体"/>
          <w:b/>
          <w:color w:val="auto"/>
          <w:sz w:val="28"/>
          <w:szCs w:val="28"/>
          <w:highlight w:val="none"/>
        </w:rPr>
      </w:pPr>
    </w:p>
    <w:p w14:paraId="2D5FE769">
      <w:pPr>
        <w:pStyle w:val="39"/>
        <w:spacing w:line="400" w:lineRule="exact"/>
        <w:rPr>
          <w:rFonts w:hint="eastAsia" w:ascii="宋体" w:hAnsi="宋体"/>
          <w:b/>
          <w:color w:val="auto"/>
          <w:sz w:val="28"/>
          <w:szCs w:val="28"/>
          <w:highlight w:val="none"/>
        </w:rPr>
      </w:pPr>
    </w:p>
    <w:p w14:paraId="72B718DC">
      <w:pPr>
        <w:pStyle w:val="39"/>
        <w:spacing w:line="400" w:lineRule="exact"/>
        <w:rPr>
          <w:rFonts w:hint="eastAsia" w:ascii="宋体" w:hAnsi="宋体"/>
          <w:b/>
          <w:color w:val="auto"/>
          <w:sz w:val="28"/>
          <w:szCs w:val="28"/>
          <w:highlight w:val="none"/>
        </w:rPr>
      </w:pPr>
    </w:p>
    <w:p w14:paraId="3C41462A">
      <w:pPr>
        <w:pStyle w:val="39"/>
        <w:spacing w:line="400" w:lineRule="exact"/>
        <w:rPr>
          <w:rFonts w:hint="eastAsia" w:ascii="宋体" w:hAnsi="宋体"/>
          <w:b/>
          <w:color w:val="auto"/>
          <w:sz w:val="28"/>
          <w:szCs w:val="28"/>
          <w:highlight w:val="none"/>
        </w:rPr>
      </w:pPr>
    </w:p>
    <w:p w14:paraId="181EAA7A">
      <w:pPr>
        <w:pStyle w:val="39"/>
        <w:spacing w:line="400" w:lineRule="exact"/>
        <w:rPr>
          <w:rFonts w:hint="eastAsia" w:ascii="宋体" w:hAnsi="宋体"/>
          <w:b/>
          <w:color w:val="auto"/>
          <w:sz w:val="28"/>
          <w:szCs w:val="28"/>
          <w:highlight w:val="none"/>
        </w:rPr>
      </w:pPr>
    </w:p>
    <w:p w14:paraId="0195A806">
      <w:pPr>
        <w:pStyle w:val="39"/>
        <w:spacing w:line="400" w:lineRule="exact"/>
        <w:rPr>
          <w:rFonts w:hint="eastAsia" w:ascii="宋体" w:hAnsi="宋体"/>
          <w:b/>
          <w:color w:val="auto"/>
          <w:sz w:val="28"/>
          <w:szCs w:val="28"/>
          <w:highlight w:val="none"/>
        </w:rPr>
      </w:pPr>
    </w:p>
    <w:p w14:paraId="4F9312DC">
      <w:pPr>
        <w:pStyle w:val="39"/>
        <w:spacing w:line="400" w:lineRule="exact"/>
        <w:rPr>
          <w:rFonts w:hint="eastAsia" w:ascii="宋体" w:hAnsi="宋体"/>
          <w:b/>
          <w:color w:val="auto"/>
          <w:sz w:val="28"/>
          <w:szCs w:val="28"/>
          <w:highlight w:val="none"/>
        </w:rPr>
      </w:pPr>
    </w:p>
    <w:p w14:paraId="5F380EBD">
      <w:pPr>
        <w:pStyle w:val="39"/>
        <w:spacing w:line="400" w:lineRule="exact"/>
        <w:rPr>
          <w:rFonts w:hint="eastAsia" w:ascii="宋体" w:hAnsi="宋体"/>
          <w:b/>
          <w:color w:val="auto"/>
          <w:sz w:val="28"/>
          <w:szCs w:val="28"/>
          <w:highlight w:val="none"/>
        </w:rPr>
      </w:pPr>
    </w:p>
    <w:p w14:paraId="0BB64749">
      <w:pPr>
        <w:pStyle w:val="39"/>
        <w:spacing w:line="400" w:lineRule="exact"/>
        <w:rPr>
          <w:rFonts w:hint="eastAsia" w:ascii="宋体" w:hAnsi="宋体"/>
          <w:b/>
          <w:color w:val="auto"/>
          <w:sz w:val="28"/>
          <w:szCs w:val="28"/>
          <w:highlight w:val="none"/>
        </w:rPr>
      </w:pPr>
    </w:p>
    <w:p w14:paraId="4CD9C4FD">
      <w:pPr>
        <w:pStyle w:val="39"/>
        <w:spacing w:line="400" w:lineRule="exact"/>
        <w:rPr>
          <w:rFonts w:hint="eastAsia" w:ascii="宋体" w:hAnsi="宋体"/>
          <w:b/>
          <w:color w:val="auto"/>
          <w:sz w:val="28"/>
          <w:szCs w:val="28"/>
          <w:highlight w:val="none"/>
        </w:rPr>
      </w:pPr>
    </w:p>
    <w:p w14:paraId="02BE6E9A">
      <w:pPr>
        <w:pStyle w:val="39"/>
        <w:spacing w:line="400" w:lineRule="exact"/>
        <w:rPr>
          <w:rFonts w:hint="eastAsia" w:ascii="宋体" w:hAnsi="宋体"/>
          <w:b/>
          <w:color w:val="auto"/>
          <w:sz w:val="28"/>
          <w:szCs w:val="28"/>
          <w:highlight w:val="none"/>
        </w:rPr>
      </w:pPr>
    </w:p>
    <w:p w14:paraId="4EA67790">
      <w:pPr>
        <w:pStyle w:val="39"/>
        <w:spacing w:line="400" w:lineRule="exact"/>
        <w:rPr>
          <w:rFonts w:hint="eastAsia" w:ascii="宋体" w:hAnsi="宋体"/>
          <w:b/>
          <w:color w:val="auto"/>
          <w:sz w:val="28"/>
          <w:szCs w:val="28"/>
          <w:highlight w:val="none"/>
        </w:rPr>
      </w:pPr>
    </w:p>
    <w:p w14:paraId="6061980B">
      <w:pPr>
        <w:pStyle w:val="39"/>
        <w:spacing w:line="400" w:lineRule="exact"/>
        <w:rPr>
          <w:rFonts w:hint="eastAsia" w:ascii="宋体" w:hAnsi="宋体"/>
          <w:b/>
          <w:color w:val="auto"/>
          <w:sz w:val="28"/>
          <w:szCs w:val="28"/>
          <w:highlight w:val="none"/>
        </w:rPr>
      </w:pPr>
    </w:p>
    <w:p w14:paraId="051F4245">
      <w:pPr>
        <w:pStyle w:val="39"/>
        <w:spacing w:line="400" w:lineRule="exact"/>
        <w:rPr>
          <w:rFonts w:hint="eastAsia" w:ascii="宋体" w:hAnsi="宋体"/>
          <w:b/>
          <w:color w:val="auto"/>
          <w:sz w:val="28"/>
          <w:szCs w:val="28"/>
          <w:highlight w:val="none"/>
        </w:rPr>
      </w:pPr>
    </w:p>
    <w:p w14:paraId="5201EEE6">
      <w:pPr>
        <w:pStyle w:val="39"/>
        <w:spacing w:line="400" w:lineRule="exact"/>
        <w:rPr>
          <w:rFonts w:hint="eastAsia" w:ascii="宋体" w:hAnsi="宋体"/>
          <w:b/>
          <w:color w:val="auto"/>
          <w:sz w:val="28"/>
          <w:szCs w:val="28"/>
          <w:highlight w:val="none"/>
        </w:rPr>
      </w:pPr>
    </w:p>
    <w:p w14:paraId="65C6F985">
      <w:pPr>
        <w:pStyle w:val="39"/>
        <w:spacing w:line="400" w:lineRule="exact"/>
        <w:rPr>
          <w:rFonts w:hint="eastAsia" w:ascii="宋体" w:hAnsi="宋体"/>
          <w:b/>
          <w:color w:val="auto"/>
          <w:sz w:val="28"/>
          <w:szCs w:val="28"/>
          <w:highlight w:val="none"/>
        </w:rPr>
      </w:pPr>
    </w:p>
    <w:p w14:paraId="6F5B2C37">
      <w:pPr>
        <w:pStyle w:val="39"/>
        <w:spacing w:line="400" w:lineRule="exact"/>
        <w:rPr>
          <w:rFonts w:hint="eastAsia" w:ascii="宋体" w:hAnsi="宋体"/>
          <w:b/>
          <w:color w:val="auto"/>
          <w:sz w:val="28"/>
          <w:szCs w:val="28"/>
          <w:highlight w:val="none"/>
        </w:rPr>
      </w:pPr>
    </w:p>
    <w:p w14:paraId="11C165B3">
      <w:pPr>
        <w:pStyle w:val="39"/>
        <w:spacing w:line="400" w:lineRule="exact"/>
        <w:rPr>
          <w:rFonts w:hint="eastAsia" w:ascii="宋体" w:hAnsi="宋体"/>
          <w:b/>
          <w:color w:val="auto"/>
          <w:sz w:val="28"/>
          <w:szCs w:val="28"/>
          <w:highlight w:val="none"/>
        </w:rPr>
      </w:pPr>
    </w:p>
    <w:p w14:paraId="13D800AF">
      <w:pPr>
        <w:pStyle w:val="39"/>
        <w:spacing w:line="400" w:lineRule="exact"/>
        <w:rPr>
          <w:rFonts w:hint="eastAsia" w:ascii="宋体" w:hAnsi="宋体"/>
          <w:b/>
          <w:color w:val="auto"/>
          <w:sz w:val="28"/>
          <w:szCs w:val="28"/>
          <w:highlight w:val="none"/>
        </w:rPr>
      </w:pPr>
    </w:p>
    <w:p w14:paraId="5310E5AC">
      <w:pPr>
        <w:pStyle w:val="39"/>
        <w:spacing w:line="400" w:lineRule="exact"/>
        <w:rPr>
          <w:rFonts w:hint="eastAsia" w:ascii="宋体" w:hAnsi="宋体"/>
          <w:b/>
          <w:color w:val="auto"/>
          <w:sz w:val="28"/>
          <w:szCs w:val="28"/>
          <w:highlight w:val="none"/>
        </w:rPr>
      </w:pPr>
    </w:p>
    <w:p w14:paraId="6EC7EDB8">
      <w:pPr>
        <w:pStyle w:val="39"/>
        <w:spacing w:line="400" w:lineRule="exact"/>
        <w:rPr>
          <w:rFonts w:hint="eastAsia" w:ascii="宋体" w:hAnsi="宋体"/>
          <w:b/>
          <w:color w:val="auto"/>
          <w:sz w:val="28"/>
          <w:szCs w:val="28"/>
          <w:highlight w:val="none"/>
        </w:rPr>
      </w:pPr>
    </w:p>
    <w:p w14:paraId="6AF3AB5C">
      <w:pPr>
        <w:pStyle w:val="39"/>
        <w:spacing w:line="400" w:lineRule="exact"/>
        <w:rPr>
          <w:rFonts w:hint="eastAsia" w:ascii="宋体" w:hAnsi="宋体"/>
          <w:b/>
          <w:color w:val="auto"/>
          <w:sz w:val="28"/>
          <w:szCs w:val="28"/>
          <w:highlight w:val="none"/>
        </w:rPr>
      </w:pPr>
    </w:p>
    <w:p w14:paraId="75D0911C">
      <w:pPr>
        <w:pStyle w:val="39"/>
        <w:spacing w:line="400" w:lineRule="exact"/>
        <w:rPr>
          <w:rFonts w:hint="eastAsia" w:ascii="宋体" w:hAnsi="宋体"/>
          <w:b/>
          <w:color w:val="auto"/>
          <w:sz w:val="28"/>
          <w:szCs w:val="28"/>
          <w:highlight w:val="none"/>
        </w:rPr>
      </w:pPr>
    </w:p>
    <w:p w14:paraId="7028DDA8">
      <w:pPr>
        <w:pStyle w:val="39"/>
        <w:spacing w:line="400" w:lineRule="exact"/>
        <w:rPr>
          <w:rFonts w:hint="eastAsia" w:ascii="宋体" w:hAnsi="宋体"/>
          <w:b/>
          <w:color w:val="auto"/>
          <w:sz w:val="28"/>
          <w:szCs w:val="28"/>
          <w:highlight w:val="none"/>
        </w:rPr>
      </w:pPr>
    </w:p>
    <w:p w14:paraId="5B1936EE">
      <w:pPr>
        <w:pStyle w:val="39"/>
        <w:spacing w:line="400" w:lineRule="exact"/>
        <w:rPr>
          <w:rFonts w:hint="eastAsia" w:ascii="宋体" w:hAnsi="宋体"/>
          <w:b/>
          <w:color w:val="auto"/>
          <w:sz w:val="28"/>
          <w:szCs w:val="28"/>
          <w:highlight w:val="none"/>
        </w:rPr>
      </w:pPr>
    </w:p>
    <w:p w14:paraId="471430A8">
      <w:pPr>
        <w:pStyle w:val="39"/>
        <w:spacing w:line="400" w:lineRule="exact"/>
        <w:rPr>
          <w:rFonts w:hint="eastAsia" w:ascii="宋体" w:hAnsi="宋体"/>
          <w:b/>
          <w:color w:val="auto"/>
          <w:sz w:val="28"/>
          <w:szCs w:val="28"/>
          <w:highlight w:val="none"/>
        </w:rPr>
      </w:pPr>
    </w:p>
    <w:p w14:paraId="250128E4">
      <w:pPr>
        <w:pStyle w:val="39"/>
        <w:spacing w:line="400" w:lineRule="exact"/>
        <w:rPr>
          <w:rFonts w:hint="eastAsia" w:ascii="黑体" w:hAnsi="宋体" w:eastAsia="黑体"/>
          <w:color w:val="auto"/>
          <w:sz w:val="28"/>
          <w:szCs w:val="28"/>
          <w:highlight w:val="none"/>
        </w:rPr>
      </w:pPr>
      <w:r>
        <w:rPr>
          <w:rFonts w:hint="eastAsia" w:ascii="黑体" w:hAnsi="宋体" w:eastAsia="黑体"/>
          <w:color w:val="auto"/>
          <w:sz w:val="28"/>
          <w:szCs w:val="28"/>
          <w:highlight w:val="none"/>
        </w:rPr>
        <w:t>附件</w:t>
      </w:r>
      <w:r>
        <w:rPr>
          <w:rFonts w:hint="eastAsia" w:ascii="黑体" w:hAnsi="宋体" w:eastAsia="黑体"/>
          <w:color w:val="auto"/>
          <w:sz w:val="28"/>
          <w:szCs w:val="28"/>
          <w:highlight w:val="none"/>
          <w:lang w:val="en-US" w:eastAsia="zh-CN"/>
        </w:rPr>
        <w:t>1</w:t>
      </w:r>
      <w:r>
        <w:rPr>
          <w:rFonts w:hint="eastAsia" w:ascii="黑体" w:hAnsi="宋体" w:eastAsia="黑体"/>
          <w:color w:val="auto"/>
          <w:sz w:val="28"/>
          <w:szCs w:val="28"/>
          <w:highlight w:val="none"/>
        </w:rPr>
        <w:t>：</w:t>
      </w:r>
    </w:p>
    <w:p w14:paraId="7979F7FB">
      <w:pPr>
        <w:tabs>
          <w:tab w:val="left" w:pos="3600"/>
        </w:tabs>
        <w:adjustRightInd w:val="0"/>
        <w:snapToGrid w:val="0"/>
        <w:spacing w:before="240" w:beforeLines="100"/>
        <w:jc w:val="center"/>
        <w:rPr>
          <w:rFonts w:hint="eastAsia"/>
          <w:color w:val="auto"/>
          <w:highlight w:val="none"/>
        </w:rPr>
      </w:pPr>
      <w:r>
        <w:rPr>
          <w:rFonts w:hint="eastAsia"/>
          <w:color w:val="auto"/>
          <w:kern w:val="0"/>
          <w:sz w:val="36"/>
          <w:szCs w:val="36"/>
          <w:highlight w:val="none"/>
        </w:rPr>
        <w:t>中小企业声明函</w:t>
      </w:r>
    </w:p>
    <w:p w14:paraId="50DD780E">
      <w:pPr>
        <w:spacing w:line="360" w:lineRule="auto"/>
        <w:ind w:firstLine="420" w:firstLineChars="200"/>
        <w:jc w:val="left"/>
        <w:rPr>
          <w:rFonts w:hint="eastAsia" w:asciiTheme="minorEastAsia" w:hAnsiTheme="minorEastAsia" w:eastAsiaTheme="minorEastAsia" w:cstheme="minorEastAsia"/>
          <w:color w:val="auto"/>
          <w:highlight w:val="none"/>
          <w:lang w:eastAsia="zh-CN"/>
        </w:rPr>
      </w:pPr>
      <w:r>
        <w:rPr>
          <w:rFonts w:hint="eastAsia" w:asciiTheme="minorEastAsia" w:hAnsiTheme="minorEastAsia" w:eastAsiaTheme="minorEastAsia" w:cstheme="minorEastAsia"/>
          <w:color w:val="auto"/>
          <w:highlight w:val="none"/>
        </w:rPr>
        <w:t xml:space="preserve">本公司郑重声明，根据《政府采购促进中小企业发展管理办法》（财库〔2020〕46 号）的规定，本公司参加 </w:t>
      </w:r>
      <w:r>
        <w:rPr>
          <w:rFonts w:hint="eastAsia" w:asciiTheme="minorEastAsia" w:hAnsiTheme="minorEastAsia" w:eastAsiaTheme="minorEastAsia" w:cstheme="minorEastAsia"/>
          <w:color w:val="auto"/>
          <w:highlight w:val="none"/>
          <w:u w:val="single"/>
        </w:rPr>
        <w:t xml:space="preserve">（单位名称） </w:t>
      </w:r>
      <w:r>
        <w:rPr>
          <w:rFonts w:hint="eastAsia" w:asciiTheme="minorEastAsia" w:hAnsiTheme="minorEastAsia" w:eastAsiaTheme="minorEastAsia" w:cstheme="minorEastAsia"/>
          <w:color w:val="auto"/>
          <w:highlight w:val="none"/>
        </w:rPr>
        <w:t xml:space="preserve">的 </w:t>
      </w:r>
      <w:r>
        <w:rPr>
          <w:rFonts w:hint="eastAsia" w:asciiTheme="minorEastAsia" w:hAnsiTheme="minorEastAsia" w:eastAsiaTheme="minorEastAsia" w:cstheme="minorEastAsia"/>
          <w:color w:val="auto"/>
          <w:highlight w:val="none"/>
          <w:u w:val="single"/>
        </w:rPr>
        <w:t xml:space="preserve">（项目名称） </w:t>
      </w:r>
      <w:r>
        <w:rPr>
          <w:rFonts w:hint="eastAsia" w:asciiTheme="minorEastAsia" w:hAnsiTheme="minorEastAsia" w:eastAsiaTheme="minorEastAsia" w:cstheme="minorEastAsia"/>
          <w:color w:val="auto"/>
          <w:highlight w:val="none"/>
        </w:rPr>
        <w:t>采购活动，提供的货物全部由符合政策要求的中小企业制造。相关企业（含联合体中的中小企业、签订分包意向协议的中小企业）的具体情况如下：</w:t>
      </w:r>
    </w:p>
    <w:p w14:paraId="1BA4B391">
      <w:pPr>
        <w:spacing w:line="360" w:lineRule="auto"/>
        <w:ind w:firstLine="420" w:firstLineChars="200"/>
        <w:jc w:val="left"/>
        <w:rPr>
          <w:rFonts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　　</w:t>
      </w:r>
      <w:bookmarkStart w:id="241" w:name="_Toc419811733"/>
      <w:bookmarkStart w:id="242" w:name="_Toc387658050"/>
      <w:bookmarkStart w:id="243" w:name="_Toc387147344"/>
      <w:bookmarkStart w:id="244" w:name="_Toc413748654"/>
      <w:bookmarkStart w:id="245" w:name="_Toc417911732"/>
      <w:r>
        <w:rPr>
          <w:rFonts w:hint="eastAsia" w:asciiTheme="minorEastAsia" w:hAnsiTheme="minorEastAsia" w:eastAsiaTheme="minorEastAsia" w:cstheme="minorEastAsia"/>
          <w:color w:val="auto"/>
          <w:highlight w:val="none"/>
        </w:rPr>
        <w:t xml:space="preserve">1. </w:t>
      </w:r>
      <w:r>
        <w:rPr>
          <w:rFonts w:hint="eastAsia" w:asciiTheme="minorEastAsia" w:hAnsiTheme="minorEastAsia" w:eastAsiaTheme="minorEastAsia" w:cstheme="minorEastAsia"/>
          <w:color w:val="auto"/>
          <w:highlight w:val="none"/>
          <w:u w:val="single"/>
        </w:rPr>
        <w:t xml:space="preserve">（标的名称） </w:t>
      </w:r>
      <w:r>
        <w:rPr>
          <w:rFonts w:hint="eastAsia" w:asciiTheme="minorEastAsia" w:hAnsiTheme="minorEastAsia" w:eastAsiaTheme="minorEastAsia" w:cstheme="minorEastAsia"/>
          <w:color w:val="auto"/>
          <w:highlight w:val="none"/>
        </w:rPr>
        <w:t>，属于</w:t>
      </w:r>
      <w:r>
        <w:rPr>
          <w:rFonts w:hint="eastAsia" w:asciiTheme="minorEastAsia" w:hAnsiTheme="minorEastAsia" w:eastAsiaTheme="minorEastAsia" w:cstheme="minorEastAsia"/>
          <w:color w:val="auto"/>
          <w:highlight w:val="none"/>
          <w:u w:val="single"/>
        </w:rPr>
        <w:t xml:space="preserve"> （采购文件中明确的所属行业） </w:t>
      </w:r>
      <w:r>
        <w:rPr>
          <w:rFonts w:hint="eastAsia" w:asciiTheme="minorEastAsia" w:hAnsiTheme="minorEastAsia" w:eastAsiaTheme="minorEastAsia" w:cstheme="minorEastAsia"/>
          <w:color w:val="auto"/>
          <w:highlight w:val="none"/>
        </w:rPr>
        <w:t>；制造商为</w:t>
      </w:r>
      <w:r>
        <w:rPr>
          <w:rFonts w:hint="eastAsia" w:asciiTheme="minorEastAsia" w:hAnsiTheme="minorEastAsia" w:eastAsiaTheme="minorEastAsia" w:cstheme="minorEastAsia"/>
          <w:color w:val="auto"/>
          <w:highlight w:val="none"/>
          <w:u w:val="single"/>
        </w:rPr>
        <w:t xml:space="preserve"> （企业名称） </w:t>
      </w:r>
      <w:r>
        <w:rPr>
          <w:rFonts w:hint="eastAsia" w:asciiTheme="minorEastAsia" w:hAnsiTheme="minorEastAsia" w:eastAsiaTheme="minorEastAsia" w:cstheme="minorEastAsia"/>
          <w:color w:val="auto"/>
          <w:highlight w:val="none"/>
        </w:rPr>
        <w:t>，从业人员</w:t>
      </w:r>
      <w:r>
        <w:rPr>
          <w:rFonts w:hint="eastAsia" w:asciiTheme="minorEastAsia" w:hAnsiTheme="minorEastAsia" w:eastAsiaTheme="minorEastAsia" w:cstheme="minorEastAsia"/>
          <w:color w:val="auto"/>
          <w:highlight w:val="none"/>
          <w:u w:val="single"/>
        </w:rPr>
        <w:t xml:space="preserve"> </w:t>
      </w:r>
      <w:r>
        <w:rPr>
          <w:rFonts w:asciiTheme="minorEastAsia" w:hAnsiTheme="minorEastAsia" w:eastAsiaTheme="minorEastAsia" w:cstheme="minorEastAsia"/>
          <w:color w:val="auto"/>
          <w:highlight w:val="none"/>
          <w:u w:val="single"/>
        </w:rPr>
        <w:t xml:space="preserve"> </w:t>
      </w:r>
      <w:r>
        <w:rPr>
          <w:rFonts w:hint="eastAsia" w:asciiTheme="minorEastAsia" w:hAnsiTheme="minorEastAsia" w:eastAsiaTheme="minorEastAsia" w:cstheme="minorEastAsia"/>
          <w:color w:val="auto"/>
          <w:highlight w:val="none"/>
        </w:rPr>
        <w:t>人，营业收入为</w:t>
      </w:r>
      <w:r>
        <w:rPr>
          <w:rFonts w:hint="eastAsia" w:asciiTheme="minorEastAsia" w:hAnsiTheme="minorEastAsia" w:eastAsiaTheme="minorEastAsia" w:cstheme="minorEastAsia"/>
          <w:color w:val="auto"/>
          <w:highlight w:val="none"/>
          <w:u w:val="single"/>
        </w:rPr>
        <w:t xml:space="preserve"> </w:t>
      </w:r>
      <w:r>
        <w:rPr>
          <w:rFonts w:asciiTheme="minorEastAsia" w:hAnsiTheme="minorEastAsia" w:eastAsiaTheme="minorEastAsia" w:cstheme="minorEastAsia"/>
          <w:color w:val="auto"/>
          <w:highlight w:val="none"/>
          <w:u w:val="single"/>
        </w:rPr>
        <w:t xml:space="preserve"> </w:t>
      </w:r>
      <w:r>
        <w:rPr>
          <w:rFonts w:hint="eastAsia" w:asciiTheme="minorEastAsia" w:hAnsiTheme="minorEastAsia" w:eastAsiaTheme="minorEastAsia" w:cstheme="minorEastAsia"/>
          <w:color w:val="auto"/>
          <w:highlight w:val="none"/>
        </w:rPr>
        <w:t>万元，资产总额为</w:t>
      </w:r>
      <w:r>
        <w:rPr>
          <w:rFonts w:hint="eastAsia" w:asciiTheme="minorEastAsia" w:hAnsiTheme="minorEastAsia" w:eastAsiaTheme="minorEastAsia" w:cstheme="minorEastAsia"/>
          <w:color w:val="auto"/>
          <w:highlight w:val="none"/>
          <w:u w:val="single"/>
        </w:rPr>
        <w:t xml:space="preserve"> </w:t>
      </w:r>
      <w:r>
        <w:rPr>
          <w:rFonts w:asciiTheme="minorEastAsia" w:hAnsiTheme="minorEastAsia" w:eastAsiaTheme="minorEastAsia" w:cstheme="minorEastAsia"/>
          <w:color w:val="auto"/>
          <w:highlight w:val="none"/>
          <w:u w:val="single"/>
        </w:rPr>
        <w:t xml:space="preserve"> </w:t>
      </w:r>
      <w:r>
        <w:rPr>
          <w:rFonts w:hint="eastAsia" w:asciiTheme="minorEastAsia" w:hAnsiTheme="minorEastAsia" w:eastAsiaTheme="minorEastAsia" w:cstheme="minorEastAsia"/>
          <w:color w:val="auto"/>
          <w:highlight w:val="none"/>
        </w:rPr>
        <w:t>万元，属于</w:t>
      </w:r>
      <w:r>
        <w:rPr>
          <w:rFonts w:hint="eastAsia" w:asciiTheme="minorEastAsia" w:hAnsiTheme="minorEastAsia" w:eastAsiaTheme="minorEastAsia" w:cstheme="minorEastAsia"/>
          <w:color w:val="auto"/>
          <w:highlight w:val="none"/>
          <w:u w:val="single"/>
        </w:rPr>
        <w:t xml:space="preserve"> （中型企业、小型企业、微型企业） </w:t>
      </w:r>
      <w:r>
        <w:rPr>
          <w:rFonts w:hint="eastAsia" w:asciiTheme="minorEastAsia" w:hAnsiTheme="minorEastAsia" w:eastAsiaTheme="minorEastAsia" w:cstheme="minorEastAsia"/>
          <w:color w:val="auto"/>
          <w:highlight w:val="none"/>
        </w:rPr>
        <w:t>；</w:t>
      </w:r>
    </w:p>
    <w:p w14:paraId="46CC835B">
      <w:pPr>
        <w:spacing w:line="360" w:lineRule="auto"/>
        <w:ind w:firstLine="525" w:firstLineChars="250"/>
        <w:jc w:val="left"/>
        <w:rPr>
          <w:rFonts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2.</w:t>
      </w:r>
      <w:r>
        <w:rPr>
          <w:rFonts w:hint="eastAsia" w:asciiTheme="minorEastAsia" w:hAnsiTheme="minorEastAsia" w:eastAsiaTheme="minorEastAsia" w:cstheme="minorEastAsia"/>
          <w:color w:val="auto"/>
          <w:highlight w:val="none"/>
          <w:u w:val="single"/>
        </w:rPr>
        <w:t xml:space="preserve"> （标的名称） </w:t>
      </w:r>
      <w:r>
        <w:rPr>
          <w:rFonts w:hint="eastAsia" w:asciiTheme="minorEastAsia" w:hAnsiTheme="minorEastAsia" w:eastAsiaTheme="minorEastAsia" w:cstheme="minorEastAsia"/>
          <w:color w:val="auto"/>
          <w:highlight w:val="none"/>
        </w:rPr>
        <w:t>，属于</w:t>
      </w:r>
      <w:r>
        <w:rPr>
          <w:rFonts w:hint="eastAsia" w:asciiTheme="minorEastAsia" w:hAnsiTheme="minorEastAsia" w:eastAsiaTheme="minorEastAsia" w:cstheme="minorEastAsia"/>
          <w:color w:val="auto"/>
          <w:highlight w:val="none"/>
          <w:u w:val="single"/>
        </w:rPr>
        <w:t xml:space="preserve"> （采购文件中明确的所属行业） </w:t>
      </w:r>
      <w:r>
        <w:rPr>
          <w:rFonts w:hint="eastAsia" w:asciiTheme="minorEastAsia" w:hAnsiTheme="minorEastAsia" w:eastAsiaTheme="minorEastAsia" w:cstheme="minorEastAsia"/>
          <w:color w:val="auto"/>
          <w:highlight w:val="none"/>
        </w:rPr>
        <w:t>；制造商为</w:t>
      </w:r>
      <w:r>
        <w:rPr>
          <w:rFonts w:hint="eastAsia" w:asciiTheme="minorEastAsia" w:hAnsiTheme="minorEastAsia" w:eastAsiaTheme="minorEastAsia" w:cstheme="minorEastAsia"/>
          <w:color w:val="auto"/>
          <w:highlight w:val="none"/>
          <w:u w:val="single"/>
        </w:rPr>
        <w:t xml:space="preserve"> （企业名称） </w:t>
      </w:r>
      <w:r>
        <w:rPr>
          <w:rFonts w:hint="eastAsia" w:asciiTheme="minorEastAsia" w:hAnsiTheme="minorEastAsia" w:eastAsiaTheme="minorEastAsia" w:cstheme="minorEastAsia"/>
          <w:color w:val="auto"/>
          <w:highlight w:val="none"/>
        </w:rPr>
        <w:t>，从业人员</w:t>
      </w:r>
      <w:r>
        <w:rPr>
          <w:rFonts w:hint="eastAsia" w:asciiTheme="minorEastAsia" w:hAnsiTheme="minorEastAsia" w:eastAsiaTheme="minorEastAsia" w:cstheme="minorEastAsia"/>
          <w:color w:val="auto"/>
          <w:highlight w:val="none"/>
          <w:u w:val="single"/>
        </w:rPr>
        <w:t xml:space="preserve"> </w:t>
      </w:r>
      <w:r>
        <w:rPr>
          <w:rFonts w:asciiTheme="minorEastAsia" w:hAnsiTheme="minorEastAsia" w:eastAsiaTheme="minorEastAsia" w:cstheme="minorEastAsia"/>
          <w:color w:val="auto"/>
          <w:highlight w:val="none"/>
          <w:u w:val="single"/>
        </w:rPr>
        <w:t xml:space="preserve"> </w:t>
      </w:r>
      <w:r>
        <w:rPr>
          <w:rFonts w:hint="eastAsia" w:asciiTheme="minorEastAsia" w:hAnsiTheme="minorEastAsia" w:eastAsiaTheme="minorEastAsia" w:cstheme="minorEastAsia"/>
          <w:color w:val="auto"/>
          <w:highlight w:val="none"/>
        </w:rPr>
        <w:t>人，营业收入为</w:t>
      </w:r>
      <w:r>
        <w:rPr>
          <w:rFonts w:hint="eastAsia" w:asciiTheme="minorEastAsia" w:hAnsiTheme="minorEastAsia" w:eastAsiaTheme="minorEastAsia" w:cstheme="minorEastAsia"/>
          <w:color w:val="auto"/>
          <w:highlight w:val="none"/>
          <w:u w:val="single"/>
        </w:rPr>
        <w:t xml:space="preserve"> </w:t>
      </w:r>
      <w:r>
        <w:rPr>
          <w:rFonts w:asciiTheme="minorEastAsia" w:hAnsiTheme="minorEastAsia" w:eastAsiaTheme="minorEastAsia" w:cstheme="minorEastAsia"/>
          <w:color w:val="auto"/>
          <w:highlight w:val="none"/>
          <w:u w:val="single"/>
        </w:rPr>
        <w:t xml:space="preserve"> </w:t>
      </w:r>
      <w:r>
        <w:rPr>
          <w:rFonts w:hint="eastAsia" w:asciiTheme="minorEastAsia" w:hAnsiTheme="minorEastAsia" w:eastAsiaTheme="minorEastAsia" w:cstheme="minorEastAsia"/>
          <w:color w:val="auto"/>
          <w:highlight w:val="none"/>
        </w:rPr>
        <w:t>万元，资产总额为</w:t>
      </w:r>
      <w:r>
        <w:rPr>
          <w:rFonts w:hint="eastAsia" w:asciiTheme="minorEastAsia" w:hAnsiTheme="minorEastAsia" w:eastAsiaTheme="minorEastAsia" w:cstheme="minorEastAsia"/>
          <w:color w:val="auto"/>
          <w:highlight w:val="none"/>
          <w:u w:val="single"/>
        </w:rPr>
        <w:t xml:space="preserve"> </w:t>
      </w:r>
      <w:r>
        <w:rPr>
          <w:rFonts w:asciiTheme="minorEastAsia" w:hAnsiTheme="minorEastAsia" w:eastAsiaTheme="minorEastAsia" w:cstheme="minorEastAsia"/>
          <w:color w:val="auto"/>
          <w:highlight w:val="none"/>
          <w:u w:val="single"/>
        </w:rPr>
        <w:t xml:space="preserve"> </w:t>
      </w:r>
      <w:r>
        <w:rPr>
          <w:rFonts w:hint="eastAsia" w:asciiTheme="minorEastAsia" w:hAnsiTheme="minorEastAsia" w:eastAsiaTheme="minorEastAsia" w:cstheme="minorEastAsia"/>
          <w:color w:val="auto"/>
          <w:highlight w:val="none"/>
        </w:rPr>
        <w:t>万元，属于</w:t>
      </w:r>
      <w:r>
        <w:rPr>
          <w:rFonts w:hint="eastAsia" w:asciiTheme="minorEastAsia" w:hAnsiTheme="minorEastAsia" w:eastAsiaTheme="minorEastAsia" w:cstheme="minorEastAsia"/>
          <w:color w:val="auto"/>
          <w:highlight w:val="none"/>
          <w:u w:val="single"/>
        </w:rPr>
        <w:t xml:space="preserve"> （中型企业、小型企业、微型企业） </w:t>
      </w:r>
      <w:r>
        <w:rPr>
          <w:rFonts w:hint="eastAsia" w:asciiTheme="minorEastAsia" w:hAnsiTheme="minorEastAsia" w:eastAsiaTheme="minorEastAsia" w:cstheme="minorEastAsia"/>
          <w:color w:val="auto"/>
          <w:highlight w:val="none"/>
        </w:rPr>
        <w:t>；</w:t>
      </w:r>
    </w:p>
    <w:p w14:paraId="57F92B28">
      <w:pPr>
        <w:spacing w:line="360" w:lineRule="auto"/>
        <w:ind w:firstLine="525" w:firstLineChars="250"/>
        <w:jc w:val="left"/>
        <w:rPr>
          <w:rFonts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w:t>
      </w:r>
    </w:p>
    <w:p w14:paraId="7A060887">
      <w:pPr>
        <w:spacing w:line="360" w:lineRule="auto"/>
        <w:ind w:firstLine="525" w:firstLineChars="250"/>
        <w:jc w:val="left"/>
        <w:rPr>
          <w:rFonts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以上企业，不属于大企业的分支机构，不存在控股股东为大企业的情形，也不存在与大企业的负责人为同一人的情形。</w:t>
      </w:r>
    </w:p>
    <w:p w14:paraId="2C778638">
      <w:pPr>
        <w:spacing w:line="360" w:lineRule="auto"/>
        <w:ind w:firstLine="525" w:firstLineChars="250"/>
        <w:jc w:val="left"/>
        <w:rPr>
          <w:rFonts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本企业对上述声明内容的真实性负责。如有虚假，将依法承担相应责任。</w:t>
      </w:r>
    </w:p>
    <w:p w14:paraId="1A372715">
      <w:pPr>
        <w:spacing w:line="360" w:lineRule="auto"/>
        <w:jc w:val="center"/>
        <w:rPr>
          <w:rFonts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 xml:space="preserve">                                 企业名称（盖章）：</w:t>
      </w:r>
    </w:p>
    <w:p w14:paraId="779FFA29">
      <w:pPr>
        <w:spacing w:line="360" w:lineRule="auto"/>
        <w:jc w:val="center"/>
        <w:rPr>
          <w:rFonts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 xml:space="preserve">                        日 期：</w:t>
      </w:r>
    </w:p>
    <w:p w14:paraId="36EF1948">
      <w:pPr>
        <w:spacing w:line="360" w:lineRule="auto"/>
        <w:jc w:val="left"/>
        <w:rPr>
          <w:rFonts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注：</w:t>
      </w:r>
    </w:p>
    <w:p w14:paraId="25F02168">
      <w:pPr>
        <w:spacing w:line="360" w:lineRule="auto"/>
        <w:rPr>
          <w:rFonts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1、</w:t>
      </w:r>
      <w:bookmarkEnd w:id="241"/>
      <w:bookmarkEnd w:id="242"/>
      <w:bookmarkEnd w:id="243"/>
      <w:bookmarkEnd w:id="244"/>
      <w:bookmarkEnd w:id="245"/>
      <w:r>
        <w:rPr>
          <w:rFonts w:hint="eastAsia" w:asciiTheme="minorEastAsia" w:hAnsiTheme="minorEastAsia" w:eastAsiaTheme="minorEastAsia" w:cstheme="minorEastAsia"/>
          <w:color w:val="auto"/>
          <w:highlight w:val="none"/>
        </w:rPr>
        <w:t>从业人员、营业收入、资产总额填报上一年度数据，无上一年度数据的新成立企业可不填报。</w:t>
      </w:r>
    </w:p>
    <w:p w14:paraId="2D85583A">
      <w:pPr>
        <w:adjustRightInd w:val="0"/>
        <w:snapToGrid w:val="0"/>
        <w:spacing w:line="360" w:lineRule="auto"/>
        <w:rPr>
          <w:rFonts w:hint="eastAsia" w:ascii="黑体" w:hAnsi="宋体" w:eastAsia="黑体"/>
          <w:color w:val="auto"/>
          <w:sz w:val="28"/>
          <w:szCs w:val="28"/>
          <w:highlight w:val="none"/>
        </w:rPr>
      </w:pPr>
    </w:p>
    <w:p w14:paraId="3FC03F30">
      <w:pPr>
        <w:rPr>
          <w:rFonts w:hint="eastAsia"/>
          <w:color w:val="auto"/>
          <w:highlight w:val="none"/>
        </w:rPr>
      </w:pPr>
    </w:p>
    <w:p w14:paraId="6A86AC34">
      <w:pPr>
        <w:adjustRightInd w:val="0"/>
        <w:snapToGrid w:val="0"/>
        <w:spacing w:line="360" w:lineRule="auto"/>
        <w:rPr>
          <w:rFonts w:hint="eastAsia" w:ascii="黑体" w:hAnsi="宋体" w:eastAsia="黑体"/>
          <w:color w:val="auto"/>
          <w:sz w:val="28"/>
          <w:szCs w:val="28"/>
          <w:highlight w:val="none"/>
        </w:rPr>
      </w:pPr>
    </w:p>
    <w:p w14:paraId="02B9D645">
      <w:pPr>
        <w:rPr>
          <w:rFonts w:hint="eastAsia" w:ascii="黑体" w:hAnsi="宋体" w:eastAsia="黑体"/>
          <w:color w:val="auto"/>
          <w:sz w:val="28"/>
          <w:szCs w:val="28"/>
          <w:highlight w:val="none"/>
        </w:rPr>
      </w:pPr>
      <w:r>
        <w:rPr>
          <w:rFonts w:hint="eastAsia" w:ascii="黑体" w:hAnsi="宋体" w:eastAsia="黑体"/>
          <w:color w:val="auto"/>
          <w:sz w:val="28"/>
          <w:szCs w:val="28"/>
          <w:highlight w:val="none"/>
        </w:rPr>
        <w:br w:type="page"/>
      </w:r>
    </w:p>
    <w:p w14:paraId="728B4D00">
      <w:pPr>
        <w:adjustRightInd w:val="0"/>
        <w:snapToGrid w:val="0"/>
        <w:spacing w:line="360" w:lineRule="auto"/>
        <w:rPr>
          <w:rFonts w:hint="eastAsia" w:ascii="黑体" w:hAnsi="宋体" w:eastAsia="黑体"/>
          <w:color w:val="auto"/>
          <w:sz w:val="28"/>
          <w:szCs w:val="28"/>
          <w:highlight w:val="none"/>
        </w:rPr>
      </w:pPr>
      <w:r>
        <w:rPr>
          <w:rFonts w:hint="eastAsia" w:ascii="黑体" w:hAnsi="宋体" w:eastAsia="黑体"/>
          <w:color w:val="auto"/>
          <w:sz w:val="28"/>
          <w:szCs w:val="28"/>
          <w:highlight w:val="none"/>
        </w:rPr>
        <w:t>附件</w:t>
      </w:r>
      <w:r>
        <w:rPr>
          <w:rFonts w:hint="eastAsia" w:ascii="黑体" w:hAnsi="宋体" w:eastAsia="黑体"/>
          <w:color w:val="auto"/>
          <w:sz w:val="28"/>
          <w:szCs w:val="28"/>
          <w:highlight w:val="none"/>
          <w:lang w:val="en-US" w:eastAsia="zh-CN"/>
        </w:rPr>
        <w:t>2</w:t>
      </w:r>
      <w:r>
        <w:rPr>
          <w:rFonts w:hint="eastAsia" w:ascii="黑体" w:hAnsi="宋体" w:eastAsia="黑体"/>
          <w:color w:val="auto"/>
          <w:sz w:val="28"/>
          <w:szCs w:val="28"/>
          <w:highlight w:val="none"/>
        </w:rPr>
        <w:t>：</w:t>
      </w:r>
    </w:p>
    <w:p w14:paraId="19A82883">
      <w:pPr>
        <w:spacing w:line="588" w:lineRule="exact"/>
        <w:jc w:val="center"/>
        <w:rPr>
          <w:rFonts w:ascii="宋体" w:hAnsi="宋体"/>
          <w:b/>
          <w:color w:val="auto"/>
          <w:spacing w:val="6"/>
          <w:sz w:val="36"/>
          <w:szCs w:val="36"/>
          <w:highlight w:val="none"/>
        </w:rPr>
      </w:pPr>
      <w:bookmarkStart w:id="246" w:name="OLE_LINK13"/>
      <w:bookmarkStart w:id="247" w:name="OLE_LINK14"/>
      <w:r>
        <w:rPr>
          <w:rFonts w:hint="eastAsia" w:ascii="宋体" w:hAnsi="宋体"/>
          <w:b/>
          <w:color w:val="auto"/>
          <w:spacing w:val="6"/>
          <w:sz w:val="36"/>
          <w:szCs w:val="36"/>
          <w:highlight w:val="none"/>
        </w:rPr>
        <w:t>残疾人福利性单位声明函</w:t>
      </w:r>
    </w:p>
    <w:bookmarkEnd w:id="246"/>
    <w:bookmarkEnd w:id="247"/>
    <w:p w14:paraId="239870C9">
      <w:pPr>
        <w:spacing w:line="588" w:lineRule="exact"/>
        <w:rPr>
          <w:rFonts w:ascii="仿宋_GB2312" w:eastAsia="仿宋_GB2312"/>
          <w:b/>
          <w:color w:val="auto"/>
          <w:spacing w:val="6"/>
          <w:sz w:val="30"/>
          <w:szCs w:val="30"/>
          <w:highlight w:val="none"/>
        </w:rPr>
      </w:pPr>
    </w:p>
    <w:p w14:paraId="4B61F9C1">
      <w:pPr>
        <w:spacing w:line="360" w:lineRule="auto"/>
        <w:ind w:firstLine="444" w:firstLineChars="200"/>
        <w:rPr>
          <w:rFonts w:ascii="宋体" w:hAnsi="宋体"/>
          <w:color w:val="auto"/>
          <w:spacing w:val="6"/>
          <w:szCs w:val="21"/>
          <w:highlight w:val="none"/>
        </w:rPr>
      </w:pPr>
      <w:r>
        <w:rPr>
          <w:rFonts w:hint="eastAsia" w:ascii="宋体" w:hAnsi="宋体"/>
          <w:color w:val="auto"/>
          <w:spacing w:val="6"/>
          <w:szCs w:val="21"/>
          <w:highlight w:val="none"/>
        </w:rPr>
        <w:t>本单位郑重声明，根据《财政部</w:t>
      </w:r>
      <w:r>
        <w:rPr>
          <w:rFonts w:ascii="宋体" w:hAnsi="宋体"/>
          <w:color w:val="auto"/>
          <w:spacing w:val="6"/>
          <w:szCs w:val="21"/>
          <w:highlight w:val="none"/>
        </w:rPr>
        <w:t xml:space="preserve"> </w:t>
      </w:r>
      <w:r>
        <w:rPr>
          <w:rFonts w:hint="eastAsia" w:ascii="宋体" w:hAnsi="宋体"/>
          <w:color w:val="auto"/>
          <w:spacing w:val="6"/>
          <w:szCs w:val="21"/>
          <w:highlight w:val="none"/>
        </w:rPr>
        <w:t>民政部</w:t>
      </w:r>
      <w:r>
        <w:rPr>
          <w:rFonts w:ascii="宋体" w:hAnsi="宋体"/>
          <w:color w:val="auto"/>
          <w:spacing w:val="6"/>
          <w:szCs w:val="21"/>
          <w:highlight w:val="none"/>
        </w:rPr>
        <w:t xml:space="preserve"> </w:t>
      </w:r>
      <w:r>
        <w:rPr>
          <w:rFonts w:hint="eastAsia" w:ascii="宋体" w:hAnsi="宋体"/>
          <w:color w:val="auto"/>
          <w:spacing w:val="6"/>
          <w:szCs w:val="21"/>
          <w:highlight w:val="none"/>
        </w:rPr>
        <w:t>中国残疾人联合会关于促进残疾人就业政府采购政策的通知》（财库</w:t>
      </w:r>
      <w:r>
        <w:rPr>
          <w:rFonts w:hint="eastAsia" w:ascii="宋体" w:hAnsi="宋体"/>
          <w:color w:val="auto"/>
          <w:szCs w:val="21"/>
          <w:highlight w:val="none"/>
        </w:rPr>
        <w:t>〔</w:t>
      </w:r>
      <w:r>
        <w:rPr>
          <w:rFonts w:ascii="宋体" w:hAnsi="宋体"/>
          <w:color w:val="auto"/>
          <w:szCs w:val="21"/>
          <w:highlight w:val="none"/>
        </w:rPr>
        <w:t>2017</w:t>
      </w:r>
      <w:r>
        <w:rPr>
          <w:rFonts w:hint="eastAsia" w:ascii="宋体" w:hAnsi="宋体"/>
          <w:color w:val="auto"/>
          <w:szCs w:val="21"/>
          <w:highlight w:val="none"/>
        </w:rPr>
        <w:t>〕</w:t>
      </w:r>
      <w:r>
        <w:rPr>
          <w:rFonts w:ascii="宋体" w:hAnsi="宋体"/>
          <w:color w:val="auto"/>
          <w:szCs w:val="21"/>
          <w:highlight w:val="none"/>
        </w:rPr>
        <w:t xml:space="preserve"> 141</w:t>
      </w:r>
      <w:r>
        <w:rPr>
          <w:rFonts w:hint="eastAsia" w:ascii="宋体" w:hAnsi="宋体"/>
          <w:color w:val="auto"/>
          <w:spacing w:val="6"/>
          <w:szCs w:val="21"/>
          <w:highlight w:val="none"/>
        </w:rPr>
        <w:t>号）的规定，本单位为符合条件的残疾人福利性单位，且本单位参加</w:t>
      </w:r>
      <w:r>
        <w:rPr>
          <w:rFonts w:ascii="宋体" w:hAnsi="宋体"/>
          <w:color w:val="auto"/>
          <w:spacing w:val="6"/>
          <w:szCs w:val="21"/>
          <w:highlight w:val="none"/>
        </w:rPr>
        <w:t>______</w:t>
      </w:r>
      <w:r>
        <w:rPr>
          <w:rFonts w:hint="eastAsia" w:ascii="宋体" w:hAnsi="宋体"/>
          <w:color w:val="auto"/>
          <w:spacing w:val="6"/>
          <w:szCs w:val="21"/>
          <w:highlight w:val="none"/>
        </w:rPr>
        <w:t>单位的</w:t>
      </w:r>
      <w:r>
        <w:rPr>
          <w:rFonts w:ascii="宋体" w:hAnsi="宋体"/>
          <w:color w:val="auto"/>
          <w:spacing w:val="6"/>
          <w:szCs w:val="21"/>
          <w:highlight w:val="none"/>
        </w:rPr>
        <w:t>______</w:t>
      </w:r>
      <w:r>
        <w:rPr>
          <w:rFonts w:hint="eastAsia" w:ascii="宋体" w:hAnsi="宋体"/>
          <w:color w:val="auto"/>
          <w:spacing w:val="6"/>
          <w:szCs w:val="21"/>
          <w:highlight w:val="none"/>
        </w:rPr>
        <w:t>项目采购活动提供本单位制造的货物（由本单位承担工程</w:t>
      </w:r>
      <w:r>
        <w:rPr>
          <w:rFonts w:ascii="宋体" w:hAnsi="宋体"/>
          <w:color w:val="auto"/>
          <w:spacing w:val="6"/>
          <w:szCs w:val="21"/>
          <w:highlight w:val="none"/>
        </w:rPr>
        <w:t>/</w:t>
      </w:r>
      <w:r>
        <w:rPr>
          <w:rFonts w:hint="eastAsia" w:ascii="宋体" w:hAnsi="宋体"/>
          <w:color w:val="auto"/>
          <w:spacing w:val="6"/>
          <w:szCs w:val="21"/>
          <w:highlight w:val="none"/>
        </w:rPr>
        <w:t>提供服务），或者提供其他残疾人福利性单位制造的货物（不包括使用非残疾人福利性单位注册商标的货物）。</w:t>
      </w:r>
    </w:p>
    <w:p w14:paraId="5C1BAEB8">
      <w:pPr>
        <w:spacing w:line="360" w:lineRule="auto"/>
        <w:ind w:firstLine="444" w:firstLineChars="200"/>
        <w:rPr>
          <w:rFonts w:ascii="宋体" w:hAnsi="宋体"/>
          <w:color w:val="auto"/>
          <w:spacing w:val="6"/>
          <w:szCs w:val="21"/>
          <w:highlight w:val="none"/>
        </w:rPr>
      </w:pPr>
      <w:r>
        <w:rPr>
          <w:rFonts w:hint="eastAsia" w:ascii="宋体" w:hAnsi="宋体"/>
          <w:color w:val="auto"/>
          <w:spacing w:val="6"/>
          <w:szCs w:val="21"/>
          <w:highlight w:val="none"/>
        </w:rPr>
        <w:t>本单位对上述声明的真实性负责。如有虚假，将依法承担相应责任。</w:t>
      </w:r>
    </w:p>
    <w:p w14:paraId="151ED54E">
      <w:pPr>
        <w:spacing w:line="360" w:lineRule="auto"/>
        <w:ind w:firstLine="444" w:firstLineChars="200"/>
        <w:rPr>
          <w:rFonts w:ascii="宋体" w:hAnsi="宋体"/>
          <w:color w:val="auto"/>
          <w:spacing w:val="6"/>
          <w:szCs w:val="21"/>
          <w:highlight w:val="none"/>
        </w:rPr>
      </w:pPr>
    </w:p>
    <w:p w14:paraId="5EAA96A2">
      <w:pPr>
        <w:spacing w:line="360" w:lineRule="auto"/>
        <w:ind w:firstLine="444" w:firstLineChars="200"/>
        <w:rPr>
          <w:rFonts w:ascii="宋体" w:hAnsi="宋体"/>
          <w:color w:val="auto"/>
          <w:spacing w:val="6"/>
          <w:szCs w:val="21"/>
          <w:highlight w:val="none"/>
        </w:rPr>
      </w:pPr>
    </w:p>
    <w:p w14:paraId="15856284">
      <w:pPr>
        <w:tabs>
          <w:tab w:val="left" w:pos="4860"/>
        </w:tabs>
        <w:spacing w:line="360" w:lineRule="auto"/>
        <w:ind w:right="1560" w:firstLine="444" w:firstLineChars="200"/>
        <w:jc w:val="center"/>
        <w:rPr>
          <w:rFonts w:ascii="宋体" w:hAnsi="宋体"/>
          <w:color w:val="auto"/>
          <w:spacing w:val="6"/>
          <w:szCs w:val="21"/>
          <w:highlight w:val="none"/>
        </w:rPr>
      </w:pPr>
      <w:r>
        <w:rPr>
          <w:rFonts w:ascii="宋体" w:hAnsi="宋体"/>
          <w:color w:val="auto"/>
          <w:spacing w:val="6"/>
          <w:szCs w:val="21"/>
          <w:highlight w:val="none"/>
        </w:rPr>
        <w:t xml:space="preserve">              </w:t>
      </w:r>
      <w:r>
        <w:rPr>
          <w:rFonts w:hint="eastAsia" w:ascii="宋体" w:hAnsi="宋体"/>
          <w:color w:val="auto"/>
          <w:spacing w:val="6"/>
          <w:szCs w:val="21"/>
          <w:highlight w:val="none"/>
        </w:rPr>
        <w:t xml:space="preserve">            单位名称：</w:t>
      </w:r>
      <w:r>
        <w:rPr>
          <w:rFonts w:hint="eastAsia" w:ascii="宋体" w:hAnsi="宋体"/>
          <w:color w:val="auto"/>
          <w:spacing w:val="6"/>
          <w:szCs w:val="21"/>
          <w:highlight w:val="none"/>
          <w:u w:val="single"/>
        </w:rPr>
        <w:t xml:space="preserve">              </w:t>
      </w:r>
      <w:r>
        <w:rPr>
          <w:rFonts w:hint="eastAsia" w:ascii="宋体" w:hAnsi="宋体"/>
          <w:color w:val="auto"/>
          <w:spacing w:val="6"/>
          <w:szCs w:val="21"/>
          <w:highlight w:val="none"/>
        </w:rPr>
        <w:t>（盖单位章）：</w:t>
      </w:r>
    </w:p>
    <w:p w14:paraId="568FC7EC">
      <w:pPr>
        <w:tabs>
          <w:tab w:val="left" w:pos="4860"/>
        </w:tabs>
        <w:spacing w:line="360" w:lineRule="auto"/>
        <w:ind w:right="1560" w:firstLine="444" w:firstLineChars="200"/>
        <w:jc w:val="center"/>
        <w:rPr>
          <w:rFonts w:hint="eastAsia" w:ascii="宋体" w:hAnsi="宋体"/>
          <w:color w:val="auto"/>
          <w:spacing w:val="6"/>
          <w:szCs w:val="21"/>
          <w:highlight w:val="none"/>
        </w:rPr>
      </w:pPr>
      <w:r>
        <w:rPr>
          <w:rFonts w:ascii="宋体" w:hAnsi="宋体"/>
          <w:color w:val="auto"/>
          <w:spacing w:val="6"/>
          <w:szCs w:val="21"/>
          <w:highlight w:val="none"/>
        </w:rPr>
        <w:t xml:space="preserve"> </w:t>
      </w:r>
    </w:p>
    <w:p w14:paraId="6C140A99">
      <w:pPr>
        <w:tabs>
          <w:tab w:val="left" w:pos="4860"/>
        </w:tabs>
        <w:spacing w:line="360" w:lineRule="auto"/>
        <w:ind w:right="1560" w:firstLine="444" w:firstLineChars="200"/>
        <w:jc w:val="center"/>
        <w:rPr>
          <w:rFonts w:ascii="宋体" w:hAnsi="宋体"/>
          <w:color w:val="auto"/>
          <w:szCs w:val="21"/>
          <w:highlight w:val="none"/>
        </w:rPr>
      </w:pPr>
      <w:r>
        <w:rPr>
          <w:rFonts w:hint="eastAsia" w:ascii="宋体" w:hAnsi="宋体"/>
          <w:color w:val="auto"/>
          <w:spacing w:val="6"/>
          <w:szCs w:val="21"/>
          <w:highlight w:val="none"/>
        </w:rPr>
        <w:t xml:space="preserve">                   日</w:t>
      </w:r>
      <w:r>
        <w:rPr>
          <w:rFonts w:ascii="宋体" w:hAnsi="宋体"/>
          <w:color w:val="auto"/>
          <w:spacing w:val="6"/>
          <w:szCs w:val="21"/>
          <w:highlight w:val="none"/>
        </w:rPr>
        <w:t xml:space="preserve"> </w:t>
      </w:r>
      <w:r>
        <w:rPr>
          <w:rFonts w:hint="eastAsia" w:ascii="宋体" w:hAnsi="宋体"/>
          <w:color w:val="auto"/>
          <w:spacing w:val="6"/>
          <w:szCs w:val="21"/>
          <w:highlight w:val="none"/>
        </w:rPr>
        <w:t xml:space="preserve">   </w:t>
      </w:r>
      <w:r>
        <w:rPr>
          <w:rFonts w:ascii="宋体" w:hAnsi="宋体"/>
          <w:color w:val="auto"/>
          <w:spacing w:val="6"/>
          <w:szCs w:val="21"/>
          <w:highlight w:val="none"/>
        </w:rPr>
        <w:t xml:space="preserve"> </w:t>
      </w:r>
      <w:r>
        <w:rPr>
          <w:rFonts w:hint="eastAsia" w:ascii="宋体" w:hAnsi="宋体"/>
          <w:color w:val="auto"/>
          <w:spacing w:val="6"/>
          <w:szCs w:val="21"/>
          <w:highlight w:val="none"/>
        </w:rPr>
        <w:t>期：    年   月  日</w:t>
      </w:r>
    </w:p>
    <w:p w14:paraId="0A7B43D6">
      <w:pPr>
        <w:adjustRightInd w:val="0"/>
        <w:snapToGrid w:val="0"/>
        <w:spacing w:line="360" w:lineRule="auto"/>
        <w:rPr>
          <w:rFonts w:hint="eastAsia" w:ascii="宋体" w:hAnsi="宋体"/>
          <w:b/>
          <w:color w:val="auto"/>
          <w:sz w:val="24"/>
          <w:highlight w:val="none"/>
        </w:rPr>
      </w:pPr>
    </w:p>
    <w:p w14:paraId="653D25A8">
      <w:pPr>
        <w:adjustRightInd w:val="0"/>
        <w:snapToGrid w:val="0"/>
        <w:spacing w:before="50" w:line="360" w:lineRule="auto"/>
        <w:jc w:val="center"/>
        <w:rPr>
          <w:rFonts w:hint="eastAsia" w:ascii="宋体" w:hAnsi="宋体"/>
          <w:b/>
          <w:color w:val="auto"/>
          <w:sz w:val="36"/>
          <w:szCs w:val="36"/>
          <w:highlight w:val="none"/>
        </w:rPr>
      </w:pPr>
    </w:p>
    <w:p w14:paraId="32A9D752">
      <w:pPr>
        <w:adjustRightInd w:val="0"/>
        <w:snapToGrid w:val="0"/>
        <w:spacing w:before="50" w:line="360" w:lineRule="auto"/>
        <w:jc w:val="center"/>
        <w:rPr>
          <w:rFonts w:hint="eastAsia" w:ascii="宋体" w:hAnsi="宋体"/>
          <w:b/>
          <w:color w:val="auto"/>
          <w:sz w:val="36"/>
          <w:szCs w:val="36"/>
          <w:highlight w:val="none"/>
        </w:rPr>
      </w:pPr>
    </w:p>
    <w:p w14:paraId="635AD209">
      <w:pPr>
        <w:adjustRightInd w:val="0"/>
        <w:snapToGrid w:val="0"/>
        <w:spacing w:before="50" w:line="360" w:lineRule="auto"/>
        <w:jc w:val="center"/>
        <w:rPr>
          <w:rFonts w:hint="eastAsia" w:ascii="宋体" w:hAnsi="宋体"/>
          <w:b/>
          <w:color w:val="auto"/>
          <w:sz w:val="36"/>
          <w:szCs w:val="36"/>
          <w:highlight w:val="none"/>
        </w:rPr>
      </w:pPr>
    </w:p>
    <w:p w14:paraId="796A34D3">
      <w:pPr>
        <w:adjustRightInd w:val="0"/>
        <w:snapToGrid w:val="0"/>
        <w:spacing w:before="50" w:line="360" w:lineRule="auto"/>
        <w:jc w:val="center"/>
        <w:rPr>
          <w:rFonts w:hint="eastAsia" w:ascii="宋体" w:hAnsi="宋体"/>
          <w:b/>
          <w:color w:val="auto"/>
          <w:sz w:val="36"/>
          <w:szCs w:val="36"/>
          <w:highlight w:val="none"/>
        </w:rPr>
      </w:pPr>
    </w:p>
    <w:p w14:paraId="0EEF2FC4">
      <w:pPr>
        <w:adjustRightInd w:val="0"/>
        <w:snapToGrid w:val="0"/>
        <w:spacing w:before="50" w:line="360" w:lineRule="auto"/>
        <w:jc w:val="center"/>
        <w:rPr>
          <w:rFonts w:hint="eastAsia" w:ascii="宋体" w:hAnsi="宋体"/>
          <w:b/>
          <w:color w:val="auto"/>
          <w:sz w:val="36"/>
          <w:szCs w:val="36"/>
          <w:highlight w:val="none"/>
        </w:rPr>
      </w:pPr>
    </w:p>
    <w:p w14:paraId="3F767077">
      <w:pPr>
        <w:adjustRightInd w:val="0"/>
        <w:snapToGrid w:val="0"/>
        <w:spacing w:before="50" w:line="360" w:lineRule="auto"/>
        <w:jc w:val="center"/>
        <w:rPr>
          <w:rFonts w:hint="eastAsia" w:ascii="宋体" w:hAnsi="宋体"/>
          <w:b/>
          <w:color w:val="auto"/>
          <w:sz w:val="36"/>
          <w:szCs w:val="36"/>
          <w:highlight w:val="none"/>
        </w:rPr>
      </w:pPr>
    </w:p>
    <w:p w14:paraId="5DF3F11F">
      <w:pPr>
        <w:adjustRightInd w:val="0"/>
        <w:snapToGrid w:val="0"/>
        <w:spacing w:line="360" w:lineRule="exact"/>
        <w:ind w:firstLine="525" w:firstLineChars="250"/>
        <w:rPr>
          <w:rFonts w:hint="eastAsia" w:ascii="楷体" w:hAnsi="楷体" w:eastAsia="楷体"/>
          <w:color w:val="auto"/>
          <w:szCs w:val="21"/>
          <w:highlight w:val="none"/>
        </w:rPr>
      </w:pPr>
    </w:p>
    <w:p w14:paraId="0104DB28">
      <w:pPr>
        <w:adjustRightInd w:val="0"/>
        <w:snapToGrid w:val="0"/>
        <w:spacing w:before="50" w:line="360" w:lineRule="auto"/>
        <w:ind w:firstLine="1050" w:firstLineChars="500"/>
        <w:rPr>
          <w:rFonts w:hint="eastAsia" w:ascii="仿宋_GB2312" w:hAnsi="宋体" w:eastAsia="仿宋_GB2312"/>
          <w:color w:val="auto"/>
          <w:szCs w:val="21"/>
          <w:highlight w:val="none"/>
        </w:rPr>
      </w:pPr>
    </w:p>
    <w:p w14:paraId="49358393">
      <w:pPr>
        <w:adjustRightInd w:val="0"/>
        <w:snapToGrid w:val="0"/>
        <w:spacing w:line="360" w:lineRule="auto"/>
        <w:rPr>
          <w:rFonts w:hint="eastAsia" w:ascii="宋体" w:hAnsi="宋体"/>
          <w:b/>
          <w:color w:val="auto"/>
          <w:sz w:val="28"/>
          <w:szCs w:val="28"/>
          <w:highlight w:val="none"/>
        </w:rPr>
      </w:pPr>
    </w:p>
    <w:p w14:paraId="086590B9">
      <w:pPr>
        <w:adjustRightInd w:val="0"/>
        <w:snapToGrid w:val="0"/>
        <w:spacing w:line="360" w:lineRule="auto"/>
        <w:rPr>
          <w:rFonts w:hint="eastAsia" w:ascii="宋体" w:hAnsi="宋体"/>
          <w:b/>
          <w:color w:val="auto"/>
          <w:sz w:val="28"/>
          <w:szCs w:val="28"/>
          <w:highlight w:val="none"/>
        </w:rPr>
      </w:pPr>
      <w:r>
        <w:rPr>
          <w:rFonts w:ascii="宋体" w:hAnsi="宋体"/>
          <w:b/>
          <w:color w:val="auto"/>
          <w:sz w:val="28"/>
          <w:szCs w:val="28"/>
          <w:highlight w:val="none"/>
        </w:rPr>
        <w:br w:type="page"/>
      </w:r>
      <w:r>
        <w:rPr>
          <w:rFonts w:hint="eastAsia" w:ascii="宋体" w:hAnsi="宋体"/>
          <w:b/>
          <w:color w:val="auto"/>
          <w:sz w:val="28"/>
          <w:szCs w:val="28"/>
          <w:highlight w:val="none"/>
        </w:rPr>
        <w:t>附件</w:t>
      </w:r>
      <w:r>
        <w:rPr>
          <w:rFonts w:hint="eastAsia" w:ascii="宋体" w:hAnsi="宋体"/>
          <w:b/>
          <w:color w:val="auto"/>
          <w:sz w:val="28"/>
          <w:szCs w:val="28"/>
          <w:highlight w:val="none"/>
          <w:lang w:val="en-US" w:eastAsia="zh-CN"/>
        </w:rPr>
        <w:t>3</w:t>
      </w:r>
      <w:r>
        <w:rPr>
          <w:rFonts w:hint="eastAsia" w:ascii="宋体" w:hAnsi="宋体"/>
          <w:b/>
          <w:color w:val="auto"/>
          <w:sz w:val="28"/>
          <w:szCs w:val="28"/>
          <w:highlight w:val="none"/>
        </w:rPr>
        <w:t>：</w:t>
      </w:r>
    </w:p>
    <w:p w14:paraId="42091E75">
      <w:pPr>
        <w:adjustRightInd w:val="0"/>
        <w:snapToGrid w:val="0"/>
        <w:spacing w:before="50" w:line="360" w:lineRule="auto"/>
        <w:jc w:val="center"/>
        <w:rPr>
          <w:rFonts w:hint="eastAsia" w:ascii="宋体" w:hAnsi="宋体"/>
          <w:b/>
          <w:color w:val="auto"/>
          <w:sz w:val="36"/>
          <w:szCs w:val="36"/>
          <w:highlight w:val="none"/>
        </w:rPr>
      </w:pPr>
      <w:r>
        <w:rPr>
          <w:rFonts w:hint="eastAsia" w:ascii="宋体" w:hAnsi="宋体"/>
          <w:b/>
          <w:color w:val="auto"/>
          <w:sz w:val="36"/>
          <w:szCs w:val="36"/>
          <w:highlight w:val="none"/>
        </w:rPr>
        <w:t>监狱企业证明文件</w:t>
      </w:r>
    </w:p>
    <w:p w14:paraId="15BBBF37">
      <w:pPr>
        <w:adjustRightInd w:val="0"/>
        <w:snapToGrid w:val="0"/>
        <w:spacing w:line="360" w:lineRule="auto"/>
        <w:rPr>
          <w:rFonts w:hint="eastAsia" w:ascii="楷体" w:hAnsi="楷体" w:eastAsia="楷体"/>
          <w:color w:val="auto"/>
          <w:szCs w:val="21"/>
          <w:highlight w:val="none"/>
        </w:rPr>
      </w:pPr>
      <w:r>
        <w:rPr>
          <w:rFonts w:hint="eastAsia" w:ascii="楷体" w:hAnsi="楷体" w:eastAsia="楷体"/>
          <w:color w:val="auto"/>
          <w:szCs w:val="21"/>
          <w:highlight w:val="none"/>
        </w:rPr>
        <w:t>说明：</w:t>
      </w:r>
    </w:p>
    <w:p w14:paraId="53CCA85D">
      <w:pPr>
        <w:adjustRightInd w:val="0"/>
        <w:snapToGrid w:val="0"/>
        <w:spacing w:line="360" w:lineRule="auto"/>
        <w:ind w:firstLine="525"/>
        <w:outlineLvl w:val="1"/>
        <w:rPr>
          <w:rFonts w:hint="eastAsia" w:ascii="楷体" w:hAnsi="楷体" w:eastAsia="楷体"/>
          <w:bCs/>
          <w:color w:val="auto"/>
          <w:szCs w:val="21"/>
          <w:highlight w:val="none"/>
        </w:rPr>
      </w:pPr>
      <w:bookmarkStart w:id="248" w:name="_Toc16865"/>
      <w:r>
        <w:rPr>
          <w:rFonts w:hint="eastAsia" w:ascii="楷体" w:hAnsi="楷体" w:eastAsia="楷体"/>
          <w:bCs/>
          <w:color w:val="auto"/>
          <w:szCs w:val="21"/>
          <w:highlight w:val="none"/>
        </w:rPr>
        <w:t>1.无格式要求，由出具监狱企业证明的单位自行拟定；</w:t>
      </w:r>
      <w:bookmarkEnd w:id="248"/>
    </w:p>
    <w:p w14:paraId="5C18159C">
      <w:pPr>
        <w:adjustRightInd w:val="0"/>
        <w:snapToGrid w:val="0"/>
        <w:spacing w:before="50" w:line="360" w:lineRule="auto"/>
        <w:jc w:val="left"/>
        <w:rPr>
          <w:rFonts w:hint="eastAsia" w:ascii="宋体" w:hAnsi="宋体"/>
          <w:b/>
          <w:color w:val="auto"/>
          <w:sz w:val="28"/>
          <w:szCs w:val="28"/>
          <w:highlight w:val="none"/>
        </w:rPr>
      </w:pPr>
    </w:p>
    <w:p w14:paraId="632DD421">
      <w:pPr>
        <w:adjustRightInd w:val="0"/>
        <w:snapToGrid w:val="0"/>
        <w:spacing w:before="50" w:line="360" w:lineRule="auto"/>
        <w:jc w:val="left"/>
        <w:rPr>
          <w:rFonts w:hint="eastAsia" w:ascii="宋体" w:hAnsi="宋体"/>
          <w:b/>
          <w:color w:val="auto"/>
          <w:sz w:val="28"/>
          <w:szCs w:val="28"/>
          <w:highlight w:val="none"/>
        </w:rPr>
      </w:pPr>
    </w:p>
    <w:p w14:paraId="116EA806">
      <w:pPr>
        <w:pageBreakBefore/>
        <w:tabs>
          <w:tab w:val="left" w:pos="3600"/>
        </w:tabs>
        <w:adjustRightInd w:val="0"/>
        <w:snapToGrid w:val="0"/>
        <w:jc w:val="center"/>
        <w:rPr>
          <w:rFonts w:hint="eastAsia" w:ascii="宋体" w:hAnsi="宋体" w:eastAsia="宋体" w:cs="Times New Roman"/>
          <w:b/>
          <w:color w:val="auto"/>
          <w:sz w:val="36"/>
          <w:szCs w:val="36"/>
          <w:highlight w:val="none"/>
        </w:rPr>
      </w:pPr>
      <w:r>
        <w:rPr>
          <w:rFonts w:hint="eastAsia" w:ascii="宋体" w:hAnsi="宋体" w:eastAsia="宋体" w:cs="Times New Roman"/>
          <w:b/>
          <w:color w:val="auto"/>
          <w:sz w:val="36"/>
          <w:szCs w:val="36"/>
          <w:highlight w:val="none"/>
        </w:rPr>
        <w:t>1</w:t>
      </w:r>
      <w:r>
        <w:rPr>
          <w:rFonts w:hint="eastAsia" w:ascii="宋体" w:hAnsi="宋体" w:eastAsia="宋体" w:cs="Times New Roman"/>
          <w:b/>
          <w:color w:val="auto"/>
          <w:sz w:val="36"/>
          <w:szCs w:val="36"/>
          <w:highlight w:val="none"/>
          <w:lang w:val="en-US" w:eastAsia="zh-CN"/>
        </w:rPr>
        <w:t>2</w:t>
      </w:r>
      <w:r>
        <w:rPr>
          <w:rFonts w:hint="eastAsia" w:ascii="宋体" w:hAnsi="宋体" w:eastAsia="宋体" w:cs="Times New Roman"/>
          <w:b/>
          <w:color w:val="auto"/>
          <w:sz w:val="36"/>
          <w:szCs w:val="36"/>
          <w:highlight w:val="none"/>
        </w:rPr>
        <w:t>.</w:t>
      </w:r>
      <w:r>
        <w:rPr>
          <w:rFonts w:hint="eastAsia" w:ascii="宋体" w:hAnsi="宋体" w:eastAsia="宋体" w:cs="Times New Roman"/>
          <w:b/>
          <w:color w:val="auto"/>
          <w:sz w:val="36"/>
          <w:szCs w:val="36"/>
          <w:highlight w:val="none"/>
          <w:lang w:val="en-US" w:eastAsia="zh-CN"/>
        </w:rPr>
        <w:t>投标人提供投标保证金足额缴纳凭证</w:t>
      </w:r>
    </w:p>
    <w:p w14:paraId="6C61C655">
      <w:pPr>
        <w:tabs>
          <w:tab w:val="left" w:pos="3600"/>
        </w:tabs>
        <w:adjustRightInd w:val="0"/>
        <w:snapToGrid w:val="0"/>
        <w:jc w:val="center"/>
        <w:rPr>
          <w:rFonts w:hint="eastAsia"/>
          <w:color w:val="auto"/>
          <w:highlight w:val="none"/>
        </w:rPr>
      </w:pPr>
    </w:p>
    <w:p w14:paraId="06002F63">
      <w:pPr>
        <w:tabs>
          <w:tab w:val="left" w:pos="3600"/>
        </w:tabs>
        <w:adjustRightInd w:val="0"/>
        <w:snapToGrid w:val="0"/>
        <w:rPr>
          <w:rFonts w:hint="eastAsia"/>
          <w:color w:val="auto"/>
          <w:highlight w:val="none"/>
        </w:rPr>
      </w:pPr>
    </w:p>
    <w:p w14:paraId="3713B38B">
      <w:pPr>
        <w:tabs>
          <w:tab w:val="left" w:pos="3600"/>
        </w:tabs>
        <w:adjustRightInd w:val="0"/>
        <w:snapToGrid w:val="0"/>
        <w:rPr>
          <w:rFonts w:hint="eastAsia"/>
          <w:color w:val="auto"/>
          <w:highlight w:val="none"/>
        </w:rPr>
      </w:pPr>
    </w:p>
    <w:p w14:paraId="7454A0E0">
      <w:pPr>
        <w:tabs>
          <w:tab w:val="left" w:pos="3600"/>
        </w:tabs>
        <w:adjustRightInd w:val="0"/>
        <w:snapToGrid w:val="0"/>
        <w:rPr>
          <w:rFonts w:hint="eastAsia"/>
          <w:color w:val="auto"/>
          <w:highlight w:val="none"/>
        </w:rPr>
      </w:pPr>
    </w:p>
    <w:p w14:paraId="6B9CB041">
      <w:pPr>
        <w:tabs>
          <w:tab w:val="left" w:pos="3600"/>
        </w:tabs>
        <w:adjustRightInd w:val="0"/>
        <w:snapToGrid w:val="0"/>
        <w:rPr>
          <w:rFonts w:hint="eastAsia"/>
          <w:color w:val="auto"/>
          <w:highlight w:val="none"/>
        </w:rPr>
      </w:pPr>
    </w:p>
    <w:p w14:paraId="4C50EA01">
      <w:pPr>
        <w:tabs>
          <w:tab w:val="left" w:pos="3600"/>
        </w:tabs>
        <w:adjustRightInd w:val="0"/>
        <w:snapToGrid w:val="0"/>
        <w:jc w:val="left"/>
        <w:rPr>
          <w:rFonts w:hint="eastAsia"/>
          <w:color w:val="auto"/>
          <w:highlight w:val="none"/>
        </w:rPr>
      </w:pPr>
    </w:p>
    <w:p w14:paraId="5696126C">
      <w:pPr>
        <w:tabs>
          <w:tab w:val="left" w:pos="3600"/>
        </w:tabs>
        <w:adjustRightInd w:val="0"/>
        <w:snapToGrid w:val="0"/>
        <w:jc w:val="left"/>
        <w:rPr>
          <w:rFonts w:hint="eastAsia"/>
          <w:color w:val="auto"/>
          <w:highlight w:val="none"/>
        </w:rPr>
      </w:pPr>
    </w:p>
    <w:p w14:paraId="5502E675">
      <w:pPr>
        <w:tabs>
          <w:tab w:val="left" w:pos="3600"/>
        </w:tabs>
        <w:adjustRightInd w:val="0"/>
        <w:snapToGrid w:val="0"/>
        <w:jc w:val="left"/>
        <w:rPr>
          <w:rFonts w:hint="eastAsia"/>
          <w:color w:val="auto"/>
          <w:highlight w:val="none"/>
        </w:rPr>
      </w:pPr>
    </w:p>
    <w:p w14:paraId="08FBD5A8">
      <w:pPr>
        <w:tabs>
          <w:tab w:val="left" w:pos="3600"/>
        </w:tabs>
        <w:adjustRightInd w:val="0"/>
        <w:snapToGrid w:val="0"/>
        <w:jc w:val="left"/>
        <w:rPr>
          <w:rFonts w:hint="eastAsia"/>
          <w:color w:val="auto"/>
          <w:highlight w:val="none"/>
        </w:rPr>
      </w:pPr>
    </w:p>
    <w:p w14:paraId="07304BCD">
      <w:pPr>
        <w:jc w:val="left"/>
        <w:rPr>
          <w:rFonts w:hint="eastAsia" w:ascii="仿宋_GB2312" w:hAnsi="仿宋_GB2312" w:eastAsia="仿宋_GB2312"/>
          <w:b/>
          <w:bCs/>
          <w:color w:val="auto"/>
          <w:sz w:val="36"/>
          <w:szCs w:val="36"/>
          <w:highlight w:val="none"/>
        </w:rPr>
      </w:pPr>
    </w:p>
    <w:p w14:paraId="4BB03EBE">
      <w:pPr>
        <w:jc w:val="left"/>
        <w:rPr>
          <w:rFonts w:hint="eastAsia" w:ascii="仿宋_GB2312" w:hAnsi="仿宋_GB2312" w:eastAsia="仿宋_GB2312"/>
          <w:b/>
          <w:bCs/>
          <w:color w:val="auto"/>
          <w:sz w:val="36"/>
          <w:szCs w:val="36"/>
          <w:highlight w:val="none"/>
        </w:rPr>
      </w:pPr>
    </w:p>
    <w:p w14:paraId="5907AA00">
      <w:pPr>
        <w:jc w:val="left"/>
        <w:rPr>
          <w:rFonts w:hint="eastAsia" w:ascii="仿宋_GB2312" w:hAnsi="仿宋_GB2312" w:eastAsia="仿宋_GB2312"/>
          <w:b/>
          <w:bCs/>
          <w:color w:val="auto"/>
          <w:sz w:val="36"/>
          <w:szCs w:val="36"/>
          <w:highlight w:val="none"/>
        </w:rPr>
      </w:pPr>
    </w:p>
    <w:p w14:paraId="77CD8393">
      <w:pPr>
        <w:jc w:val="left"/>
        <w:rPr>
          <w:rFonts w:hint="eastAsia" w:ascii="仿宋_GB2312" w:hAnsi="仿宋_GB2312" w:eastAsia="仿宋_GB2312"/>
          <w:b/>
          <w:bCs/>
          <w:color w:val="auto"/>
          <w:sz w:val="36"/>
          <w:szCs w:val="36"/>
          <w:highlight w:val="none"/>
        </w:rPr>
      </w:pPr>
    </w:p>
    <w:p w14:paraId="08735EE1">
      <w:pPr>
        <w:pStyle w:val="39"/>
        <w:spacing w:line="400" w:lineRule="exact"/>
        <w:jc w:val="left"/>
        <w:rPr>
          <w:rFonts w:hint="eastAsia" w:ascii="宋体" w:hAnsi="宋体"/>
          <w:color w:val="auto"/>
          <w:sz w:val="24"/>
          <w:szCs w:val="24"/>
          <w:highlight w:val="none"/>
        </w:rPr>
      </w:pPr>
    </w:p>
    <w:p w14:paraId="4C4EF84D">
      <w:pPr>
        <w:pStyle w:val="39"/>
        <w:spacing w:line="400" w:lineRule="exact"/>
        <w:jc w:val="left"/>
        <w:rPr>
          <w:rFonts w:hint="eastAsia" w:ascii="宋体" w:hAnsi="宋体"/>
          <w:color w:val="auto"/>
          <w:sz w:val="24"/>
          <w:szCs w:val="24"/>
          <w:highlight w:val="none"/>
        </w:rPr>
      </w:pPr>
    </w:p>
    <w:p w14:paraId="3FE76EC2">
      <w:pPr>
        <w:pStyle w:val="39"/>
        <w:spacing w:line="400" w:lineRule="exact"/>
        <w:jc w:val="center"/>
        <w:rPr>
          <w:rFonts w:hint="eastAsia" w:ascii="楷体" w:hAnsi="楷体" w:eastAsia="楷体"/>
          <w:color w:val="auto"/>
          <w:highlight w:val="none"/>
          <w:lang w:eastAsia="zh-CN"/>
        </w:rPr>
      </w:pPr>
      <w:r>
        <w:rPr>
          <w:rFonts w:hint="eastAsia" w:ascii="楷体" w:hAnsi="楷体" w:eastAsia="楷体"/>
          <w:color w:val="auto"/>
          <w:highlight w:val="none"/>
        </w:rPr>
        <w:t>投标保证金</w:t>
      </w:r>
      <w:r>
        <w:rPr>
          <w:rFonts w:hint="eastAsia" w:ascii="楷体" w:hAnsi="楷体" w:eastAsia="楷体"/>
          <w:color w:val="auto"/>
          <w:highlight w:val="none"/>
          <w:lang w:eastAsia="zh-CN"/>
        </w:rPr>
        <w:t>凭证</w:t>
      </w:r>
    </w:p>
    <w:p w14:paraId="3D04FB6B">
      <w:pPr>
        <w:pStyle w:val="39"/>
        <w:spacing w:line="400" w:lineRule="exact"/>
        <w:jc w:val="center"/>
        <w:rPr>
          <w:rFonts w:hint="eastAsia" w:ascii="楷体" w:hAnsi="楷体" w:eastAsia="楷体"/>
          <w:color w:val="auto"/>
          <w:highlight w:val="none"/>
        </w:rPr>
      </w:pPr>
      <w:r>
        <w:rPr>
          <w:rFonts w:hint="eastAsia" w:ascii="楷体" w:hAnsi="楷体" w:eastAsia="楷体"/>
          <w:color w:val="auto"/>
          <w:highlight w:val="none"/>
        </w:rPr>
        <w:t>复印件粘贴处</w:t>
      </w:r>
    </w:p>
    <w:p w14:paraId="7F6A6BFC">
      <w:pPr>
        <w:jc w:val="left"/>
        <w:rPr>
          <w:rFonts w:hint="eastAsia" w:ascii="楷体" w:hAnsi="楷体" w:eastAsia="楷体"/>
          <w:b/>
          <w:bCs/>
          <w:color w:val="auto"/>
          <w:sz w:val="36"/>
          <w:szCs w:val="36"/>
          <w:highlight w:val="none"/>
        </w:rPr>
      </w:pPr>
    </w:p>
    <w:p w14:paraId="17C349E4">
      <w:pPr>
        <w:jc w:val="left"/>
        <w:rPr>
          <w:rFonts w:hint="eastAsia" w:ascii="仿宋_GB2312" w:hAnsi="仿宋_GB2312" w:eastAsia="仿宋_GB2312"/>
          <w:b/>
          <w:bCs/>
          <w:color w:val="auto"/>
          <w:sz w:val="36"/>
          <w:szCs w:val="36"/>
          <w:highlight w:val="none"/>
        </w:rPr>
      </w:pPr>
    </w:p>
    <w:p w14:paraId="27923A59">
      <w:pPr>
        <w:jc w:val="left"/>
        <w:rPr>
          <w:rFonts w:hint="eastAsia" w:ascii="仿宋_GB2312" w:hAnsi="仿宋_GB2312" w:eastAsia="仿宋_GB2312"/>
          <w:b/>
          <w:bCs/>
          <w:color w:val="auto"/>
          <w:sz w:val="36"/>
          <w:szCs w:val="36"/>
          <w:highlight w:val="none"/>
        </w:rPr>
      </w:pPr>
    </w:p>
    <w:p w14:paraId="1CE3EBCB">
      <w:pPr>
        <w:pStyle w:val="4"/>
        <w:spacing w:before="120" w:beforeLines="50" w:after="120" w:afterLines="50"/>
        <w:ind w:firstLine="0"/>
        <w:jc w:val="left"/>
        <w:rPr>
          <w:rFonts w:hint="eastAsia"/>
          <w:b/>
          <w:color w:val="auto"/>
          <w:sz w:val="44"/>
          <w:szCs w:val="44"/>
          <w:highlight w:val="none"/>
        </w:rPr>
      </w:pPr>
    </w:p>
    <w:p w14:paraId="14A595B2">
      <w:pPr>
        <w:pStyle w:val="4"/>
        <w:spacing w:before="120" w:beforeLines="50" w:after="120" w:afterLines="50"/>
        <w:ind w:firstLine="0"/>
        <w:jc w:val="left"/>
        <w:rPr>
          <w:rFonts w:hint="eastAsia"/>
          <w:b/>
          <w:color w:val="auto"/>
          <w:sz w:val="44"/>
          <w:szCs w:val="44"/>
          <w:highlight w:val="none"/>
        </w:rPr>
      </w:pPr>
    </w:p>
    <w:p w14:paraId="45E019C7">
      <w:pPr>
        <w:pStyle w:val="4"/>
        <w:spacing w:before="120" w:beforeLines="50" w:after="120" w:afterLines="50"/>
        <w:ind w:firstLine="0"/>
        <w:jc w:val="left"/>
        <w:rPr>
          <w:rFonts w:hint="eastAsia"/>
          <w:b/>
          <w:color w:val="auto"/>
          <w:sz w:val="44"/>
          <w:szCs w:val="44"/>
          <w:highlight w:val="none"/>
        </w:rPr>
      </w:pPr>
    </w:p>
    <w:p w14:paraId="71194C4D">
      <w:pPr>
        <w:pStyle w:val="4"/>
        <w:spacing w:before="120" w:beforeLines="50" w:after="120" w:afterLines="50"/>
        <w:ind w:firstLine="0"/>
        <w:jc w:val="left"/>
        <w:rPr>
          <w:rFonts w:hint="eastAsia"/>
          <w:b/>
          <w:color w:val="auto"/>
          <w:sz w:val="44"/>
          <w:szCs w:val="44"/>
          <w:highlight w:val="none"/>
        </w:rPr>
      </w:pPr>
    </w:p>
    <w:p w14:paraId="33A6BFF4">
      <w:pPr>
        <w:pStyle w:val="4"/>
        <w:spacing w:before="120" w:beforeLines="50" w:after="120" w:afterLines="50"/>
        <w:ind w:firstLine="0"/>
        <w:jc w:val="left"/>
        <w:rPr>
          <w:rFonts w:hint="eastAsia"/>
          <w:b/>
          <w:color w:val="auto"/>
          <w:sz w:val="44"/>
          <w:szCs w:val="44"/>
          <w:highlight w:val="none"/>
        </w:rPr>
      </w:pPr>
    </w:p>
    <w:p w14:paraId="272A6691">
      <w:pPr>
        <w:pStyle w:val="4"/>
        <w:spacing w:before="120" w:beforeLines="50" w:after="120" w:afterLines="50"/>
        <w:ind w:firstLine="0"/>
        <w:jc w:val="left"/>
        <w:rPr>
          <w:rFonts w:hint="eastAsia"/>
          <w:b/>
          <w:color w:val="auto"/>
          <w:sz w:val="44"/>
          <w:szCs w:val="44"/>
          <w:highlight w:val="none"/>
        </w:rPr>
      </w:pPr>
    </w:p>
    <w:p w14:paraId="11339CAF">
      <w:pPr>
        <w:pStyle w:val="4"/>
        <w:spacing w:before="120" w:beforeLines="50" w:after="120" w:afterLines="50"/>
        <w:ind w:firstLine="0"/>
        <w:jc w:val="left"/>
        <w:rPr>
          <w:rFonts w:hint="eastAsia"/>
          <w:b/>
          <w:color w:val="auto"/>
          <w:sz w:val="44"/>
          <w:szCs w:val="44"/>
          <w:highlight w:val="none"/>
        </w:rPr>
      </w:pPr>
    </w:p>
    <w:p w14:paraId="536D3586">
      <w:pPr>
        <w:pStyle w:val="4"/>
        <w:spacing w:before="120" w:beforeLines="50" w:after="120" w:afterLines="50"/>
        <w:ind w:firstLine="0"/>
        <w:jc w:val="left"/>
        <w:rPr>
          <w:rFonts w:hint="eastAsia"/>
          <w:b/>
          <w:color w:val="auto"/>
          <w:sz w:val="44"/>
          <w:szCs w:val="44"/>
          <w:highlight w:val="none"/>
        </w:rPr>
      </w:pPr>
    </w:p>
    <w:p w14:paraId="46346247">
      <w:pPr>
        <w:spacing w:after="240" w:afterLines="100" w:line="360" w:lineRule="auto"/>
        <w:rPr>
          <w:rFonts w:hint="eastAsia" w:ascii="黑体" w:hAnsi="宋体" w:eastAsia="黑体"/>
          <w:bCs/>
          <w:color w:val="auto"/>
          <w:sz w:val="28"/>
          <w:szCs w:val="28"/>
          <w:highlight w:val="none"/>
        </w:rPr>
      </w:pPr>
    </w:p>
    <w:p w14:paraId="69A7EB5B">
      <w:pPr>
        <w:pStyle w:val="34"/>
        <w:rPr>
          <w:rFonts w:hint="eastAsia"/>
          <w:color w:val="auto"/>
          <w:highlight w:val="none"/>
        </w:rPr>
      </w:pPr>
    </w:p>
    <w:p w14:paraId="4840DD6E">
      <w:pPr>
        <w:spacing w:after="120" w:afterLines="50" w:line="360" w:lineRule="auto"/>
        <w:rPr>
          <w:rFonts w:hint="eastAsia" w:ascii="黑体" w:hAnsi="宋体" w:eastAsia="黑体"/>
          <w:bCs/>
          <w:color w:val="auto"/>
          <w:sz w:val="28"/>
          <w:szCs w:val="28"/>
          <w:highlight w:val="none"/>
        </w:rPr>
      </w:pPr>
      <w:r>
        <w:rPr>
          <w:rFonts w:hint="eastAsia" w:ascii="黑体" w:hAnsi="宋体" w:eastAsia="黑体"/>
          <w:bCs/>
          <w:color w:val="auto"/>
          <w:sz w:val="28"/>
          <w:szCs w:val="28"/>
          <w:highlight w:val="none"/>
        </w:rPr>
        <w:t>附件</w:t>
      </w:r>
      <w:r>
        <w:rPr>
          <w:rFonts w:hint="eastAsia" w:ascii="黑体" w:hAnsi="宋体" w:eastAsia="黑体"/>
          <w:bCs/>
          <w:color w:val="auto"/>
          <w:sz w:val="28"/>
          <w:szCs w:val="28"/>
          <w:highlight w:val="none"/>
          <w:lang w:val="en-US" w:eastAsia="zh-CN"/>
        </w:rPr>
        <w:t>1</w:t>
      </w:r>
      <w:r>
        <w:rPr>
          <w:rFonts w:hint="eastAsia" w:ascii="黑体" w:hAnsi="宋体" w:eastAsia="黑体"/>
          <w:bCs/>
          <w:color w:val="auto"/>
          <w:sz w:val="28"/>
          <w:szCs w:val="28"/>
          <w:highlight w:val="none"/>
        </w:rPr>
        <w:t>：</w:t>
      </w:r>
    </w:p>
    <w:p w14:paraId="7ED7C765">
      <w:pPr>
        <w:spacing w:after="240" w:afterLines="100" w:line="360" w:lineRule="auto"/>
        <w:jc w:val="center"/>
        <w:rPr>
          <w:rFonts w:ascii="宋体" w:hAnsi="宋体"/>
          <w:b/>
          <w:bCs/>
          <w:color w:val="auto"/>
          <w:sz w:val="36"/>
          <w:szCs w:val="36"/>
          <w:highlight w:val="none"/>
        </w:rPr>
      </w:pPr>
      <w:r>
        <w:rPr>
          <w:rFonts w:hint="eastAsia" w:ascii="宋体" w:hAnsi="宋体"/>
          <w:b/>
          <w:bCs/>
          <w:color w:val="auto"/>
          <w:sz w:val="36"/>
          <w:szCs w:val="36"/>
          <w:highlight w:val="none"/>
        </w:rPr>
        <w:t>提供投标人基本存款账户开户证明</w:t>
      </w:r>
    </w:p>
    <w:p w14:paraId="2A6D14B1">
      <w:pPr>
        <w:spacing w:line="360" w:lineRule="auto"/>
        <w:rPr>
          <w:rFonts w:hint="eastAsia" w:ascii="楷体" w:hAnsi="楷体" w:eastAsia="楷体"/>
          <w:bCs/>
          <w:color w:val="auto"/>
          <w:szCs w:val="21"/>
          <w:highlight w:val="none"/>
        </w:rPr>
      </w:pPr>
      <w:r>
        <w:rPr>
          <w:rFonts w:hint="eastAsia" w:ascii="楷体" w:hAnsi="楷体" w:eastAsia="楷体"/>
          <w:bCs/>
          <w:color w:val="auto"/>
          <w:szCs w:val="21"/>
          <w:highlight w:val="none"/>
        </w:rPr>
        <w:t>说明：</w:t>
      </w:r>
    </w:p>
    <w:p w14:paraId="60D5EEA9">
      <w:pPr>
        <w:spacing w:line="360" w:lineRule="auto"/>
        <w:rPr>
          <w:rFonts w:hint="eastAsia" w:ascii="楷体" w:hAnsi="楷体" w:eastAsia="楷体"/>
          <w:bCs/>
          <w:color w:val="auto"/>
          <w:szCs w:val="21"/>
          <w:highlight w:val="none"/>
        </w:rPr>
      </w:pPr>
      <w:r>
        <w:rPr>
          <w:rFonts w:hint="eastAsia" w:ascii="楷体" w:hAnsi="楷体" w:eastAsia="楷体"/>
          <w:bCs/>
          <w:color w:val="auto"/>
          <w:szCs w:val="21"/>
          <w:highlight w:val="none"/>
        </w:rPr>
        <w:t xml:space="preserve">     1.投标人在国家取消基本存款账户开户行政许可之前成立的，提供基本存款账户开户许可证复印件；</w:t>
      </w:r>
    </w:p>
    <w:p w14:paraId="7FCF19D4">
      <w:pPr>
        <w:spacing w:line="360" w:lineRule="auto"/>
        <w:rPr>
          <w:rFonts w:hint="eastAsia" w:ascii="楷体" w:hAnsi="楷体" w:eastAsia="楷体"/>
          <w:bCs/>
          <w:color w:val="auto"/>
          <w:szCs w:val="21"/>
          <w:highlight w:val="none"/>
        </w:rPr>
      </w:pPr>
      <w:r>
        <w:rPr>
          <w:rFonts w:hint="eastAsia" w:ascii="楷体" w:hAnsi="楷体" w:eastAsia="楷体"/>
          <w:bCs/>
          <w:color w:val="auto"/>
          <w:szCs w:val="21"/>
          <w:highlight w:val="none"/>
        </w:rPr>
        <w:t xml:space="preserve">     2.投标人在国家取消基本存款账户开户行政许可之后成立的，提供基本存款账户编号。</w:t>
      </w:r>
    </w:p>
    <w:p w14:paraId="39EF62AF">
      <w:pPr>
        <w:spacing w:line="360" w:lineRule="auto"/>
        <w:rPr>
          <w:rFonts w:hint="eastAsia" w:ascii="楷体" w:hAnsi="楷体" w:eastAsia="楷体"/>
          <w:bCs/>
          <w:color w:val="auto"/>
          <w:szCs w:val="21"/>
          <w:highlight w:val="none"/>
        </w:rPr>
      </w:pPr>
    </w:p>
    <w:p w14:paraId="49AE9596">
      <w:pPr>
        <w:spacing w:line="360" w:lineRule="auto"/>
        <w:rPr>
          <w:rFonts w:hint="eastAsia" w:ascii="宋体" w:hAnsi="宋体"/>
          <w:b/>
          <w:bCs/>
          <w:color w:val="auto"/>
          <w:sz w:val="28"/>
          <w:szCs w:val="28"/>
          <w:highlight w:val="none"/>
        </w:rPr>
      </w:pPr>
    </w:p>
    <w:p w14:paraId="2CEB522E">
      <w:pPr>
        <w:spacing w:after="240" w:afterLines="100" w:line="360" w:lineRule="auto"/>
        <w:rPr>
          <w:rFonts w:hint="eastAsia" w:ascii="宋体" w:hAnsi="宋体"/>
          <w:b/>
          <w:bCs/>
          <w:color w:val="auto"/>
          <w:sz w:val="28"/>
          <w:szCs w:val="28"/>
          <w:highlight w:val="none"/>
        </w:rPr>
      </w:pPr>
    </w:p>
    <w:p w14:paraId="66098581">
      <w:pPr>
        <w:spacing w:after="240" w:afterLines="100" w:line="360" w:lineRule="auto"/>
        <w:rPr>
          <w:rFonts w:hint="eastAsia" w:ascii="宋体" w:hAnsi="宋体"/>
          <w:b/>
          <w:bCs/>
          <w:color w:val="auto"/>
          <w:sz w:val="28"/>
          <w:szCs w:val="28"/>
          <w:highlight w:val="none"/>
        </w:rPr>
      </w:pPr>
    </w:p>
    <w:p w14:paraId="46F19D58">
      <w:pPr>
        <w:spacing w:after="240" w:afterLines="100" w:line="360" w:lineRule="auto"/>
        <w:rPr>
          <w:rFonts w:hint="eastAsia" w:ascii="宋体" w:hAnsi="宋体"/>
          <w:b/>
          <w:bCs/>
          <w:color w:val="auto"/>
          <w:sz w:val="28"/>
          <w:szCs w:val="28"/>
          <w:highlight w:val="none"/>
        </w:rPr>
      </w:pPr>
    </w:p>
    <w:p w14:paraId="2185F292">
      <w:pPr>
        <w:spacing w:after="240" w:afterLines="100" w:line="360" w:lineRule="auto"/>
        <w:rPr>
          <w:rFonts w:hint="eastAsia" w:ascii="宋体" w:hAnsi="宋体"/>
          <w:b/>
          <w:bCs/>
          <w:color w:val="auto"/>
          <w:sz w:val="28"/>
          <w:szCs w:val="28"/>
          <w:highlight w:val="none"/>
        </w:rPr>
      </w:pPr>
    </w:p>
    <w:p w14:paraId="7E2B28DA">
      <w:pPr>
        <w:spacing w:after="240" w:afterLines="100" w:line="360" w:lineRule="auto"/>
        <w:rPr>
          <w:rFonts w:hint="eastAsia" w:ascii="宋体" w:hAnsi="宋体"/>
          <w:b/>
          <w:bCs/>
          <w:color w:val="auto"/>
          <w:sz w:val="28"/>
          <w:szCs w:val="28"/>
          <w:highlight w:val="none"/>
        </w:rPr>
      </w:pPr>
    </w:p>
    <w:p w14:paraId="672AA6B2">
      <w:pPr>
        <w:spacing w:after="240" w:afterLines="100" w:line="360" w:lineRule="auto"/>
        <w:rPr>
          <w:rFonts w:hint="eastAsia" w:ascii="宋体" w:hAnsi="宋体"/>
          <w:b/>
          <w:bCs/>
          <w:color w:val="auto"/>
          <w:sz w:val="28"/>
          <w:szCs w:val="28"/>
          <w:highlight w:val="none"/>
        </w:rPr>
      </w:pPr>
    </w:p>
    <w:p w14:paraId="2851947F">
      <w:pPr>
        <w:spacing w:after="240" w:afterLines="100" w:line="360" w:lineRule="auto"/>
        <w:rPr>
          <w:rFonts w:hint="eastAsia" w:ascii="宋体" w:hAnsi="宋体"/>
          <w:b/>
          <w:bCs/>
          <w:color w:val="auto"/>
          <w:sz w:val="28"/>
          <w:szCs w:val="28"/>
          <w:highlight w:val="none"/>
        </w:rPr>
      </w:pPr>
    </w:p>
    <w:p w14:paraId="292EC378">
      <w:pPr>
        <w:spacing w:after="240" w:afterLines="100" w:line="360" w:lineRule="auto"/>
        <w:rPr>
          <w:rFonts w:hint="eastAsia" w:ascii="宋体" w:hAnsi="宋体"/>
          <w:b/>
          <w:bCs/>
          <w:color w:val="auto"/>
          <w:sz w:val="28"/>
          <w:szCs w:val="28"/>
          <w:highlight w:val="none"/>
        </w:rPr>
      </w:pPr>
    </w:p>
    <w:p w14:paraId="061DD3E4">
      <w:pPr>
        <w:spacing w:after="240" w:afterLines="100" w:line="360" w:lineRule="auto"/>
        <w:rPr>
          <w:rFonts w:hint="eastAsia" w:ascii="宋体" w:hAnsi="宋体"/>
          <w:b/>
          <w:bCs/>
          <w:color w:val="auto"/>
          <w:sz w:val="28"/>
          <w:szCs w:val="28"/>
          <w:highlight w:val="none"/>
        </w:rPr>
      </w:pPr>
    </w:p>
    <w:p w14:paraId="5B17A0AF">
      <w:pPr>
        <w:spacing w:after="240" w:afterLines="100" w:line="360" w:lineRule="auto"/>
        <w:rPr>
          <w:rFonts w:hint="eastAsia" w:ascii="宋体" w:hAnsi="宋体"/>
          <w:b/>
          <w:bCs/>
          <w:color w:val="auto"/>
          <w:sz w:val="28"/>
          <w:szCs w:val="28"/>
          <w:highlight w:val="none"/>
        </w:rPr>
      </w:pPr>
    </w:p>
    <w:p w14:paraId="57809642">
      <w:pPr>
        <w:spacing w:after="240" w:afterLines="100" w:line="360" w:lineRule="auto"/>
        <w:rPr>
          <w:rFonts w:hint="eastAsia" w:ascii="宋体" w:hAnsi="宋体"/>
          <w:b/>
          <w:bCs/>
          <w:color w:val="auto"/>
          <w:sz w:val="28"/>
          <w:szCs w:val="28"/>
          <w:highlight w:val="none"/>
        </w:rPr>
      </w:pPr>
    </w:p>
    <w:p w14:paraId="4349E479">
      <w:pPr>
        <w:pStyle w:val="34"/>
        <w:ind w:firstLine="562"/>
        <w:rPr>
          <w:rFonts w:hint="eastAsia" w:ascii="宋体" w:hAnsi="宋体"/>
          <w:b/>
          <w:bCs/>
          <w:color w:val="auto"/>
          <w:sz w:val="28"/>
          <w:szCs w:val="28"/>
          <w:highlight w:val="none"/>
        </w:rPr>
      </w:pPr>
    </w:p>
    <w:p w14:paraId="09C207DD">
      <w:pPr>
        <w:pStyle w:val="34"/>
        <w:ind w:firstLine="562"/>
        <w:rPr>
          <w:rFonts w:hint="eastAsia" w:ascii="宋体" w:hAnsi="宋体"/>
          <w:b/>
          <w:bCs/>
          <w:color w:val="auto"/>
          <w:sz w:val="28"/>
          <w:szCs w:val="28"/>
          <w:highlight w:val="none"/>
        </w:rPr>
      </w:pPr>
    </w:p>
    <w:p w14:paraId="6038C185">
      <w:pPr>
        <w:pStyle w:val="34"/>
        <w:ind w:firstLine="562"/>
        <w:rPr>
          <w:rFonts w:hint="eastAsia" w:ascii="宋体" w:hAnsi="宋体"/>
          <w:b/>
          <w:bCs/>
          <w:color w:val="auto"/>
          <w:sz w:val="28"/>
          <w:szCs w:val="28"/>
          <w:highlight w:val="none"/>
        </w:rPr>
      </w:pPr>
    </w:p>
    <w:p w14:paraId="42ABADA3">
      <w:pPr>
        <w:spacing w:after="240" w:afterLines="100" w:line="360" w:lineRule="auto"/>
        <w:rPr>
          <w:rFonts w:hint="eastAsia" w:ascii="宋体" w:hAnsi="宋体"/>
          <w:b/>
          <w:bCs/>
          <w:color w:val="auto"/>
          <w:sz w:val="28"/>
          <w:szCs w:val="28"/>
          <w:highlight w:val="none"/>
        </w:rPr>
      </w:pPr>
      <w:r>
        <w:rPr>
          <w:rFonts w:hint="eastAsia" w:ascii="宋体" w:hAnsi="宋体"/>
          <w:b/>
          <w:bCs/>
          <w:color w:val="auto"/>
          <w:sz w:val="28"/>
          <w:szCs w:val="28"/>
          <w:highlight w:val="none"/>
        </w:rPr>
        <w:t>附件</w:t>
      </w:r>
      <w:r>
        <w:rPr>
          <w:rFonts w:hint="eastAsia" w:ascii="宋体" w:hAnsi="宋体"/>
          <w:b/>
          <w:bCs/>
          <w:color w:val="auto"/>
          <w:sz w:val="28"/>
          <w:szCs w:val="28"/>
          <w:highlight w:val="none"/>
          <w:lang w:val="en-US" w:eastAsia="zh-CN"/>
        </w:rPr>
        <w:t>2</w:t>
      </w:r>
      <w:r>
        <w:rPr>
          <w:rFonts w:hint="eastAsia" w:ascii="宋体" w:hAnsi="宋体"/>
          <w:b/>
          <w:bCs/>
          <w:color w:val="auto"/>
          <w:sz w:val="28"/>
          <w:szCs w:val="28"/>
          <w:highlight w:val="none"/>
        </w:rPr>
        <w:t>：</w:t>
      </w:r>
    </w:p>
    <w:p w14:paraId="6DFB49C0">
      <w:pPr>
        <w:spacing w:after="240" w:afterLines="100" w:line="360" w:lineRule="auto"/>
        <w:rPr>
          <w:rFonts w:hint="eastAsia" w:ascii="宋体" w:hAnsi="宋体"/>
          <w:bCs/>
          <w:color w:val="auto"/>
          <w:szCs w:val="21"/>
          <w:highlight w:val="none"/>
        </w:rPr>
      </w:pPr>
      <w:r>
        <w:rPr>
          <w:rFonts w:hint="eastAsia" w:ascii="宋体" w:hAnsi="宋体"/>
          <w:b/>
          <w:bCs/>
          <w:color w:val="auto"/>
          <w:szCs w:val="21"/>
          <w:highlight w:val="none"/>
        </w:rPr>
        <w:t xml:space="preserve">      </w:t>
      </w:r>
      <w:r>
        <w:rPr>
          <w:rFonts w:hint="eastAsia" w:ascii="宋体" w:hAnsi="宋体"/>
          <w:bCs/>
          <w:color w:val="auto"/>
          <w:szCs w:val="21"/>
          <w:highlight w:val="none"/>
        </w:rPr>
        <w:t>若采用投标担保函，格式如下：</w:t>
      </w:r>
    </w:p>
    <w:p w14:paraId="225E8AAC">
      <w:pPr>
        <w:spacing w:after="240" w:afterLines="100" w:line="360" w:lineRule="auto"/>
        <w:jc w:val="center"/>
        <w:rPr>
          <w:rFonts w:hint="eastAsia" w:ascii="宋体" w:hAnsi="宋体" w:eastAsia="宋体"/>
          <w:b/>
          <w:color w:val="auto"/>
          <w:szCs w:val="32"/>
          <w:highlight w:val="none"/>
          <w:lang w:eastAsia="zh-CN"/>
        </w:rPr>
      </w:pPr>
      <w:r>
        <w:rPr>
          <w:rFonts w:hint="eastAsia" w:ascii="宋体" w:hAnsi="宋体"/>
          <w:b/>
          <w:bCs/>
          <w:color w:val="auto"/>
          <w:sz w:val="36"/>
          <w:szCs w:val="36"/>
          <w:highlight w:val="none"/>
        </w:rPr>
        <w:t>投标担保函</w:t>
      </w:r>
      <w:r>
        <w:rPr>
          <w:rFonts w:hint="eastAsia" w:ascii="宋体" w:hAnsi="宋体"/>
          <w:b/>
          <w:bCs/>
          <w:color w:val="auto"/>
          <w:sz w:val="36"/>
          <w:szCs w:val="36"/>
          <w:highlight w:val="none"/>
          <w:lang w:eastAsia="zh-CN"/>
        </w:rPr>
        <w:t>（</w:t>
      </w:r>
      <w:r>
        <w:rPr>
          <w:rFonts w:hint="eastAsia" w:ascii="宋体" w:hAnsi="宋体"/>
          <w:b/>
          <w:bCs/>
          <w:color w:val="auto"/>
          <w:sz w:val="36"/>
          <w:szCs w:val="36"/>
          <w:highlight w:val="none"/>
          <w:lang w:val="en-US" w:eastAsia="zh-CN"/>
        </w:rPr>
        <w:t>仅供参考</w:t>
      </w:r>
      <w:r>
        <w:rPr>
          <w:rFonts w:hint="eastAsia" w:ascii="宋体" w:hAnsi="宋体"/>
          <w:b/>
          <w:bCs/>
          <w:color w:val="auto"/>
          <w:sz w:val="36"/>
          <w:szCs w:val="36"/>
          <w:highlight w:val="none"/>
          <w:lang w:eastAsia="zh-CN"/>
        </w:rPr>
        <w:t>）</w:t>
      </w:r>
    </w:p>
    <w:p w14:paraId="15B19FD1">
      <w:pPr>
        <w:spacing w:line="360" w:lineRule="auto"/>
        <w:ind w:right="1320"/>
        <w:jc w:val="center"/>
        <w:rPr>
          <w:rFonts w:hint="eastAsia" w:ascii="宋体" w:hAnsi="宋体"/>
          <w:color w:val="auto"/>
          <w:szCs w:val="21"/>
          <w:highlight w:val="none"/>
        </w:rPr>
      </w:pPr>
      <w:r>
        <w:rPr>
          <w:rFonts w:hint="eastAsia" w:ascii="宋体" w:hAnsi="宋体"/>
          <w:color w:val="auto"/>
          <w:sz w:val="24"/>
          <w:highlight w:val="none"/>
        </w:rPr>
        <w:t xml:space="preserve">                                            </w:t>
      </w:r>
      <w:r>
        <w:rPr>
          <w:rFonts w:hint="eastAsia" w:ascii="宋体" w:hAnsi="宋体"/>
          <w:color w:val="auto"/>
          <w:szCs w:val="21"/>
          <w:highlight w:val="none"/>
        </w:rPr>
        <w:t xml:space="preserve">        编号：</w:t>
      </w:r>
    </w:p>
    <w:p w14:paraId="0BA20721">
      <w:pPr>
        <w:spacing w:before="480" w:beforeLines="200" w:after="120" w:afterLines="50" w:line="360" w:lineRule="auto"/>
        <w:rPr>
          <w:rFonts w:hint="eastAsia" w:ascii="宋体" w:hAnsi="宋体"/>
          <w:b/>
          <w:color w:val="auto"/>
          <w:szCs w:val="21"/>
          <w:highlight w:val="none"/>
        </w:rPr>
      </w:pPr>
      <w:r>
        <w:rPr>
          <w:rFonts w:hint="eastAsia" w:ascii="宋体" w:hAnsi="宋体"/>
          <w:b/>
          <w:color w:val="auto"/>
          <w:szCs w:val="21"/>
          <w:highlight w:val="none"/>
          <w:lang w:eastAsia="zh-CN"/>
        </w:rPr>
        <w:t>伊宁县政府采购中心</w:t>
      </w:r>
      <w:r>
        <w:rPr>
          <w:rFonts w:hint="eastAsia" w:ascii="宋体" w:hAnsi="宋体"/>
          <w:b/>
          <w:color w:val="auto"/>
          <w:szCs w:val="21"/>
          <w:highlight w:val="none"/>
        </w:rPr>
        <w:t xml:space="preserve">： </w:t>
      </w:r>
    </w:p>
    <w:p w14:paraId="1EB5B22C">
      <w:pPr>
        <w:spacing w:line="360" w:lineRule="auto"/>
        <w:ind w:left="525" w:leftChars="200" w:hanging="105" w:hangingChars="50"/>
        <w:rPr>
          <w:rFonts w:hint="eastAsia" w:ascii="宋体" w:hAnsi="宋体"/>
          <w:color w:val="auto"/>
          <w:szCs w:val="21"/>
          <w:highlight w:val="none"/>
        </w:rPr>
      </w:pPr>
      <w:r>
        <w:rPr>
          <w:rFonts w:hint="eastAsia" w:ascii="宋体" w:hAnsi="宋体"/>
          <w:color w:val="auto"/>
          <w:szCs w:val="21"/>
          <w:highlight w:val="none"/>
        </w:rPr>
        <w:t>鉴于</w:t>
      </w:r>
      <w:r>
        <w:rPr>
          <w:rFonts w:hint="eastAsia" w:ascii="宋体" w:hAnsi="宋体"/>
          <w:color w:val="auto"/>
          <w:szCs w:val="21"/>
          <w:highlight w:val="none"/>
          <w:u w:val="single"/>
          <w:lang w:val="en-US" w:eastAsia="zh-CN"/>
        </w:rPr>
        <w:t xml:space="preserve">                </w:t>
      </w:r>
      <w:r>
        <w:rPr>
          <w:rFonts w:hint="eastAsia" w:ascii="宋体" w:hAnsi="宋体"/>
          <w:color w:val="auto"/>
          <w:szCs w:val="21"/>
          <w:highlight w:val="none"/>
        </w:rPr>
        <w:t>（以下简称投标人）拟参加编号为</w:t>
      </w:r>
      <w:r>
        <w:rPr>
          <w:rFonts w:hint="eastAsia" w:ascii="宋体" w:hAnsi="宋体"/>
          <w:color w:val="auto"/>
          <w:szCs w:val="21"/>
          <w:highlight w:val="none"/>
          <w:u w:val="single"/>
          <w:lang w:val="en-US" w:eastAsia="zh-CN"/>
        </w:rPr>
        <w:t xml:space="preserve">          </w:t>
      </w:r>
      <w:r>
        <w:rPr>
          <w:rFonts w:hint="eastAsia" w:ascii="宋体" w:hAnsi="宋体"/>
          <w:color w:val="auto"/>
          <w:szCs w:val="21"/>
          <w:highlight w:val="none"/>
        </w:rPr>
        <w:t>的</w:t>
      </w:r>
      <w:r>
        <w:rPr>
          <w:rFonts w:hint="eastAsia" w:ascii="宋体" w:hAnsi="宋体"/>
          <w:color w:val="auto"/>
          <w:szCs w:val="21"/>
          <w:highlight w:val="none"/>
          <w:u w:val="single"/>
          <w:lang w:val="en-US" w:eastAsia="zh-CN"/>
        </w:rPr>
        <w:t xml:space="preserve">                     </w:t>
      </w:r>
      <w:r>
        <w:rPr>
          <w:rFonts w:hint="eastAsia" w:ascii="宋体" w:hAnsi="宋体"/>
          <w:color w:val="auto"/>
          <w:szCs w:val="21"/>
          <w:highlight w:val="none"/>
        </w:rPr>
        <w:t>采购项目（以下简称本项目）投标，根据本项目招标文件，投标人参加投标时应向你方交纳投标保证金，且可以投标担保函的形式交纳投标保证金。应投标人的申请，我方以保证的方式向你方提供如下投标保证金担保：</w:t>
      </w:r>
    </w:p>
    <w:p w14:paraId="14D7287C">
      <w:pPr>
        <w:spacing w:line="360" w:lineRule="auto"/>
        <w:ind w:firstLine="316" w:firstLineChars="150"/>
        <w:rPr>
          <w:rFonts w:hint="eastAsia" w:ascii="黑体" w:hAnsi="宋体" w:eastAsia="黑体"/>
          <w:b/>
          <w:color w:val="auto"/>
          <w:szCs w:val="21"/>
          <w:highlight w:val="none"/>
        </w:rPr>
      </w:pPr>
      <w:r>
        <w:rPr>
          <w:rFonts w:hint="eastAsia" w:ascii="黑体" w:hAnsi="宋体" w:eastAsia="黑体"/>
          <w:b/>
          <w:color w:val="auto"/>
          <w:szCs w:val="21"/>
          <w:highlight w:val="none"/>
        </w:rPr>
        <w:t xml:space="preserve">一、保证责任的情形及保证金额 </w:t>
      </w:r>
    </w:p>
    <w:p w14:paraId="28D2922C">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 xml:space="preserve">（一）在投标人出现下列情形之一时，我方承担保证责任： </w:t>
      </w:r>
    </w:p>
    <w:p w14:paraId="6AF78B2B">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 xml:space="preserve">1．中标后投标人无正当理由不与采购人签订《采购合同》； </w:t>
      </w:r>
    </w:p>
    <w:p w14:paraId="1603C4B4">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 xml:space="preserve">2．招标文件规定的投标人应当缴纳保证金的其他情形。 </w:t>
      </w:r>
    </w:p>
    <w:p w14:paraId="0D9EB441">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（二）我方承担保证责任的最高金额为人民币</w:t>
      </w:r>
      <w:r>
        <w:rPr>
          <w:rFonts w:hint="eastAsia" w:ascii="宋体" w:hAnsi="宋体"/>
          <w:color w:val="auto"/>
          <w:szCs w:val="21"/>
          <w:highlight w:val="none"/>
          <w:u w:val="single"/>
          <w:lang w:val="en-US" w:eastAsia="zh-CN"/>
        </w:rPr>
        <w:t xml:space="preserve">      </w:t>
      </w:r>
      <w:r>
        <w:rPr>
          <w:rFonts w:hint="eastAsia" w:ascii="宋体" w:hAnsi="宋体"/>
          <w:color w:val="auto"/>
          <w:szCs w:val="21"/>
          <w:highlight w:val="none"/>
        </w:rPr>
        <w:t>元（大写</w:t>
      </w:r>
      <w:r>
        <w:rPr>
          <w:rFonts w:hint="eastAsia" w:ascii="宋体" w:hAnsi="宋体"/>
          <w:color w:val="auto"/>
          <w:szCs w:val="21"/>
          <w:highlight w:val="none"/>
          <w:u w:val="single"/>
          <w:lang w:val="en-US" w:eastAsia="zh-CN"/>
        </w:rPr>
        <w:t xml:space="preserve">             </w:t>
      </w:r>
      <w:r>
        <w:rPr>
          <w:rFonts w:hint="eastAsia" w:ascii="宋体" w:hAnsi="宋体"/>
          <w:color w:val="auto"/>
          <w:szCs w:val="21"/>
          <w:highlight w:val="none"/>
        </w:rPr>
        <w:t xml:space="preserve">），即本项目的投标保证金金额。 </w:t>
      </w:r>
    </w:p>
    <w:p w14:paraId="175AA2D4">
      <w:pPr>
        <w:spacing w:line="360" w:lineRule="auto"/>
        <w:ind w:firstLine="422" w:firstLineChars="200"/>
        <w:rPr>
          <w:rFonts w:hint="eastAsia" w:ascii="黑体" w:hAnsi="宋体" w:eastAsia="黑体"/>
          <w:b/>
          <w:color w:val="auto"/>
          <w:szCs w:val="21"/>
          <w:highlight w:val="none"/>
        </w:rPr>
      </w:pPr>
      <w:r>
        <w:rPr>
          <w:rFonts w:hint="eastAsia" w:ascii="黑体" w:hAnsi="宋体" w:eastAsia="黑体"/>
          <w:b/>
          <w:color w:val="auto"/>
          <w:szCs w:val="21"/>
          <w:highlight w:val="none"/>
        </w:rPr>
        <w:t xml:space="preserve">二、保证的方式及保证期间 </w:t>
      </w:r>
    </w:p>
    <w:p w14:paraId="7B8F10B6">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 xml:space="preserve">我方保证的方式为：连带责任保证。 </w:t>
      </w:r>
    </w:p>
    <w:p w14:paraId="3DEEB53E">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我方的保证期间为：自本保函生效之日起</w:t>
      </w:r>
      <w:r>
        <w:rPr>
          <w:rFonts w:hint="eastAsia" w:ascii="宋体" w:hAnsi="宋体"/>
          <w:color w:val="auto"/>
          <w:szCs w:val="21"/>
          <w:highlight w:val="none"/>
          <w:u w:val="single"/>
          <w:lang w:val="en-US" w:eastAsia="zh-CN"/>
        </w:rPr>
        <w:t xml:space="preserve">           </w:t>
      </w:r>
      <w:r>
        <w:rPr>
          <w:rFonts w:hint="eastAsia" w:ascii="宋体" w:hAnsi="宋体"/>
          <w:color w:val="auto"/>
          <w:szCs w:val="21"/>
          <w:highlight w:val="none"/>
        </w:rPr>
        <w:t xml:space="preserve">个月止。 </w:t>
      </w:r>
    </w:p>
    <w:p w14:paraId="44D9AF0C">
      <w:pPr>
        <w:spacing w:line="360" w:lineRule="auto"/>
        <w:ind w:firstLine="422" w:firstLineChars="200"/>
        <w:rPr>
          <w:rFonts w:hint="eastAsia" w:ascii="黑体" w:hAnsi="宋体" w:eastAsia="黑体"/>
          <w:b/>
          <w:color w:val="auto"/>
          <w:szCs w:val="21"/>
          <w:highlight w:val="none"/>
        </w:rPr>
      </w:pPr>
      <w:r>
        <w:rPr>
          <w:rFonts w:hint="eastAsia" w:ascii="黑体" w:hAnsi="宋体" w:eastAsia="黑体"/>
          <w:b/>
          <w:color w:val="auto"/>
          <w:szCs w:val="21"/>
          <w:highlight w:val="none"/>
        </w:rPr>
        <w:t xml:space="preserve">三、承担保证责任的程序 </w:t>
      </w:r>
    </w:p>
    <w:p w14:paraId="4A600CC7">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 xml:space="preserve">1.你方要求我方承担保证责任的，应在本保函保证期间内向我方发出书面索赔通知。索赔通知应写明要求索赔的金额，支付款项应到达的账号，并附有证明投标人发生我方应承担保证责任情形的事实材料。 </w:t>
      </w:r>
    </w:p>
    <w:p w14:paraId="69FA33BC">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2.我方在收到索赔通知及相关证明材料后，在</w:t>
      </w:r>
      <w:r>
        <w:rPr>
          <w:rFonts w:hint="eastAsia" w:ascii="宋体" w:hAnsi="宋体"/>
          <w:color w:val="auto"/>
          <w:szCs w:val="21"/>
          <w:highlight w:val="none"/>
          <w:u w:val="single"/>
          <w:lang w:val="en-US" w:eastAsia="zh-CN"/>
        </w:rPr>
        <w:t xml:space="preserve">          </w:t>
      </w:r>
      <w:r>
        <w:rPr>
          <w:rFonts w:hint="eastAsia" w:ascii="宋体" w:hAnsi="宋体"/>
          <w:color w:val="auto"/>
          <w:szCs w:val="21"/>
          <w:highlight w:val="none"/>
        </w:rPr>
        <w:t>个工作日内进行审查，符合应承担保证责任情形的，我方应按照你方的要求代投标人向你方支付投标保证金。</w:t>
      </w:r>
    </w:p>
    <w:p w14:paraId="0C56DCA9">
      <w:pPr>
        <w:spacing w:line="360" w:lineRule="auto"/>
        <w:ind w:firstLine="422" w:firstLineChars="200"/>
        <w:rPr>
          <w:rFonts w:hint="eastAsia" w:ascii="黑体" w:hAnsi="宋体" w:eastAsia="黑体"/>
          <w:b/>
          <w:color w:val="auto"/>
          <w:szCs w:val="21"/>
          <w:highlight w:val="none"/>
        </w:rPr>
      </w:pPr>
      <w:r>
        <w:rPr>
          <w:rFonts w:hint="eastAsia" w:ascii="黑体" w:hAnsi="宋体" w:eastAsia="黑体"/>
          <w:b/>
          <w:color w:val="auto"/>
          <w:szCs w:val="21"/>
          <w:highlight w:val="none"/>
        </w:rPr>
        <w:t xml:space="preserve">四、保证责任的终止 </w:t>
      </w:r>
    </w:p>
    <w:p w14:paraId="3EC99172">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1．保证期间届满你方未向我方书面主张保证责任的，自保证期间届满次日起，我方保证责任自动终止。</w:t>
      </w:r>
    </w:p>
    <w:p w14:paraId="0282E3E0">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2．我方按照本保函向你方履行了保证责任后，自我方向你方支付款项（支付款项从我方账户划出）之日起，保证责任终止。</w:t>
      </w:r>
    </w:p>
    <w:p w14:paraId="2103399B">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3．按照法律法规的规定或出现我方保证责任终止的其它情形的，我方在本保函项下的保证责任亦终止。</w:t>
      </w:r>
    </w:p>
    <w:p w14:paraId="01085934">
      <w:pPr>
        <w:spacing w:line="360" w:lineRule="auto"/>
        <w:ind w:firstLine="422" w:firstLineChars="200"/>
        <w:rPr>
          <w:rFonts w:hint="eastAsia" w:ascii="黑体" w:hAnsi="宋体" w:eastAsia="黑体"/>
          <w:b/>
          <w:color w:val="auto"/>
          <w:szCs w:val="21"/>
          <w:highlight w:val="none"/>
        </w:rPr>
      </w:pPr>
      <w:r>
        <w:rPr>
          <w:rFonts w:hint="eastAsia" w:ascii="黑体" w:hAnsi="宋体" w:eastAsia="黑体"/>
          <w:b/>
          <w:color w:val="auto"/>
          <w:szCs w:val="21"/>
          <w:highlight w:val="none"/>
        </w:rPr>
        <w:t xml:space="preserve">五、免责条款 </w:t>
      </w:r>
    </w:p>
    <w:p w14:paraId="1EF3093C">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1．依照法律规定或你方与投标人的另行约定，全部或者部分免除投标人投标保证金义务时，我方亦免除相应的保证责任。</w:t>
      </w:r>
    </w:p>
    <w:p w14:paraId="61F87F90">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2．因你方原因致使投标人发生本保函第一条第（一）款约定情形的，我方不承担保证责任。</w:t>
      </w:r>
    </w:p>
    <w:p w14:paraId="5F661090">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3．因不可抗力造成投标人发生本保函第一条约定情形的，我方不承担保证责任。</w:t>
      </w:r>
    </w:p>
    <w:p w14:paraId="19348BF3">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 xml:space="preserve">4．你方或其他有权机关对招标文件进行任何澄清或修改，加重我方保证责任的，我方对加重部分不承担保证责任，但该澄清或修改经我方事先书面同意的除外。 </w:t>
      </w:r>
    </w:p>
    <w:p w14:paraId="54968F82">
      <w:pPr>
        <w:spacing w:line="360" w:lineRule="auto"/>
        <w:ind w:firstLine="422" w:firstLineChars="200"/>
        <w:rPr>
          <w:rFonts w:hint="eastAsia" w:ascii="黑体" w:hAnsi="宋体" w:eastAsia="黑体"/>
          <w:b/>
          <w:color w:val="auto"/>
          <w:szCs w:val="21"/>
          <w:highlight w:val="none"/>
        </w:rPr>
      </w:pPr>
      <w:r>
        <w:rPr>
          <w:rFonts w:hint="eastAsia" w:ascii="黑体" w:hAnsi="宋体" w:eastAsia="黑体"/>
          <w:b/>
          <w:color w:val="auto"/>
          <w:szCs w:val="21"/>
          <w:highlight w:val="none"/>
        </w:rPr>
        <w:t>六、争议的解决</w:t>
      </w:r>
    </w:p>
    <w:p w14:paraId="2A14BBBF">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 xml:space="preserve">因本保函发生的纠纷，由你我双方协商解决，协商不成的，通过诉讼程序解决，诉讼管辖地法院为________________法院。 </w:t>
      </w:r>
    </w:p>
    <w:p w14:paraId="5E33698A">
      <w:pPr>
        <w:spacing w:line="360" w:lineRule="auto"/>
        <w:ind w:firstLine="422" w:firstLineChars="200"/>
        <w:rPr>
          <w:rFonts w:hint="eastAsia" w:ascii="黑体" w:hAnsi="宋体" w:eastAsia="黑体"/>
          <w:b/>
          <w:color w:val="auto"/>
          <w:szCs w:val="21"/>
          <w:highlight w:val="none"/>
        </w:rPr>
      </w:pPr>
      <w:r>
        <w:rPr>
          <w:rFonts w:hint="eastAsia" w:ascii="黑体" w:hAnsi="宋体" w:eastAsia="黑体"/>
          <w:b/>
          <w:color w:val="auto"/>
          <w:szCs w:val="21"/>
          <w:highlight w:val="none"/>
        </w:rPr>
        <w:t xml:space="preserve">七、保函的生效 </w:t>
      </w:r>
    </w:p>
    <w:p w14:paraId="5051B50C">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 xml:space="preserve">本保函自我方加盖公章之日起生效。 </w:t>
      </w:r>
    </w:p>
    <w:p w14:paraId="58C46BDD">
      <w:pPr>
        <w:spacing w:line="360" w:lineRule="auto"/>
        <w:rPr>
          <w:rFonts w:hint="eastAsia" w:ascii="宋体" w:hAnsi="宋体"/>
          <w:color w:val="auto"/>
          <w:szCs w:val="21"/>
          <w:highlight w:val="none"/>
        </w:rPr>
      </w:pPr>
    </w:p>
    <w:p w14:paraId="72887829">
      <w:pPr>
        <w:spacing w:line="360" w:lineRule="auto"/>
        <w:rPr>
          <w:rFonts w:hint="eastAsia" w:ascii="宋体" w:hAnsi="宋体"/>
          <w:color w:val="auto"/>
          <w:szCs w:val="21"/>
          <w:highlight w:val="none"/>
        </w:rPr>
      </w:pPr>
    </w:p>
    <w:p w14:paraId="3B110CB6">
      <w:pPr>
        <w:spacing w:line="360" w:lineRule="auto"/>
        <w:rPr>
          <w:rFonts w:hint="eastAsia" w:ascii="宋体" w:hAnsi="宋体"/>
          <w:color w:val="auto"/>
          <w:szCs w:val="21"/>
          <w:highlight w:val="none"/>
        </w:rPr>
      </w:pPr>
    </w:p>
    <w:p w14:paraId="6957C8EE">
      <w:pPr>
        <w:spacing w:line="360" w:lineRule="auto"/>
        <w:ind w:right="640" w:firstLine="2940" w:firstLineChars="1400"/>
        <w:rPr>
          <w:rFonts w:hint="eastAsia" w:ascii="宋体" w:hAnsi="宋体"/>
          <w:color w:val="auto"/>
          <w:szCs w:val="21"/>
          <w:highlight w:val="none"/>
        </w:rPr>
      </w:pPr>
      <w:r>
        <w:rPr>
          <w:rFonts w:hint="eastAsia" w:ascii="宋体" w:hAnsi="宋体"/>
          <w:color w:val="auto"/>
          <w:szCs w:val="21"/>
          <w:highlight w:val="none"/>
        </w:rPr>
        <w:t>担  保  人  名  称：</w:t>
      </w:r>
      <w:r>
        <w:rPr>
          <w:rFonts w:hint="eastAsia" w:ascii="宋体" w:hAnsi="宋体"/>
          <w:color w:val="auto"/>
          <w:szCs w:val="21"/>
          <w:highlight w:val="none"/>
          <w:u w:val="single"/>
        </w:rPr>
        <w:t xml:space="preserve">                </w:t>
      </w:r>
      <w:r>
        <w:rPr>
          <w:rFonts w:hint="eastAsia" w:ascii="宋体" w:hAnsi="宋体"/>
          <w:color w:val="auto"/>
          <w:szCs w:val="21"/>
          <w:highlight w:val="none"/>
        </w:rPr>
        <w:t>（盖单位章）</w:t>
      </w:r>
    </w:p>
    <w:p w14:paraId="750D096F">
      <w:pPr>
        <w:spacing w:line="360" w:lineRule="auto"/>
        <w:ind w:right="640" w:firstLine="2940" w:firstLineChars="1400"/>
        <w:rPr>
          <w:rFonts w:hint="eastAsia" w:ascii="宋体" w:hAnsi="宋体"/>
          <w:color w:val="auto"/>
          <w:szCs w:val="21"/>
          <w:highlight w:val="none"/>
        </w:rPr>
      </w:pPr>
      <w:r>
        <w:rPr>
          <w:rFonts w:hint="eastAsia" w:ascii="宋体" w:hAnsi="宋体"/>
          <w:color w:val="auto"/>
          <w:szCs w:val="21"/>
          <w:highlight w:val="none"/>
        </w:rPr>
        <w:t>法定代表人或委托代理人：</w:t>
      </w:r>
      <w:r>
        <w:rPr>
          <w:rFonts w:hint="eastAsia" w:ascii="宋体" w:hAnsi="宋体"/>
          <w:color w:val="auto"/>
          <w:szCs w:val="21"/>
          <w:highlight w:val="none"/>
          <w:u w:val="single"/>
        </w:rPr>
        <w:t xml:space="preserve">              </w:t>
      </w:r>
      <w:r>
        <w:rPr>
          <w:rFonts w:hint="eastAsia" w:ascii="宋体" w:hAnsi="宋体"/>
          <w:color w:val="auto"/>
          <w:szCs w:val="21"/>
          <w:highlight w:val="none"/>
        </w:rPr>
        <w:t xml:space="preserve"> （签字）</w:t>
      </w:r>
    </w:p>
    <w:p w14:paraId="4C766716">
      <w:pPr>
        <w:spacing w:line="360" w:lineRule="auto"/>
        <w:ind w:right="640" w:firstLine="2940" w:firstLineChars="1400"/>
        <w:rPr>
          <w:rFonts w:hint="eastAsia" w:ascii="宋体" w:hAnsi="宋体"/>
          <w:color w:val="auto"/>
          <w:szCs w:val="21"/>
          <w:highlight w:val="none"/>
          <w:u w:val="single"/>
        </w:rPr>
      </w:pPr>
      <w:r>
        <w:rPr>
          <w:rFonts w:hint="eastAsia" w:ascii="宋体" w:hAnsi="宋体"/>
          <w:color w:val="auto"/>
          <w:szCs w:val="21"/>
          <w:highlight w:val="none"/>
        </w:rPr>
        <w:t>地       址：</w:t>
      </w:r>
      <w:r>
        <w:rPr>
          <w:rFonts w:hint="eastAsia" w:ascii="宋体" w:hAnsi="宋体"/>
          <w:color w:val="auto"/>
          <w:szCs w:val="21"/>
          <w:highlight w:val="none"/>
          <w:u w:val="single"/>
        </w:rPr>
        <w:t xml:space="preserve">                                 </w:t>
      </w:r>
    </w:p>
    <w:p w14:paraId="327A453F">
      <w:pPr>
        <w:spacing w:line="360" w:lineRule="auto"/>
        <w:ind w:right="640" w:firstLine="2940" w:firstLineChars="1400"/>
        <w:rPr>
          <w:rFonts w:hint="eastAsia" w:ascii="宋体" w:hAnsi="宋体"/>
          <w:color w:val="auto"/>
          <w:szCs w:val="21"/>
          <w:highlight w:val="none"/>
          <w:u w:val="single"/>
        </w:rPr>
      </w:pPr>
      <w:r>
        <w:rPr>
          <w:rFonts w:hint="eastAsia" w:ascii="宋体" w:hAnsi="宋体"/>
          <w:color w:val="auto"/>
          <w:szCs w:val="21"/>
          <w:highlight w:val="none"/>
        </w:rPr>
        <w:t>邮 政 编 码：</w:t>
      </w:r>
      <w:r>
        <w:rPr>
          <w:rFonts w:hint="eastAsia" w:ascii="宋体" w:hAnsi="宋体"/>
          <w:color w:val="auto"/>
          <w:szCs w:val="21"/>
          <w:highlight w:val="none"/>
          <w:u w:val="single"/>
        </w:rPr>
        <w:t xml:space="preserve">                                 </w:t>
      </w:r>
    </w:p>
    <w:p w14:paraId="33945719">
      <w:pPr>
        <w:spacing w:line="360" w:lineRule="auto"/>
        <w:ind w:right="640" w:firstLine="2940" w:firstLineChars="1400"/>
        <w:rPr>
          <w:rFonts w:hint="eastAsia" w:ascii="宋体" w:hAnsi="宋体"/>
          <w:color w:val="auto"/>
          <w:szCs w:val="21"/>
          <w:highlight w:val="none"/>
          <w:u w:val="single"/>
        </w:rPr>
      </w:pPr>
      <w:r>
        <w:rPr>
          <w:rFonts w:hint="eastAsia" w:ascii="宋体" w:hAnsi="宋体"/>
          <w:color w:val="auto"/>
          <w:szCs w:val="21"/>
          <w:highlight w:val="none"/>
        </w:rPr>
        <w:t>电       话：</w:t>
      </w:r>
      <w:r>
        <w:rPr>
          <w:rFonts w:hint="eastAsia" w:ascii="宋体" w:hAnsi="宋体"/>
          <w:color w:val="auto"/>
          <w:szCs w:val="21"/>
          <w:highlight w:val="none"/>
          <w:u w:val="single"/>
        </w:rPr>
        <w:t xml:space="preserve">                                 </w:t>
      </w:r>
    </w:p>
    <w:p w14:paraId="17E5BB23">
      <w:pPr>
        <w:spacing w:line="360" w:lineRule="auto"/>
        <w:ind w:right="640" w:firstLine="3885" w:firstLineChars="1850"/>
        <w:rPr>
          <w:rFonts w:hint="eastAsia" w:ascii="宋体" w:hAnsi="宋体"/>
          <w:color w:val="auto"/>
          <w:szCs w:val="21"/>
          <w:highlight w:val="none"/>
        </w:rPr>
      </w:pPr>
    </w:p>
    <w:p w14:paraId="1173B039">
      <w:pPr>
        <w:spacing w:line="360" w:lineRule="auto"/>
        <w:ind w:right="640" w:firstLine="5460" w:firstLineChars="2600"/>
        <w:rPr>
          <w:rFonts w:hint="eastAsia" w:ascii="宋体" w:hAnsi="宋体"/>
          <w:color w:val="auto"/>
          <w:szCs w:val="21"/>
          <w:highlight w:val="none"/>
        </w:rPr>
      </w:pPr>
      <w:r>
        <w:rPr>
          <w:rFonts w:hint="eastAsia" w:ascii="宋体" w:hAnsi="宋体"/>
          <w:color w:val="auto"/>
          <w:szCs w:val="21"/>
          <w:highlight w:val="none"/>
        </w:rPr>
        <w:t>20</w:t>
      </w:r>
      <w:r>
        <w:rPr>
          <w:rFonts w:hint="eastAsia" w:ascii="宋体" w:hAnsi="宋体"/>
          <w:color w:val="auto"/>
          <w:szCs w:val="21"/>
          <w:highlight w:val="none"/>
          <w:u w:val="single"/>
        </w:rPr>
        <w:t xml:space="preserve">  </w:t>
      </w:r>
      <w:r>
        <w:rPr>
          <w:rFonts w:hint="eastAsia" w:ascii="宋体" w:hAnsi="宋体"/>
          <w:color w:val="auto"/>
          <w:szCs w:val="21"/>
          <w:highlight w:val="none"/>
        </w:rPr>
        <w:t xml:space="preserve"> 年</w:t>
      </w:r>
      <w:r>
        <w:rPr>
          <w:rFonts w:hint="eastAsia" w:ascii="宋体" w:hAnsi="宋体"/>
          <w:color w:val="auto"/>
          <w:szCs w:val="21"/>
          <w:highlight w:val="none"/>
          <w:u w:val="single"/>
        </w:rPr>
        <w:t xml:space="preserve">  </w:t>
      </w:r>
      <w:r>
        <w:rPr>
          <w:rFonts w:hint="eastAsia" w:ascii="宋体" w:hAnsi="宋体"/>
          <w:color w:val="auto"/>
          <w:szCs w:val="21"/>
          <w:highlight w:val="none"/>
        </w:rPr>
        <w:t>月</w:t>
      </w:r>
      <w:r>
        <w:rPr>
          <w:rFonts w:hint="eastAsia" w:ascii="宋体" w:hAnsi="宋体"/>
          <w:color w:val="auto"/>
          <w:szCs w:val="21"/>
          <w:highlight w:val="none"/>
          <w:u w:val="single"/>
        </w:rPr>
        <w:t xml:space="preserve">  </w:t>
      </w:r>
      <w:r>
        <w:rPr>
          <w:rFonts w:hint="eastAsia" w:ascii="宋体" w:hAnsi="宋体"/>
          <w:color w:val="auto"/>
          <w:szCs w:val="21"/>
          <w:highlight w:val="none"/>
        </w:rPr>
        <w:t>日</w:t>
      </w:r>
    </w:p>
    <w:p w14:paraId="58EE85D1">
      <w:pPr>
        <w:pStyle w:val="39"/>
        <w:spacing w:line="340" w:lineRule="exact"/>
        <w:ind w:firstLine="240" w:firstLineChars="100"/>
        <w:rPr>
          <w:rFonts w:hint="eastAsia" w:ascii="仿宋_GB2312" w:hAnsi="仿宋" w:eastAsia="仿宋_GB2312"/>
          <w:color w:val="auto"/>
          <w:sz w:val="24"/>
          <w:szCs w:val="24"/>
          <w:highlight w:val="none"/>
        </w:rPr>
      </w:pPr>
    </w:p>
    <w:p w14:paraId="639F7A10">
      <w:pPr>
        <w:pStyle w:val="39"/>
        <w:spacing w:line="340" w:lineRule="exact"/>
        <w:ind w:firstLine="240" w:firstLineChars="100"/>
        <w:rPr>
          <w:rFonts w:hint="eastAsia" w:ascii="仿宋_GB2312" w:hAnsi="仿宋" w:eastAsia="仿宋_GB2312"/>
          <w:color w:val="auto"/>
          <w:sz w:val="24"/>
          <w:szCs w:val="24"/>
          <w:highlight w:val="none"/>
        </w:rPr>
      </w:pPr>
    </w:p>
    <w:p w14:paraId="0A2CA8F4">
      <w:pPr>
        <w:pStyle w:val="39"/>
        <w:spacing w:line="340" w:lineRule="exact"/>
        <w:ind w:firstLine="240" w:firstLineChars="100"/>
        <w:rPr>
          <w:rFonts w:hint="eastAsia" w:ascii="仿宋_GB2312" w:hAnsi="仿宋" w:eastAsia="仿宋_GB2312"/>
          <w:color w:val="auto"/>
          <w:sz w:val="24"/>
          <w:szCs w:val="24"/>
          <w:highlight w:val="none"/>
        </w:rPr>
      </w:pPr>
    </w:p>
    <w:p w14:paraId="7E0699D7">
      <w:pPr>
        <w:pStyle w:val="39"/>
        <w:spacing w:line="340" w:lineRule="exact"/>
        <w:ind w:firstLine="240" w:firstLineChars="100"/>
        <w:rPr>
          <w:rFonts w:hint="eastAsia" w:ascii="仿宋_GB2312" w:hAnsi="仿宋" w:eastAsia="仿宋_GB2312"/>
          <w:color w:val="auto"/>
          <w:sz w:val="24"/>
          <w:szCs w:val="24"/>
          <w:highlight w:val="none"/>
        </w:rPr>
      </w:pPr>
    </w:p>
    <w:p w14:paraId="7AFF605B">
      <w:pPr>
        <w:pStyle w:val="39"/>
        <w:spacing w:line="340" w:lineRule="exact"/>
        <w:ind w:firstLine="240" w:firstLineChars="100"/>
        <w:rPr>
          <w:rFonts w:hint="eastAsia" w:ascii="仿宋_GB2312" w:hAnsi="仿宋" w:eastAsia="仿宋_GB2312"/>
          <w:color w:val="auto"/>
          <w:sz w:val="24"/>
          <w:szCs w:val="24"/>
          <w:highlight w:val="none"/>
        </w:rPr>
      </w:pPr>
    </w:p>
    <w:p w14:paraId="2DA9B791">
      <w:pPr>
        <w:pStyle w:val="39"/>
        <w:spacing w:line="340" w:lineRule="exact"/>
        <w:ind w:firstLine="240" w:firstLineChars="100"/>
        <w:rPr>
          <w:rFonts w:hint="eastAsia" w:ascii="仿宋_GB2312" w:hAnsi="仿宋" w:eastAsia="仿宋_GB2312"/>
          <w:color w:val="auto"/>
          <w:sz w:val="24"/>
          <w:szCs w:val="24"/>
          <w:highlight w:val="none"/>
        </w:rPr>
      </w:pPr>
    </w:p>
    <w:p w14:paraId="63311426">
      <w:pPr>
        <w:pStyle w:val="39"/>
        <w:spacing w:line="340" w:lineRule="exact"/>
        <w:ind w:firstLine="240" w:firstLineChars="100"/>
        <w:rPr>
          <w:rFonts w:hint="eastAsia" w:ascii="仿宋_GB2312" w:hAnsi="仿宋" w:eastAsia="仿宋_GB2312"/>
          <w:color w:val="auto"/>
          <w:sz w:val="24"/>
          <w:szCs w:val="24"/>
          <w:highlight w:val="none"/>
        </w:rPr>
      </w:pPr>
    </w:p>
    <w:p w14:paraId="6C1BB6E3">
      <w:pPr>
        <w:pStyle w:val="39"/>
        <w:spacing w:line="340" w:lineRule="exact"/>
        <w:ind w:firstLine="240" w:firstLineChars="100"/>
        <w:rPr>
          <w:rFonts w:hint="eastAsia" w:ascii="仿宋_GB2312" w:hAnsi="仿宋" w:eastAsia="仿宋_GB2312"/>
          <w:color w:val="auto"/>
          <w:sz w:val="24"/>
          <w:szCs w:val="24"/>
          <w:highlight w:val="none"/>
        </w:rPr>
      </w:pPr>
    </w:p>
    <w:p w14:paraId="3166A704">
      <w:pPr>
        <w:adjustRightInd w:val="0"/>
        <w:snapToGrid w:val="0"/>
        <w:spacing w:before="240" w:beforeLines="100"/>
        <w:rPr>
          <w:rFonts w:hint="eastAsia" w:ascii="仿宋_GB2312" w:hAnsi="宋体" w:eastAsia="仿宋_GB2312"/>
          <w:color w:val="auto"/>
          <w:szCs w:val="21"/>
          <w:highlight w:val="none"/>
        </w:rPr>
      </w:pPr>
    </w:p>
    <w:p w14:paraId="796850AF">
      <w:pPr>
        <w:pStyle w:val="4"/>
        <w:ind w:firstLine="0"/>
        <w:jc w:val="center"/>
        <w:rPr>
          <w:rFonts w:hint="eastAsia"/>
          <w:color w:val="auto"/>
          <w:sz w:val="32"/>
          <w:szCs w:val="32"/>
          <w:highlight w:val="none"/>
        </w:rPr>
      </w:pPr>
    </w:p>
    <w:p w14:paraId="1693E59D">
      <w:pPr>
        <w:pStyle w:val="4"/>
        <w:ind w:firstLine="0"/>
        <w:jc w:val="center"/>
        <w:rPr>
          <w:rFonts w:hint="eastAsia"/>
          <w:color w:val="auto"/>
          <w:sz w:val="32"/>
          <w:szCs w:val="32"/>
          <w:highlight w:val="none"/>
        </w:rPr>
      </w:pPr>
    </w:p>
    <w:p w14:paraId="698585C8">
      <w:pPr>
        <w:pStyle w:val="4"/>
        <w:ind w:firstLine="0"/>
        <w:jc w:val="center"/>
        <w:rPr>
          <w:rFonts w:hint="eastAsia"/>
          <w:color w:val="auto"/>
          <w:sz w:val="32"/>
          <w:szCs w:val="32"/>
          <w:highlight w:val="none"/>
        </w:rPr>
      </w:pPr>
    </w:p>
    <w:p w14:paraId="6EA5A628">
      <w:pPr>
        <w:pStyle w:val="4"/>
        <w:ind w:firstLine="0"/>
        <w:jc w:val="center"/>
        <w:rPr>
          <w:rFonts w:hint="eastAsia"/>
          <w:b/>
          <w:bCs/>
          <w:color w:val="auto"/>
          <w:sz w:val="36"/>
          <w:szCs w:val="36"/>
          <w:highlight w:val="none"/>
        </w:rPr>
      </w:pPr>
      <w:r>
        <w:rPr>
          <w:rFonts w:hint="eastAsia"/>
          <w:b/>
          <w:bCs/>
          <w:color w:val="auto"/>
          <w:sz w:val="36"/>
          <w:szCs w:val="36"/>
          <w:highlight w:val="none"/>
        </w:rPr>
        <w:t>（商务、技术部分）</w:t>
      </w:r>
    </w:p>
    <w:p w14:paraId="489353C2">
      <w:pPr>
        <w:pStyle w:val="4"/>
        <w:rPr>
          <w:rFonts w:hint="eastAsia"/>
          <w:color w:val="auto"/>
          <w:sz w:val="28"/>
          <w:szCs w:val="28"/>
          <w:highlight w:val="none"/>
        </w:rPr>
      </w:pPr>
    </w:p>
    <w:p w14:paraId="67D7D04F">
      <w:pPr>
        <w:pStyle w:val="4"/>
        <w:rPr>
          <w:rFonts w:hint="eastAsia"/>
          <w:color w:val="auto"/>
          <w:sz w:val="28"/>
          <w:szCs w:val="28"/>
          <w:highlight w:val="none"/>
        </w:rPr>
      </w:pPr>
    </w:p>
    <w:p w14:paraId="32723CFD">
      <w:pPr>
        <w:pStyle w:val="4"/>
        <w:rPr>
          <w:rFonts w:hint="eastAsia"/>
          <w:color w:val="auto"/>
          <w:sz w:val="28"/>
          <w:szCs w:val="28"/>
          <w:highlight w:val="none"/>
        </w:rPr>
      </w:pPr>
    </w:p>
    <w:p w14:paraId="7DAE4F87">
      <w:pPr>
        <w:pStyle w:val="4"/>
        <w:rPr>
          <w:rFonts w:hint="eastAsia"/>
          <w:color w:val="auto"/>
          <w:sz w:val="28"/>
          <w:szCs w:val="28"/>
          <w:highlight w:val="none"/>
        </w:rPr>
      </w:pPr>
    </w:p>
    <w:p w14:paraId="6A9AF854">
      <w:pPr>
        <w:pStyle w:val="4"/>
        <w:rPr>
          <w:rFonts w:hint="eastAsia"/>
          <w:color w:val="auto"/>
          <w:sz w:val="28"/>
          <w:szCs w:val="28"/>
          <w:highlight w:val="none"/>
        </w:rPr>
      </w:pPr>
    </w:p>
    <w:p w14:paraId="25C635A4">
      <w:pPr>
        <w:pStyle w:val="4"/>
        <w:rPr>
          <w:rFonts w:hint="eastAsia"/>
          <w:color w:val="auto"/>
          <w:sz w:val="28"/>
          <w:szCs w:val="28"/>
          <w:highlight w:val="none"/>
        </w:rPr>
      </w:pPr>
    </w:p>
    <w:p w14:paraId="3B36EEBB">
      <w:pPr>
        <w:pStyle w:val="4"/>
        <w:rPr>
          <w:rFonts w:hint="eastAsia"/>
          <w:color w:val="auto"/>
          <w:sz w:val="28"/>
          <w:szCs w:val="28"/>
          <w:highlight w:val="none"/>
        </w:rPr>
      </w:pPr>
    </w:p>
    <w:p w14:paraId="559412E5">
      <w:pPr>
        <w:pStyle w:val="4"/>
        <w:spacing w:before="120" w:beforeLines="50"/>
        <w:ind w:firstLine="1630" w:firstLineChars="580"/>
        <w:rPr>
          <w:rFonts w:hint="eastAsia" w:ascii="宋体" w:hAnsi="宋体"/>
          <w:b/>
          <w:color w:val="auto"/>
          <w:sz w:val="28"/>
          <w:szCs w:val="28"/>
          <w:highlight w:val="none"/>
        </w:rPr>
      </w:pPr>
    </w:p>
    <w:p w14:paraId="091CDF80">
      <w:pPr>
        <w:pStyle w:val="4"/>
        <w:spacing w:before="120" w:beforeLines="50"/>
        <w:ind w:firstLine="1630" w:firstLineChars="580"/>
        <w:rPr>
          <w:rFonts w:hint="eastAsia" w:ascii="宋体" w:hAnsi="宋体"/>
          <w:b/>
          <w:color w:val="auto"/>
          <w:sz w:val="28"/>
          <w:szCs w:val="28"/>
          <w:highlight w:val="none"/>
        </w:rPr>
      </w:pPr>
    </w:p>
    <w:p w14:paraId="41AC942C">
      <w:pPr>
        <w:pStyle w:val="4"/>
        <w:spacing w:before="120" w:beforeLines="50" w:after="120" w:afterLines="50"/>
        <w:ind w:firstLine="0"/>
        <w:jc w:val="center"/>
        <w:rPr>
          <w:rFonts w:hint="eastAsia"/>
          <w:b/>
          <w:color w:val="auto"/>
          <w:sz w:val="44"/>
          <w:szCs w:val="44"/>
          <w:highlight w:val="none"/>
        </w:rPr>
      </w:pPr>
    </w:p>
    <w:p w14:paraId="0B2465AA">
      <w:pPr>
        <w:pStyle w:val="4"/>
        <w:spacing w:before="120" w:beforeLines="50" w:after="120" w:afterLines="50"/>
        <w:ind w:firstLine="0"/>
        <w:jc w:val="center"/>
        <w:rPr>
          <w:rFonts w:hint="eastAsia"/>
          <w:b/>
          <w:color w:val="auto"/>
          <w:sz w:val="44"/>
          <w:szCs w:val="44"/>
          <w:highlight w:val="none"/>
        </w:rPr>
      </w:pPr>
    </w:p>
    <w:p w14:paraId="397E0EEB">
      <w:pPr>
        <w:rPr>
          <w:rFonts w:hint="eastAsia" w:ascii="微软雅黑" w:eastAsia="微软雅黑"/>
          <w:color w:val="auto"/>
          <w:sz w:val="44"/>
          <w:szCs w:val="44"/>
          <w:highlight w:val="none"/>
        </w:rPr>
      </w:pPr>
      <w:r>
        <w:rPr>
          <w:rFonts w:hint="eastAsia" w:ascii="微软雅黑" w:eastAsia="微软雅黑"/>
          <w:color w:val="auto"/>
          <w:sz w:val="44"/>
          <w:szCs w:val="44"/>
          <w:highlight w:val="none"/>
        </w:rPr>
        <w:br w:type="page"/>
      </w:r>
    </w:p>
    <w:p w14:paraId="7B1727F7">
      <w:pPr>
        <w:pStyle w:val="4"/>
        <w:spacing w:before="120" w:beforeLines="50" w:after="120" w:afterLines="50"/>
        <w:ind w:firstLine="0"/>
        <w:jc w:val="center"/>
        <w:rPr>
          <w:rFonts w:hint="eastAsia" w:ascii="微软雅黑" w:eastAsia="微软雅黑"/>
          <w:color w:val="auto"/>
          <w:sz w:val="44"/>
          <w:szCs w:val="44"/>
          <w:highlight w:val="none"/>
        </w:rPr>
      </w:pPr>
      <w:r>
        <w:rPr>
          <w:rFonts w:hint="eastAsia" w:ascii="微软雅黑" w:eastAsia="微软雅黑"/>
          <w:color w:val="auto"/>
          <w:sz w:val="44"/>
          <w:szCs w:val="44"/>
          <w:highlight w:val="none"/>
        </w:rPr>
        <w:t>目  录</w:t>
      </w:r>
    </w:p>
    <w:p w14:paraId="20A67F79">
      <w:pPr>
        <w:pStyle w:val="4"/>
        <w:spacing w:before="120" w:beforeLines="50" w:line="360" w:lineRule="auto"/>
        <w:ind w:firstLine="1218" w:firstLineChars="580"/>
        <w:rPr>
          <w:rFonts w:hint="eastAsia"/>
          <w:color w:val="auto"/>
          <w:szCs w:val="21"/>
          <w:highlight w:val="none"/>
        </w:rPr>
      </w:pPr>
      <w:r>
        <w:rPr>
          <w:rFonts w:hint="eastAsia"/>
          <w:color w:val="auto"/>
          <w:szCs w:val="21"/>
          <w:highlight w:val="none"/>
        </w:rPr>
        <w:t>一、投标函 ……………………………………………………………页码</w:t>
      </w:r>
    </w:p>
    <w:p w14:paraId="4DDE0F07">
      <w:pPr>
        <w:pStyle w:val="4"/>
        <w:spacing w:before="120" w:beforeLines="50" w:line="360" w:lineRule="auto"/>
        <w:ind w:firstLine="1218" w:firstLineChars="580"/>
        <w:rPr>
          <w:rFonts w:hint="eastAsia"/>
          <w:color w:val="auto"/>
          <w:szCs w:val="21"/>
          <w:highlight w:val="none"/>
        </w:rPr>
      </w:pPr>
      <w:r>
        <w:rPr>
          <w:rFonts w:hint="eastAsia"/>
          <w:color w:val="auto"/>
          <w:szCs w:val="21"/>
          <w:highlight w:val="none"/>
        </w:rPr>
        <w:t>二、开标一览表 ………………………………………………………页码</w:t>
      </w:r>
    </w:p>
    <w:p w14:paraId="0C644156">
      <w:pPr>
        <w:pStyle w:val="4"/>
        <w:spacing w:before="120" w:beforeLines="50" w:line="360" w:lineRule="auto"/>
        <w:ind w:firstLine="1218" w:firstLineChars="580"/>
        <w:rPr>
          <w:rFonts w:hint="eastAsia"/>
          <w:color w:val="auto"/>
          <w:szCs w:val="21"/>
          <w:highlight w:val="none"/>
        </w:rPr>
      </w:pPr>
      <w:r>
        <w:rPr>
          <w:rFonts w:hint="eastAsia"/>
          <w:color w:val="auto"/>
          <w:szCs w:val="21"/>
          <w:highlight w:val="none"/>
        </w:rPr>
        <w:t>三、</w:t>
      </w:r>
      <w:r>
        <w:rPr>
          <w:rFonts w:hint="eastAsia" w:hAnsi="宋体"/>
          <w:bCs/>
          <w:color w:val="auto"/>
          <w:szCs w:val="21"/>
          <w:highlight w:val="none"/>
        </w:rPr>
        <w:t xml:space="preserve">货物（产品）分项报价表 </w:t>
      </w:r>
      <w:r>
        <w:rPr>
          <w:rFonts w:hint="eastAsia"/>
          <w:color w:val="auto"/>
          <w:szCs w:val="21"/>
          <w:highlight w:val="none"/>
        </w:rPr>
        <w:t>………………………………………页码</w:t>
      </w:r>
    </w:p>
    <w:p w14:paraId="16441064">
      <w:pPr>
        <w:pStyle w:val="4"/>
        <w:spacing w:before="120" w:beforeLines="50" w:line="360" w:lineRule="auto"/>
        <w:ind w:firstLine="1218" w:firstLineChars="580"/>
        <w:rPr>
          <w:rFonts w:hint="eastAsia"/>
          <w:color w:val="auto"/>
          <w:szCs w:val="21"/>
          <w:highlight w:val="none"/>
        </w:rPr>
      </w:pPr>
      <w:r>
        <w:rPr>
          <w:rFonts w:hint="eastAsia"/>
          <w:color w:val="auto"/>
          <w:szCs w:val="21"/>
          <w:highlight w:val="none"/>
        </w:rPr>
        <w:t>四、</w:t>
      </w:r>
      <w:r>
        <w:rPr>
          <w:rFonts w:hint="eastAsia" w:ascii="Times New Roman" w:hAnsi="Times New Roman" w:eastAsia="宋体" w:cs="Times New Roman"/>
          <w:color w:val="auto"/>
          <w:szCs w:val="21"/>
          <w:highlight w:val="none"/>
        </w:rPr>
        <w:t>备</w:t>
      </w:r>
      <w:r>
        <w:rPr>
          <w:rFonts w:hint="eastAsia" w:ascii="Times New Roman" w:hAnsi="Times New Roman" w:eastAsia="宋体" w:cs="Times New Roman"/>
          <w:color w:val="auto"/>
          <w:szCs w:val="21"/>
          <w:highlight w:val="none"/>
          <w:lang w:val="en-US" w:eastAsia="zh-CN"/>
        </w:rPr>
        <w:t>品备</w:t>
      </w:r>
      <w:r>
        <w:rPr>
          <w:rFonts w:hint="eastAsia" w:ascii="Times New Roman" w:hAnsi="Times New Roman" w:eastAsia="宋体" w:cs="Times New Roman"/>
          <w:color w:val="auto"/>
          <w:szCs w:val="21"/>
          <w:highlight w:val="none"/>
        </w:rPr>
        <w:t>件报价</w:t>
      </w:r>
      <w:r>
        <w:rPr>
          <w:rFonts w:hint="eastAsia" w:hAnsi="宋体"/>
          <w:bCs/>
          <w:color w:val="auto"/>
          <w:szCs w:val="21"/>
          <w:highlight w:val="none"/>
        </w:rPr>
        <w:t xml:space="preserve">表 </w:t>
      </w:r>
      <w:r>
        <w:rPr>
          <w:rFonts w:hint="eastAsia"/>
          <w:color w:val="auto"/>
          <w:szCs w:val="21"/>
          <w:highlight w:val="none"/>
        </w:rPr>
        <w:t>…………………………………………………页码</w:t>
      </w:r>
    </w:p>
    <w:p w14:paraId="750FBE06">
      <w:pPr>
        <w:pStyle w:val="4"/>
        <w:spacing w:before="120" w:beforeLines="50" w:line="360" w:lineRule="auto"/>
        <w:ind w:firstLine="1218" w:firstLineChars="580"/>
        <w:rPr>
          <w:rFonts w:hint="eastAsia" w:ascii="Times New Roman" w:hAnsi="Times New Roman" w:eastAsia="宋体" w:cs="Times New Roman"/>
          <w:color w:val="auto"/>
          <w:szCs w:val="21"/>
          <w:highlight w:val="none"/>
        </w:rPr>
      </w:pPr>
      <w:r>
        <w:rPr>
          <w:rFonts w:hint="eastAsia" w:ascii="Times New Roman" w:hAnsi="Times New Roman" w:eastAsia="宋体" w:cs="Times New Roman"/>
          <w:color w:val="auto"/>
          <w:szCs w:val="21"/>
          <w:highlight w:val="none"/>
        </w:rPr>
        <w:t>五、货物说明一览表 …………………………………………………页码</w:t>
      </w:r>
    </w:p>
    <w:p w14:paraId="2671313D">
      <w:pPr>
        <w:pStyle w:val="4"/>
        <w:spacing w:before="120" w:beforeLines="50" w:line="360" w:lineRule="auto"/>
        <w:ind w:firstLine="1218" w:firstLineChars="580"/>
        <w:rPr>
          <w:rFonts w:hint="eastAsia"/>
          <w:color w:val="auto"/>
          <w:szCs w:val="21"/>
          <w:highlight w:val="none"/>
        </w:rPr>
      </w:pPr>
      <w:r>
        <w:rPr>
          <w:rFonts w:hint="eastAsia"/>
          <w:color w:val="auto"/>
          <w:szCs w:val="21"/>
          <w:highlight w:val="none"/>
        </w:rPr>
        <w:t>六、商务偏离表 ………………………………………………………页码</w:t>
      </w:r>
    </w:p>
    <w:p w14:paraId="61D85617">
      <w:pPr>
        <w:pStyle w:val="4"/>
        <w:spacing w:before="120" w:beforeLines="50" w:line="360" w:lineRule="auto"/>
        <w:ind w:firstLine="1218" w:firstLineChars="580"/>
        <w:rPr>
          <w:rFonts w:hint="eastAsia"/>
          <w:color w:val="auto"/>
          <w:szCs w:val="21"/>
          <w:highlight w:val="none"/>
        </w:rPr>
      </w:pPr>
      <w:r>
        <w:rPr>
          <w:rFonts w:hint="eastAsia"/>
          <w:color w:val="auto"/>
          <w:szCs w:val="21"/>
          <w:highlight w:val="none"/>
          <w:lang w:val="en-US" w:eastAsia="zh-CN"/>
        </w:rPr>
        <w:t>七</w:t>
      </w:r>
      <w:r>
        <w:rPr>
          <w:rFonts w:hint="eastAsia"/>
          <w:color w:val="auto"/>
          <w:szCs w:val="21"/>
          <w:highlight w:val="none"/>
          <w:lang w:eastAsia="zh-CN"/>
        </w:rPr>
        <w:t>、</w:t>
      </w:r>
      <w:r>
        <w:rPr>
          <w:rFonts w:hint="eastAsia"/>
          <w:color w:val="auto"/>
          <w:szCs w:val="21"/>
          <w:highlight w:val="none"/>
        </w:rPr>
        <w:t xml:space="preserve">技术文件 </w:t>
      </w:r>
      <w:r>
        <w:rPr>
          <w:rFonts w:hint="eastAsia"/>
          <w:color w:val="auto"/>
          <w:szCs w:val="21"/>
          <w:highlight w:val="none"/>
          <w:lang w:eastAsia="zh-CN"/>
        </w:rPr>
        <w:t>（</w:t>
      </w:r>
      <w:r>
        <w:rPr>
          <w:rFonts w:hint="eastAsia"/>
          <w:color w:val="auto"/>
          <w:szCs w:val="21"/>
          <w:highlight w:val="none"/>
        </w:rPr>
        <w:t>根据本项目评分标准顺序编写</w:t>
      </w:r>
      <w:r>
        <w:rPr>
          <w:rFonts w:hint="eastAsia"/>
          <w:color w:val="auto"/>
          <w:szCs w:val="21"/>
          <w:highlight w:val="none"/>
          <w:lang w:eastAsia="zh-CN"/>
        </w:rPr>
        <w:t>）</w:t>
      </w:r>
      <w:r>
        <w:rPr>
          <w:rFonts w:hint="eastAsia"/>
          <w:color w:val="auto"/>
          <w:szCs w:val="21"/>
          <w:highlight w:val="none"/>
        </w:rPr>
        <w:t>…………………页码</w:t>
      </w:r>
    </w:p>
    <w:p w14:paraId="3B89256F">
      <w:pPr>
        <w:pStyle w:val="4"/>
        <w:spacing w:before="120" w:beforeLines="50" w:line="360" w:lineRule="auto"/>
        <w:ind w:firstLine="1218" w:firstLineChars="580"/>
        <w:rPr>
          <w:rFonts w:hint="eastAsia"/>
          <w:color w:val="auto"/>
          <w:szCs w:val="21"/>
          <w:highlight w:val="none"/>
        </w:rPr>
      </w:pPr>
      <w:r>
        <w:rPr>
          <w:rFonts w:hint="eastAsia"/>
          <w:color w:val="auto"/>
          <w:szCs w:val="21"/>
          <w:highlight w:val="none"/>
          <w:lang w:val="en-US" w:eastAsia="zh-CN"/>
        </w:rPr>
        <w:t>八</w:t>
      </w:r>
      <w:r>
        <w:rPr>
          <w:rFonts w:hint="eastAsia"/>
          <w:color w:val="auto"/>
          <w:szCs w:val="21"/>
          <w:highlight w:val="none"/>
        </w:rPr>
        <w:t>、承诺文件 …………………………………………………………页码</w:t>
      </w:r>
    </w:p>
    <w:p w14:paraId="16053DE0">
      <w:pPr>
        <w:pStyle w:val="4"/>
        <w:spacing w:before="120" w:beforeLines="50" w:line="360" w:lineRule="auto"/>
        <w:ind w:firstLine="1218" w:firstLineChars="580"/>
        <w:rPr>
          <w:rFonts w:hint="eastAsia"/>
          <w:color w:val="auto"/>
          <w:szCs w:val="21"/>
          <w:highlight w:val="none"/>
        </w:rPr>
      </w:pPr>
      <w:r>
        <w:rPr>
          <w:rFonts w:hint="eastAsia"/>
          <w:color w:val="auto"/>
          <w:szCs w:val="21"/>
          <w:highlight w:val="none"/>
          <w:lang w:val="en-US" w:eastAsia="zh-CN"/>
        </w:rPr>
        <w:t>九</w:t>
      </w:r>
      <w:r>
        <w:rPr>
          <w:rFonts w:hint="eastAsia"/>
          <w:color w:val="auto"/>
          <w:szCs w:val="21"/>
          <w:highlight w:val="none"/>
        </w:rPr>
        <w:t>、售后服务文件 ……………………………………………………页码</w:t>
      </w:r>
    </w:p>
    <w:p w14:paraId="5A782E44">
      <w:pPr>
        <w:pStyle w:val="4"/>
        <w:spacing w:before="120" w:beforeLines="50" w:line="360" w:lineRule="auto"/>
        <w:ind w:firstLine="1218" w:firstLineChars="580"/>
        <w:rPr>
          <w:rFonts w:hint="eastAsia"/>
          <w:color w:val="auto"/>
          <w:szCs w:val="21"/>
          <w:highlight w:val="none"/>
        </w:rPr>
      </w:pPr>
      <w:r>
        <w:rPr>
          <w:rFonts w:hint="eastAsia"/>
          <w:color w:val="auto"/>
          <w:szCs w:val="21"/>
          <w:highlight w:val="none"/>
          <w:lang w:val="en-US" w:eastAsia="zh-CN"/>
        </w:rPr>
        <w:t>十</w:t>
      </w:r>
      <w:r>
        <w:rPr>
          <w:rFonts w:hint="eastAsia"/>
          <w:color w:val="auto"/>
          <w:szCs w:val="21"/>
          <w:highlight w:val="none"/>
        </w:rPr>
        <w:t>、其他证明材料 ……………………………………………………页码</w:t>
      </w:r>
    </w:p>
    <w:p w14:paraId="294B81D1">
      <w:pPr>
        <w:pStyle w:val="4"/>
        <w:spacing w:before="120" w:beforeLines="50" w:line="360" w:lineRule="auto"/>
        <w:ind w:firstLine="1218" w:firstLineChars="580"/>
        <w:rPr>
          <w:rFonts w:hint="eastAsia"/>
          <w:color w:val="auto"/>
          <w:szCs w:val="21"/>
          <w:highlight w:val="none"/>
        </w:rPr>
      </w:pPr>
      <w:r>
        <w:rPr>
          <w:rFonts w:hint="eastAsia"/>
          <w:color w:val="auto"/>
          <w:szCs w:val="21"/>
          <w:highlight w:val="none"/>
        </w:rPr>
        <w:t>十</w:t>
      </w:r>
      <w:r>
        <w:rPr>
          <w:rFonts w:hint="eastAsia"/>
          <w:color w:val="auto"/>
          <w:szCs w:val="21"/>
          <w:highlight w:val="none"/>
          <w:lang w:val="en-US" w:eastAsia="zh-CN"/>
        </w:rPr>
        <w:t>一</w:t>
      </w:r>
      <w:r>
        <w:rPr>
          <w:rFonts w:hint="eastAsia"/>
          <w:color w:val="auto"/>
          <w:szCs w:val="21"/>
          <w:highlight w:val="none"/>
        </w:rPr>
        <w:t>、技术规格偏离表 ………………………………………………页码</w:t>
      </w:r>
    </w:p>
    <w:p w14:paraId="7CDF74F5">
      <w:pPr>
        <w:pStyle w:val="4"/>
        <w:spacing w:before="120" w:beforeLines="50" w:line="360" w:lineRule="auto"/>
        <w:ind w:firstLine="1218" w:firstLineChars="580"/>
        <w:rPr>
          <w:rFonts w:hint="eastAsia"/>
          <w:color w:val="auto"/>
          <w:szCs w:val="21"/>
          <w:highlight w:val="none"/>
        </w:rPr>
      </w:pPr>
      <w:r>
        <w:rPr>
          <w:rFonts w:hint="eastAsia"/>
          <w:color w:val="auto"/>
          <w:szCs w:val="21"/>
          <w:highlight w:val="none"/>
        </w:rPr>
        <w:t>十</w:t>
      </w:r>
      <w:r>
        <w:rPr>
          <w:rFonts w:hint="eastAsia"/>
          <w:color w:val="auto"/>
          <w:szCs w:val="21"/>
          <w:highlight w:val="none"/>
          <w:lang w:val="en-US" w:eastAsia="zh-CN"/>
        </w:rPr>
        <w:t>二</w:t>
      </w:r>
      <w:r>
        <w:rPr>
          <w:rFonts w:hint="eastAsia"/>
          <w:color w:val="auto"/>
          <w:szCs w:val="21"/>
          <w:highlight w:val="none"/>
        </w:rPr>
        <w:t>、投标人认为有必要补充说明的事项……………</w:t>
      </w:r>
      <w:bookmarkEnd w:id="223"/>
      <w:r>
        <w:rPr>
          <w:rFonts w:hint="eastAsia"/>
          <w:color w:val="auto"/>
          <w:szCs w:val="21"/>
          <w:highlight w:val="none"/>
        </w:rPr>
        <w:t>………………页码</w:t>
      </w:r>
    </w:p>
    <w:p w14:paraId="580E63B5">
      <w:pPr>
        <w:pStyle w:val="4"/>
        <w:spacing w:before="120" w:beforeLines="50"/>
        <w:ind w:firstLine="1218" w:firstLineChars="580"/>
        <w:rPr>
          <w:rFonts w:hint="eastAsia"/>
          <w:color w:val="auto"/>
          <w:highlight w:val="none"/>
        </w:rPr>
      </w:pPr>
    </w:p>
    <w:p w14:paraId="75D47A3A">
      <w:pPr>
        <w:pStyle w:val="4"/>
        <w:spacing w:before="120" w:beforeLines="50"/>
        <w:ind w:firstLine="1218" w:firstLineChars="580"/>
        <w:rPr>
          <w:rFonts w:hint="eastAsia"/>
          <w:color w:val="auto"/>
          <w:highlight w:val="none"/>
        </w:rPr>
      </w:pPr>
    </w:p>
    <w:p w14:paraId="37B9BA5F">
      <w:pPr>
        <w:pStyle w:val="4"/>
        <w:spacing w:before="120" w:beforeLines="50"/>
        <w:ind w:firstLine="1218" w:firstLineChars="580"/>
        <w:rPr>
          <w:rFonts w:hint="eastAsia"/>
          <w:color w:val="auto"/>
          <w:highlight w:val="none"/>
        </w:rPr>
      </w:pPr>
    </w:p>
    <w:p w14:paraId="15E7BC28">
      <w:pPr>
        <w:pStyle w:val="4"/>
        <w:spacing w:before="120" w:beforeLines="50"/>
        <w:ind w:firstLine="1218" w:firstLineChars="580"/>
        <w:rPr>
          <w:rFonts w:hint="eastAsia"/>
          <w:color w:val="auto"/>
          <w:highlight w:val="none"/>
        </w:rPr>
      </w:pPr>
    </w:p>
    <w:p w14:paraId="56C75202">
      <w:pPr>
        <w:pStyle w:val="4"/>
        <w:spacing w:before="120" w:beforeLines="50"/>
        <w:ind w:firstLine="1218" w:firstLineChars="580"/>
        <w:rPr>
          <w:rFonts w:hint="eastAsia"/>
          <w:color w:val="auto"/>
          <w:highlight w:val="none"/>
        </w:rPr>
      </w:pPr>
    </w:p>
    <w:p w14:paraId="0AF0C146">
      <w:pPr>
        <w:pStyle w:val="4"/>
        <w:spacing w:before="120" w:beforeLines="50"/>
        <w:ind w:firstLine="1218" w:firstLineChars="580"/>
        <w:rPr>
          <w:rFonts w:hint="eastAsia"/>
          <w:color w:val="auto"/>
          <w:highlight w:val="none"/>
        </w:rPr>
      </w:pPr>
    </w:p>
    <w:p w14:paraId="164D9B08">
      <w:pPr>
        <w:pStyle w:val="4"/>
        <w:spacing w:before="120" w:beforeLines="50"/>
        <w:ind w:firstLine="1218" w:firstLineChars="580"/>
        <w:rPr>
          <w:rFonts w:hint="eastAsia"/>
          <w:color w:val="auto"/>
          <w:highlight w:val="none"/>
        </w:rPr>
      </w:pPr>
    </w:p>
    <w:p w14:paraId="4DBADE57">
      <w:pPr>
        <w:pStyle w:val="4"/>
        <w:spacing w:before="120" w:beforeLines="50"/>
        <w:ind w:firstLine="1218" w:firstLineChars="580"/>
        <w:rPr>
          <w:rFonts w:hint="eastAsia"/>
          <w:color w:val="auto"/>
          <w:highlight w:val="none"/>
        </w:rPr>
      </w:pPr>
    </w:p>
    <w:p w14:paraId="56D4DE5F">
      <w:pPr>
        <w:pStyle w:val="4"/>
        <w:spacing w:before="120" w:beforeLines="50"/>
        <w:ind w:firstLine="1218" w:firstLineChars="580"/>
        <w:rPr>
          <w:rFonts w:hint="eastAsia"/>
          <w:color w:val="auto"/>
          <w:highlight w:val="none"/>
        </w:rPr>
      </w:pPr>
    </w:p>
    <w:p w14:paraId="4E989F0C">
      <w:pPr>
        <w:pStyle w:val="4"/>
        <w:spacing w:before="120" w:beforeLines="50"/>
        <w:ind w:firstLine="1218" w:firstLineChars="580"/>
        <w:rPr>
          <w:rFonts w:hint="eastAsia"/>
          <w:color w:val="auto"/>
          <w:highlight w:val="none"/>
        </w:rPr>
      </w:pPr>
    </w:p>
    <w:p w14:paraId="2F9E3C91">
      <w:pPr>
        <w:pStyle w:val="4"/>
        <w:spacing w:before="120" w:beforeLines="50"/>
        <w:ind w:firstLine="1218" w:firstLineChars="580"/>
        <w:rPr>
          <w:rFonts w:hint="eastAsia"/>
          <w:color w:val="auto"/>
          <w:highlight w:val="none"/>
        </w:rPr>
      </w:pPr>
    </w:p>
    <w:p w14:paraId="2FF66DDE">
      <w:pPr>
        <w:pStyle w:val="4"/>
        <w:spacing w:before="120" w:beforeLines="50"/>
        <w:ind w:firstLine="1218" w:firstLineChars="580"/>
        <w:rPr>
          <w:rFonts w:hint="eastAsia"/>
          <w:color w:val="auto"/>
          <w:highlight w:val="none"/>
        </w:rPr>
      </w:pPr>
    </w:p>
    <w:p w14:paraId="1C6B275B">
      <w:pPr>
        <w:pStyle w:val="4"/>
        <w:spacing w:before="120" w:beforeLines="50"/>
        <w:ind w:firstLine="1218" w:firstLineChars="580"/>
        <w:rPr>
          <w:rFonts w:hint="eastAsia"/>
          <w:color w:val="auto"/>
          <w:highlight w:val="none"/>
        </w:rPr>
      </w:pPr>
    </w:p>
    <w:p w14:paraId="79655EB8">
      <w:pPr>
        <w:pStyle w:val="4"/>
        <w:spacing w:before="120" w:beforeLines="50"/>
        <w:ind w:firstLine="1218" w:firstLineChars="580"/>
        <w:rPr>
          <w:rFonts w:hint="eastAsia"/>
          <w:color w:val="auto"/>
          <w:highlight w:val="none"/>
        </w:rPr>
      </w:pPr>
    </w:p>
    <w:p w14:paraId="5A70FA48">
      <w:pPr>
        <w:pStyle w:val="5"/>
        <w:rPr>
          <w:rFonts w:hint="eastAsia"/>
          <w:color w:val="auto"/>
          <w:highlight w:val="none"/>
        </w:rPr>
      </w:pPr>
    </w:p>
    <w:p w14:paraId="44D1B84E">
      <w:pPr>
        <w:rPr>
          <w:rFonts w:hint="eastAsia"/>
          <w:highlight w:val="none"/>
        </w:rPr>
      </w:pPr>
    </w:p>
    <w:p w14:paraId="1484482A">
      <w:pPr>
        <w:pStyle w:val="4"/>
        <w:spacing w:before="120" w:beforeLines="50"/>
        <w:ind w:firstLine="1218" w:firstLineChars="580"/>
        <w:rPr>
          <w:rFonts w:hint="eastAsia"/>
          <w:color w:val="auto"/>
          <w:highlight w:val="none"/>
        </w:rPr>
      </w:pPr>
    </w:p>
    <w:p w14:paraId="3CC9E376">
      <w:pPr>
        <w:pStyle w:val="4"/>
        <w:spacing w:before="120" w:beforeLines="50"/>
        <w:ind w:firstLine="1218" w:firstLineChars="580"/>
        <w:rPr>
          <w:rFonts w:hint="eastAsia"/>
          <w:color w:val="auto"/>
          <w:highlight w:val="none"/>
        </w:rPr>
      </w:pPr>
    </w:p>
    <w:p w14:paraId="77E8B122">
      <w:pPr>
        <w:pStyle w:val="14"/>
        <w:numPr>
          <w:ilvl w:val="0"/>
          <w:numId w:val="1"/>
        </w:numPr>
        <w:spacing w:before="240" w:beforeLines="100" w:after="240" w:afterLines="100" w:line="360" w:lineRule="auto"/>
        <w:ind w:firstLine="0"/>
        <w:jc w:val="center"/>
        <w:rPr>
          <w:rFonts w:hint="eastAsia" w:ascii="宋体" w:hAnsi="宋体"/>
          <w:b/>
          <w:color w:val="auto"/>
          <w:sz w:val="36"/>
          <w:szCs w:val="36"/>
          <w:highlight w:val="none"/>
        </w:rPr>
      </w:pPr>
      <w:r>
        <w:rPr>
          <w:rFonts w:hint="eastAsia" w:ascii="宋体" w:hAnsi="宋体"/>
          <w:b/>
          <w:color w:val="auto"/>
          <w:sz w:val="36"/>
          <w:szCs w:val="36"/>
          <w:highlight w:val="none"/>
        </w:rPr>
        <w:t>投 标 函</w:t>
      </w:r>
    </w:p>
    <w:p w14:paraId="5138071C">
      <w:pPr>
        <w:pStyle w:val="14"/>
        <w:spacing w:before="240" w:beforeLines="100" w:after="240" w:afterLines="100" w:line="300" w:lineRule="atLeast"/>
        <w:ind w:firstLine="0"/>
        <w:rPr>
          <w:rFonts w:hint="eastAsia" w:ascii="宋体" w:hAnsi="宋体"/>
          <w:bCs/>
          <w:color w:val="auto"/>
          <w:sz w:val="21"/>
          <w:szCs w:val="21"/>
          <w:highlight w:val="none"/>
        </w:rPr>
      </w:pPr>
      <w:r>
        <w:rPr>
          <w:rFonts w:hint="eastAsia" w:ascii="宋体" w:hAnsi="宋体"/>
          <w:bCs/>
          <w:color w:val="auto"/>
          <w:sz w:val="21"/>
          <w:szCs w:val="21"/>
          <w:highlight w:val="none"/>
          <w:lang w:eastAsia="zh-CN"/>
        </w:rPr>
        <w:t>伊宁县政府采购中心</w:t>
      </w:r>
      <w:r>
        <w:rPr>
          <w:rFonts w:hint="eastAsia" w:ascii="宋体" w:hAnsi="宋体"/>
          <w:bCs/>
          <w:color w:val="auto"/>
          <w:sz w:val="21"/>
          <w:szCs w:val="21"/>
          <w:highlight w:val="none"/>
        </w:rPr>
        <w:t>：</w:t>
      </w:r>
    </w:p>
    <w:p w14:paraId="735B2756">
      <w:pPr>
        <w:pStyle w:val="14"/>
        <w:spacing w:line="300" w:lineRule="atLeast"/>
        <w:ind w:firstLine="420" w:firstLineChars="200"/>
        <w:rPr>
          <w:rFonts w:hint="eastAsia" w:ascii="宋体" w:hAnsi="宋体"/>
          <w:color w:val="auto"/>
          <w:sz w:val="21"/>
          <w:szCs w:val="21"/>
          <w:highlight w:val="none"/>
        </w:rPr>
      </w:pPr>
      <w:r>
        <w:rPr>
          <w:rFonts w:hint="eastAsia" w:ascii="宋体" w:hAnsi="宋体"/>
          <w:color w:val="auto"/>
          <w:sz w:val="21"/>
          <w:szCs w:val="21"/>
          <w:highlight w:val="none"/>
        </w:rPr>
        <w:t>我方已仔细研究了</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项目名称)的招标文件（</w:t>
      </w:r>
      <w:r>
        <w:rPr>
          <w:rFonts w:hint="eastAsia" w:ascii="宋体" w:hAnsi="宋体"/>
          <w:color w:val="auto"/>
          <w:sz w:val="21"/>
          <w:szCs w:val="21"/>
          <w:highlight w:val="none"/>
          <w:u w:val="single"/>
        </w:rPr>
        <w:t>采购项目编号</w:t>
      </w:r>
      <w:r>
        <w:rPr>
          <w:rFonts w:hint="eastAsia" w:ascii="宋体" w:hAnsi="宋体"/>
          <w:color w:val="auto"/>
          <w:sz w:val="21"/>
          <w:szCs w:val="21"/>
          <w:highlight w:val="none"/>
        </w:rPr>
        <w:t>）的全部内容，知悉参加投标的风险，我方承诺接受招标文件的全部条款且无任何异议，</w:t>
      </w:r>
      <w:r>
        <w:rPr>
          <w:rFonts w:hint="eastAsia" w:ascii="宋体" w:hAnsi="宋体"/>
          <w:bCs/>
          <w:color w:val="auto"/>
          <w:sz w:val="21"/>
          <w:szCs w:val="21"/>
          <w:highlight w:val="none"/>
        </w:rPr>
        <w:t>决定参加贵单位组织的本项目招标。</w:t>
      </w:r>
    </w:p>
    <w:p w14:paraId="5D8FAB44">
      <w:pPr>
        <w:pStyle w:val="12"/>
        <w:adjustRightInd w:val="0"/>
        <w:snapToGrid w:val="0"/>
        <w:spacing w:line="300" w:lineRule="atLeast"/>
        <w:ind w:firstLine="420" w:firstLineChars="200"/>
        <w:rPr>
          <w:rFonts w:hint="eastAsia" w:hAnsi="宋体"/>
          <w:color w:val="auto"/>
          <w:highlight w:val="none"/>
        </w:rPr>
      </w:pPr>
      <w:r>
        <w:rPr>
          <w:rFonts w:hint="eastAsia" w:hAnsi="宋体"/>
          <w:color w:val="auto"/>
          <w:highlight w:val="none"/>
          <w:lang w:eastAsia="zh-CN"/>
        </w:rPr>
        <w:t>一</w:t>
      </w:r>
      <w:r>
        <w:rPr>
          <w:rFonts w:hint="eastAsia" w:hAnsi="宋体"/>
          <w:color w:val="auto"/>
          <w:highlight w:val="none"/>
        </w:rPr>
        <w:t>、我方的投标总报价为人民币（大写）</w:t>
      </w:r>
      <w:r>
        <w:rPr>
          <w:rFonts w:hint="eastAsia" w:hAnsi="宋体"/>
          <w:color w:val="auto"/>
          <w:highlight w:val="none"/>
          <w:u w:val="single"/>
        </w:rPr>
        <w:t xml:space="preserve">              </w:t>
      </w:r>
      <w:r>
        <w:rPr>
          <w:rFonts w:hint="eastAsia" w:hAnsi="宋体"/>
          <w:color w:val="auto"/>
          <w:highlight w:val="none"/>
        </w:rPr>
        <w:t xml:space="preserve"> 元 （￥</w:t>
      </w:r>
      <w:r>
        <w:rPr>
          <w:rFonts w:hint="eastAsia" w:hAnsi="宋体"/>
          <w:color w:val="auto"/>
          <w:highlight w:val="none"/>
          <w:u w:val="single"/>
        </w:rPr>
        <w:t xml:space="preserve">       </w:t>
      </w:r>
      <w:r>
        <w:rPr>
          <w:rFonts w:hint="eastAsia" w:hAnsi="宋体"/>
          <w:color w:val="auto"/>
          <w:highlight w:val="none"/>
        </w:rPr>
        <w:t>）；</w:t>
      </w:r>
      <w:r>
        <w:rPr>
          <w:rFonts w:hint="eastAsia" w:asciiTheme="minorEastAsia" w:hAnsiTheme="minorEastAsia" w:eastAsiaTheme="minorEastAsia" w:cstheme="minorEastAsia"/>
          <w:b w:val="0"/>
          <w:bCs/>
          <w:color w:val="auto"/>
          <w:kern w:val="2"/>
          <w:sz w:val="21"/>
          <w:szCs w:val="21"/>
          <w:highlight w:val="none"/>
          <w:lang w:val="en-US" w:eastAsia="zh-CN" w:bidi="ar-SA"/>
        </w:rPr>
        <w:t>合同履行期限</w:t>
      </w:r>
      <w:r>
        <w:rPr>
          <w:rFonts w:hint="eastAsia" w:hAnsi="宋体"/>
          <w:color w:val="auto"/>
          <w:highlight w:val="none"/>
        </w:rPr>
        <w:t>为</w:t>
      </w:r>
      <w:r>
        <w:rPr>
          <w:rFonts w:hint="eastAsia" w:hAnsi="宋体"/>
          <w:bCs/>
          <w:color w:val="auto"/>
          <w:highlight w:val="none"/>
          <w:u w:val="single"/>
        </w:rPr>
        <w:t xml:space="preserve">         </w:t>
      </w:r>
      <w:r>
        <w:rPr>
          <w:rFonts w:hint="eastAsia" w:hAnsi="宋体"/>
          <w:bCs/>
          <w:color w:val="auto"/>
          <w:highlight w:val="none"/>
          <w:u w:val="none"/>
          <w:lang w:val="en-US" w:eastAsia="zh-CN"/>
        </w:rPr>
        <w:t>日历</w:t>
      </w:r>
      <w:r>
        <w:rPr>
          <w:rFonts w:hint="eastAsia" w:hAnsi="宋体"/>
          <w:bCs/>
          <w:color w:val="auto"/>
          <w:highlight w:val="none"/>
          <w:u w:val="none"/>
        </w:rPr>
        <w:t>日</w:t>
      </w:r>
      <w:r>
        <w:rPr>
          <w:rFonts w:hint="eastAsia" w:hAnsi="宋体"/>
          <w:bCs/>
          <w:color w:val="auto"/>
          <w:highlight w:val="none"/>
        </w:rPr>
        <w:t>,</w:t>
      </w:r>
      <w:r>
        <w:rPr>
          <w:rFonts w:hint="eastAsia"/>
          <w:color w:val="auto"/>
          <w:highlight w:val="none"/>
        </w:rPr>
        <w:t xml:space="preserve"> </w:t>
      </w:r>
      <w:r>
        <w:rPr>
          <w:rFonts w:hint="eastAsia" w:hAnsi="宋体"/>
          <w:color w:val="auto"/>
          <w:highlight w:val="none"/>
        </w:rPr>
        <w:t>投标有效期为</w:t>
      </w:r>
      <w:r>
        <w:rPr>
          <w:rFonts w:hint="eastAsia"/>
          <w:color w:val="auto"/>
          <w:highlight w:val="none"/>
          <w:lang w:val="zh-CN"/>
        </w:rPr>
        <w:t>投标截止日起90日历</w:t>
      </w:r>
      <w:r>
        <w:rPr>
          <w:rFonts w:hint="eastAsia"/>
          <w:color w:val="auto"/>
          <w:highlight w:val="none"/>
        </w:rPr>
        <w:t>日。</w:t>
      </w:r>
    </w:p>
    <w:p w14:paraId="7D123DFB">
      <w:pPr>
        <w:pStyle w:val="14"/>
        <w:spacing w:line="300" w:lineRule="atLeast"/>
        <w:ind w:firstLine="420" w:firstLineChars="200"/>
        <w:rPr>
          <w:rFonts w:hint="eastAsia" w:ascii="宋体" w:hAnsi="宋体"/>
          <w:bCs/>
          <w:color w:val="auto"/>
          <w:sz w:val="21"/>
          <w:szCs w:val="21"/>
          <w:highlight w:val="none"/>
        </w:rPr>
      </w:pPr>
      <w:r>
        <w:rPr>
          <w:rFonts w:hint="eastAsia" w:ascii="宋体" w:hAnsi="宋体"/>
          <w:bCs/>
          <w:color w:val="auto"/>
          <w:sz w:val="21"/>
          <w:szCs w:val="21"/>
          <w:highlight w:val="none"/>
          <w:lang w:eastAsia="zh-CN"/>
        </w:rPr>
        <w:t>二</w:t>
      </w:r>
      <w:r>
        <w:rPr>
          <w:rFonts w:hint="eastAsia" w:ascii="宋体" w:hAnsi="宋体"/>
          <w:bCs/>
          <w:color w:val="auto"/>
          <w:sz w:val="21"/>
          <w:szCs w:val="21"/>
          <w:highlight w:val="none"/>
        </w:rPr>
        <w:t>、我方承诺承诺除商务和技术偏差表列出的偏差外，我方响应招标文件的全部要求。</w:t>
      </w:r>
    </w:p>
    <w:p w14:paraId="28E104E3">
      <w:pPr>
        <w:pStyle w:val="12"/>
        <w:adjustRightInd w:val="0"/>
        <w:snapToGrid w:val="0"/>
        <w:spacing w:line="300" w:lineRule="atLeast"/>
        <w:ind w:firstLine="420" w:firstLineChars="200"/>
        <w:rPr>
          <w:rFonts w:hint="eastAsia" w:hAnsi="宋体"/>
          <w:color w:val="auto"/>
          <w:highlight w:val="none"/>
        </w:rPr>
      </w:pPr>
      <w:r>
        <w:rPr>
          <w:rFonts w:hint="eastAsia" w:hAnsi="宋体"/>
          <w:color w:val="auto"/>
          <w:highlight w:val="none"/>
          <w:lang w:eastAsia="zh-CN"/>
        </w:rPr>
        <w:t>三</w:t>
      </w:r>
      <w:r>
        <w:rPr>
          <w:rFonts w:hint="eastAsia" w:hAnsi="宋体"/>
          <w:color w:val="auto"/>
          <w:highlight w:val="none"/>
        </w:rPr>
        <w:t>、我方愿意向贵方提供任何与本项采购有关的样品、数据、情况和技术资料。若贵方需要，我方愿意提供我方作出的一切承诺的证明材料。</w:t>
      </w:r>
    </w:p>
    <w:p w14:paraId="144C3588">
      <w:pPr>
        <w:pStyle w:val="14"/>
        <w:spacing w:line="300" w:lineRule="atLeast"/>
        <w:ind w:firstLine="420" w:firstLineChars="200"/>
        <w:rPr>
          <w:rFonts w:hint="eastAsia" w:ascii="宋体" w:hAnsi="宋体"/>
          <w:bCs/>
          <w:color w:val="auto"/>
          <w:sz w:val="21"/>
          <w:szCs w:val="21"/>
          <w:highlight w:val="none"/>
        </w:rPr>
      </w:pPr>
      <w:r>
        <w:rPr>
          <w:rFonts w:hint="eastAsia" w:ascii="宋体" w:hAnsi="宋体"/>
          <w:color w:val="auto"/>
          <w:sz w:val="21"/>
          <w:szCs w:val="21"/>
          <w:highlight w:val="none"/>
          <w:lang w:eastAsia="zh-CN"/>
        </w:rPr>
        <w:t>四</w:t>
      </w:r>
      <w:r>
        <w:rPr>
          <w:rFonts w:hint="eastAsia" w:ascii="宋体" w:hAnsi="宋体"/>
          <w:color w:val="auto"/>
          <w:sz w:val="21"/>
          <w:szCs w:val="21"/>
          <w:highlight w:val="none"/>
        </w:rPr>
        <w:t>、</w:t>
      </w:r>
      <w:r>
        <w:rPr>
          <w:rFonts w:hint="eastAsia" w:ascii="宋体" w:hAnsi="宋体"/>
          <w:bCs/>
          <w:color w:val="auto"/>
          <w:sz w:val="21"/>
          <w:szCs w:val="21"/>
          <w:highlight w:val="none"/>
        </w:rPr>
        <w:t>我方承诺在招标文件规定的投标有效期内不撤销投标文件。</w:t>
      </w:r>
    </w:p>
    <w:p w14:paraId="6D903B8C">
      <w:pPr>
        <w:pStyle w:val="12"/>
        <w:adjustRightInd w:val="0"/>
        <w:snapToGrid w:val="0"/>
        <w:spacing w:line="300" w:lineRule="atLeast"/>
        <w:ind w:firstLine="420" w:firstLineChars="200"/>
        <w:rPr>
          <w:rFonts w:hint="eastAsia" w:hAnsi="宋体"/>
          <w:color w:val="auto"/>
          <w:highlight w:val="none"/>
        </w:rPr>
      </w:pPr>
      <w:r>
        <w:rPr>
          <w:rFonts w:hint="eastAsia" w:hAnsi="宋体"/>
          <w:color w:val="auto"/>
          <w:highlight w:val="none"/>
          <w:lang w:eastAsia="zh-CN"/>
        </w:rPr>
        <w:t>五</w:t>
      </w:r>
      <w:r>
        <w:rPr>
          <w:rFonts w:hint="eastAsia" w:hAnsi="宋体"/>
          <w:color w:val="auto"/>
          <w:highlight w:val="none"/>
        </w:rPr>
        <w:t>、我方承诺遵守《中华人民共和国政府采购法》及其实施条例的有关规定，保证在获得中标资格后：</w:t>
      </w:r>
    </w:p>
    <w:p w14:paraId="0A6E9884">
      <w:pPr>
        <w:pStyle w:val="14"/>
        <w:spacing w:line="300" w:lineRule="atLeast"/>
        <w:ind w:firstLine="420" w:firstLineChars="200"/>
        <w:rPr>
          <w:rFonts w:hint="eastAsia" w:ascii="宋体" w:hAnsi="宋体"/>
          <w:color w:val="auto"/>
          <w:sz w:val="21"/>
          <w:szCs w:val="21"/>
          <w:highlight w:val="none"/>
        </w:rPr>
      </w:pPr>
      <w:r>
        <w:rPr>
          <w:rFonts w:hint="eastAsia" w:ascii="宋体" w:hAnsi="宋体"/>
          <w:color w:val="auto"/>
          <w:sz w:val="21"/>
          <w:szCs w:val="21"/>
          <w:highlight w:val="none"/>
        </w:rPr>
        <w:t>1.在收到中标通知书后，在中标通知书规定的期限内与采购人签订合同；</w:t>
      </w:r>
    </w:p>
    <w:p w14:paraId="05EF0D16">
      <w:pPr>
        <w:pStyle w:val="14"/>
        <w:spacing w:line="300" w:lineRule="atLeast"/>
        <w:ind w:firstLine="420" w:firstLineChars="200"/>
        <w:rPr>
          <w:rFonts w:hint="eastAsia" w:ascii="宋体" w:hAnsi="宋体"/>
          <w:color w:val="auto"/>
          <w:sz w:val="21"/>
          <w:szCs w:val="21"/>
          <w:highlight w:val="none"/>
        </w:rPr>
      </w:pPr>
      <w:r>
        <w:rPr>
          <w:rFonts w:hint="eastAsia" w:ascii="宋体" w:hAnsi="宋体"/>
          <w:color w:val="auto"/>
          <w:sz w:val="21"/>
          <w:szCs w:val="21"/>
          <w:highlight w:val="none"/>
        </w:rPr>
        <w:t>2.在签订合同时不向采购人提出附加条件；</w:t>
      </w:r>
    </w:p>
    <w:p w14:paraId="3227C157">
      <w:pPr>
        <w:pStyle w:val="14"/>
        <w:spacing w:line="300" w:lineRule="atLeast"/>
        <w:ind w:firstLine="420" w:firstLineChars="200"/>
        <w:rPr>
          <w:rFonts w:hint="eastAsia" w:ascii="宋体" w:hAnsi="宋体"/>
          <w:bCs/>
          <w:color w:val="auto"/>
          <w:sz w:val="21"/>
          <w:szCs w:val="21"/>
          <w:highlight w:val="none"/>
        </w:rPr>
      </w:pPr>
      <w:r>
        <w:rPr>
          <w:rFonts w:hint="eastAsia" w:ascii="宋体" w:hAnsi="宋体"/>
          <w:color w:val="auto"/>
          <w:sz w:val="21"/>
          <w:szCs w:val="21"/>
          <w:highlight w:val="none"/>
        </w:rPr>
        <w:t>3.在合同规定期限内完成合同规定的全部义务；</w:t>
      </w:r>
      <w:r>
        <w:rPr>
          <w:rFonts w:hint="eastAsia" w:ascii="宋体" w:hAnsi="宋体"/>
          <w:bCs/>
          <w:color w:val="auto"/>
          <w:sz w:val="21"/>
          <w:szCs w:val="21"/>
          <w:highlight w:val="none"/>
        </w:rPr>
        <w:t xml:space="preserve"> </w:t>
      </w:r>
    </w:p>
    <w:p w14:paraId="2B189B5D">
      <w:pPr>
        <w:pStyle w:val="12"/>
        <w:adjustRightInd w:val="0"/>
        <w:snapToGrid w:val="0"/>
        <w:spacing w:line="300" w:lineRule="atLeast"/>
        <w:ind w:firstLine="420" w:firstLineChars="200"/>
        <w:rPr>
          <w:rFonts w:hint="eastAsia" w:hAnsi="宋体"/>
          <w:color w:val="auto"/>
          <w:highlight w:val="none"/>
        </w:rPr>
      </w:pPr>
      <w:r>
        <w:rPr>
          <w:rFonts w:hint="eastAsia" w:hAnsi="宋体"/>
          <w:color w:val="auto"/>
          <w:highlight w:val="none"/>
          <w:lang w:val="en-US" w:eastAsia="zh-CN"/>
        </w:rPr>
        <w:t>4</w:t>
      </w:r>
      <w:r>
        <w:rPr>
          <w:rFonts w:hint="eastAsia" w:hAnsi="宋体"/>
          <w:color w:val="auto"/>
          <w:highlight w:val="none"/>
        </w:rPr>
        <w:t>.按照招标文件规定提交履约保证金。</w:t>
      </w:r>
    </w:p>
    <w:p w14:paraId="302E5F62">
      <w:pPr>
        <w:pStyle w:val="12"/>
        <w:adjustRightInd w:val="0"/>
        <w:snapToGrid w:val="0"/>
        <w:spacing w:line="300" w:lineRule="atLeast"/>
        <w:ind w:firstLine="420" w:firstLineChars="200"/>
        <w:rPr>
          <w:rFonts w:hint="eastAsia" w:hAnsi="宋体"/>
          <w:color w:val="auto"/>
          <w:highlight w:val="none"/>
        </w:rPr>
      </w:pPr>
      <w:r>
        <w:rPr>
          <w:rFonts w:hint="eastAsia" w:hAnsi="宋体"/>
          <w:color w:val="auto"/>
          <w:highlight w:val="none"/>
          <w:lang w:eastAsia="zh-CN"/>
        </w:rPr>
        <w:t>六</w:t>
      </w:r>
      <w:r>
        <w:rPr>
          <w:rFonts w:hint="eastAsia" w:hAnsi="宋体"/>
          <w:color w:val="auto"/>
          <w:highlight w:val="none"/>
        </w:rPr>
        <w:t>、我方完全理解并同意招标文件中有关不退还投标保证金条款所规定的情形。</w:t>
      </w:r>
    </w:p>
    <w:p w14:paraId="61C8A814">
      <w:pPr>
        <w:pStyle w:val="14"/>
        <w:spacing w:line="300" w:lineRule="atLeast"/>
        <w:ind w:firstLine="420" w:firstLineChars="200"/>
        <w:rPr>
          <w:rFonts w:hint="eastAsia" w:ascii="宋体" w:hAnsi="宋体"/>
          <w:bCs/>
          <w:color w:val="auto"/>
          <w:sz w:val="21"/>
          <w:szCs w:val="21"/>
          <w:highlight w:val="none"/>
        </w:rPr>
      </w:pPr>
      <w:r>
        <w:rPr>
          <w:rFonts w:hint="eastAsia" w:ascii="宋体" w:hAnsi="宋体"/>
          <w:color w:val="auto"/>
          <w:sz w:val="21"/>
          <w:szCs w:val="21"/>
          <w:highlight w:val="none"/>
          <w:lang w:eastAsia="zh-CN"/>
        </w:rPr>
        <w:t>七</w:t>
      </w:r>
      <w:r>
        <w:rPr>
          <w:rFonts w:hint="eastAsia" w:ascii="宋体" w:hAnsi="宋体"/>
          <w:color w:val="auto"/>
          <w:sz w:val="21"/>
          <w:szCs w:val="21"/>
          <w:highlight w:val="none"/>
        </w:rPr>
        <w:t>、</w:t>
      </w:r>
      <w:r>
        <w:rPr>
          <w:rFonts w:hint="eastAsia" w:ascii="宋体" w:hAnsi="宋体"/>
          <w:bCs/>
          <w:color w:val="auto"/>
          <w:sz w:val="21"/>
          <w:szCs w:val="21"/>
          <w:highlight w:val="none"/>
        </w:rPr>
        <w:t>我方完全理解最低报价不是中标的唯一条件，并尊重评标委员会的评审结论和中标结果。</w:t>
      </w:r>
    </w:p>
    <w:p w14:paraId="12A751A4">
      <w:pPr>
        <w:pStyle w:val="14"/>
        <w:spacing w:line="300" w:lineRule="atLeast"/>
        <w:ind w:firstLine="420" w:firstLineChars="200"/>
        <w:rPr>
          <w:rFonts w:hint="eastAsia" w:ascii="宋体" w:hAnsi="宋体"/>
          <w:bCs/>
          <w:color w:val="auto"/>
          <w:sz w:val="21"/>
          <w:szCs w:val="21"/>
          <w:highlight w:val="none"/>
        </w:rPr>
      </w:pPr>
      <w:r>
        <w:rPr>
          <w:rFonts w:hint="eastAsia" w:ascii="宋体" w:hAnsi="宋体"/>
          <w:bCs/>
          <w:color w:val="auto"/>
          <w:sz w:val="21"/>
          <w:szCs w:val="21"/>
          <w:highlight w:val="none"/>
          <w:lang w:eastAsia="zh-CN"/>
        </w:rPr>
        <w:t>八</w:t>
      </w:r>
      <w:r>
        <w:rPr>
          <w:rFonts w:hint="eastAsia" w:ascii="宋体" w:hAnsi="宋体"/>
          <w:bCs/>
          <w:color w:val="auto"/>
          <w:sz w:val="21"/>
          <w:szCs w:val="21"/>
          <w:highlight w:val="none"/>
        </w:rPr>
        <w:t>、</w:t>
      </w:r>
      <w:r>
        <w:rPr>
          <w:rFonts w:hint="eastAsia" w:hAnsi="宋体"/>
          <w:color w:val="auto"/>
          <w:sz w:val="21"/>
          <w:szCs w:val="21"/>
          <w:highlight w:val="none"/>
        </w:rPr>
        <w:t>我方在此声明，所递交的投标文件及有关资料内容完整、真实和准确，且不存在第二章“投标人须知”第</w:t>
      </w:r>
      <w:r>
        <w:rPr>
          <w:rFonts w:hint="eastAsia" w:ascii="宋体" w:hAnsi="宋体"/>
          <w:color w:val="auto"/>
          <w:sz w:val="21"/>
          <w:szCs w:val="21"/>
          <w:highlight w:val="none"/>
        </w:rPr>
        <w:t>1.3.2</w:t>
      </w:r>
      <w:r>
        <w:rPr>
          <w:rFonts w:hint="eastAsia" w:hAnsi="宋体"/>
          <w:color w:val="auto"/>
          <w:sz w:val="21"/>
          <w:szCs w:val="21"/>
          <w:highlight w:val="none"/>
        </w:rPr>
        <w:t>条款规定的任何一种情形。否则，愿承担《中华人民共和国政府采购法》</w:t>
      </w:r>
      <w:r>
        <w:rPr>
          <w:rFonts w:hint="eastAsia" w:hAnsi="宋体"/>
          <w:bCs/>
          <w:color w:val="auto"/>
          <w:sz w:val="21"/>
          <w:szCs w:val="21"/>
          <w:highlight w:val="none"/>
        </w:rPr>
        <w:t>第七十七条规定的法律责任。</w:t>
      </w:r>
    </w:p>
    <w:p w14:paraId="2939EAAF">
      <w:pPr>
        <w:pStyle w:val="14"/>
        <w:spacing w:line="300" w:lineRule="atLeast"/>
        <w:ind w:firstLine="420" w:firstLineChars="200"/>
        <w:rPr>
          <w:rFonts w:hint="eastAsia" w:ascii="宋体" w:hAnsi="宋体"/>
          <w:bCs/>
          <w:color w:val="auto"/>
          <w:sz w:val="21"/>
          <w:szCs w:val="21"/>
          <w:highlight w:val="none"/>
        </w:rPr>
      </w:pPr>
      <w:r>
        <w:rPr>
          <w:rFonts w:hint="eastAsia" w:ascii="宋体" w:hAnsi="宋体"/>
          <w:bCs/>
          <w:color w:val="auto"/>
          <w:sz w:val="21"/>
          <w:szCs w:val="21"/>
          <w:highlight w:val="none"/>
          <w:lang w:eastAsia="zh-CN"/>
        </w:rPr>
        <w:t>九</w:t>
      </w:r>
      <w:r>
        <w:rPr>
          <w:rFonts w:hint="eastAsia" w:ascii="宋体" w:hAnsi="宋体"/>
          <w:bCs/>
          <w:color w:val="auto"/>
          <w:sz w:val="21"/>
          <w:szCs w:val="21"/>
          <w:highlight w:val="none"/>
        </w:rPr>
        <w:t>、</w:t>
      </w:r>
      <w:r>
        <w:rPr>
          <w:rFonts w:hint="eastAsia" w:ascii="宋体" w:hAnsi="宋体"/>
          <w:bCs/>
          <w:color w:val="auto"/>
          <w:sz w:val="21"/>
          <w:szCs w:val="21"/>
          <w:highlight w:val="none"/>
          <w:u w:val="single"/>
        </w:rPr>
        <w:t xml:space="preserve">                                      </w:t>
      </w:r>
      <w:r>
        <w:rPr>
          <w:rFonts w:hint="eastAsia" w:ascii="宋体" w:hAnsi="宋体"/>
          <w:bCs/>
          <w:color w:val="auto"/>
          <w:sz w:val="21"/>
          <w:szCs w:val="21"/>
          <w:highlight w:val="none"/>
        </w:rPr>
        <w:t>（其他补充说明）。</w:t>
      </w:r>
    </w:p>
    <w:p w14:paraId="3AEC3C1F">
      <w:pPr>
        <w:pStyle w:val="14"/>
        <w:spacing w:line="300" w:lineRule="atLeast"/>
        <w:ind w:firstLine="420" w:firstLineChars="200"/>
        <w:rPr>
          <w:rFonts w:hint="eastAsia" w:ascii="宋体" w:hAnsi="宋体"/>
          <w:bCs/>
          <w:color w:val="auto"/>
          <w:sz w:val="21"/>
          <w:szCs w:val="21"/>
          <w:highlight w:val="none"/>
        </w:rPr>
      </w:pPr>
      <w:r>
        <w:rPr>
          <w:rFonts w:hint="eastAsia" w:ascii="宋体" w:hAnsi="宋体"/>
          <w:bCs/>
          <w:color w:val="auto"/>
          <w:sz w:val="21"/>
          <w:szCs w:val="21"/>
          <w:highlight w:val="none"/>
        </w:rPr>
        <w:t>十、有关本项目的所有函电，请按下列地址联系：</w:t>
      </w:r>
    </w:p>
    <w:p w14:paraId="38668031">
      <w:pPr>
        <w:pStyle w:val="14"/>
        <w:spacing w:line="300" w:lineRule="atLeast"/>
        <w:ind w:firstLine="420" w:firstLineChars="200"/>
        <w:rPr>
          <w:rFonts w:hint="eastAsia" w:ascii="宋体" w:hAnsi="宋体"/>
          <w:bCs/>
          <w:color w:val="auto"/>
          <w:sz w:val="21"/>
          <w:szCs w:val="21"/>
          <w:highlight w:val="none"/>
        </w:rPr>
      </w:pPr>
      <w:r>
        <w:rPr>
          <w:rFonts w:hint="eastAsia" w:ascii="宋体" w:hAnsi="宋体"/>
          <w:bCs/>
          <w:color w:val="auto"/>
          <w:sz w:val="21"/>
          <w:szCs w:val="21"/>
          <w:highlight w:val="none"/>
        </w:rPr>
        <w:t>投 标 人：</w:t>
      </w:r>
      <w:r>
        <w:rPr>
          <w:rFonts w:hint="eastAsia" w:ascii="宋体" w:hAnsi="宋体"/>
          <w:bCs/>
          <w:color w:val="auto"/>
          <w:sz w:val="21"/>
          <w:szCs w:val="21"/>
          <w:highlight w:val="none"/>
          <w:u w:val="single"/>
        </w:rPr>
        <w:t xml:space="preserve">                                 </w:t>
      </w:r>
      <w:r>
        <w:rPr>
          <w:rFonts w:hint="eastAsia" w:ascii="宋体" w:hAnsi="宋体"/>
          <w:bCs/>
          <w:color w:val="auto"/>
          <w:sz w:val="21"/>
          <w:szCs w:val="21"/>
          <w:highlight w:val="none"/>
        </w:rPr>
        <w:t>（盖单位章）</w:t>
      </w:r>
    </w:p>
    <w:p w14:paraId="2CF24DB1">
      <w:pPr>
        <w:pStyle w:val="14"/>
        <w:spacing w:line="300" w:lineRule="atLeast"/>
        <w:ind w:firstLine="420" w:firstLineChars="200"/>
        <w:rPr>
          <w:rFonts w:hint="eastAsia" w:ascii="宋体" w:hAnsi="宋体"/>
          <w:bCs/>
          <w:color w:val="auto"/>
          <w:sz w:val="21"/>
          <w:szCs w:val="21"/>
          <w:highlight w:val="none"/>
        </w:rPr>
      </w:pPr>
      <w:r>
        <w:rPr>
          <w:rFonts w:hint="eastAsia" w:ascii="宋体" w:hAnsi="宋体"/>
          <w:bCs/>
          <w:color w:val="auto"/>
          <w:sz w:val="21"/>
          <w:szCs w:val="21"/>
          <w:highlight w:val="none"/>
        </w:rPr>
        <w:t>法定代表人或委托代理人：</w:t>
      </w:r>
      <w:r>
        <w:rPr>
          <w:rFonts w:hint="eastAsia" w:ascii="宋体" w:hAnsi="宋体"/>
          <w:bCs/>
          <w:color w:val="auto"/>
          <w:sz w:val="21"/>
          <w:szCs w:val="21"/>
          <w:highlight w:val="none"/>
          <w:u w:val="single"/>
        </w:rPr>
        <w:t xml:space="preserve">                   </w:t>
      </w:r>
      <w:r>
        <w:rPr>
          <w:rFonts w:hint="eastAsia" w:ascii="宋体" w:hAnsi="宋体"/>
          <w:bCs/>
          <w:color w:val="auto"/>
          <w:sz w:val="21"/>
          <w:szCs w:val="21"/>
          <w:highlight w:val="none"/>
        </w:rPr>
        <w:t>（签字）</w:t>
      </w:r>
    </w:p>
    <w:p w14:paraId="5090A9D3">
      <w:pPr>
        <w:pStyle w:val="14"/>
        <w:spacing w:line="300" w:lineRule="atLeast"/>
        <w:ind w:firstLine="420" w:firstLineChars="200"/>
        <w:rPr>
          <w:rFonts w:hint="eastAsia" w:ascii="宋体" w:hAnsi="宋体"/>
          <w:bCs/>
          <w:color w:val="auto"/>
          <w:sz w:val="21"/>
          <w:szCs w:val="21"/>
          <w:highlight w:val="none"/>
        </w:rPr>
      </w:pPr>
      <w:r>
        <w:rPr>
          <w:rFonts w:hint="eastAsia" w:ascii="宋体" w:hAnsi="宋体"/>
          <w:bCs/>
          <w:color w:val="auto"/>
          <w:sz w:val="21"/>
          <w:szCs w:val="21"/>
          <w:highlight w:val="none"/>
        </w:rPr>
        <w:t>通讯地址：</w:t>
      </w:r>
    </w:p>
    <w:p w14:paraId="2F8EE093">
      <w:pPr>
        <w:pStyle w:val="14"/>
        <w:spacing w:line="300" w:lineRule="atLeast"/>
        <w:ind w:firstLine="420" w:firstLineChars="200"/>
        <w:rPr>
          <w:rFonts w:hint="eastAsia" w:ascii="宋体" w:hAnsi="宋体"/>
          <w:bCs/>
          <w:color w:val="auto"/>
          <w:sz w:val="21"/>
          <w:szCs w:val="21"/>
          <w:highlight w:val="none"/>
        </w:rPr>
      </w:pPr>
      <w:r>
        <w:rPr>
          <w:rFonts w:hint="eastAsia" w:ascii="宋体" w:hAnsi="宋体"/>
          <w:bCs/>
          <w:color w:val="auto"/>
          <w:sz w:val="21"/>
          <w:szCs w:val="21"/>
          <w:highlight w:val="none"/>
        </w:rPr>
        <w:t>邮政编码：</w:t>
      </w:r>
    </w:p>
    <w:p w14:paraId="6E869724">
      <w:pPr>
        <w:pStyle w:val="14"/>
        <w:spacing w:line="300" w:lineRule="atLeast"/>
        <w:ind w:firstLine="420" w:firstLineChars="200"/>
        <w:rPr>
          <w:rFonts w:hint="eastAsia" w:ascii="宋体" w:hAnsi="宋体"/>
          <w:bCs/>
          <w:color w:val="auto"/>
          <w:sz w:val="21"/>
          <w:szCs w:val="21"/>
          <w:highlight w:val="none"/>
        </w:rPr>
      </w:pPr>
      <w:r>
        <w:rPr>
          <w:rFonts w:hint="eastAsia" w:ascii="宋体" w:hAnsi="宋体"/>
          <w:bCs/>
          <w:color w:val="auto"/>
          <w:sz w:val="21"/>
          <w:szCs w:val="21"/>
          <w:highlight w:val="none"/>
        </w:rPr>
        <w:t>联系电话：</w:t>
      </w:r>
    </w:p>
    <w:p w14:paraId="1B111E8B">
      <w:pPr>
        <w:pStyle w:val="14"/>
        <w:spacing w:line="300" w:lineRule="atLeast"/>
        <w:ind w:firstLine="420" w:firstLineChars="200"/>
        <w:rPr>
          <w:rFonts w:hint="eastAsia" w:ascii="宋体" w:hAnsi="宋体"/>
          <w:bCs/>
          <w:color w:val="auto"/>
          <w:sz w:val="21"/>
          <w:szCs w:val="21"/>
          <w:highlight w:val="none"/>
        </w:rPr>
      </w:pPr>
      <w:r>
        <w:rPr>
          <w:rFonts w:hint="eastAsia" w:ascii="宋体" w:hAnsi="宋体"/>
          <w:bCs/>
          <w:color w:val="auto"/>
          <w:sz w:val="21"/>
          <w:szCs w:val="21"/>
          <w:highlight w:val="none"/>
        </w:rPr>
        <w:t>传    真：</w:t>
      </w:r>
    </w:p>
    <w:p w14:paraId="48C598EF">
      <w:pPr>
        <w:pStyle w:val="14"/>
        <w:spacing w:line="300" w:lineRule="atLeast"/>
        <w:ind w:firstLine="420" w:firstLineChars="200"/>
        <w:rPr>
          <w:rFonts w:hint="eastAsia" w:ascii="宋体" w:hAnsi="宋体"/>
          <w:bCs/>
          <w:color w:val="auto"/>
          <w:sz w:val="21"/>
          <w:szCs w:val="21"/>
          <w:highlight w:val="none"/>
        </w:rPr>
      </w:pPr>
      <w:r>
        <w:rPr>
          <w:rFonts w:hint="eastAsia" w:ascii="宋体" w:hAnsi="宋体"/>
          <w:bCs/>
          <w:color w:val="auto"/>
          <w:sz w:val="21"/>
          <w:szCs w:val="21"/>
          <w:highlight w:val="none"/>
        </w:rPr>
        <w:t>电子邮件：</w:t>
      </w:r>
    </w:p>
    <w:p w14:paraId="1BBD8EEE">
      <w:pPr>
        <w:pStyle w:val="14"/>
        <w:spacing w:line="300" w:lineRule="atLeast"/>
        <w:ind w:firstLine="420" w:firstLineChars="200"/>
        <w:rPr>
          <w:rFonts w:hint="eastAsia" w:ascii="宋体" w:hAnsi="宋体"/>
          <w:bCs/>
          <w:color w:val="auto"/>
          <w:sz w:val="21"/>
          <w:szCs w:val="21"/>
          <w:highlight w:val="none"/>
        </w:rPr>
      </w:pPr>
      <w:r>
        <w:rPr>
          <w:rFonts w:hint="eastAsia" w:ascii="宋体" w:hAnsi="宋体"/>
          <w:bCs/>
          <w:color w:val="auto"/>
          <w:sz w:val="21"/>
          <w:szCs w:val="21"/>
          <w:highlight w:val="none"/>
        </w:rPr>
        <w:t>开户银行:</w:t>
      </w:r>
    </w:p>
    <w:p w14:paraId="54A94F34">
      <w:pPr>
        <w:pStyle w:val="14"/>
        <w:spacing w:line="300" w:lineRule="atLeast"/>
        <w:ind w:firstLine="420" w:firstLineChars="200"/>
        <w:rPr>
          <w:rFonts w:hint="eastAsia" w:ascii="宋体" w:hAnsi="宋体"/>
          <w:bCs/>
          <w:color w:val="auto"/>
          <w:sz w:val="21"/>
          <w:szCs w:val="21"/>
          <w:highlight w:val="none"/>
        </w:rPr>
      </w:pPr>
      <w:r>
        <w:rPr>
          <w:rFonts w:hint="eastAsia" w:ascii="宋体" w:hAnsi="宋体"/>
          <w:bCs/>
          <w:color w:val="auto"/>
          <w:sz w:val="21"/>
          <w:szCs w:val="21"/>
          <w:highlight w:val="none"/>
        </w:rPr>
        <w:t>帐    号：</w:t>
      </w:r>
    </w:p>
    <w:p w14:paraId="694A7998">
      <w:pPr>
        <w:pStyle w:val="14"/>
        <w:spacing w:line="300" w:lineRule="atLeast"/>
        <w:ind w:firstLine="420" w:firstLineChars="200"/>
        <w:rPr>
          <w:rFonts w:hint="eastAsia" w:ascii="宋体" w:hAnsi="宋体"/>
          <w:bCs/>
          <w:color w:val="auto"/>
          <w:sz w:val="21"/>
          <w:szCs w:val="21"/>
          <w:highlight w:val="none"/>
        </w:rPr>
      </w:pPr>
      <w:r>
        <w:rPr>
          <w:rFonts w:hint="eastAsia" w:ascii="宋体" w:hAnsi="宋体"/>
          <w:bCs/>
          <w:color w:val="auto"/>
          <w:sz w:val="21"/>
          <w:szCs w:val="21"/>
          <w:highlight w:val="none"/>
        </w:rPr>
        <w:t>日    期：20   年   月   日</w:t>
      </w:r>
    </w:p>
    <w:p w14:paraId="7277F8BF">
      <w:pPr>
        <w:spacing w:line="300" w:lineRule="atLeast"/>
        <w:outlineLvl w:val="9"/>
        <w:rPr>
          <w:rFonts w:hint="eastAsia" w:ascii="仿宋_GB2312" w:hAnsi="宋体" w:eastAsia="仿宋_GB2312"/>
          <w:b/>
          <w:color w:val="auto"/>
          <w:sz w:val="28"/>
          <w:szCs w:val="28"/>
          <w:highlight w:val="none"/>
        </w:rPr>
      </w:pPr>
    </w:p>
    <w:p w14:paraId="12CDCC38">
      <w:pPr>
        <w:spacing w:line="400" w:lineRule="exact"/>
        <w:outlineLvl w:val="9"/>
        <w:rPr>
          <w:rFonts w:hint="eastAsia" w:ascii="仿宋_GB2312" w:hAnsi="宋体" w:eastAsia="仿宋_GB2312"/>
          <w:b/>
          <w:color w:val="auto"/>
          <w:sz w:val="28"/>
          <w:szCs w:val="28"/>
          <w:highlight w:val="none"/>
        </w:rPr>
      </w:pPr>
    </w:p>
    <w:p w14:paraId="2032447A">
      <w:pPr>
        <w:pageBreakBefore/>
        <w:spacing w:after="240" w:afterLines="100" w:line="360" w:lineRule="auto"/>
        <w:jc w:val="center"/>
        <w:outlineLvl w:val="1"/>
        <w:rPr>
          <w:rFonts w:hint="eastAsia" w:ascii="宋体" w:hAnsi="宋体"/>
          <w:b/>
          <w:color w:val="auto"/>
          <w:sz w:val="36"/>
          <w:szCs w:val="36"/>
          <w:highlight w:val="none"/>
        </w:rPr>
      </w:pPr>
      <w:bookmarkStart w:id="249" w:name="_Toc32010"/>
      <w:r>
        <w:rPr>
          <w:rFonts w:hint="eastAsia" w:ascii="宋体" w:hAnsi="宋体"/>
          <w:b/>
          <w:color w:val="auto"/>
          <w:sz w:val="36"/>
          <w:szCs w:val="36"/>
          <w:highlight w:val="none"/>
        </w:rPr>
        <w:t>二、开标一览表</w:t>
      </w:r>
      <w:bookmarkEnd w:id="249"/>
    </w:p>
    <w:p w14:paraId="68290ED8">
      <w:pPr>
        <w:spacing w:after="120" w:afterLines="50" w:line="400" w:lineRule="exact"/>
        <w:ind w:firstLine="105" w:firstLineChars="50"/>
        <w:outlineLvl w:val="1"/>
        <w:rPr>
          <w:rFonts w:hint="eastAsia" w:ascii="宋体" w:hAnsi="宋体"/>
          <w:color w:val="auto"/>
          <w:szCs w:val="21"/>
          <w:highlight w:val="none"/>
        </w:rPr>
      </w:pPr>
      <w:bookmarkStart w:id="250" w:name="_Toc16704"/>
      <w:r>
        <w:rPr>
          <w:rFonts w:hint="eastAsia" w:ascii="宋体" w:hAnsi="宋体"/>
          <w:color w:val="auto"/>
          <w:szCs w:val="21"/>
          <w:highlight w:val="none"/>
        </w:rPr>
        <w:t>采购项目编号：</w:t>
      </w:r>
      <w:bookmarkEnd w:id="250"/>
      <w:r>
        <w:rPr>
          <w:rFonts w:hint="eastAsia" w:ascii="宋体" w:hAnsi="宋体"/>
          <w:color w:val="auto"/>
          <w:szCs w:val="21"/>
          <w:highlight w:val="none"/>
        </w:rPr>
        <w:t xml:space="preserve">                                                    </w:t>
      </w:r>
    </w:p>
    <w:tbl>
      <w:tblPr>
        <w:tblStyle w:val="23"/>
        <w:tblW w:w="9300" w:type="dxa"/>
        <w:tblInd w:w="93" w:type="dxa"/>
        <w:tblLayout w:type="fixed"/>
        <w:tblCellMar>
          <w:top w:w="0" w:type="dxa"/>
          <w:left w:w="108" w:type="dxa"/>
          <w:bottom w:w="0" w:type="dxa"/>
          <w:right w:w="108" w:type="dxa"/>
        </w:tblCellMar>
      </w:tblPr>
      <w:tblGrid>
        <w:gridCol w:w="3544"/>
        <w:gridCol w:w="2000"/>
        <w:gridCol w:w="1726"/>
        <w:gridCol w:w="2030"/>
      </w:tblGrid>
      <w:tr w14:paraId="5103EF13">
        <w:tblPrEx>
          <w:tblCellMar>
            <w:top w:w="0" w:type="dxa"/>
            <w:left w:w="108" w:type="dxa"/>
            <w:bottom w:w="0" w:type="dxa"/>
            <w:right w:w="108" w:type="dxa"/>
          </w:tblCellMar>
        </w:tblPrEx>
        <w:trPr>
          <w:trHeight w:val="555" w:hRule="atLeast"/>
        </w:trPr>
        <w:tc>
          <w:tcPr>
            <w:tcW w:w="9300" w:type="dxa"/>
            <w:gridSpan w:val="4"/>
            <w:tcBorders>
              <w:top w:val="single" w:color="auto" w:sz="12" w:space="0"/>
              <w:left w:val="single" w:color="auto" w:sz="12" w:space="0"/>
              <w:bottom w:val="single" w:color="auto" w:sz="4" w:space="0"/>
              <w:right w:val="single" w:color="auto" w:sz="12" w:space="0"/>
            </w:tcBorders>
            <w:noWrap/>
            <w:vAlign w:val="center"/>
          </w:tcPr>
          <w:p w14:paraId="6D849B9B">
            <w:pPr>
              <w:widowControl/>
              <w:jc w:val="left"/>
              <w:rPr>
                <w:rFonts w:ascii="宋体" w:hAnsi="宋体" w:cs="宋体"/>
                <w:b/>
                <w:bCs/>
                <w:color w:val="auto"/>
                <w:kern w:val="0"/>
                <w:szCs w:val="21"/>
                <w:highlight w:val="none"/>
              </w:rPr>
            </w:pPr>
            <w:r>
              <w:rPr>
                <w:rFonts w:hint="eastAsia" w:ascii="宋体" w:hAnsi="宋体" w:cs="宋体"/>
                <w:b/>
                <w:bCs/>
                <w:color w:val="auto"/>
                <w:kern w:val="0"/>
                <w:szCs w:val="21"/>
                <w:highlight w:val="none"/>
              </w:rPr>
              <w:t>投标人名称：</w:t>
            </w:r>
          </w:p>
        </w:tc>
      </w:tr>
      <w:tr w14:paraId="4FA97F37">
        <w:tblPrEx>
          <w:tblCellMar>
            <w:top w:w="0" w:type="dxa"/>
            <w:left w:w="108" w:type="dxa"/>
            <w:bottom w:w="0" w:type="dxa"/>
            <w:right w:w="108" w:type="dxa"/>
          </w:tblCellMar>
        </w:tblPrEx>
        <w:trPr>
          <w:trHeight w:val="900" w:hRule="atLeast"/>
        </w:trPr>
        <w:tc>
          <w:tcPr>
            <w:tcW w:w="3544" w:type="dxa"/>
            <w:tcBorders>
              <w:top w:val="nil"/>
              <w:left w:val="single" w:color="auto" w:sz="12" w:space="0"/>
              <w:bottom w:val="single" w:color="auto" w:sz="4" w:space="0"/>
              <w:right w:val="single" w:color="auto" w:sz="4" w:space="0"/>
            </w:tcBorders>
            <w:noWrap/>
            <w:vAlign w:val="center"/>
          </w:tcPr>
          <w:p w14:paraId="07BA7707">
            <w:pPr>
              <w:widowControl/>
              <w:jc w:val="center"/>
              <w:rPr>
                <w:rFonts w:ascii="宋体" w:hAnsi="宋体" w:cs="宋体"/>
                <w:b/>
                <w:bCs/>
                <w:color w:val="auto"/>
                <w:kern w:val="0"/>
                <w:szCs w:val="21"/>
                <w:highlight w:val="none"/>
              </w:rPr>
            </w:pPr>
            <w:r>
              <w:rPr>
                <w:rFonts w:hint="eastAsia" w:ascii="宋体" w:hAnsi="宋体" w:cs="宋体"/>
                <w:b/>
                <w:bCs/>
                <w:color w:val="auto"/>
                <w:kern w:val="0"/>
                <w:szCs w:val="21"/>
                <w:highlight w:val="none"/>
              </w:rPr>
              <w:t>项目名称</w:t>
            </w:r>
          </w:p>
        </w:tc>
        <w:tc>
          <w:tcPr>
            <w:tcW w:w="2000" w:type="dxa"/>
            <w:tcBorders>
              <w:top w:val="nil"/>
              <w:left w:val="nil"/>
              <w:bottom w:val="single" w:color="auto" w:sz="4" w:space="0"/>
              <w:right w:val="single" w:color="auto" w:sz="4" w:space="0"/>
            </w:tcBorders>
            <w:noWrap w:val="0"/>
            <w:vAlign w:val="center"/>
          </w:tcPr>
          <w:p w14:paraId="065C73D5">
            <w:pPr>
              <w:widowControl/>
              <w:jc w:val="center"/>
              <w:rPr>
                <w:rFonts w:hint="eastAsia" w:ascii="宋体" w:hAnsi="宋体" w:cs="宋体"/>
                <w:b/>
                <w:bCs/>
                <w:color w:val="auto"/>
                <w:kern w:val="0"/>
                <w:szCs w:val="21"/>
                <w:highlight w:val="none"/>
              </w:rPr>
            </w:pPr>
            <w:r>
              <w:rPr>
                <w:rFonts w:hint="eastAsia" w:ascii="宋体" w:hAnsi="宋体" w:cs="宋体"/>
                <w:b/>
                <w:bCs/>
                <w:color w:val="auto"/>
                <w:kern w:val="0"/>
                <w:szCs w:val="21"/>
                <w:highlight w:val="none"/>
              </w:rPr>
              <w:t>总报价</w:t>
            </w:r>
          </w:p>
          <w:p w14:paraId="52F79096">
            <w:pPr>
              <w:widowControl/>
              <w:jc w:val="center"/>
              <w:rPr>
                <w:rFonts w:ascii="宋体" w:hAnsi="宋体" w:cs="宋体"/>
                <w:b/>
                <w:bCs/>
                <w:color w:val="auto"/>
                <w:kern w:val="0"/>
                <w:szCs w:val="21"/>
                <w:highlight w:val="none"/>
              </w:rPr>
            </w:pPr>
            <w:r>
              <w:rPr>
                <w:rFonts w:hint="eastAsia" w:ascii="宋体" w:hAnsi="宋体" w:cs="宋体"/>
                <w:b/>
                <w:bCs/>
                <w:color w:val="auto"/>
                <w:kern w:val="0"/>
                <w:szCs w:val="21"/>
                <w:highlight w:val="none"/>
              </w:rPr>
              <w:t>（元）</w:t>
            </w:r>
          </w:p>
        </w:tc>
        <w:tc>
          <w:tcPr>
            <w:tcW w:w="1726" w:type="dxa"/>
            <w:tcBorders>
              <w:top w:val="nil"/>
              <w:left w:val="nil"/>
              <w:bottom w:val="single" w:color="auto" w:sz="4" w:space="0"/>
              <w:right w:val="single" w:color="auto" w:sz="4" w:space="0"/>
            </w:tcBorders>
            <w:noWrap w:val="0"/>
            <w:vAlign w:val="center"/>
          </w:tcPr>
          <w:p w14:paraId="4CCF982D">
            <w:pPr>
              <w:widowControl/>
              <w:jc w:val="center"/>
              <w:rPr>
                <w:rFonts w:ascii="宋体" w:hAnsi="宋体" w:cs="宋体"/>
                <w:b/>
                <w:bCs/>
                <w:color w:val="auto"/>
                <w:kern w:val="0"/>
                <w:szCs w:val="21"/>
                <w:highlight w:val="none"/>
              </w:rPr>
            </w:pPr>
            <w:r>
              <w:rPr>
                <w:rFonts w:hint="eastAsia" w:ascii="宋体" w:hAnsi="宋体" w:cs="宋体"/>
                <w:b/>
                <w:bCs/>
                <w:color w:val="auto"/>
                <w:kern w:val="0"/>
                <w:szCs w:val="21"/>
                <w:highlight w:val="none"/>
                <w:lang w:val="en-US" w:eastAsia="zh-CN"/>
              </w:rPr>
              <w:t>合同履行期限</w:t>
            </w:r>
          </w:p>
        </w:tc>
        <w:tc>
          <w:tcPr>
            <w:tcW w:w="2030" w:type="dxa"/>
            <w:tcBorders>
              <w:top w:val="nil"/>
              <w:left w:val="nil"/>
              <w:bottom w:val="single" w:color="auto" w:sz="4" w:space="0"/>
              <w:right w:val="single" w:color="auto" w:sz="12" w:space="0"/>
            </w:tcBorders>
            <w:noWrap w:val="0"/>
            <w:vAlign w:val="center"/>
          </w:tcPr>
          <w:p w14:paraId="18BD1507">
            <w:pPr>
              <w:widowControl/>
              <w:jc w:val="center"/>
              <w:rPr>
                <w:rFonts w:hint="eastAsia" w:ascii="宋体" w:hAnsi="宋体" w:cs="宋体"/>
                <w:b/>
                <w:bCs/>
                <w:color w:val="auto"/>
                <w:kern w:val="0"/>
                <w:szCs w:val="21"/>
                <w:highlight w:val="none"/>
              </w:rPr>
            </w:pPr>
            <w:r>
              <w:rPr>
                <w:rFonts w:hint="eastAsia" w:ascii="宋体" w:hAnsi="宋体" w:cs="宋体"/>
                <w:b/>
                <w:bCs/>
                <w:color w:val="auto"/>
                <w:kern w:val="0"/>
                <w:szCs w:val="21"/>
                <w:highlight w:val="none"/>
              </w:rPr>
              <w:t xml:space="preserve">质保期  </w:t>
            </w:r>
          </w:p>
          <w:p w14:paraId="7A94B830">
            <w:pPr>
              <w:widowControl/>
              <w:jc w:val="center"/>
              <w:rPr>
                <w:rFonts w:ascii="宋体" w:hAnsi="宋体" w:cs="宋体"/>
                <w:b/>
                <w:bCs/>
                <w:color w:val="auto"/>
                <w:kern w:val="0"/>
                <w:szCs w:val="21"/>
                <w:highlight w:val="none"/>
              </w:rPr>
            </w:pPr>
            <w:r>
              <w:rPr>
                <w:rFonts w:hint="eastAsia" w:ascii="宋体" w:hAnsi="宋体" w:cs="宋体"/>
                <w:b/>
                <w:bCs/>
                <w:color w:val="auto"/>
                <w:kern w:val="0"/>
                <w:szCs w:val="21"/>
                <w:highlight w:val="none"/>
              </w:rPr>
              <w:t>（年）</w:t>
            </w:r>
          </w:p>
        </w:tc>
      </w:tr>
      <w:tr w14:paraId="5CB6481A">
        <w:tblPrEx>
          <w:tblCellMar>
            <w:top w:w="0" w:type="dxa"/>
            <w:left w:w="108" w:type="dxa"/>
            <w:bottom w:w="0" w:type="dxa"/>
            <w:right w:w="108" w:type="dxa"/>
          </w:tblCellMar>
        </w:tblPrEx>
        <w:trPr>
          <w:trHeight w:val="1170" w:hRule="atLeast"/>
        </w:trPr>
        <w:tc>
          <w:tcPr>
            <w:tcW w:w="3544" w:type="dxa"/>
            <w:tcBorders>
              <w:top w:val="nil"/>
              <w:left w:val="single" w:color="auto" w:sz="12" w:space="0"/>
              <w:bottom w:val="single" w:color="auto" w:sz="4" w:space="0"/>
              <w:right w:val="single" w:color="auto" w:sz="4" w:space="0"/>
            </w:tcBorders>
            <w:noWrap/>
            <w:vAlign w:val="center"/>
          </w:tcPr>
          <w:p w14:paraId="222DDDFD">
            <w:pPr>
              <w:widowControl/>
              <w:jc w:val="center"/>
              <w:rPr>
                <w:rFonts w:ascii="宋体" w:hAnsi="宋体" w:cs="宋体"/>
                <w:color w:val="auto"/>
                <w:kern w:val="0"/>
                <w:szCs w:val="21"/>
                <w:highlight w:val="none"/>
              </w:rPr>
            </w:pPr>
          </w:p>
        </w:tc>
        <w:tc>
          <w:tcPr>
            <w:tcW w:w="2000" w:type="dxa"/>
            <w:tcBorders>
              <w:top w:val="nil"/>
              <w:left w:val="nil"/>
              <w:bottom w:val="single" w:color="auto" w:sz="4" w:space="0"/>
              <w:right w:val="single" w:color="auto" w:sz="4" w:space="0"/>
            </w:tcBorders>
            <w:noWrap/>
            <w:vAlign w:val="center"/>
          </w:tcPr>
          <w:p w14:paraId="5047D93B">
            <w:pPr>
              <w:widowControl/>
              <w:jc w:val="left"/>
              <w:rPr>
                <w:rFonts w:ascii="宋体" w:hAnsi="宋体" w:cs="宋体"/>
                <w:color w:val="auto"/>
                <w:kern w:val="0"/>
                <w:szCs w:val="21"/>
                <w:highlight w:val="none"/>
              </w:rPr>
            </w:pPr>
          </w:p>
        </w:tc>
        <w:tc>
          <w:tcPr>
            <w:tcW w:w="1726" w:type="dxa"/>
            <w:tcBorders>
              <w:top w:val="nil"/>
              <w:left w:val="nil"/>
              <w:bottom w:val="single" w:color="auto" w:sz="4" w:space="0"/>
              <w:right w:val="single" w:color="auto" w:sz="4" w:space="0"/>
            </w:tcBorders>
            <w:noWrap/>
            <w:vAlign w:val="center"/>
          </w:tcPr>
          <w:p w14:paraId="56C40615">
            <w:pPr>
              <w:widowControl/>
              <w:jc w:val="left"/>
              <w:rPr>
                <w:rFonts w:ascii="宋体" w:hAnsi="宋体" w:cs="宋体"/>
                <w:color w:val="auto"/>
                <w:kern w:val="0"/>
                <w:szCs w:val="21"/>
                <w:highlight w:val="none"/>
              </w:rPr>
            </w:pPr>
          </w:p>
        </w:tc>
        <w:tc>
          <w:tcPr>
            <w:tcW w:w="2030" w:type="dxa"/>
            <w:tcBorders>
              <w:top w:val="nil"/>
              <w:left w:val="nil"/>
              <w:bottom w:val="single" w:color="auto" w:sz="4" w:space="0"/>
              <w:right w:val="single" w:color="auto" w:sz="12" w:space="0"/>
            </w:tcBorders>
            <w:noWrap/>
            <w:vAlign w:val="center"/>
          </w:tcPr>
          <w:p w14:paraId="137BB5EC">
            <w:pPr>
              <w:widowControl/>
              <w:jc w:val="left"/>
              <w:rPr>
                <w:rFonts w:ascii="宋体" w:hAnsi="宋体" w:cs="宋体"/>
                <w:color w:val="auto"/>
                <w:kern w:val="0"/>
                <w:szCs w:val="21"/>
                <w:highlight w:val="none"/>
              </w:rPr>
            </w:pPr>
          </w:p>
        </w:tc>
      </w:tr>
      <w:tr w14:paraId="1EE82B91">
        <w:tblPrEx>
          <w:tblCellMar>
            <w:top w:w="0" w:type="dxa"/>
            <w:left w:w="108" w:type="dxa"/>
            <w:bottom w:w="0" w:type="dxa"/>
            <w:right w:w="108" w:type="dxa"/>
          </w:tblCellMar>
        </w:tblPrEx>
        <w:trPr>
          <w:trHeight w:val="765" w:hRule="atLeast"/>
        </w:trPr>
        <w:tc>
          <w:tcPr>
            <w:tcW w:w="9300" w:type="dxa"/>
            <w:gridSpan w:val="4"/>
            <w:tcBorders>
              <w:top w:val="single" w:color="auto" w:sz="4" w:space="0"/>
              <w:left w:val="single" w:color="auto" w:sz="12" w:space="0"/>
              <w:bottom w:val="single" w:color="auto" w:sz="12" w:space="0"/>
              <w:right w:val="single" w:color="auto" w:sz="12" w:space="0"/>
            </w:tcBorders>
            <w:noWrap/>
            <w:vAlign w:val="center"/>
          </w:tcPr>
          <w:p w14:paraId="6BECF9F8">
            <w:pPr>
              <w:widowControl/>
              <w:jc w:val="left"/>
              <w:rPr>
                <w:rFonts w:ascii="宋体" w:hAnsi="宋体" w:cs="宋体"/>
                <w:b/>
                <w:bCs/>
                <w:color w:val="auto"/>
                <w:kern w:val="0"/>
                <w:szCs w:val="21"/>
                <w:highlight w:val="none"/>
              </w:rPr>
            </w:pPr>
            <w:r>
              <w:rPr>
                <w:rFonts w:hint="eastAsia" w:ascii="宋体" w:hAnsi="宋体" w:cs="宋体"/>
                <w:b/>
                <w:bCs/>
                <w:color w:val="auto"/>
                <w:kern w:val="0"/>
                <w:szCs w:val="21"/>
                <w:highlight w:val="none"/>
              </w:rPr>
              <w:t xml:space="preserve">总报价（大写）：                                           </w:t>
            </w:r>
          </w:p>
        </w:tc>
      </w:tr>
    </w:tbl>
    <w:p w14:paraId="2E8D72FA">
      <w:pPr>
        <w:spacing w:before="120" w:beforeLines="50" w:line="200" w:lineRule="exact"/>
        <w:ind w:left="413" w:hanging="413" w:hangingChars="196"/>
        <w:jc w:val="left"/>
        <w:rPr>
          <w:rFonts w:hint="eastAsia" w:ascii="仿宋_GB2312" w:hAnsi="宋体" w:eastAsia="仿宋_GB2312"/>
          <w:b/>
          <w:color w:val="auto"/>
          <w:szCs w:val="21"/>
          <w:highlight w:val="none"/>
        </w:rPr>
      </w:pPr>
    </w:p>
    <w:p w14:paraId="2A6B2387">
      <w:pPr>
        <w:spacing w:before="120" w:beforeLines="50" w:line="200" w:lineRule="exact"/>
        <w:ind w:left="412" w:hanging="411" w:hangingChars="196"/>
        <w:jc w:val="left"/>
        <w:rPr>
          <w:rFonts w:hint="eastAsia" w:ascii="楷体" w:hAnsi="楷体" w:eastAsia="楷体"/>
          <w:color w:val="auto"/>
          <w:szCs w:val="21"/>
          <w:highlight w:val="none"/>
        </w:rPr>
      </w:pPr>
      <w:r>
        <w:rPr>
          <w:rFonts w:hint="eastAsia" w:ascii="楷体" w:hAnsi="楷体" w:eastAsia="楷体"/>
          <w:color w:val="auto"/>
          <w:szCs w:val="21"/>
          <w:highlight w:val="none"/>
        </w:rPr>
        <w:t>说明</w:t>
      </w:r>
      <w:r>
        <w:rPr>
          <w:rFonts w:hint="eastAsia" w:ascii="楷体" w:hAnsi="楷体" w:eastAsia="楷体"/>
          <w:b/>
          <w:color w:val="auto"/>
          <w:szCs w:val="21"/>
          <w:highlight w:val="none"/>
        </w:rPr>
        <w:t>：</w:t>
      </w:r>
      <w:r>
        <w:rPr>
          <w:rFonts w:hint="eastAsia" w:ascii="楷体" w:hAnsi="楷体" w:eastAsia="楷体"/>
          <w:color w:val="auto"/>
          <w:szCs w:val="21"/>
          <w:highlight w:val="none"/>
        </w:rPr>
        <w:t>1.报价应按总报价填写，精确到小数点后两位，大小写不一致时，以大写为准；</w:t>
      </w:r>
    </w:p>
    <w:p w14:paraId="78E80320">
      <w:pPr>
        <w:spacing w:before="120" w:beforeLines="50" w:line="200" w:lineRule="exact"/>
        <w:ind w:left="412" w:leftChars="196" w:firstLine="210" w:firstLineChars="100"/>
        <w:jc w:val="left"/>
        <w:outlineLvl w:val="1"/>
        <w:rPr>
          <w:rFonts w:hint="eastAsia" w:ascii="楷体" w:hAnsi="楷体" w:eastAsia="楷体"/>
          <w:color w:val="auto"/>
          <w:szCs w:val="21"/>
          <w:highlight w:val="none"/>
        </w:rPr>
      </w:pPr>
      <w:bookmarkStart w:id="251" w:name="_Toc30777"/>
      <w:r>
        <w:rPr>
          <w:rFonts w:hint="eastAsia" w:ascii="楷体" w:hAnsi="楷体" w:eastAsia="楷体"/>
          <w:color w:val="auto"/>
          <w:szCs w:val="21"/>
          <w:highlight w:val="none"/>
        </w:rPr>
        <w:t>2.“开标一览表”以包为单位填写；</w:t>
      </w:r>
      <w:bookmarkEnd w:id="251"/>
    </w:p>
    <w:p w14:paraId="782721E4">
      <w:pPr>
        <w:spacing w:before="120" w:beforeLines="50" w:line="200" w:lineRule="exact"/>
        <w:ind w:firstLine="630" w:firstLineChars="300"/>
        <w:jc w:val="left"/>
        <w:rPr>
          <w:rFonts w:hint="eastAsia" w:ascii="楷体" w:hAnsi="楷体" w:eastAsia="楷体"/>
          <w:color w:val="auto"/>
          <w:szCs w:val="21"/>
          <w:highlight w:val="none"/>
        </w:rPr>
      </w:pPr>
      <w:r>
        <w:rPr>
          <w:rFonts w:hint="eastAsia" w:ascii="楷体" w:hAnsi="楷体" w:eastAsia="楷体"/>
          <w:color w:val="auto"/>
          <w:szCs w:val="21"/>
          <w:highlight w:val="none"/>
        </w:rPr>
        <w:t>3.有分包的，项目名称填写分包的项目名称，无分包的填写采购项目名称；</w:t>
      </w:r>
    </w:p>
    <w:p w14:paraId="086C0446">
      <w:pPr>
        <w:spacing w:before="120" w:beforeLines="50" w:line="200" w:lineRule="exact"/>
        <w:ind w:firstLine="630" w:firstLineChars="300"/>
        <w:jc w:val="left"/>
        <w:rPr>
          <w:rFonts w:hint="eastAsia" w:ascii="楷体" w:hAnsi="楷体" w:eastAsia="楷体"/>
          <w:color w:val="auto"/>
          <w:szCs w:val="21"/>
          <w:highlight w:val="none"/>
        </w:rPr>
      </w:pPr>
      <w:r>
        <w:rPr>
          <w:rFonts w:hint="eastAsia" w:ascii="楷体" w:hAnsi="楷体" w:eastAsia="楷体"/>
          <w:color w:val="auto"/>
          <w:szCs w:val="21"/>
          <w:highlight w:val="none"/>
        </w:rPr>
        <w:t>4.本表所列各项数据与投标文件其他地方表述不一致时，以本表为准；</w:t>
      </w:r>
    </w:p>
    <w:p w14:paraId="4E98C3A2">
      <w:pPr>
        <w:spacing w:line="400" w:lineRule="exact"/>
        <w:jc w:val="left"/>
        <w:rPr>
          <w:rFonts w:hint="eastAsia" w:ascii="仿宋_GB2312" w:hAnsi="宋体" w:eastAsia="仿宋_GB2312"/>
          <w:color w:val="auto"/>
          <w:sz w:val="28"/>
          <w:szCs w:val="28"/>
          <w:highlight w:val="none"/>
        </w:rPr>
      </w:pPr>
    </w:p>
    <w:p w14:paraId="1811F220">
      <w:pPr>
        <w:adjustRightInd w:val="0"/>
        <w:spacing w:line="400" w:lineRule="exact"/>
        <w:jc w:val="left"/>
        <w:rPr>
          <w:rFonts w:hint="eastAsia" w:ascii="仿宋_GB2312" w:hAnsi="宋体" w:eastAsia="仿宋_GB2312"/>
          <w:color w:val="auto"/>
          <w:sz w:val="28"/>
          <w:szCs w:val="28"/>
          <w:highlight w:val="none"/>
        </w:rPr>
      </w:pPr>
    </w:p>
    <w:p w14:paraId="5D7A74C4">
      <w:pPr>
        <w:adjustRightInd w:val="0"/>
        <w:spacing w:line="400" w:lineRule="exact"/>
        <w:jc w:val="left"/>
        <w:rPr>
          <w:rFonts w:hint="eastAsia" w:ascii="仿宋_GB2312" w:hAnsi="宋体" w:eastAsia="仿宋_GB2312"/>
          <w:color w:val="auto"/>
          <w:sz w:val="28"/>
          <w:szCs w:val="28"/>
          <w:highlight w:val="none"/>
        </w:rPr>
      </w:pPr>
    </w:p>
    <w:p w14:paraId="61B93718">
      <w:pPr>
        <w:adjustRightInd w:val="0"/>
        <w:spacing w:line="400" w:lineRule="exact"/>
        <w:ind w:firstLine="120" w:firstLineChars="50"/>
        <w:jc w:val="left"/>
        <w:rPr>
          <w:rFonts w:hint="eastAsia" w:ascii="宋体" w:hAnsi="宋体"/>
          <w:color w:val="auto"/>
          <w:sz w:val="24"/>
          <w:highlight w:val="none"/>
        </w:rPr>
      </w:pPr>
      <w:r>
        <w:rPr>
          <w:rFonts w:hint="eastAsia" w:ascii="宋体" w:hAnsi="宋体"/>
          <w:color w:val="auto"/>
          <w:sz w:val="24"/>
          <w:highlight w:val="none"/>
        </w:rPr>
        <w:t xml:space="preserve"> </w:t>
      </w:r>
    </w:p>
    <w:p w14:paraId="4BC3DA20">
      <w:pPr>
        <w:adjustRightInd w:val="0"/>
        <w:spacing w:line="400" w:lineRule="exact"/>
        <w:ind w:firstLine="120" w:firstLineChars="50"/>
        <w:jc w:val="left"/>
        <w:rPr>
          <w:rFonts w:hint="eastAsia" w:ascii="宋体" w:hAnsi="宋体"/>
          <w:color w:val="auto"/>
          <w:sz w:val="24"/>
          <w:highlight w:val="none"/>
        </w:rPr>
      </w:pPr>
    </w:p>
    <w:p w14:paraId="475CC3A3">
      <w:pPr>
        <w:adjustRightInd w:val="0"/>
        <w:spacing w:line="400" w:lineRule="exact"/>
        <w:ind w:firstLine="105" w:firstLineChars="50"/>
        <w:jc w:val="left"/>
        <w:rPr>
          <w:rFonts w:hint="eastAsia" w:ascii="宋体" w:hAnsi="宋体"/>
          <w:color w:val="auto"/>
          <w:szCs w:val="21"/>
          <w:highlight w:val="none"/>
        </w:rPr>
      </w:pPr>
      <w:r>
        <w:rPr>
          <w:rFonts w:hint="eastAsia" w:ascii="宋体" w:hAnsi="宋体"/>
          <w:color w:val="auto"/>
          <w:szCs w:val="21"/>
          <w:highlight w:val="none"/>
        </w:rPr>
        <w:t>投 标 人：</w:t>
      </w:r>
      <w:r>
        <w:rPr>
          <w:rFonts w:hint="eastAsia" w:ascii="宋体" w:hAnsi="宋体"/>
          <w:color w:val="auto"/>
          <w:szCs w:val="21"/>
          <w:highlight w:val="none"/>
          <w:u w:val="single"/>
        </w:rPr>
        <w:t xml:space="preserve">                              </w:t>
      </w:r>
      <w:r>
        <w:rPr>
          <w:rFonts w:hint="eastAsia" w:ascii="宋体" w:hAnsi="宋体"/>
          <w:color w:val="auto"/>
          <w:szCs w:val="21"/>
          <w:highlight w:val="none"/>
        </w:rPr>
        <w:t>（盖单位章）</w:t>
      </w:r>
    </w:p>
    <w:p w14:paraId="11024237">
      <w:pPr>
        <w:spacing w:line="400" w:lineRule="exact"/>
        <w:jc w:val="center"/>
        <w:outlineLvl w:val="9"/>
        <w:rPr>
          <w:rFonts w:hint="eastAsia" w:ascii="宋体" w:hAnsi="宋体"/>
          <w:color w:val="auto"/>
          <w:szCs w:val="21"/>
          <w:highlight w:val="none"/>
        </w:rPr>
      </w:pPr>
    </w:p>
    <w:p w14:paraId="4BDB3FEA">
      <w:pPr>
        <w:spacing w:line="400" w:lineRule="exact"/>
        <w:ind w:firstLine="105" w:firstLineChars="50"/>
        <w:outlineLvl w:val="9"/>
        <w:rPr>
          <w:rFonts w:hint="eastAsia" w:ascii="宋体" w:hAnsi="宋体"/>
          <w:color w:val="auto"/>
          <w:szCs w:val="21"/>
          <w:highlight w:val="none"/>
        </w:rPr>
      </w:pPr>
    </w:p>
    <w:p w14:paraId="564EE87C">
      <w:pPr>
        <w:spacing w:line="400" w:lineRule="exact"/>
        <w:ind w:firstLine="105" w:firstLineChars="50"/>
        <w:outlineLvl w:val="1"/>
        <w:rPr>
          <w:rFonts w:hint="eastAsia" w:ascii="宋体" w:hAnsi="宋体"/>
          <w:color w:val="auto"/>
          <w:szCs w:val="21"/>
          <w:highlight w:val="none"/>
        </w:rPr>
      </w:pPr>
      <w:bookmarkStart w:id="252" w:name="_Toc23148"/>
      <w:r>
        <w:rPr>
          <w:rFonts w:hint="eastAsia" w:ascii="宋体" w:hAnsi="宋体"/>
          <w:color w:val="auto"/>
          <w:szCs w:val="21"/>
          <w:highlight w:val="none"/>
        </w:rPr>
        <w:t>法定代表人或委托代理人：</w:t>
      </w:r>
      <w:r>
        <w:rPr>
          <w:rFonts w:hint="eastAsia" w:ascii="宋体" w:hAnsi="宋体"/>
          <w:color w:val="auto"/>
          <w:szCs w:val="21"/>
          <w:highlight w:val="none"/>
          <w:u w:val="single"/>
        </w:rPr>
        <w:t xml:space="preserve">                </w:t>
      </w:r>
      <w:r>
        <w:rPr>
          <w:rFonts w:hint="eastAsia" w:ascii="宋体" w:hAnsi="宋体"/>
          <w:color w:val="auto"/>
          <w:szCs w:val="21"/>
          <w:highlight w:val="none"/>
        </w:rPr>
        <w:t>（签字）</w:t>
      </w:r>
      <w:bookmarkEnd w:id="252"/>
    </w:p>
    <w:p w14:paraId="6ACBE7B3">
      <w:pPr>
        <w:spacing w:line="400" w:lineRule="exact"/>
        <w:ind w:firstLine="105" w:firstLineChars="50"/>
        <w:outlineLvl w:val="9"/>
        <w:rPr>
          <w:rFonts w:hint="eastAsia" w:ascii="仿宋_GB2312" w:hAnsi="宋体" w:eastAsia="仿宋_GB2312"/>
          <w:color w:val="auto"/>
          <w:szCs w:val="21"/>
          <w:highlight w:val="none"/>
        </w:rPr>
      </w:pPr>
    </w:p>
    <w:p w14:paraId="3FF65C32">
      <w:pPr>
        <w:spacing w:line="400" w:lineRule="exact"/>
        <w:ind w:firstLine="105" w:firstLineChars="50"/>
        <w:outlineLvl w:val="9"/>
        <w:rPr>
          <w:rFonts w:hint="eastAsia" w:ascii="仿宋_GB2312" w:hAnsi="宋体" w:eastAsia="仿宋_GB2312"/>
          <w:color w:val="auto"/>
          <w:szCs w:val="21"/>
          <w:highlight w:val="none"/>
        </w:rPr>
      </w:pPr>
    </w:p>
    <w:p w14:paraId="3F9E1559">
      <w:pPr>
        <w:spacing w:line="400" w:lineRule="exact"/>
        <w:ind w:firstLine="105" w:firstLineChars="50"/>
        <w:outlineLvl w:val="1"/>
        <w:rPr>
          <w:rFonts w:hint="eastAsia" w:ascii="仿宋_GB2312" w:hAnsi="宋体" w:eastAsia="仿宋_GB2312"/>
          <w:b/>
          <w:color w:val="auto"/>
          <w:szCs w:val="21"/>
          <w:highlight w:val="none"/>
        </w:rPr>
      </w:pPr>
      <w:bookmarkStart w:id="253" w:name="_Toc10413"/>
      <w:r>
        <w:rPr>
          <w:rFonts w:hint="eastAsia" w:ascii="宋体" w:hAnsi="宋体"/>
          <w:color w:val="auto"/>
          <w:szCs w:val="21"/>
          <w:highlight w:val="none"/>
        </w:rPr>
        <w:t>日     期：20</w:t>
      </w:r>
      <w:r>
        <w:rPr>
          <w:rFonts w:hint="eastAsia" w:ascii="宋体" w:hAnsi="宋体"/>
          <w:color w:val="auto"/>
          <w:szCs w:val="21"/>
          <w:highlight w:val="none"/>
          <w:u w:val="single"/>
        </w:rPr>
        <w:t xml:space="preserve">  </w:t>
      </w:r>
      <w:r>
        <w:rPr>
          <w:rFonts w:hint="eastAsia" w:ascii="宋体" w:hAnsi="宋体"/>
          <w:color w:val="auto"/>
          <w:szCs w:val="21"/>
          <w:highlight w:val="none"/>
        </w:rPr>
        <w:t>年</w:t>
      </w:r>
      <w:r>
        <w:rPr>
          <w:rFonts w:hint="eastAsia" w:ascii="宋体" w:hAnsi="宋体"/>
          <w:color w:val="auto"/>
          <w:szCs w:val="21"/>
          <w:highlight w:val="none"/>
          <w:u w:val="single"/>
        </w:rPr>
        <w:t xml:space="preserve">  </w:t>
      </w:r>
      <w:r>
        <w:rPr>
          <w:rFonts w:hint="eastAsia" w:ascii="宋体" w:hAnsi="宋体"/>
          <w:color w:val="auto"/>
          <w:szCs w:val="21"/>
          <w:highlight w:val="none"/>
        </w:rPr>
        <w:t xml:space="preserve"> 月</w:t>
      </w:r>
      <w:r>
        <w:rPr>
          <w:rFonts w:hint="eastAsia" w:ascii="宋体" w:hAnsi="宋体"/>
          <w:color w:val="auto"/>
          <w:szCs w:val="21"/>
          <w:highlight w:val="none"/>
          <w:u w:val="single"/>
        </w:rPr>
        <w:t xml:space="preserve">  </w:t>
      </w:r>
      <w:r>
        <w:rPr>
          <w:rFonts w:hint="eastAsia" w:ascii="宋体" w:hAnsi="宋体"/>
          <w:color w:val="auto"/>
          <w:szCs w:val="21"/>
          <w:highlight w:val="none"/>
        </w:rPr>
        <w:t>日</w:t>
      </w:r>
      <w:bookmarkEnd w:id="253"/>
    </w:p>
    <w:p w14:paraId="7B27BB91">
      <w:pPr>
        <w:spacing w:line="400" w:lineRule="exact"/>
        <w:outlineLvl w:val="9"/>
        <w:rPr>
          <w:rFonts w:ascii="仿宋_GB2312" w:hAnsi="宋体" w:eastAsia="仿宋_GB2312"/>
          <w:b/>
          <w:color w:val="auto"/>
          <w:sz w:val="36"/>
          <w:szCs w:val="36"/>
          <w:highlight w:val="none"/>
        </w:rPr>
        <w:sectPr>
          <w:footerReference r:id="rId11" w:type="default"/>
          <w:pgSz w:w="11907" w:h="16840"/>
          <w:pgMar w:top="1440" w:right="1474" w:bottom="1440" w:left="1474" w:header="851" w:footer="992" w:gutter="0"/>
          <w:pgBorders>
            <w:top w:val="none" w:sz="0" w:space="0"/>
            <w:left w:val="none" w:sz="0" w:space="0"/>
            <w:bottom w:val="none" w:sz="0" w:space="0"/>
            <w:right w:val="none" w:sz="0" w:space="0"/>
          </w:pgBorders>
          <w:pgNumType w:fmt="decimal"/>
          <w:cols w:space="720" w:num="1"/>
        </w:sectPr>
      </w:pPr>
    </w:p>
    <w:p w14:paraId="43E7D915">
      <w:pPr>
        <w:spacing w:after="240" w:afterLines="100"/>
        <w:jc w:val="center"/>
        <w:rPr>
          <w:rFonts w:hint="eastAsia" w:ascii="宋体" w:hAnsi="宋体"/>
          <w:b/>
          <w:color w:val="auto"/>
          <w:sz w:val="36"/>
          <w:szCs w:val="36"/>
          <w:highlight w:val="none"/>
        </w:rPr>
      </w:pPr>
      <w:bookmarkStart w:id="254" w:name="_Toc217446086"/>
      <w:r>
        <w:rPr>
          <w:rFonts w:hint="eastAsia" w:ascii="宋体" w:hAnsi="宋体"/>
          <w:b/>
          <w:bCs/>
          <w:color w:val="auto"/>
          <w:sz w:val="36"/>
          <w:szCs w:val="36"/>
          <w:highlight w:val="none"/>
        </w:rPr>
        <w:t>三、货物（产品）分项报价表</w:t>
      </w:r>
    </w:p>
    <w:p w14:paraId="40EC2C12">
      <w:pPr>
        <w:spacing w:after="120" w:afterLines="50" w:line="360" w:lineRule="exact"/>
        <w:ind w:firstLine="210" w:firstLineChars="100"/>
        <w:rPr>
          <w:rFonts w:hint="eastAsia" w:ascii="宋体" w:hAnsi="宋体"/>
          <w:color w:val="auto"/>
          <w:highlight w:val="none"/>
        </w:rPr>
      </w:pPr>
      <w:r>
        <w:rPr>
          <w:rFonts w:hint="eastAsia" w:ascii="宋体" w:hAnsi="宋体"/>
          <w:color w:val="auto"/>
          <w:highlight w:val="none"/>
        </w:rPr>
        <w:t>投标人名称：                                                                                      采购项目</w:t>
      </w:r>
      <w:r>
        <w:rPr>
          <w:rFonts w:hint="eastAsia" w:ascii="宋体" w:hAnsi="宋体"/>
          <w:color w:val="auto"/>
          <w:highlight w:val="none"/>
          <w:lang w:val="en-US" w:eastAsia="zh-CN"/>
        </w:rPr>
        <w:t>编号</w:t>
      </w:r>
      <w:r>
        <w:rPr>
          <w:rFonts w:hint="eastAsia" w:ascii="宋体" w:hAnsi="宋体"/>
          <w:color w:val="auto"/>
          <w:highlight w:val="none"/>
        </w:rPr>
        <w:t>：</w:t>
      </w:r>
    </w:p>
    <w:tbl>
      <w:tblPr>
        <w:tblStyle w:val="23"/>
        <w:tblW w:w="13962" w:type="dxa"/>
        <w:tblInd w:w="288"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71"/>
        <w:gridCol w:w="1843"/>
        <w:gridCol w:w="1924"/>
        <w:gridCol w:w="1240"/>
        <w:gridCol w:w="2422"/>
        <w:gridCol w:w="1346"/>
        <w:gridCol w:w="818"/>
        <w:gridCol w:w="1162"/>
        <w:gridCol w:w="1219"/>
        <w:gridCol w:w="1317"/>
      </w:tblGrid>
      <w:tr w14:paraId="18DC42E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89" w:hRule="atLeast"/>
        </w:trPr>
        <w:tc>
          <w:tcPr>
            <w:tcW w:w="671" w:type="dxa"/>
            <w:noWrap w:val="0"/>
            <w:vAlign w:val="center"/>
          </w:tcPr>
          <w:p w14:paraId="3C05879E">
            <w:pPr>
              <w:adjustRightInd w:val="0"/>
              <w:snapToGrid w:val="0"/>
              <w:spacing w:line="360" w:lineRule="exact"/>
              <w:jc w:val="center"/>
              <w:rPr>
                <w:rFonts w:hint="eastAsia" w:ascii="宋体" w:hAnsi="宋体"/>
                <w:b/>
                <w:color w:val="auto"/>
                <w:szCs w:val="21"/>
                <w:highlight w:val="none"/>
              </w:rPr>
            </w:pPr>
            <w:r>
              <w:rPr>
                <w:rFonts w:hint="eastAsia" w:ascii="宋体" w:hAnsi="宋体"/>
                <w:b/>
                <w:color w:val="auto"/>
                <w:szCs w:val="21"/>
                <w:highlight w:val="none"/>
              </w:rPr>
              <w:t>序号</w:t>
            </w:r>
          </w:p>
        </w:tc>
        <w:tc>
          <w:tcPr>
            <w:tcW w:w="1843" w:type="dxa"/>
            <w:noWrap w:val="0"/>
            <w:vAlign w:val="center"/>
          </w:tcPr>
          <w:p w14:paraId="21BFF90A">
            <w:pPr>
              <w:adjustRightInd w:val="0"/>
              <w:snapToGrid w:val="0"/>
              <w:spacing w:line="360" w:lineRule="exact"/>
              <w:jc w:val="center"/>
              <w:rPr>
                <w:rFonts w:hint="eastAsia" w:ascii="宋体" w:hAnsi="宋体"/>
                <w:b/>
                <w:color w:val="auto"/>
                <w:szCs w:val="21"/>
                <w:highlight w:val="none"/>
              </w:rPr>
            </w:pPr>
            <w:r>
              <w:rPr>
                <w:rFonts w:hint="eastAsia" w:ascii="宋体" w:hAnsi="宋体"/>
                <w:b/>
                <w:color w:val="auto"/>
                <w:szCs w:val="21"/>
                <w:highlight w:val="none"/>
              </w:rPr>
              <w:t>货物名称</w:t>
            </w:r>
          </w:p>
        </w:tc>
        <w:tc>
          <w:tcPr>
            <w:tcW w:w="1924" w:type="dxa"/>
            <w:noWrap w:val="0"/>
            <w:vAlign w:val="center"/>
          </w:tcPr>
          <w:p w14:paraId="501C4BE2">
            <w:pPr>
              <w:adjustRightInd w:val="0"/>
              <w:snapToGrid w:val="0"/>
              <w:spacing w:line="360" w:lineRule="exact"/>
              <w:jc w:val="center"/>
              <w:rPr>
                <w:rFonts w:hint="eastAsia" w:ascii="宋体" w:hAnsi="宋体"/>
                <w:b/>
                <w:color w:val="auto"/>
                <w:szCs w:val="21"/>
                <w:highlight w:val="none"/>
              </w:rPr>
            </w:pPr>
            <w:r>
              <w:rPr>
                <w:rFonts w:hint="eastAsia" w:ascii="宋体" w:hAnsi="宋体"/>
                <w:b/>
                <w:color w:val="auto"/>
                <w:szCs w:val="21"/>
                <w:highlight w:val="none"/>
              </w:rPr>
              <w:t>品牌</w:t>
            </w:r>
          </w:p>
        </w:tc>
        <w:tc>
          <w:tcPr>
            <w:tcW w:w="1240" w:type="dxa"/>
            <w:noWrap w:val="0"/>
            <w:vAlign w:val="center"/>
          </w:tcPr>
          <w:p w14:paraId="7B25C2BD">
            <w:pPr>
              <w:adjustRightInd w:val="0"/>
              <w:snapToGrid w:val="0"/>
              <w:spacing w:line="360" w:lineRule="exact"/>
              <w:jc w:val="center"/>
              <w:rPr>
                <w:rFonts w:hint="eastAsia" w:ascii="宋体" w:hAnsi="宋体"/>
                <w:b/>
                <w:color w:val="auto"/>
                <w:szCs w:val="21"/>
                <w:highlight w:val="none"/>
              </w:rPr>
            </w:pPr>
            <w:r>
              <w:rPr>
                <w:rFonts w:hint="eastAsia" w:ascii="宋体" w:hAnsi="宋体"/>
                <w:b/>
                <w:color w:val="auto"/>
                <w:szCs w:val="21"/>
                <w:highlight w:val="none"/>
              </w:rPr>
              <w:t>型号规格</w:t>
            </w:r>
          </w:p>
        </w:tc>
        <w:tc>
          <w:tcPr>
            <w:tcW w:w="2422" w:type="dxa"/>
            <w:noWrap w:val="0"/>
            <w:vAlign w:val="center"/>
          </w:tcPr>
          <w:p w14:paraId="0900DA25">
            <w:pPr>
              <w:adjustRightInd w:val="0"/>
              <w:snapToGrid w:val="0"/>
              <w:spacing w:line="360" w:lineRule="exact"/>
              <w:jc w:val="center"/>
              <w:rPr>
                <w:rFonts w:hint="eastAsia" w:ascii="宋体" w:hAnsi="宋体"/>
                <w:b/>
                <w:color w:val="auto"/>
                <w:szCs w:val="21"/>
                <w:highlight w:val="none"/>
              </w:rPr>
            </w:pPr>
            <w:r>
              <w:rPr>
                <w:rFonts w:hint="eastAsia" w:ascii="宋体" w:hAnsi="宋体"/>
                <w:b/>
                <w:color w:val="auto"/>
                <w:szCs w:val="21"/>
                <w:highlight w:val="none"/>
              </w:rPr>
              <w:t>制造商</w:t>
            </w:r>
          </w:p>
        </w:tc>
        <w:tc>
          <w:tcPr>
            <w:tcW w:w="1346" w:type="dxa"/>
            <w:noWrap w:val="0"/>
            <w:vAlign w:val="center"/>
          </w:tcPr>
          <w:p w14:paraId="77A83A09">
            <w:pPr>
              <w:adjustRightInd w:val="0"/>
              <w:snapToGrid w:val="0"/>
              <w:spacing w:line="360" w:lineRule="exact"/>
              <w:jc w:val="center"/>
              <w:rPr>
                <w:rFonts w:hint="eastAsia" w:ascii="宋体" w:hAnsi="宋体"/>
                <w:b/>
                <w:color w:val="auto"/>
                <w:szCs w:val="21"/>
                <w:highlight w:val="none"/>
              </w:rPr>
            </w:pPr>
            <w:r>
              <w:rPr>
                <w:rFonts w:hint="eastAsia" w:ascii="宋体" w:hAnsi="宋体"/>
                <w:b/>
                <w:color w:val="auto"/>
                <w:szCs w:val="21"/>
                <w:highlight w:val="none"/>
              </w:rPr>
              <w:t>数量/单位</w:t>
            </w:r>
          </w:p>
        </w:tc>
        <w:tc>
          <w:tcPr>
            <w:tcW w:w="818" w:type="dxa"/>
            <w:noWrap w:val="0"/>
            <w:vAlign w:val="center"/>
          </w:tcPr>
          <w:p w14:paraId="4461405C">
            <w:pPr>
              <w:adjustRightInd w:val="0"/>
              <w:snapToGrid w:val="0"/>
              <w:spacing w:line="360" w:lineRule="exact"/>
              <w:jc w:val="center"/>
              <w:rPr>
                <w:rFonts w:hint="eastAsia" w:ascii="宋体" w:hAnsi="宋体"/>
                <w:b/>
                <w:color w:val="auto"/>
                <w:szCs w:val="21"/>
                <w:highlight w:val="none"/>
              </w:rPr>
            </w:pPr>
            <w:r>
              <w:rPr>
                <w:rFonts w:hint="eastAsia" w:ascii="宋体" w:hAnsi="宋体"/>
                <w:b/>
                <w:color w:val="auto"/>
                <w:szCs w:val="21"/>
                <w:highlight w:val="none"/>
              </w:rPr>
              <w:t>单价（元）</w:t>
            </w:r>
          </w:p>
        </w:tc>
        <w:tc>
          <w:tcPr>
            <w:tcW w:w="1162" w:type="dxa"/>
            <w:noWrap w:val="0"/>
            <w:vAlign w:val="center"/>
          </w:tcPr>
          <w:p w14:paraId="7727D40B">
            <w:pPr>
              <w:adjustRightInd w:val="0"/>
              <w:snapToGrid w:val="0"/>
              <w:spacing w:line="360" w:lineRule="exact"/>
              <w:jc w:val="center"/>
              <w:rPr>
                <w:rFonts w:hint="eastAsia" w:ascii="宋体" w:hAnsi="宋体"/>
                <w:b/>
                <w:color w:val="auto"/>
                <w:szCs w:val="21"/>
                <w:highlight w:val="none"/>
              </w:rPr>
            </w:pPr>
            <w:r>
              <w:rPr>
                <w:rFonts w:hint="eastAsia" w:ascii="宋体" w:hAnsi="宋体"/>
                <w:b/>
                <w:color w:val="auto"/>
                <w:szCs w:val="21"/>
                <w:highlight w:val="none"/>
              </w:rPr>
              <w:t>报价（元）</w:t>
            </w:r>
          </w:p>
        </w:tc>
        <w:tc>
          <w:tcPr>
            <w:tcW w:w="1219" w:type="dxa"/>
            <w:noWrap w:val="0"/>
            <w:vAlign w:val="center"/>
          </w:tcPr>
          <w:p w14:paraId="2E23A4A5">
            <w:pPr>
              <w:adjustRightInd w:val="0"/>
              <w:snapToGrid w:val="0"/>
              <w:spacing w:line="360" w:lineRule="exact"/>
              <w:jc w:val="center"/>
              <w:rPr>
                <w:rFonts w:hint="eastAsia" w:ascii="宋体" w:hAnsi="宋体"/>
                <w:b/>
                <w:color w:val="auto"/>
                <w:szCs w:val="21"/>
                <w:highlight w:val="none"/>
              </w:rPr>
            </w:pPr>
            <w:r>
              <w:rPr>
                <w:rFonts w:hint="eastAsia" w:ascii="宋体" w:hAnsi="宋体"/>
                <w:b/>
                <w:color w:val="auto"/>
                <w:szCs w:val="21"/>
                <w:highlight w:val="none"/>
              </w:rPr>
              <w:t>小微企业</w:t>
            </w:r>
          </w:p>
        </w:tc>
        <w:tc>
          <w:tcPr>
            <w:tcW w:w="1317" w:type="dxa"/>
            <w:noWrap w:val="0"/>
            <w:vAlign w:val="center"/>
          </w:tcPr>
          <w:p w14:paraId="7890F5D1">
            <w:pPr>
              <w:adjustRightInd w:val="0"/>
              <w:snapToGrid w:val="0"/>
              <w:spacing w:line="360" w:lineRule="exact"/>
              <w:jc w:val="center"/>
              <w:rPr>
                <w:rFonts w:hint="eastAsia" w:ascii="宋体" w:hAnsi="宋体"/>
                <w:b/>
                <w:color w:val="auto"/>
                <w:szCs w:val="21"/>
                <w:highlight w:val="none"/>
              </w:rPr>
            </w:pPr>
            <w:r>
              <w:rPr>
                <w:rFonts w:hint="eastAsia" w:ascii="宋体" w:hAnsi="宋体"/>
                <w:b/>
                <w:color w:val="auto"/>
                <w:szCs w:val="21"/>
                <w:highlight w:val="none"/>
              </w:rPr>
              <w:t>备注</w:t>
            </w:r>
          </w:p>
        </w:tc>
      </w:tr>
      <w:tr w14:paraId="54E2F92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71" w:type="dxa"/>
            <w:noWrap w:val="0"/>
            <w:vAlign w:val="center"/>
          </w:tcPr>
          <w:p w14:paraId="751FDF04">
            <w:pPr>
              <w:adjustRightInd w:val="0"/>
              <w:snapToGrid w:val="0"/>
              <w:spacing w:line="360" w:lineRule="auto"/>
              <w:jc w:val="center"/>
              <w:rPr>
                <w:rFonts w:hint="eastAsia" w:ascii="宋体" w:hAnsi="宋体"/>
                <w:color w:val="auto"/>
                <w:szCs w:val="21"/>
                <w:highlight w:val="none"/>
              </w:rPr>
            </w:pPr>
          </w:p>
        </w:tc>
        <w:tc>
          <w:tcPr>
            <w:tcW w:w="1843" w:type="dxa"/>
            <w:noWrap w:val="0"/>
            <w:vAlign w:val="center"/>
          </w:tcPr>
          <w:p w14:paraId="2E3758CB">
            <w:pPr>
              <w:adjustRightInd w:val="0"/>
              <w:snapToGrid w:val="0"/>
              <w:spacing w:line="360" w:lineRule="auto"/>
              <w:jc w:val="center"/>
              <w:rPr>
                <w:rFonts w:hint="eastAsia" w:ascii="宋体" w:hAnsi="宋体"/>
                <w:color w:val="auto"/>
                <w:szCs w:val="21"/>
                <w:highlight w:val="none"/>
              </w:rPr>
            </w:pPr>
          </w:p>
        </w:tc>
        <w:tc>
          <w:tcPr>
            <w:tcW w:w="1924" w:type="dxa"/>
            <w:noWrap w:val="0"/>
            <w:vAlign w:val="top"/>
          </w:tcPr>
          <w:p w14:paraId="56855E20">
            <w:pPr>
              <w:adjustRightInd w:val="0"/>
              <w:snapToGrid w:val="0"/>
              <w:spacing w:line="360" w:lineRule="auto"/>
              <w:jc w:val="center"/>
              <w:rPr>
                <w:rFonts w:hint="eastAsia" w:ascii="宋体" w:hAnsi="宋体"/>
                <w:color w:val="auto"/>
                <w:szCs w:val="21"/>
                <w:highlight w:val="none"/>
              </w:rPr>
            </w:pPr>
          </w:p>
        </w:tc>
        <w:tc>
          <w:tcPr>
            <w:tcW w:w="1240" w:type="dxa"/>
            <w:noWrap w:val="0"/>
            <w:vAlign w:val="top"/>
          </w:tcPr>
          <w:p w14:paraId="53434208">
            <w:pPr>
              <w:adjustRightInd w:val="0"/>
              <w:snapToGrid w:val="0"/>
              <w:spacing w:line="360" w:lineRule="auto"/>
              <w:jc w:val="center"/>
              <w:rPr>
                <w:rFonts w:hint="eastAsia" w:ascii="宋体" w:hAnsi="宋体"/>
                <w:color w:val="auto"/>
                <w:szCs w:val="21"/>
                <w:highlight w:val="none"/>
              </w:rPr>
            </w:pPr>
          </w:p>
        </w:tc>
        <w:tc>
          <w:tcPr>
            <w:tcW w:w="2422" w:type="dxa"/>
            <w:noWrap w:val="0"/>
            <w:vAlign w:val="top"/>
          </w:tcPr>
          <w:p w14:paraId="017C2362">
            <w:pPr>
              <w:adjustRightInd w:val="0"/>
              <w:snapToGrid w:val="0"/>
              <w:spacing w:line="360" w:lineRule="auto"/>
              <w:jc w:val="center"/>
              <w:rPr>
                <w:rFonts w:hint="eastAsia" w:ascii="宋体" w:hAnsi="宋体"/>
                <w:color w:val="auto"/>
                <w:szCs w:val="21"/>
                <w:highlight w:val="none"/>
              </w:rPr>
            </w:pPr>
          </w:p>
        </w:tc>
        <w:tc>
          <w:tcPr>
            <w:tcW w:w="1346" w:type="dxa"/>
            <w:noWrap w:val="0"/>
            <w:vAlign w:val="top"/>
          </w:tcPr>
          <w:p w14:paraId="72D412FE">
            <w:pPr>
              <w:adjustRightInd w:val="0"/>
              <w:snapToGrid w:val="0"/>
              <w:spacing w:line="360" w:lineRule="auto"/>
              <w:jc w:val="center"/>
              <w:rPr>
                <w:rFonts w:hint="eastAsia" w:ascii="宋体" w:hAnsi="宋体"/>
                <w:color w:val="auto"/>
                <w:szCs w:val="21"/>
                <w:highlight w:val="none"/>
              </w:rPr>
            </w:pPr>
          </w:p>
        </w:tc>
        <w:tc>
          <w:tcPr>
            <w:tcW w:w="818" w:type="dxa"/>
            <w:noWrap w:val="0"/>
            <w:vAlign w:val="center"/>
          </w:tcPr>
          <w:p w14:paraId="14A15A52">
            <w:pPr>
              <w:adjustRightInd w:val="0"/>
              <w:snapToGrid w:val="0"/>
              <w:spacing w:line="360" w:lineRule="auto"/>
              <w:jc w:val="center"/>
              <w:rPr>
                <w:rFonts w:hint="eastAsia" w:ascii="宋体" w:hAnsi="宋体"/>
                <w:color w:val="auto"/>
                <w:szCs w:val="21"/>
                <w:highlight w:val="none"/>
              </w:rPr>
            </w:pPr>
          </w:p>
        </w:tc>
        <w:tc>
          <w:tcPr>
            <w:tcW w:w="1162" w:type="dxa"/>
            <w:noWrap w:val="0"/>
            <w:vAlign w:val="top"/>
          </w:tcPr>
          <w:p w14:paraId="44D19BD6">
            <w:pPr>
              <w:adjustRightInd w:val="0"/>
              <w:snapToGrid w:val="0"/>
              <w:spacing w:line="360" w:lineRule="auto"/>
              <w:jc w:val="center"/>
              <w:rPr>
                <w:rFonts w:hint="eastAsia" w:ascii="宋体" w:hAnsi="宋体"/>
                <w:color w:val="auto"/>
                <w:szCs w:val="21"/>
                <w:highlight w:val="none"/>
              </w:rPr>
            </w:pPr>
          </w:p>
        </w:tc>
        <w:tc>
          <w:tcPr>
            <w:tcW w:w="1219" w:type="dxa"/>
            <w:noWrap w:val="0"/>
            <w:vAlign w:val="top"/>
          </w:tcPr>
          <w:p w14:paraId="3B9A23C9">
            <w:pPr>
              <w:adjustRightInd w:val="0"/>
              <w:snapToGrid w:val="0"/>
              <w:spacing w:line="360" w:lineRule="auto"/>
              <w:jc w:val="center"/>
              <w:rPr>
                <w:rFonts w:hint="eastAsia" w:ascii="宋体" w:hAnsi="宋体"/>
                <w:color w:val="auto"/>
                <w:szCs w:val="21"/>
                <w:highlight w:val="none"/>
              </w:rPr>
            </w:pPr>
          </w:p>
        </w:tc>
        <w:tc>
          <w:tcPr>
            <w:tcW w:w="1317" w:type="dxa"/>
            <w:noWrap w:val="0"/>
            <w:vAlign w:val="center"/>
          </w:tcPr>
          <w:p w14:paraId="2B1ABDA0">
            <w:pPr>
              <w:adjustRightInd w:val="0"/>
              <w:snapToGrid w:val="0"/>
              <w:spacing w:line="360" w:lineRule="auto"/>
              <w:jc w:val="center"/>
              <w:rPr>
                <w:rFonts w:hint="eastAsia" w:ascii="宋体" w:hAnsi="宋体"/>
                <w:color w:val="auto"/>
                <w:szCs w:val="21"/>
                <w:highlight w:val="none"/>
              </w:rPr>
            </w:pPr>
          </w:p>
        </w:tc>
      </w:tr>
      <w:tr w14:paraId="2393222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71" w:type="dxa"/>
            <w:noWrap w:val="0"/>
            <w:vAlign w:val="center"/>
          </w:tcPr>
          <w:p w14:paraId="077CFEE0">
            <w:pPr>
              <w:adjustRightInd w:val="0"/>
              <w:snapToGrid w:val="0"/>
              <w:spacing w:line="360" w:lineRule="auto"/>
              <w:jc w:val="center"/>
              <w:rPr>
                <w:rFonts w:hint="eastAsia" w:ascii="宋体" w:hAnsi="宋体"/>
                <w:color w:val="auto"/>
                <w:szCs w:val="21"/>
                <w:highlight w:val="none"/>
              </w:rPr>
            </w:pPr>
          </w:p>
        </w:tc>
        <w:tc>
          <w:tcPr>
            <w:tcW w:w="1843" w:type="dxa"/>
            <w:noWrap w:val="0"/>
            <w:vAlign w:val="center"/>
          </w:tcPr>
          <w:p w14:paraId="7AABE245">
            <w:pPr>
              <w:adjustRightInd w:val="0"/>
              <w:snapToGrid w:val="0"/>
              <w:spacing w:line="360" w:lineRule="auto"/>
              <w:jc w:val="center"/>
              <w:rPr>
                <w:rFonts w:hint="eastAsia" w:ascii="宋体" w:hAnsi="宋体"/>
                <w:color w:val="auto"/>
                <w:szCs w:val="21"/>
                <w:highlight w:val="none"/>
              </w:rPr>
            </w:pPr>
          </w:p>
        </w:tc>
        <w:tc>
          <w:tcPr>
            <w:tcW w:w="1924" w:type="dxa"/>
            <w:noWrap w:val="0"/>
            <w:vAlign w:val="top"/>
          </w:tcPr>
          <w:p w14:paraId="3F75368A">
            <w:pPr>
              <w:adjustRightInd w:val="0"/>
              <w:snapToGrid w:val="0"/>
              <w:spacing w:line="360" w:lineRule="auto"/>
              <w:jc w:val="center"/>
              <w:rPr>
                <w:rFonts w:hint="eastAsia" w:ascii="宋体" w:hAnsi="宋体"/>
                <w:color w:val="auto"/>
                <w:szCs w:val="21"/>
                <w:highlight w:val="none"/>
              </w:rPr>
            </w:pPr>
          </w:p>
        </w:tc>
        <w:tc>
          <w:tcPr>
            <w:tcW w:w="1240" w:type="dxa"/>
            <w:noWrap w:val="0"/>
            <w:vAlign w:val="top"/>
          </w:tcPr>
          <w:p w14:paraId="0F2C4ABA">
            <w:pPr>
              <w:adjustRightInd w:val="0"/>
              <w:snapToGrid w:val="0"/>
              <w:spacing w:line="360" w:lineRule="auto"/>
              <w:jc w:val="center"/>
              <w:rPr>
                <w:rFonts w:hint="eastAsia" w:ascii="宋体" w:hAnsi="宋体"/>
                <w:color w:val="auto"/>
                <w:szCs w:val="21"/>
                <w:highlight w:val="none"/>
              </w:rPr>
            </w:pPr>
          </w:p>
        </w:tc>
        <w:tc>
          <w:tcPr>
            <w:tcW w:w="2422" w:type="dxa"/>
            <w:noWrap w:val="0"/>
            <w:vAlign w:val="top"/>
          </w:tcPr>
          <w:p w14:paraId="72EC4C9D">
            <w:pPr>
              <w:adjustRightInd w:val="0"/>
              <w:snapToGrid w:val="0"/>
              <w:spacing w:line="360" w:lineRule="auto"/>
              <w:jc w:val="center"/>
              <w:rPr>
                <w:rFonts w:hint="eastAsia" w:ascii="宋体" w:hAnsi="宋体"/>
                <w:color w:val="auto"/>
                <w:szCs w:val="21"/>
                <w:highlight w:val="none"/>
              </w:rPr>
            </w:pPr>
          </w:p>
        </w:tc>
        <w:tc>
          <w:tcPr>
            <w:tcW w:w="1346" w:type="dxa"/>
            <w:noWrap w:val="0"/>
            <w:vAlign w:val="top"/>
          </w:tcPr>
          <w:p w14:paraId="1A0B6109">
            <w:pPr>
              <w:adjustRightInd w:val="0"/>
              <w:snapToGrid w:val="0"/>
              <w:spacing w:line="360" w:lineRule="auto"/>
              <w:jc w:val="center"/>
              <w:rPr>
                <w:rFonts w:hint="eastAsia" w:ascii="宋体" w:hAnsi="宋体"/>
                <w:color w:val="auto"/>
                <w:szCs w:val="21"/>
                <w:highlight w:val="none"/>
              </w:rPr>
            </w:pPr>
          </w:p>
        </w:tc>
        <w:tc>
          <w:tcPr>
            <w:tcW w:w="818" w:type="dxa"/>
            <w:noWrap w:val="0"/>
            <w:vAlign w:val="center"/>
          </w:tcPr>
          <w:p w14:paraId="5B3905C1">
            <w:pPr>
              <w:adjustRightInd w:val="0"/>
              <w:snapToGrid w:val="0"/>
              <w:spacing w:line="360" w:lineRule="auto"/>
              <w:jc w:val="center"/>
              <w:rPr>
                <w:rFonts w:hint="eastAsia" w:ascii="宋体" w:hAnsi="宋体"/>
                <w:color w:val="auto"/>
                <w:szCs w:val="21"/>
                <w:highlight w:val="none"/>
              </w:rPr>
            </w:pPr>
          </w:p>
        </w:tc>
        <w:tc>
          <w:tcPr>
            <w:tcW w:w="1162" w:type="dxa"/>
            <w:noWrap w:val="0"/>
            <w:vAlign w:val="top"/>
          </w:tcPr>
          <w:p w14:paraId="13BEAAD4">
            <w:pPr>
              <w:adjustRightInd w:val="0"/>
              <w:snapToGrid w:val="0"/>
              <w:spacing w:line="360" w:lineRule="auto"/>
              <w:jc w:val="center"/>
              <w:rPr>
                <w:rFonts w:hint="eastAsia" w:ascii="宋体" w:hAnsi="宋体"/>
                <w:color w:val="auto"/>
                <w:szCs w:val="21"/>
                <w:highlight w:val="none"/>
              </w:rPr>
            </w:pPr>
          </w:p>
        </w:tc>
        <w:tc>
          <w:tcPr>
            <w:tcW w:w="1219" w:type="dxa"/>
            <w:noWrap w:val="0"/>
            <w:vAlign w:val="top"/>
          </w:tcPr>
          <w:p w14:paraId="497A62D0">
            <w:pPr>
              <w:adjustRightInd w:val="0"/>
              <w:snapToGrid w:val="0"/>
              <w:spacing w:line="360" w:lineRule="auto"/>
              <w:jc w:val="center"/>
              <w:rPr>
                <w:rFonts w:hint="eastAsia" w:ascii="宋体" w:hAnsi="宋体"/>
                <w:color w:val="auto"/>
                <w:szCs w:val="21"/>
                <w:highlight w:val="none"/>
              </w:rPr>
            </w:pPr>
          </w:p>
        </w:tc>
        <w:tc>
          <w:tcPr>
            <w:tcW w:w="1317" w:type="dxa"/>
            <w:noWrap w:val="0"/>
            <w:vAlign w:val="center"/>
          </w:tcPr>
          <w:p w14:paraId="0723ADDF">
            <w:pPr>
              <w:adjustRightInd w:val="0"/>
              <w:snapToGrid w:val="0"/>
              <w:spacing w:line="360" w:lineRule="auto"/>
              <w:jc w:val="center"/>
              <w:rPr>
                <w:rFonts w:hint="eastAsia" w:ascii="宋体" w:hAnsi="宋体"/>
                <w:color w:val="auto"/>
                <w:szCs w:val="21"/>
                <w:highlight w:val="none"/>
              </w:rPr>
            </w:pPr>
          </w:p>
        </w:tc>
      </w:tr>
      <w:tr w14:paraId="57F9ABF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7" w:hRule="atLeast"/>
        </w:trPr>
        <w:tc>
          <w:tcPr>
            <w:tcW w:w="671" w:type="dxa"/>
            <w:noWrap w:val="0"/>
            <w:vAlign w:val="center"/>
          </w:tcPr>
          <w:p w14:paraId="45A8B92C">
            <w:pPr>
              <w:adjustRightInd w:val="0"/>
              <w:snapToGrid w:val="0"/>
              <w:spacing w:line="360" w:lineRule="auto"/>
              <w:jc w:val="center"/>
              <w:rPr>
                <w:rFonts w:hint="eastAsia" w:ascii="宋体" w:hAnsi="宋体"/>
                <w:color w:val="auto"/>
                <w:szCs w:val="21"/>
                <w:highlight w:val="none"/>
              </w:rPr>
            </w:pPr>
          </w:p>
        </w:tc>
        <w:tc>
          <w:tcPr>
            <w:tcW w:w="1843" w:type="dxa"/>
            <w:noWrap w:val="0"/>
            <w:vAlign w:val="center"/>
          </w:tcPr>
          <w:p w14:paraId="7ECDCF26">
            <w:pPr>
              <w:adjustRightInd w:val="0"/>
              <w:snapToGrid w:val="0"/>
              <w:spacing w:line="360" w:lineRule="auto"/>
              <w:jc w:val="center"/>
              <w:rPr>
                <w:rFonts w:hint="eastAsia" w:ascii="宋体" w:hAnsi="宋体"/>
                <w:color w:val="auto"/>
                <w:szCs w:val="21"/>
                <w:highlight w:val="none"/>
              </w:rPr>
            </w:pPr>
          </w:p>
        </w:tc>
        <w:tc>
          <w:tcPr>
            <w:tcW w:w="1924" w:type="dxa"/>
            <w:noWrap w:val="0"/>
            <w:vAlign w:val="top"/>
          </w:tcPr>
          <w:p w14:paraId="23A62E77">
            <w:pPr>
              <w:adjustRightInd w:val="0"/>
              <w:snapToGrid w:val="0"/>
              <w:spacing w:line="360" w:lineRule="auto"/>
              <w:jc w:val="center"/>
              <w:rPr>
                <w:rFonts w:hint="eastAsia" w:ascii="宋体" w:hAnsi="宋体"/>
                <w:color w:val="auto"/>
                <w:szCs w:val="21"/>
                <w:highlight w:val="none"/>
              </w:rPr>
            </w:pPr>
          </w:p>
        </w:tc>
        <w:tc>
          <w:tcPr>
            <w:tcW w:w="1240" w:type="dxa"/>
            <w:noWrap w:val="0"/>
            <w:vAlign w:val="top"/>
          </w:tcPr>
          <w:p w14:paraId="102CC102">
            <w:pPr>
              <w:adjustRightInd w:val="0"/>
              <w:snapToGrid w:val="0"/>
              <w:spacing w:line="360" w:lineRule="auto"/>
              <w:jc w:val="center"/>
              <w:rPr>
                <w:rFonts w:hint="eastAsia" w:ascii="宋体" w:hAnsi="宋体"/>
                <w:color w:val="auto"/>
                <w:szCs w:val="21"/>
                <w:highlight w:val="none"/>
              </w:rPr>
            </w:pPr>
          </w:p>
        </w:tc>
        <w:tc>
          <w:tcPr>
            <w:tcW w:w="2422" w:type="dxa"/>
            <w:noWrap w:val="0"/>
            <w:vAlign w:val="top"/>
          </w:tcPr>
          <w:p w14:paraId="188CE901">
            <w:pPr>
              <w:adjustRightInd w:val="0"/>
              <w:snapToGrid w:val="0"/>
              <w:spacing w:line="360" w:lineRule="auto"/>
              <w:jc w:val="center"/>
              <w:rPr>
                <w:rFonts w:hint="eastAsia" w:ascii="宋体" w:hAnsi="宋体"/>
                <w:color w:val="auto"/>
                <w:szCs w:val="21"/>
                <w:highlight w:val="none"/>
              </w:rPr>
            </w:pPr>
          </w:p>
        </w:tc>
        <w:tc>
          <w:tcPr>
            <w:tcW w:w="1346" w:type="dxa"/>
            <w:noWrap w:val="0"/>
            <w:vAlign w:val="top"/>
          </w:tcPr>
          <w:p w14:paraId="792463C6">
            <w:pPr>
              <w:adjustRightInd w:val="0"/>
              <w:snapToGrid w:val="0"/>
              <w:spacing w:line="360" w:lineRule="auto"/>
              <w:jc w:val="center"/>
              <w:rPr>
                <w:rFonts w:hint="eastAsia" w:ascii="宋体" w:hAnsi="宋体"/>
                <w:color w:val="auto"/>
                <w:szCs w:val="21"/>
                <w:highlight w:val="none"/>
              </w:rPr>
            </w:pPr>
          </w:p>
        </w:tc>
        <w:tc>
          <w:tcPr>
            <w:tcW w:w="818" w:type="dxa"/>
            <w:noWrap w:val="0"/>
            <w:vAlign w:val="center"/>
          </w:tcPr>
          <w:p w14:paraId="29716692">
            <w:pPr>
              <w:adjustRightInd w:val="0"/>
              <w:snapToGrid w:val="0"/>
              <w:spacing w:line="360" w:lineRule="auto"/>
              <w:jc w:val="center"/>
              <w:rPr>
                <w:rFonts w:hint="eastAsia" w:ascii="宋体" w:hAnsi="宋体"/>
                <w:color w:val="auto"/>
                <w:szCs w:val="21"/>
                <w:highlight w:val="none"/>
              </w:rPr>
            </w:pPr>
          </w:p>
        </w:tc>
        <w:tc>
          <w:tcPr>
            <w:tcW w:w="1162" w:type="dxa"/>
            <w:noWrap w:val="0"/>
            <w:vAlign w:val="top"/>
          </w:tcPr>
          <w:p w14:paraId="299439CE">
            <w:pPr>
              <w:adjustRightInd w:val="0"/>
              <w:snapToGrid w:val="0"/>
              <w:spacing w:line="360" w:lineRule="auto"/>
              <w:jc w:val="center"/>
              <w:rPr>
                <w:rFonts w:hint="eastAsia" w:ascii="宋体" w:hAnsi="宋体"/>
                <w:color w:val="auto"/>
                <w:szCs w:val="21"/>
                <w:highlight w:val="none"/>
              </w:rPr>
            </w:pPr>
          </w:p>
        </w:tc>
        <w:tc>
          <w:tcPr>
            <w:tcW w:w="1219" w:type="dxa"/>
            <w:noWrap w:val="0"/>
            <w:vAlign w:val="top"/>
          </w:tcPr>
          <w:p w14:paraId="139B7B09">
            <w:pPr>
              <w:adjustRightInd w:val="0"/>
              <w:snapToGrid w:val="0"/>
              <w:spacing w:line="360" w:lineRule="auto"/>
              <w:jc w:val="center"/>
              <w:rPr>
                <w:rFonts w:hint="eastAsia" w:ascii="宋体" w:hAnsi="宋体"/>
                <w:color w:val="auto"/>
                <w:szCs w:val="21"/>
                <w:highlight w:val="none"/>
              </w:rPr>
            </w:pPr>
          </w:p>
        </w:tc>
        <w:tc>
          <w:tcPr>
            <w:tcW w:w="1317" w:type="dxa"/>
            <w:noWrap w:val="0"/>
            <w:vAlign w:val="center"/>
          </w:tcPr>
          <w:p w14:paraId="72FEA6C9">
            <w:pPr>
              <w:adjustRightInd w:val="0"/>
              <w:snapToGrid w:val="0"/>
              <w:spacing w:line="360" w:lineRule="auto"/>
              <w:jc w:val="center"/>
              <w:rPr>
                <w:rFonts w:hint="eastAsia" w:ascii="宋体" w:hAnsi="宋体"/>
                <w:color w:val="auto"/>
                <w:szCs w:val="21"/>
                <w:highlight w:val="none"/>
              </w:rPr>
            </w:pPr>
          </w:p>
        </w:tc>
      </w:tr>
      <w:tr w14:paraId="001124C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71" w:type="dxa"/>
            <w:noWrap w:val="0"/>
            <w:vAlign w:val="center"/>
          </w:tcPr>
          <w:p w14:paraId="1502369D">
            <w:pPr>
              <w:adjustRightInd w:val="0"/>
              <w:snapToGrid w:val="0"/>
              <w:spacing w:line="360" w:lineRule="auto"/>
              <w:jc w:val="center"/>
              <w:rPr>
                <w:rFonts w:hint="eastAsia" w:ascii="宋体" w:hAnsi="宋体"/>
                <w:color w:val="auto"/>
                <w:szCs w:val="21"/>
                <w:highlight w:val="none"/>
              </w:rPr>
            </w:pPr>
          </w:p>
        </w:tc>
        <w:tc>
          <w:tcPr>
            <w:tcW w:w="1843" w:type="dxa"/>
            <w:noWrap w:val="0"/>
            <w:vAlign w:val="center"/>
          </w:tcPr>
          <w:p w14:paraId="683255E1">
            <w:pPr>
              <w:adjustRightInd w:val="0"/>
              <w:snapToGrid w:val="0"/>
              <w:spacing w:line="360" w:lineRule="auto"/>
              <w:jc w:val="center"/>
              <w:rPr>
                <w:rFonts w:hint="default" w:ascii="宋体" w:hAnsi="宋体" w:eastAsia="宋体"/>
                <w:color w:val="auto"/>
                <w:szCs w:val="21"/>
                <w:highlight w:val="none"/>
                <w:lang w:val="en-US" w:eastAsia="zh-CN"/>
              </w:rPr>
            </w:pPr>
            <w:r>
              <w:rPr>
                <w:rFonts w:hint="eastAsia" w:ascii="宋体" w:hAnsi="宋体"/>
                <w:color w:val="auto"/>
                <w:szCs w:val="21"/>
                <w:highlight w:val="none"/>
                <w:lang w:val="en-US" w:eastAsia="zh-CN"/>
              </w:rPr>
              <w:t>.....</w:t>
            </w:r>
          </w:p>
        </w:tc>
        <w:tc>
          <w:tcPr>
            <w:tcW w:w="1924" w:type="dxa"/>
            <w:noWrap w:val="0"/>
            <w:vAlign w:val="top"/>
          </w:tcPr>
          <w:p w14:paraId="6EC26792">
            <w:pPr>
              <w:adjustRightInd w:val="0"/>
              <w:snapToGrid w:val="0"/>
              <w:spacing w:line="360" w:lineRule="auto"/>
              <w:jc w:val="center"/>
              <w:rPr>
                <w:rFonts w:hint="eastAsia" w:ascii="宋体" w:hAnsi="宋体"/>
                <w:color w:val="auto"/>
                <w:szCs w:val="21"/>
                <w:highlight w:val="none"/>
              </w:rPr>
            </w:pPr>
          </w:p>
        </w:tc>
        <w:tc>
          <w:tcPr>
            <w:tcW w:w="1240" w:type="dxa"/>
            <w:noWrap w:val="0"/>
            <w:vAlign w:val="top"/>
          </w:tcPr>
          <w:p w14:paraId="46FCBD44">
            <w:pPr>
              <w:adjustRightInd w:val="0"/>
              <w:snapToGrid w:val="0"/>
              <w:spacing w:line="360" w:lineRule="auto"/>
              <w:jc w:val="center"/>
              <w:rPr>
                <w:rFonts w:hint="eastAsia" w:ascii="宋体" w:hAnsi="宋体"/>
                <w:color w:val="auto"/>
                <w:szCs w:val="21"/>
                <w:highlight w:val="none"/>
              </w:rPr>
            </w:pPr>
          </w:p>
        </w:tc>
        <w:tc>
          <w:tcPr>
            <w:tcW w:w="2422" w:type="dxa"/>
            <w:noWrap w:val="0"/>
            <w:vAlign w:val="top"/>
          </w:tcPr>
          <w:p w14:paraId="7C51274F">
            <w:pPr>
              <w:adjustRightInd w:val="0"/>
              <w:snapToGrid w:val="0"/>
              <w:spacing w:line="360" w:lineRule="auto"/>
              <w:jc w:val="center"/>
              <w:rPr>
                <w:rFonts w:hint="eastAsia" w:ascii="宋体" w:hAnsi="宋体"/>
                <w:color w:val="auto"/>
                <w:szCs w:val="21"/>
                <w:highlight w:val="none"/>
              </w:rPr>
            </w:pPr>
          </w:p>
        </w:tc>
        <w:tc>
          <w:tcPr>
            <w:tcW w:w="1346" w:type="dxa"/>
            <w:noWrap w:val="0"/>
            <w:vAlign w:val="top"/>
          </w:tcPr>
          <w:p w14:paraId="7F7B7C50">
            <w:pPr>
              <w:adjustRightInd w:val="0"/>
              <w:snapToGrid w:val="0"/>
              <w:spacing w:line="360" w:lineRule="auto"/>
              <w:jc w:val="center"/>
              <w:rPr>
                <w:rFonts w:hint="eastAsia" w:ascii="宋体" w:hAnsi="宋体"/>
                <w:color w:val="auto"/>
                <w:szCs w:val="21"/>
                <w:highlight w:val="none"/>
              </w:rPr>
            </w:pPr>
          </w:p>
        </w:tc>
        <w:tc>
          <w:tcPr>
            <w:tcW w:w="818" w:type="dxa"/>
            <w:noWrap w:val="0"/>
            <w:vAlign w:val="center"/>
          </w:tcPr>
          <w:p w14:paraId="14D557B8">
            <w:pPr>
              <w:adjustRightInd w:val="0"/>
              <w:snapToGrid w:val="0"/>
              <w:spacing w:line="360" w:lineRule="auto"/>
              <w:jc w:val="center"/>
              <w:rPr>
                <w:rFonts w:hint="eastAsia" w:ascii="宋体" w:hAnsi="宋体"/>
                <w:color w:val="auto"/>
                <w:szCs w:val="21"/>
                <w:highlight w:val="none"/>
              </w:rPr>
            </w:pPr>
          </w:p>
        </w:tc>
        <w:tc>
          <w:tcPr>
            <w:tcW w:w="1162" w:type="dxa"/>
            <w:noWrap w:val="0"/>
            <w:vAlign w:val="top"/>
          </w:tcPr>
          <w:p w14:paraId="19F8C5B0">
            <w:pPr>
              <w:adjustRightInd w:val="0"/>
              <w:snapToGrid w:val="0"/>
              <w:spacing w:line="360" w:lineRule="auto"/>
              <w:jc w:val="center"/>
              <w:rPr>
                <w:rFonts w:hint="eastAsia" w:ascii="宋体" w:hAnsi="宋体"/>
                <w:color w:val="auto"/>
                <w:szCs w:val="21"/>
                <w:highlight w:val="none"/>
              </w:rPr>
            </w:pPr>
          </w:p>
        </w:tc>
        <w:tc>
          <w:tcPr>
            <w:tcW w:w="1219" w:type="dxa"/>
            <w:noWrap w:val="0"/>
            <w:vAlign w:val="top"/>
          </w:tcPr>
          <w:p w14:paraId="51EC590A">
            <w:pPr>
              <w:adjustRightInd w:val="0"/>
              <w:snapToGrid w:val="0"/>
              <w:spacing w:line="360" w:lineRule="auto"/>
              <w:jc w:val="center"/>
              <w:rPr>
                <w:rFonts w:hint="eastAsia" w:ascii="宋体" w:hAnsi="宋体"/>
                <w:color w:val="auto"/>
                <w:szCs w:val="21"/>
                <w:highlight w:val="none"/>
              </w:rPr>
            </w:pPr>
          </w:p>
        </w:tc>
        <w:tc>
          <w:tcPr>
            <w:tcW w:w="1317" w:type="dxa"/>
            <w:noWrap w:val="0"/>
            <w:vAlign w:val="center"/>
          </w:tcPr>
          <w:p w14:paraId="6DCEA9AF">
            <w:pPr>
              <w:adjustRightInd w:val="0"/>
              <w:snapToGrid w:val="0"/>
              <w:spacing w:line="360" w:lineRule="auto"/>
              <w:jc w:val="center"/>
              <w:rPr>
                <w:rFonts w:hint="eastAsia" w:ascii="宋体" w:hAnsi="宋体"/>
                <w:color w:val="auto"/>
                <w:szCs w:val="21"/>
                <w:highlight w:val="none"/>
              </w:rPr>
            </w:pPr>
          </w:p>
        </w:tc>
      </w:tr>
      <w:tr w14:paraId="3F258DD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71" w:type="dxa"/>
            <w:noWrap w:val="0"/>
            <w:vAlign w:val="center"/>
          </w:tcPr>
          <w:p w14:paraId="2B655344">
            <w:pPr>
              <w:adjustRightInd w:val="0"/>
              <w:snapToGrid w:val="0"/>
              <w:spacing w:line="360" w:lineRule="auto"/>
              <w:jc w:val="center"/>
              <w:rPr>
                <w:rFonts w:hint="eastAsia" w:ascii="宋体" w:hAnsi="宋体"/>
                <w:color w:val="auto"/>
                <w:szCs w:val="21"/>
                <w:highlight w:val="none"/>
              </w:rPr>
            </w:pPr>
          </w:p>
        </w:tc>
        <w:tc>
          <w:tcPr>
            <w:tcW w:w="1843" w:type="dxa"/>
            <w:noWrap w:val="0"/>
            <w:vAlign w:val="center"/>
          </w:tcPr>
          <w:p w14:paraId="7A703875">
            <w:pPr>
              <w:adjustRightInd w:val="0"/>
              <w:snapToGrid w:val="0"/>
              <w:spacing w:line="240" w:lineRule="exact"/>
              <w:jc w:val="center"/>
              <w:rPr>
                <w:rFonts w:hint="eastAsia" w:ascii="宋体" w:hAnsi="宋体"/>
                <w:color w:val="auto"/>
                <w:szCs w:val="21"/>
                <w:highlight w:val="none"/>
              </w:rPr>
            </w:pPr>
            <w:r>
              <w:rPr>
                <w:rFonts w:hint="eastAsia" w:ascii="宋体" w:hAnsi="宋体"/>
                <w:color w:val="auto"/>
                <w:szCs w:val="21"/>
                <w:highlight w:val="none"/>
              </w:rPr>
              <w:t>合计报价（大写）</w:t>
            </w:r>
          </w:p>
        </w:tc>
        <w:tc>
          <w:tcPr>
            <w:tcW w:w="7750" w:type="dxa"/>
            <w:gridSpan w:val="5"/>
            <w:noWrap w:val="0"/>
            <w:vAlign w:val="top"/>
          </w:tcPr>
          <w:p w14:paraId="6EAA59E0">
            <w:pPr>
              <w:adjustRightInd w:val="0"/>
              <w:snapToGrid w:val="0"/>
              <w:spacing w:line="360" w:lineRule="auto"/>
              <w:jc w:val="center"/>
              <w:rPr>
                <w:rFonts w:hint="eastAsia" w:ascii="宋体" w:hAnsi="宋体"/>
                <w:color w:val="auto"/>
                <w:szCs w:val="21"/>
                <w:highlight w:val="none"/>
              </w:rPr>
            </w:pPr>
          </w:p>
        </w:tc>
        <w:tc>
          <w:tcPr>
            <w:tcW w:w="3698" w:type="dxa"/>
            <w:gridSpan w:val="3"/>
            <w:noWrap w:val="0"/>
            <w:vAlign w:val="center"/>
          </w:tcPr>
          <w:p w14:paraId="67FB44DE">
            <w:pPr>
              <w:adjustRightInd w:val="0"/>
              <w:snapToGrid w:val="0"/>
              <w:spacing w:line="240" w:lineRule="exact"/>
              <w:rPr>
                <w:rFonts w:hint="eastAsia" w:ascii="宋体" w:hAnsi="宋体"/>
                <w:color w:val="auto"/>
                <w:szCs w:val="21"/>
                <w:highlight w:val="none"/>
              </w:rPr>
            </w:pPr>
            <w:r>
              <w:rPr>
                <w:rFonts w:hint="eastAsia" w:ascii="宋体" w:hAnsi="宋体"/>
                <w:color w:val="auto"/>
                <w:szCs w:val="21"/>
                <w:highlight w:val="none"/>
              </w:rPr>
              <w:t>￥</w:t>
            </w:r>
          </w:p>
        </w:tc>
      </w:tr>
    </w:tbl>
    <w:p w14:paraId="6EBB1563">
      <w:pPr>
        <w:adjustRightInd w:val="0"/>
        <w:snapToGrid w:val="0"/>
        <w:spacing w:before="120" w:beforeLines="50"/>
        <w:ind w:left="-88" w:leftChars="-42" w:firstLine="210" w:firstLineChars="100"/>
        <w:rPr>
          <w:rFonts w:hint="eastAsia" w:ascii="楷体" w:hAnsi="楷体" w:eastAsia="楷体"/>
          <w:color w:val="auto"/>
          <w:szCs w:val="21"/>
          <w:highlight w:val="none"/>
        </w:rPr>
      </w:pPr>
      <w:r>
        <w:rPr>
          <w:rFonts w:hint="eastAsia" w:ascii="楷体" w:hAnsi="楷体" w:eastAsia="楷体"/>
          <w:color w:val="auto"/>
          <w:szCs w:val="21"/>
          <w:highlight w:val="none"/>
        </w:rPr>
        <w:t xml:space="preserve">说明： </w:t>
      </w:r>
    </w:p>
    <w:p w14:paraId="3C5FAAE6">
      <w:pPr>
        <w:adjustRightInd w:val="0"/>
        <w:snapToGrid w:val="0"/>
        <w:ind w:left="-88" w:leftChars="-42" w:firstLine="840" w:firstLineChars="400"/>
        <w:rPr>
          <w:rFonts w:hint="eastAsia" w:ascii="楷体" w:hAnsi="楷体" w:eastAsia="楷体"/>
          <w:color w:val="auto"/>
          <w:sz w:val="18"/>
          <w:szCs w:val="18"/>
          <w:highlight w:val="none"/>
        </w:rPr>
      </w:pPr>
      <w:r>
        <w:rPr>
          <w:rFonts w:hint="eastAsia" w:ascii="楷体" w:hAnsi="楷体" w:eastAsia="楷体"/>
          <w:color w:val="auto"/>
          <w:szCs w:val="21"/>
          <w:highlight w:val="none"/>
        </w:rPr>
        <w:t>1.品牌和制造</w:t>
      </w:r>
      <w:r>
        <w:rPr>
          <w:rFonts w:hint="eastAsia" w:ascii="楷体" w:hAnsi="楷体" w:eastAsia="楷体"/>
          <w:color w:val="auto"/>
          <w:sz w:val="18"/>
          <w:szCs w:val="18"/>
          <w:highlight w:val="none"/>
        </w:rPr>
        <w:t>商指产品的品牌和生产厂商；小微企业是指制造商为</w:t>
      </w:r>
      <w:r>
        <w:rPr>
          <w:rFonts w:hint="eastAsia" w:ascii="楷体" w:hAnsi="楷体" w:eastAsia="楷体"/>
          <w:color w:val="auto"/>
          <w:kern w:val="0"/>
          <w:sz w:val="18"/>
          <w:szCs w:val="18"/>
          <w:highlight w:val="none"/>
        </w:rPr>
        <w:t xml:space="preserve"> “小型、微型</w:t>
      </w:r>
      <w:r>
        <w:rPr>
          <w:rFonts w:hint="eastAsia" w:ascii="楷体" w:hAnsi="楷体" w:eastAsia="楷体"/>
          <w:color w:val="auto"/>
          <w:sz w:val="18"/>
          <w:szCs w:val="18"/>
          <w:highlight w:val="none"/>
        </w:rPr>
        <w:t>企业</w:t>
      </w:r>
      <w:r>
        <w:rPr>
          <w:rFonts w:hint="eastAsia" w:ascii="楷体" w:hAnsi="楷体" w:eastAsia="楷体"/>
          <w:color w:val="auto"/>
          <w:kern w:val="0"/>
          <w:sz w:val="18"/>
          <w:szCs w:val="18"/>
          <w:highlight w:val="none"/>
        </w:rPr>
        <w:t>”；</w:t>
      </w:r>
    </w:p>
    <w:p w14:paraId="1FCD1952">
      <w:pPr>
        <w:adjustRightInd w:val="0"/>
        <w:snapToGrid w:val="0"/>
        <w:ind w:left="-88" w:leftChars="-42" w:firstLine="720" w:firstLineChars="400"/>
        <w:rPr>
          <w:rFonts w:hint="eastAsia" w:ascii="楷体" w:hAnsi="楷体" w:eastAsia="楷体"/>
          <w:color w:val="auto"/>
          <w:sz w:val="18"/>
          <w:szCs w:val="18"/>
          <w:highlight w:val="none"/>
        </w:rPr>
      </w:pPr>
      <w:r>
        <w:rPr>
          <w:rFonts w:hint="eastAsia" w:ascii="楷体" w:hAnsi="楷体" w:eastAsia="楷体"/>
          <w:color w:val="auto"/>
          <w:sz w:val="18"/>
          <w:szCs w:val="18"/>
          <w:highlight w:val="none"/>
          <w:lang w:val="en-US" w:eastAsia="zh-CN"/>
        </w:rPr>
        <w:t>2</w:t>
      </w:r>
      <w:r>
        <w:rPr>
          <w:rFonts w:hint="eastAsia" w:ascii="楷体" w:hAnsi="楷体" w:eastAsia="楷体"/>
          <w:color w:val="auto"/>
          <w:sz w:val="18"/>
          <w:szCs w:val="18"/>
          <w:highlight w:val="none"/>
        </w:rPr>
        <w:t>.投标人必须按“货物（产品）</w:t>
      </w:r>
      <w:r>
        <w:rPr>
          <w:rFonts w:hint="eastAsia" w:ascii="楷体" w:hAnsi="楷体" w:eastAsia="楷体"/>
          <w:bCs/>
          <w:color w:val="auto"/>
          <w:sz w:val="18"/>
          <w:szCs w:val="18"/>
          <w:highlight w:val="none"/>
        </w:rPr>
        <w:t>分项报价表”的格式</w:t>
      </w:r>
      <w:r>
        <w:rPr>
          <w:rFonts w:hint="eastAsia" w:ascii="楷体" w:hAnsi="楷体" w:eastAsia="楷体"/>
          <w:color w:val="auto"/>
          <w:sz w:val="18"/>
          <w:szCs w:val="18"/>
          <w:highlight w:val="none"/>
        </w:rPr>
        <w:t>详细报出投标总价的各个组成部分的报价，否则作无效投标处理；报价精确到小数点后两位；</w:t>
      </w:r>
    </w:p>
    <w:p w14:paraId="1B9F0F0A">
      <w:pPr>
        <w:adjustRightInd w:val="0"/>
        <w:snapToGrid w:val="0"/>
        <w:ind w:left="-88" w:leftChars="-42" w:firstLine="720" w:firstLineChars="400"/>
        <w:rPr>
          <w:rFonts w:hint="eastAsia" w:ascii="楷体" w:hAnsi="楷体" w:eastAsia="楷体"/>
          <w:color w:val="auto"/>
          <w:sz w:val="18"/>
          <w:szCs w:val="18"/>
          <w:highlight w:val="none"/>
        </w:rPr>
      </w:pPr>
      <w:r>
        <w:rPr>
          <w:rFonts w:hint="eastAsia" w:ascii="楷体" w:hAnsi="楷体" w:eastAsia="楷体"/>
          <w:color w:val="auto"/>
          <w:sz w:val="18"/>
          <w:szCs w:val="18"/>
          <w:highlight w:val="none"/>
          <w:lang w:val="en-US" w:eastAsia="zh-CN"/>
        </w:rPr>
        <w:t>3</w:t>
      </w:r>
      <w:r>
        <w:rPr>
          <w:rFonts w:hint="eastAsia" w:ascii="楷体" w:hAnsi="楷体" w:eastAsia="楷体"/>
          <w:color w:val="auto"/>
          <w:sz w:val="18"/>
          <w:szCs w:val="18"/>
          <w:highlight w:val="none"/>
        </w:rPr>
        <w:t>.本</w:t>
      </w:r>
      <w:r>
        <w:rPr>
          <w:rFonts w:hint="eastAsia" w:ascii="楷体" w:hAnsi="楷体" w:eastAsia="楷体"/>
          <w:bCs/>
          <w:color w:val="auto"/>
          <w:sz w:val="18"/>
          <w:szCs w:val="18"/>
          <w:highlight w:val="none"/>
        </w:rPr>
        <w:t>表各分项报价合计应当与“开标一览表”总报价相等；</w:t>
      </w:r>
      <w:r>
        <w:rPr>
          <w:rFonts w:hint="eastAsia" w:ascii="楷体" w:hAnsi="楷体" w:eastAsia="楷体"/>
          <w:color w:val="auto"/>
          <w:sz w:val="18"/>
          <w:szCs w:val="18"/>
          <w:highlight w:val="none"/>
        </w:rPr>
        <w:t>如果按单价计算的结果与报价不一致时，以单价为准修正报价与合计报价；</w:t>
      </w:r>
    </w:p>
    <w:p w14:paraId="659E72CA">
      <w:pPr>
        <w:adjustRightInd w:val="0"/>
        <w:snapToGrid w:val="0"/>
        <w:ind w:left="-88" w:leftChars="-42" w:firstLine="720" w:firstLineChars="400"/>
        <w:rPr>
          <w:rFonts w:hint="eastAsia" w:ascii="楷体" w:hAnsi="楷体" w:eastAsia="楷体"/>
          <w:color w:val="auto"/>
          <w:sz w:val="18"/>
          <w:szCs w:val="18"/>
          <w:highlight w:val="none"/>
        </w:rPr>
      </w:pPr>
      <w:r>
        <w:rPr>
          <w:rFonts w:hint="eastAsia" w:ascii="楷体" w:hAnsi="楷体" w:eastAsia="楷体"/>
          <w:color w:val="auto"/>
          <w:sz w:val="18"/>
          <w:szCs w:val="18"/>
          <w:highlight w:val="none"/>
          <w:lang w:val="en-US" w:eastAsia="zh-CN"/>
        </w:rPr>
        <w:t>4</w:t>
      </w:r>
      <w:r>
        <w:rPr>
          <w:rFonts w:hint="eastAsia" w:ascii="楷体" w:hAnsi="楷体" w:eastAsia="楷体"/>
          <w:color w:val="auto"/>
          <w:sz w:val="18"/>
          <w:szCs w:val="18"/>
          <w:highlight w:val="none"/>
        </w:rPr>
        <w:t>.本表为多页的，每页均需由法定代表人或委托代理人签字并盖投标人单位章；</w:t>
      </w:r>
    </w:p>
    <w:p w14:paraId="16048690">
      <w:pPr>
        <w:adjustRightInd w:val="0"/>
        <w:snapToGrid w:val="0"/>
        <w:ind w:left="-88" w:leftChars="-42" w:firstLine="720" w:firstLineChars="400"/>
        <w:rPr>
          <w:rFonts w:hint="eastAsia" w:ascii="楷体" w:hAnsi="楷体" w:eastAsia="楷体"/>
          <w:color w:val="auto"/>
          <w:sz w:val="18"/>
          <w:szCs w:val="18"/>
          <w:highlight w:val="none"/>
        </w:rPr>
      </w:pPr>
      <w:r>
        <w:rPr>
          <w:rFonts w:hint="eastAsia" w:ascii="楷体" w:hAnsi="楷体" w:eastAsia="楷体"/>
          <w:color w:val="auto"/>
          <w:sz w:val="18"/>
          <w:szCs w:val="18"/>
          <w:highlight w:val="none"/>
          <w:lang w:val="en-US" w:eastAsia="zh-CN"/>
        </w:rPr>
        <w:t>5</w:t>
      </w:r>
      <w:r>
        <w:rPr>
          <w:rFonts w:hint="eastAsia" w:ascii="楷体" w:hAnsi="楷体" w:eastAsia="楷体"/>
          <w:color w:val="auto"/>
          <w:sz w:val="18"/>
          <w:szCs w:val="18"/>
          <w:highlight w:val="none"/>
        </w:rPr>
        <w:t>.属于小微企业的，不填报的，在评标时不予价格折扣。</w:t>
      </w:r>
    </w:p>
    <w:p w14:paraId="491B3A24">
      <w:pPr>
        <w:adjustRightInd w:val="0"/>
        <w:spacing w:before="360" w:beforeLines="150" w:line="360" w:lineRule="auto"/>
        <w:ind w:firstLine="360" w:firstLineChars="200"/>
        <w:jc w:val="left"/>
        <w:rPr>
          <w:rFonts w:hint="eastAsia" w:ascii="宋体" w:hAnsi="宋体"/>
          <w:color w:val="auto"/>
          <w:sz w:val="18"/>
          <w:szCs w:val="18"/>
          <w:highlight w:val="none"/>
        </w:rPr>
      </w:pPr>
      <w:r>
        <w:rPr>
          <w:rFonts w:hint="eastAsia" w:ascii="宋体" w:hAnsi="宋体"/>
          <w:color w:val="auto"/>
          <w:sz w:val="18"/>
          <w:szCs w:val="18"/>
          <w:highlight w:val="none"/>
        </w:rPr>
        <w:t>投 标 人：</w:t>
      </w:r>
      <w:r>
        <w:rPr>
          <w:rFonts w:hint="eastAsia" w:ascii="宋体" w:hAnsi="宋体"/>
          <w:color w:val="auto"/>
          <w:sz w:val="18"/>
          <w:szCs w:val="18"/>
          <w:highlight w:val="none"/>
          <w:u w:val="single"/>
        </w:rPr>
        <w:t xml:space="preserve">                     </w:t>
      </w:r>
      <w:r>
        <w:rPr>
          <w:rFonts w:hint="eastAsia" w:ascii="宋体" w:hAnsi="宋体"/>
          <w:color w:val="auto"/>
          <w:sz w:val="18"/>
          <w:szCs w:val="18"/>
          <w:highlight w:val="none"/>
        </w:rPr>
        <w:t xml:space="preserve">（盖单位章） </w:t>
      </w:r>
    </w:p>
    <w:p w14:paraId="4E672551">
      <w:pPr>
        <w:adjustRightInd w:val="0"/>
        <w:spacing w:before="360" w:beforeLines="150"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法定代表人或委托代理人：</w:t>
      </w:r>
      <w:r>
        <w:rPr>
          <w:rFonts w:hint="eastAsia" w:ascii="宋体" w:hAnsi="宋体"/>
          <w:color w:val="auto"/>
          <w:szCs w:val="21"/>
          <w:highlight w:val="none"/>
          <w:u w:val="single"/>
        </w:rPr>
        <w:t xml:space="preserve">         </w:t>
      </w:r>
      <w:r>
        <w:rPr>
          <w:rFonts w:hint="eastAsia" w:ascii="宋体" w:hAnsi="宋体"/>
          <w:color w:val="auto"/>
          <w:szCs w:val="21"/>
          <w:highlight w:val="none"/>
        </w:rPr>
        <w:t xml:space="preserve">（签字） </w:t>
      </w:r>
    </w:p>
    <w:p w14:paraId="59B23448">
      <w:pPr>
        <w:adjustRightInd w:val="0"/>
        <w:spacing w:before="360" w:beforeLines="150"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日    期：20</w:t>
      </w:r>
      <w:r>
        <w:rPr>
          <w:rFonts w:hint="eastAsia" w:ascii="宋体" w:hAnsi="宋体"/>
          <w:color w:val="auto"/>
          <w:szCs w:val="21"/>
          <w:highlight w:val="none"/>
          <w:u w:val="single"/>
        </w:rPr>
        <w:t xml:space="preserve">  </w:t>
      </w:r>
      <w:r>
        <w:rPr>
          <w:rFonts w:hint="eastAsia" w:ascii="宋体" w:hAnsi="宋体"/>
          <w:color w:val="auto"/>
          <w:szCs w:val="21"/>
          <w:highlight w:val="none"/>
        </w:rPr>
        <w:t xml:space="preserve"> 年</w:t>
      </w:r>
      <w:r>
        <w:rPr>
          <w:rFonts w:hint="eastAsia" w:ascii="宋体" w:hAnsi="宋体"/>
          <w:color w:val="auto"/>
          <w:szCs w:val="21"/>
          <w:highlight w:val="none"/>
          <w:u w:val="single"/>
        </w:rPr>
        <w:t xml:space="preserve">  </w:t>
      </w:r>
      <w:r>
        <w:rPr>
          <w:rFonts w:hint="eastAsia" w:ascii="宋体" w:hAnsi="宋体"/>
          <w:color w:val="auto"/>
          <w:szCs w:val="21"/>
          <w:highlight w:val="none"/>
        </w:rPr>
        <w:t xml:space="preserve"> 月</w:t>
      </w:r>
      <w:r>
        <w:rPr>
          <w:rFonts w:hint="eastAsia" w:ascii="宋体" w:hAnsi="宋体"/>
          <w:color w:val="auto"/>
          <w:szCs w:val="21"/>
          <w:highlight w:val="none"/>
          <w:u w:val="single"/>
        </w:rPr>
        <w:t xml:space="preserve">  </w:t>
      </w:r>
      <w:r>
        <w:rPr>
          <w:rFonts w:hint="eastAsia" w:ascii="宋体" w:hAnsi="宋体"/>
          <w:color w:val="auto"/>
          <w:szCs w:val="21"/>
          <w:highlight w:val="none"/>
        </w:rPr>
        <w:t>日</w:t>
      </w:r>
    </w:p>
    <w:p w14:paraId="2C573123">
      <w:pPr>
        <w:pStyle w:val="4"/>
        <w:rPr>
          <w:rFonts w:hint="eastAsia"/>
          <w:color w:val="auto"/>
          <w:highlight w:val="none"/>
        </w:rPr>
      </w:pPr>
    </w:p>
    <w:bookmarkEnd w:id="254"/>
    <w:p w14:paraId="3D154F44">
      <w:pPr>
        <w:spacing w:before="240" w:beforeLines="100" w:after="240" w:afterLines="100" w:line="400" w:lineRule="exact"/>
        <w:jc w:val="center"/>
        <w:rPr>
          <w:rFonts w:hint="eastAsia" w:ascii="宋体" w:hAnsi="宋体"/>
          <w:b/>
          <w:bCs/>
          <w:color w:val="auto"/>
          <w:sz w:val="36"/>
          <w:szCs w:val="36"/>
          <w:highlight w:val="none"/>
        </w:rPr>
      </w:pPr>
      <w:bookmarkStart w:id="255" w:name="_Toc217446087"/>
    </w:p>
    <w:p w14:paraId="513825F3">
      <w:pPr>
        <w:spacing w:before="240" w:beforeLines="100" w:after="240" w:afterLines="100" w:line="400" w:lineRule="exact"/>
        <w:jc w:val="center"/>
        <w:rPr>
          <w:rFonts w:hint="eastAsia" w:ascii="宋体" w:hAnsi="宋体"/>
          <w:b/>
          <w:color w:val="auto"/>
          <w:sz w:val="36"/>
          <w:szCs w:val="36"/>
          <w:highlight w:val="none"/>
        </w:rPr>
      </w:pPr>
      <w:r>
        <w:rPr>
          <w:rFonts w:hint="eastAsia" w:ascii="宋体" w:hAnsi="宋体"/>
          <w:b/>
          <w:bCs/>
          <w:color w:val="auto"/>
          <w:sz w:val="36"/>
          <w:szCs w:val="36"/>
          <w:highlight w:val="none"/>
        </w:rPr>
        <w:t>四、备品</w:t>
      </w:r>
      <w:r>
        <w:rPr>
          <w:rFonts w:hint="eastAsia" w:ascii="宋体" w:hAnsi="宋体"/>
          <w:b/>
          <w:bCs/>
          <w:color w:val="auto"/>
          <w:sz w:val="36"/>
          <w:szCs w:val="36"/>
          <w:highlight w:val="none"/>
          <w:lang w:val="en-US" w:eastAsia="zh-CN"/>
        </w:rPr>
        <w:t>备</w:t>
      </w:r>
      <w:r>
        <w:rPr>
          <w:rFonts w:hint="eastAsia" w:ascii="宋体" w:hAnsi="宋体"/>
          <w:b/>
          <w:bCs/>
          <w:color w:val="auto"/>
          <w:sz w:val="36"/>
          <w:szCs w:val="36"/>
          <w:highlight w:val="none"/>
        </w:rPr>
        <w:t>件报价表</w:t>
      </w:r>
    </w:p>
    <w:p w14:paraId="05048A68">
      <w:pPr>
        <w:spacing w:line="400" w:lineRule="exact"/>
        <w:rPr>
          <w:rFonts w:hint="eastAsia" w:ascii="宋体" w:hAnsi="宋体"/>
          <w:color w:val="auto"/>
          <w:szCs w:val="21"/>
          <w:highlight w:val="none"/>
        </w:rPr>
      </w:pPr>
      <w:r>
        <w:rPr>
          <w:rFonts w:hint="eastAsia" w:ascii="宋体" w:hAnsi="宋体"/>
          <w:color w:val="auto"/>
          <w:sz w:val="28"/>
          <w:highlight w:val="none"/>
        </w:rPr>
        <w:t xml:space="preserve">        </w:t>
      </w:r>
      <w:r>
        <w:rPr>
          <w:rFonts w:hint="eastAsia" w:ascii="宋体" w:hAnsi="宋体"/>
          <w:color w:val="auto"/>
          <w:szCs w:val="21"/>
          <w:highlight w:val="none"/>
        </w:rPr>
        <w:t xml:space="preserve">投标人名称：                                                                </w:t>
      </w:r>
      <w:r>
        <w:rPr>
          <w:rFonts w:hint="eastAsia" w:ascii="宋体" w:hAnsi="宋体"/>
          <w:color w:val="auto"/>
          <w:sz w:val="28"/>
          <w:highlight w:val="none"/>
        </w:rPr>
        <w:t xml:space="preserve">     </w:t>
      </w:r>
      <w:r>
        <w:rPr>
          <w:rFonts w:hint="eastAsia" w:ascii="宋体" w:hAnsi="宋体"/>
          <w:color w:val="auto"/>
          <w:szCs w:val="21"/>
          <w:highlight w:val="none"/>
        </w:rPr>
        <w:t>采购项目编号：</w:t>
      </w:r>
    </w:p>
    <w:tbl>
      <w:tblPr>
        <w:tblStyle w:val="23"/>
        <w:tblpPr w:leftFromText="180" w:rightFromText="180" w:vertAnchor="text" w:horzAnchor="page" w:tblpXSpec="center" w:tblpY="8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3"/>
        <w:gridCol w:w="1470"/>
        <w:gridCol w:w="1015"/>
        <w:gridCol w:w="1341"/>
        <w:gridCol w:w="2259"/>
        <w:gridCol w:w="860"/>
        <w:gridCol w:w="840"/>
        <w:gridCol w:w="1280"/>
        <w:gridCol w:w="1236"/>
        <w:gridCol w:w="1544"/>
      </w:tblGrid>
      <w:tr w14:paraId="7B6CF6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exact"/>
          <w:jc w:val="center"/>
        </w:trPr>
        <w:tc>
          <w:tcPr>
            <w:tcW w:w="683" w:type="dxa"/>
            <w:tcBorders>
              <w:top w:val="single" w:color="auto" w:sz="12" w:space="0"/>
              <w:left w:val="single" w:color="auto" w:sz="12" w:space="0"/>
              <w:bottom w:val="single" w:color="auto" w:sz="4" w:space="0"/>
              <w:right w:val="single" w:color="auto" w:sz="4" w:space="0"/>
            </w:tcBorders>
            <w:noWrap w:val="0"/>
            <w:vAlign w:val="center"/>
          </w:tcPr>
          <w:p w14:paraId="3FC2FE42">
            <w:pPr>
              <w:snapToGrid w:val="0"/>
              <w:spacing w:line="400" w:lineRule="exact"/>
              <w:rPr>
                <w:rFonts w:hint="eastAsia" w:ascii="宋体" w:hAnsi="宋体"/>
                <w:b/>
                <w:color w:val="auto"/>
                <w:szCs w:val="21"/>
                <w:highlight w:val="none"/>
              </w:rPr>
            </w:pPr>
            <w:r>
              <w:rPr>
                <w:rFonts w:hint="eastAsia" w:ascii="宋体" w:hAnsi="宋体"/>
                <w:b/>
                <w:color w:val="auto"/>
                <w:szCs w:val="21"/>
                <w:highlight w:val="none"/>
              </w:rPr>
              <w:t>序号</w:t>
            </w:r>
          </w:p>
        </w:tc>
        <w:tc>
          <w:tcPr>
            <w:tcW w:w="1470" w:type="dxa"/>
            <w:tcBorders>
              <w:top w:val="single" w:color="auto" w:sz="12" w:space="0"/>
              <w:left w:val="single" w:color="auto" w:sz="4" w:space="0"/>
              <w:bottom w:val="single" w:color="auto" w:sz="4" w:space="0"/>
              <w:right w:val="single" w:color="auto" w:sz="4" w:space="0"/>
            </w:tcBorders>
            <w:noWrap w:val="0"/>
            <w:vAlign w:val="center"/>
          </w:tcPr>
          <w:p w14:paraId="64985949">
            <w:pPr>
              <w:snapToGrid w:val="0"/>
              <w:spacing w:line="400" w:lineRule="exact"/>
              <w:jc w:val="center"/>
              <w:rPr>
                <w:rFonts w:hint="eastAsia" w:ascii="宋体" w:hAnsi="宋体"/>
                <w:b/>
                <w:color w:val="auto"/>
                <w:szCs w:val="21"/>
                <w:highlight w:val="none"/>
              </w:rPr>
            </w:pPr>
            <w:r>
              <w:rPr>
                <w:rFonts w:hint="eastAsia" w:ascii="宋体" w:hAnsi="宋体"/>
                <w:b/>
                <w:color w:val="auto"/>
                <w:szCs w:val="21"/>
                <w:highlight w:val="none"/>
              </w:rPr>
              <w:t>产品名称</w:t>
            </w:r>
          </w:p>
        </w:tc>
        <w:tc>
          <w:tcPr>
            <w:tcW w:w="1015" w:type="dxa"/>
            <w:tcBorders>
              <w:top w:val="single" w:color="auto" w:sz="12" w:space="0"/>
              <w:left w:val="single" w:color="auto" w:sz="4" w:space="0"/>
              <w:bottom w:val="single" w:color="auto" w:sz="4" w:space="0"/>
              <w:right w:val="single" w:color="auto" w:sz="4" w:space="0"/>
            </w:tcBorders>
            <w:noWrap w:val="0"/>
            <w:vAlign w:val="center"/>
          </w:tcPr>
          <w:p w14:paraId="78033877">
            <w:pPr>
              <w:snapToGrid w:val="0"/>
              <w:spacing w:line="400" w:lineRule="exact"/>
              <w:jc w:val="center"/>
              <w:rPr>
                <w:rFonts w:hint="eastAsia" w:ascii="宋体" w:hAnsi="宋体"/>
                <w:b/>
                <w:color w:val="auto"/>
                <w:szCs w:val="21"/>
                <w:highlight w:val="none"/>
              </w:rPr>
            </w:pPr>
            <w:r>
              <w:rPr>
                <w:rFonts w:hint="eastAsia" w:ascii="宋体" w:hAnsi="宋体"/>
                <w:b/>
                <w:color w:val="auto"/>
                <w:szCs w:val="21"/>
                <w:highlight w:val="none"/>
              </w:rPr>
              <w:t>品牌</w:t>
            </w:r>
          </w:p>
        </w:tc>
        <w:tc>
          <w:tcPr>
            <w:tcW w:w="1341" w:type="dxa"/>
            <w:tcBorders>
              <w:top w:val="single" w:color="auto" w:sz="12" w:space="0"/>
              <w:left w:val="single" w:color="auto" w:sz="4" w:space="0"/>
              <w:bottom w:val="single" w:color="auto" w:sz="4" w:space="0"/>
              <w:right w:val="single" w:color="auto" w:sz="4" w:space="0"/>
            </w:tcBorders>
            <w:noWrap w:val="0"/>
            <w:vAlign w:val="center"/>
          </w:tcPr>
          <w:p w14:paraId="5D413BDD">
            <w:pPr>
              <w:snapToGrid w:val="0"/>
              <w:spacing w:line="400" w:lineRule="exact"/>
              <w:rPr>
                <w:rFonts w:hint="eastAsia" w:ascii="宋体" w:hAnsi="宋体"/>
                <w:b/>
                <w:color w:val="auto"/>
                <w:szCs w:val="21"/>
                <w:highlight w:val="none"/>
              </w:rPr>
            </w:pPr>
            <w:r>
              <w:rPr>
                <w:rFonts w:hint="eastAsia" w:ascii="宋体" w:hAnsi="宋体"/>
                <w:b/>
                <w:color w:val="auto"/>
                <w:szCs w:val="21"/>
                <w:highlight w:val="none"/>
              </w:rPr>
              <w:t xml:space="preserve"> 型号规格</w:t>
            </w:r>
          </w:p>
        </w:tc>
        <w:tc>
          <w:tcPr>
            <w:tcW w:w="2259" w:type="dxa"/>
            <w:tcBorders>
              <w:top w:val="single" w:color="auto" w:sz="12" w:space="0"/>
              <w:left w:val="single" w:color="auto" w:sz="4" w:space="0"/>
              <w:bottom w:val="single" w:color="auto" w:sz="4" w:space="0"/>
              <w:right w:val="single" w:color="auto" w:sz="4" w:space="0"/>
            </w:tcBorders>
            <w:noWrap w:val="0"/>
            <w:vAlign w:val="center"/>
          </w:tcPr>
          <w:p w14:paraId="718CD6A0">
            <w:pPr>
              <w:snapToGrid w:val="0"/>
              <w:spacing w:line="400" w:lineRule="exact"/>
              <w:jc w:val="center"/>
              <w:rPr>
                <w:rFonts w:hint="eastAsia" w:ascii="宋体" w:hAnsi="宋体"/>
                <w:b/>
                <w:color w:val="auto"/>
                <w:szCs w:val="21"/>
                <w:highlight w:val="none"/>
              </w:rPr>
            </w:pPr>
            <w:r>
              <w:rPr>
                <w:rFonts w:hint="eastAsia" w:ascii="宋体" w:hAnsi="宋体"/>
                <w:b/>
                <w:color w:val="auto"/>
                <w:szCs w:val="21"/>
                <w:highlight w:val="none"/>
              </w:rPr>
              <w:t>制造商</w:t>
            </w:r>
          </w:p>
        </w:tc>
        <w:tc>
          <w:tcPr>
            <w:tcW w:w="860" w:type="dxa"/>
            <w:tcBorders>
              <w:top w:val="single" w:color="auto" w:sz="12" w:space="0"/>
              <w:left w:val="single" w:color="auto" w:sz="4" w:space="0"/>
              <w:bottom w:val="single" w:color="auto" w:sz="4" w:space="0"/>
              <w:right w:val="single" w:color="auto" w:sz="4" w:space="0"/>
            </w:tcBorders>
            <w:noWrap w:val="0"/>
            <w:vAlign w:val="center"/>
          </w:tcPr>
          <w:p w14:paraId="66B17042">
            <w:pPr>
              <w:snapToGrid w:val="0"/>
              <w:spacing w:line="400" w:lineRule="exact"/>
              <w:jc w:val="center"/>
              <w:rPr>
                <w:rFonts w:hint="eastAsia" w:ascii="宋体" w:hAnsi="宋体"/>
                <w:b/>
                <w:color w:val="auto"/>
                <w:szCs w:val="21"/>
                <w:highlight w:val="none"/>
              </w:rPr>
            </w:pPr>
            <w:r>
              <w:rPr>
                <w:rFonts w:hint="eastAsia" w:ascii="宋体" w:hAnsi="宋体"/>
                <w:b/>
                <w:color w:val="auto"/>
                <w:szCs w:val="21"/>
                <w:highlight w:val="none"/>
              </w:rPr>
              <w:t>单位</w:t>
            </w:r>
          </w:p>
        </w:tc>
        <w:tc>
          <w:tcPr>
            <w:tcW w:w="840" w:type="dxa"/>
            <w:tcBorders>
              <w:top w:val="single" w:color="auto" w:sz="12" w:space="0"/>
              <w:left w:val="single" w:color="auto" w:sz="4" w:space="0"/>
              <w:bottom w:val="single" w:color="auto" w:sz="4" w:space="0"/>
              <w:right w:val="single" w:color="auto" w:sz="4" w:space="0"/>
            </w:tcBorders>
            <w:noWrap w:val="0"/>
            <w:vAlign w:val="center"/>
          </w:tcPr>
          <w:p w14:paraId="1BF58897">
            <w:pPr>
              <w:snapToGrid w:val="0"/>
              <w:spacing w:line="400" w:lineRule="exact"/>
              <w:jc w:val="center"/>
              <w:rPr>
                <w:rFonts w:hint="eastAsia" w:ascii="宋体" w:hAnsi="宋体"/>
                <w:b/>
                <w:color w:val="auto"/>
                <w:szCs w:val="21"/>
                <w:highlight w:val="none"/>
              </w:rPr>
            </w:pPr>
            <w:r>
              <w:rPr>
                <w:rFonts w:hint="eastAsia" w:ascii="宋体" w:hAnsi="宋体"/>
                <w:b/>
                <w:color w:val="auto"/>
                <w:szCs w:val="21"/>
                <w:highlight w:val="none"/>
              </w:rPr>
              <w:t>数量</w:t>
            </w:r>
          </w:p>
        </w:tc>
        <w:tc>
          <w:tcPr>
            <w:tcW w:w="1280" w:type="dxa"/>
            <w:tcBorders>
              <w:top w:val="single" w:color="auto" w:sz="12" w:space="0"/>
              <w:left w:val="single" w:color="auto" w:sz="4" w:space="0"/>
              <w:bottom w:val="single" w:color="auto" w:sz="4" w:space="0"/>
              <w:right w:val="single" w:color="auto" w:sz="4" w:space="0"/>
            </w:tcBorders>
            <w:noWrap w:val="0"/>
            <w:vAlign w:val="center"/>
          </w:tcPr>
          <w:p w14:paraId="07B1CEA6">
            <w:pPr>
              <w:snapToGrid w:val="0"/>
              <w:spacing w:line="400" w:lineRule="exact"/>
              <w:rPr>
                <w:rFonts w:hint="eastAsia" w:ascii="宋体" w:hAnsi="宋体"/>
                <w:b/>
                <w:color w:val="auto"/>
                <w:szCs w:val="21"/>
                <w:highlight w:val="none"/>
              </w:rPr>
            </w:pPr>
            <w:r>
              <w:rPr>
                <w:rFonts w:hint="eastAsia" w:ascii="宋体" w:hAnsi="宋体"/>
                <w:b/>
                <w:color w:val="auto"/>
                <w:szCs w:val="21"/>
                <w:highlight w:val="none"/>
              </w:rPr>
              <w:t xml:space="preserve"> 单价（元）</w:t>
            </w:r>
          </w:p>
        </w:tc>
        <w:tc>
          <w:tcPr>
            <w:tcW w:w="1236" w:type="dxa"/>
            <w:tcBorders>
              <w:top w:val="single" w:color="auto" w:sz="12" w:space="0"/>
              <w:left w:val="single" w:color="auto" w:sz="4" w:space="0"/>
              <w:bottom w:val="single" w:color="auto" w:sz="4" w:space="0"/>
              <w:right w:val="single" w:color="auto" w:sz="4" w:space="0"/>
            </w:tcBorders>
            <w:noWrap w:val="0"/>
            <w:vAlign w:val="center"/>
          </w:tcPr>
          <w:p w14:paraId="64F0874F">
            <w:pPr>
              <w:snapToGrid w:val="0"/>
              <w:spacing w:line="400" w:lineRule="exact"/>
              <w:rPr>
                <w:rFonts w:hint="eastAsia" w:ascii="宋体" w:hAnsi="宋体"/>
                <w:b/>
                <w:color w:val="auto"/>
                <w:szCs w:val="21"/>
                <w:highlight w:val="none"/>
              </w:rPr>
            </w:pPr>
            <w:r>
              <w:rPr>
                <w:rFonts w:hint="eastAsia" w:ascii="宋体" w:hAnsi="宋体"/>
                <w:b/>
                <w:color w:val="auto"/>
                <w:szCs w:val="21"/>
                <w:highlight w:val="none"/>
              </w:rPr>
              <w:t>报价（元）</w:t>
            </w:r>
          </w:p>
        </w:tc>
        <w:tc>
          <w:tcPr>
            <w:tcW w:w="1544" w:type="dxa"/>
            <w:tcBorders>
              <w:top w:val="single" w:color="auto" w:sz="12" w:space="0"/>
              <w:left w:val="single" w:color="auto" w:sz="4" w:space="0"/>
              <w:bottom w:val="single" w:color="auto" w:sz="4" w:space="0"/>
              <w:right w:val="single" w:color="auto" w:sz="12" w:space="0"/>
            </w:tcBorders>
            <w:noWrap w:val="0"/>
            <w:vAlign w:val="center"/>
          </w:tcPr>
          <w:p w14:paraId="2C4E126E">
            <w:pPr>
              <w:snapToGrid w:val="0"/>
              <w:spacing w:line="400" w:lineRule="exact"/>
              <w:ind w:firstLine="105" w:firstLineChars="50"/>
              <w:jc w:val="center"/>
              <w:rPr>
                <w:rFonts w:hint="eastAsia" w:ascii="宋体" w:hAnsi="宋体"/>
                <w:b/>
                <w:color w:val="auto"/>
                <w:szCs w:val="21"/>
                <w:highlight w:val="none"/>
              </w:rPr>
            </w:pPr>
            <w:r>
              <w:rPr>
                <w:rFonts w:hint="eastAsia" w:ascii="宋体" w:hAnsi="宋体"/>
                <w:b/>
                <w:color w:val="auto"/>
                <w:szCs w:val="21"/>
                <w:highlight w:val="none"/>
              </w:rPr>
              <w:t>备注</w:t>
            </w:r>
          </w:p>
        </w:tc>
      </w:tr>
      <w:tr w14:paraId="1CA985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8" w:hRule="atLeast"/>
          <w:jc w:val="center"/>
        </w:trPr>
        <w:tc>
          <w:tcPr>
            <w:tcW w:w="683" w:type="dxa"/>
            <w:tcBorders>
              <w:top w:val="single" w:color="auto" w:sz="4" w:space="0"/>
              <w:left w:val="single" w:color="auto" w:sz="12" w:space="0"/>
              <w:bottom w:val="single" w:color="auto" w:sz="4" w:space="0"/>
              <w:right w:val="single" w:color="auto" w:sz="4" w:space="0"/>
            </w:tcBorders>
            <w:noWrap w:val="0"/>
            <w:vAlign w:val="center"/>
          </w:tcPr>
          <w:p w14:paraId="59B1F8E2">
            <w:pPr>
              <w:snapToGrid w:val="0"/>
              <w:spacing w:line="400" w:lineRule="exact"/>
              <w:jc w:val="center"/>
              <w:rPr>
                <w:rFonts w:hint="eastAsia" w:ascii="仿宋_GB2312" w:hAnsi="宋体" w:eastAsia="仿宋_GB2312"/>
                <w:color w:val="auto"/>
                <w:sz w:val="24"/>
                <w:highlight w:val="none"/>
              </w:rPr>
            </w:pPr>
          </w:p>
        </w:tc>
        <w:tc>
          <w:tcPr>
            <w:tcW w:w="1470" w:type="dxa"/>
            <w:tcBorders>
              <w:top w:val="single" w:color="auto" w:sz="4" w:space="0"/>
              <w:left w:val="single" w:color="auto" w:sz="4" w:space="0"/>
              <w:bottom w:val="single" w:color="auto" w:sz="4" w:space="0"/>
              <w:right w:val="single" w:color="auto" w:sz="4" w:space="0"/>
            </w:tcBorders>
            <w:noWrap w:val="0"/>
            <w:vAlign w:val="center"/>
          </w:tcPr>
          <w:p w14:paraId="2F68DA00">
            <w:pPr>
              <w:snapToGrid w:val="0"/>
              <w:spacing w:line="400" w:lineRule="exact"/>
              <w:jc w:val="center"/>
              <w:rPr>
                <w:rFonts w:hint="eastAsia" w:ascii="仿宋_GB2312" w:hAnsi="宋体" w:eastAsia="仿宋_GB2312"/>
                <w:color w:val="auto"/>
                <w:sz w:val="24"/>
                <w:highlight w:val="none"/>
              </w:rPr>
            </w:pPr>
          </w:p>
        </w:tc>
        <w:tc>
          <w:tcPr>
            <w:tcW w:w="1015" w:type="dxa"/>
            <w:tcBorders>
              <w:top w:val="single" w:color="auto" w:sz="4" w:space="0"/>
              <w:left w:val="single" w:color="auto" w:sz="4" w:space="0"/>
              <w:bottom w:val="single" w:color="auto" w:sz="4" w:space="0"/>
              <w:right w:val="single" w:color="auto" w:sz="4" w:space="0"/>
            </w:tcBorders>
            <w:noWrap w:val="0"/>
            <w:vAlign w:val="center"/>
          </w:tcPr>
          <w:p w14:paraId="14B25B98">
            <w:pPr>
              <w:snapToGrid w:val="0"/>
              <w:spacing w:line="400" w:lineRule="exact"/>
              <w:jc w:val="center"/>
              <w:rPr>
                <w:rFonts w:hint="eastAsia" w:ascii="仿宋_GB2312" w:hAnsi="宋体" w:eastAsia="仿宋_GB2312"/>
                <w:color w:val="auto"/>
                <w:sz w:val="24"/>
                <w:highlight w:val="none"/>
              </w:rPr>
            </w:pPr>
          </w:p>
        </w:tc>
        <w:tc>
          <w:tcPr>
            <w:tcW w:w="1341" w:type="dxa"/>
            <w:tcBorders>
              <w:top w:val="single" w:color="auto" w:sz="4" w:space="0"/>
              <w:left w:val="single" w:color="auto" w:sz="4" w:space="0"/>
              <w:bottom w:val="single" w:color="auto" w:sz="4" w:space="0"/>
              <w:right w:val="single" w:color="auto" w:sz="4" w:space="0"/>
            </w:tcBorders>
            <w:noWrap w:val="0"/>
            <w:vAlign w:val="center"/>
          </w:tcPr>
          <w:p w14:paraId="3F85E490">
            <w:pPr>
              <w:snapToGrid w:val="0"/>
              <w:spacing w:line="400" w:lineRule="exact"/>
              <w:jc w:val="center"/>
              <w:rPr>
                <w:rFonts w:hint="eastAsia" w:ascii="仿宋_GB2312" w:hAnsi="宋体" w:eastAsia="仿宋_GB2312"/>
                <w:color w:val="auto"/>
                <w:sz w:val="24"/>
                <w:highlight w:val="none"/>
              </w:rPr>
            </w:pPr>
          </w:p>
        </w:tc>
        <w:tc>
          <w:tcPr>
            <w:tcW w:w="2259" w:type="dxa"/>
            <w:tcBorders>
              <w:top w:val="single" w:color="auto" w:sz="4" w:space="0"/>
              <w:left w:val="single" w:color="auto" w:sz="4" w:space="0"/>
              <w:bottom w:val="single" w:color="auto" w:sz="4" w:space="0"/>
              <w:right w:val="single" w:color="auto" w:sz="4" w:space="0"/>
            </w:tcBorders>
            <w:noWrap w:val="0"/>
            <w:vAlign w:val="top"/>
          </w:tcPr>
          <w:p w14:paraId="29EEF9C3">
            <w:pPr>
              <w:snapToGrid w:val="0"/>
              <w:spacing w:line="400" w:lineRule="exact"/>
              <w:jc w:val="center"/>
              <w:rPr>
                <w:rFonts w:hint="eastAsia" w:ascii="仿宋_GB2312" w:hAnsi="宋体" w:eastAsia="仿宋_GB2312"/>
                <w:color w:val="auto"/>
                <w:sz w:val="24"/>
                <w:highlight w:val="none"/>
              </w:rPr>
            </w:pPr>
          </w:p>
        </w:tc>
        <w:tc>
          <w:tcPr>
            <w:tcW w:w="860" w:type="dxa"/>
            <w:tcBorders>
              <w:top w:val="single" w:color="auto" w:sz="4" w:space="0"/>
              <w:left w:val="single" w:color="auto" w:sz="4" w:space="0"/>
              <w:bottom w:val="single" w:color="auto" w:sz="4" w:space="0"/>
              <w:right w:val="single" w:color="auto" w:sz="4" w:space="0"/>
            </w:tcBorders>
            <w:noWrap w:val="0"/>
            <w:vAlign w:val="center"/>
          </w:tcPr>
          <w:p w14:paraId="31FE8DFB">
            <w:pPr>
              <w:snapToGrid w:val="0"/>
              <w:spacing w:line="400" w:lineRule="exact"/>
              <w:jc w:val="center"/>
              <w:rPr>
                <w:rFonts w:hint="eastAsia" w:ascii="仿宋_GB2312" w:hAnsi="宋体" w:eastAsia="仿宋_GB2312"/>
                <w:color w:val="auto"/>
                <w:sz w:val="24"/>
                <w:highlight w:val="none"/>
              </w:rPr>
            </w:pPr>
          </w:p>
        </w:tc>
        <w:tc>
          <w:tcPr>
            <w:tcW w:w="840" w:type="dxa"/>
            <w:tcBorders>
              <w:top w:val="single" w:color="auto" w:sz="4" w:space="0"/>
              <w:left w:val="single" w:color="auto" w:sz="4" w:space="0"/>
              <w:bottom w:val="single" w:color="auto" w:sz="4" w:space="0"/>
              <w:right w:val="single" w:color="auto" w:sz="4" w:space="0"/>
            </w:tcBorders>
            <w:noWrap w:val="0"/>
            <w:vAlign w:val="top"/>
          </w:tcPr>
          <w:p w14:paraId="56D9AA88">
            <w:pPr>
              <w:snapToGrid w:val="0"/>
              <w:spacing w:line="400" w:lineRule="exact"/>
              <w:jc w:val="center"/>
              <w:rPr>
                <w:rFonts w:hint="eastAsia" w:ascii="仿宋_GB2312" w:hAnsi="宋体" w:eastAsia="仿宋_GB2312"/>
                <w:color w:val="auto"/>
                <w:sz w:val="24"/>
                <w:highlight w:val="none"/>
              </w:rPr>
            </w:pPr>
          </w:p>
        </w:tc>
        <w:tc>
          <w:tcPr>
            <w:tcW w:w="1280" w:type="dxa"/>
            <w:tcBorders>
              <w:top w:val="single" w:color="auto" w:sz="4" w:space="0"/>
              <w:left w:val="single" w:color="auto" w:sz="4" w:space="0"/>
              <w:bottom w:val="single" w:color="auto" w:sz="4" w:space="0"/>
              <w:right w:val="single" w:color="auto" w:sz="4" w:space="0"/>
            </w:tcBorders>
            <w:noWrap w:val="0"/>
            <w:vAlign w:val="center"/>
          </w:tcPr>
          <w:p w14:paraId="7118B6A5">
            <w:pPr>
              <w:snapToGrid w:val="0"/>
              <w:spacing w:line="400" w:lineRule="exact"/>
              <w:jc w:val="center"/>
              <w:rPr>
                <w:rFonts w:hint="eastAsia" w:ascii="仿宋_GB2312" w:hAnsi="宋体" w:eastAsia="仿宋_GB2312"/>
                <w:color w:val="auto"/>
                <w:sz w:val="24"/>
                <w:highlight w:val="none"/>
              </w:rPr>
            </w:pPr>
          </w:p>
        </w:tc>
        <w:tc>
          <w:tcPr>
            <w:tcW w:w="1236" w:type="dxa"/>
            <w:tcBorders>
              <w:top w:val="single" w:color="auto" w:sz="4" w:space="0"/>
              <w:left w:val="single" w:color="auto" w:sz="4" w:space="0"/>
              <w:bottom w:val="single" w:color="auto" w:sz="4" w:space="0"/>
              <w:right w:val="single" w:color="auto" w:sz="4" w:space="0"/>
            </w:tcBorders>
            <w:noWrap w:val="0"/>
            <w:vAlign w:val="center"/>
          </w:tcPr>
          <w:p w14:paraId="01268599">
            <w:pPr>
              <w:snapToGrid w:val="0"/>
              <w:spacing w:line="400" w:lineRule="exact"/>
              <w:jc w:val="center"/>
              <w:rPr>
                <w:rFonts w:hint="eastAsia" w:ascii="仿宋_GB2312" w:hAnsi="宋体" w:eastAsia="仿宋_GB2312"/>
                <w:color w:val="auto"/>
                <w:sz w:val="24"/>
                <w:highlight w:val="none"/>
              </w:rPr>
            </w:pPr>
          </w:p>
        </w:tc>
        <w:tc>
          <w:tcPr>
            <w:tcW w:w="1544" w:type="dxa"/>
            <w:tcBorders>
              <w:top w:val="single" w:color="auto" w:sz="4" w:space="0"/>
              <w:left w:val="single" w:color="auto" w:sz="4" w:space="0"/>
              <w:bottom w:val="single" w:color="auto" w:sz="4" w:space="0"/>
              <w:right w:val="single" w:color="auto" w:sz="12" w:space="0"/>
            </w:tcBorders>
            <w:noWrap w:val="0"/>
            <w:vAlign w:val="center"/>
          </w:tcPr>
          <w:p w14:paraId="0FC86109">
            <w:pPr>
              <w:snapToGrid w:val="0"/>
              <w:spacing w:line="400" w:lineRule="exact"/>
              <w:jc w:val="center"/>
              <w:rPr>
                <w:rFonts w:hint="eastAsia" w:ascii="仿宋_GB2312" w:hAnsi="宋体" w:eastAsia="仿宋_GB2312"/>
                <w:color w:val="auto"/>
                <w:sz w:val="24"/>
                <w:highlight w:val="none"/>
              </w:rPr>
            </w:pPr>
          </w:p>
        </w:tc>
      </w:tr>
      <w:tr w14:paraId="26C5F0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8" w:hRule="atLeast"/>
          <w:jc w:val="center"/>
        </w:trPr>
        <w:tc>
          <w:tcPr>
            <w:tcW w:w="683" w:type="dxa"/>
            <w:tcBorders>
              <w:top w:val="single" w:color="auto" w:sz="4" w:space="0"/>
              <w:left w:val="single" w:color="auto" w:sz="12" w:space="0"/>
              <w:bottom w:val="single" w:color="auto" w:sz="4" w:space="0"/>
              <w:right w:val="single" w:color="auto" w:sz="4" w:space="0"/>
            </w:tcBorders>
            <w:noWrap w:val="0"/>
            <w:vAlign w:val="center"/>
          </w:tcPr>
          <w:p w14:paraId="0FB70656">
            <w:pPr>
              <w:snapToGrid w:val="0"/>
              <w:spacing w:line="400" w:lineRule="exact"/>
              <w:jc w:val="center"/>
              <w:rPr>
                <w:rFonts w:hint="eastAsia" w:ascii="仿宋_GB2312" w:hAnsi="宋体" w:eastAsia="仿宋_GB2312"/>
                <w:color w:val="auto"/>
                <w:sz w:val="24"/>
                <w:highlight w:val="none"/>
              </w:rPr>
            </w:pPr>
          </w:p>
        </w:tc>
        <w:tc>
          <w:tcPr>
            <w:tcW w:w="1470" w:type="dxa"/>
            <w:tcBorders>
              <w:top w:val="single" w:color="auto" w:sz="4" w:space="0"/>
              <w:left w:val="single" w:color="auto" w:sz="4" w:space="0"/>
              <w:bottom w:val="single" w:color="auto" w:sz="4" w:space="0"/>
              <w:right w:val="single" w:color="auto" w:sz="4" w:space="0"/>
            </w:tcBorders>
            <w:noWrap w:val="0"/>
            <w:vAlign w:val="center"/>
          </w:tcPr>
          <w:p w14:paraId="7A224766">
            <w:pPr>
              <w:snapToGrid w:val="0"/>
              <w:spacing w:line="400" w:lineRule="exact"/>
              <w:jc w:val="center"/>
              <w:rPr>
                <w:rFonts w:hint="eastAsia" w:ascii="仿宋_GB2312" w:hAnsi="宋体" w:eastAsia="仿宋_GB2312"/>
                <w:color w:val="auto"/>
                <w:sz w:val="24"/>
                <w:highlight w:val="none"/>
              </w:rPr>
            </w:pPr>
          </w:p>
        </w:tc>
        <w:tc>
          <w:tcPr>
            <w:tcW w:w="1015" w:type="dxa"/>
            <w:tcBorders>
              <w:top w:val="single" w:color="auto" w:sz="4" w:space="0"/>
              <w:left w:val="single" w:color="auto" w:sz="4" w:space="0"/>
              <w:bottom w:val="single" w:color="auto" w:sz="4" w:space="0"/>
              <w:right w:val="single" w:color="auto" w:sz="4" w:space="0"/>
            </w:tcBorders>
            <w:noWrap w:val="0"/>
            <w:vAlign w:val="center"/>
          </w:tcPr>
          <w:p w14:paraId="5A8CEBEE">
            <w:pPr>
              <w:snapToGrid w:val="0"/>
              <w:spacing w:line="400" w:lineRule="exact"/>
              <w:jc w:val="center"/>
              <w:rPr>
                <w:rFonts w:hint="eastAsia" w:ascii="仿宋_GB2312" w:hAnsi="宋体" w:eastAsia="仿宋_GB2312"/>
                <w:color w:val="auto"/>
                <w:sz w:val="24"/>
                <w:highlight w:val="none"/>
              </w:rPr>
            </w:pPr>
          </w:p>
        </w:tc>
        <w:tc>
          <w:tcPr>
            <w:tcW w:w="1341" w:type="dxa"/>
            <w:tcBorders>
              <w:top w:val="single" w:color="auto" w:sz="4" w:space="0"/>
              <w:left w:val="single" w:color="auto" w:sz="4" w:space="0"/>
              <w:bottom w:val="single" w:color="auto" w:sz="4" w:space="0"/>
              <w:right w:val="single" w:color="auto" w:sz="4" w:space="0"/>
            </w:tcBorders>
            <w:noWrap w:val="0"/>
            <w:vAlign w:val="center"/>
          </w:tcPr>
          <w:p w14:paraId="4AE63CDF">
            <w:pPr>
              <w:snapToGrid w:val="0"/>
              <w:spacing w:line="400" w:lineRule="exact"/>
              <w:jc w:val="center"/>
              <w:rPr>
                <w:rFonts w:hint="eastAsia" w:ascii="仿宋_GB2312" w:hAnsi="宋体" w:eastAsia="仿宋_GB2312"/>
                <w:color w:val="auto"/>
                <w:sz w:val="24"/>
                <w:highlight w:val="none"/>
              </w:rPr>
            </w:pPr>
          </w:p>
        </w:tc>
        <w:tc>
          <w:tcPr>
            <w:tcW w:w="2259" w:type="dxa"/>
            <w:tcBorders>
              <w:top w:val="single" w:color="auto" w:sz="4" w:space="0"/>
              <w:left w:val="single" w:color="auto" w:sz="4" w:space="0"/>
              <w:bottom w:val="single" w:color="auto" w:sz="4" w:space="0"/>
              <w:right w:val="single" w:color="auto" w:sz="4" w:space="0"/>
            </w:tcBorders>
            <w:noWrap w:val="0"/>
            <w:vAlign w:val="top"/>
          </w:tcPr>
          <w:p w14:paraId="414DED46">
            <w:pPr>
              <w:snapToGrid w:val="0"/>
              <w:spacing w:line="400" w:lineRule="exact"/>
              <w:jc w:val="center"/>
              <w:rPr>
                <w:rFonts w:hint="eastAsia" w:ascii="仿宋_GB2312" w:hAnsi="宋体" w:eastAsia="仿宋_GB2312"/>
                <w:color w:val="auto"/>
                <w:sz w:val="24"/>
                <w:highlight w:val="none"/>
              </w:rPr>
            </w:pPr>
          </w:p>
        </w:tc>
        <w:tc>
          <w:tcPr>
            <w:tcW w:w="860" w:type="dxa"/>
            <w:tcBorders>
              <w:top w:val="single" w:color="auto" w:sz="4" w:space="0"/>
              <w:left w:val="single" w:color="auto" w:sz="4" w:space="0"/>
              <w:bottom w:val="single" w:color="auto" w:sz="4" w:space="0"/>
              <w:right w:val="single" w:color="auto" w:sz="4" w:space="0"/>
            </w:tcBorders>
            <w:noWrap w:val="0"/>
            <w:vAlign w:val="center"/>
          </w:tcPr>
          <w:p w14:paraId="33EACD1D">
            <w:pPr>
              <w:snapToGrid w:val="0"/>
              <w:spacing w:line="400" w:lineRule="exact"/>
              <w:jc w:val="center"/>
              <w:rPr>
                <w:rFonts w:hint="eastAsia" w:ascii="仿宋_GB2312" w:hAnsi="宋体" w:eastAsia="仿宋_GB2312"/>
                <w:color w:val="auto"/>
                <w:sz w:val="24"/>
                <w:highlight w:val="none"/>
              </w:rPr>
            </w:pPr>
          </w:p>
        </w:tc>
        <w:tc>
          <w:tcPr>
            <w:tcW w:w="840" w:type="dxa"/>
            <w:tcBorders>
              <w:top w:val="single" w:color="auto" w:sz="4" w:space="0"/>
              <w:left w:val="single" w:color="auto" w:sz="4" w:space="0"/>
              <w:bottom w:val="single" w:color="auto" w:sz="4" w:space="0"/>
              <w:right w:val="single" w:color="auto" w:sz="4" w:space="0"/>
            </w:tcBorders>
            <w:noWrap w:val="0"/>
            <w:vAlign w:val="top"/>
          </w:tcPr>
          <w:p w14:paraId="4F70C68C">
            <w:pPr>
              <w:snapToGrid w:val="0"/>
              <w:spacing w:line="400" w:lineRule="exact"/>
              <w:jc w:val="center"/>
              <w:rPr>
                <w:rFonts w:hint="eastAsia" w:ascii="仿宋_GB2312" w:hAnsi="宋体" w:eastAsia="仿宋_GB2312"/>
                <w:color w:val="auto"/>
                <w:sz w:val="24"/>
                <w:highlight w:val="none"/>
              </w:rPr>
            </w:pPr>
          </w:p>
        </w:tc>
        <w:tc>
          <w:tcPr>
            <w:tcW w:w="1280" w:type="dxa"/>
            <w:tcBorders>
              <w:top w:val="single" w:color="auto" w:sz="4" w:space="0"/>
              <w:left w:val="single" w:color="auto" w:sz="4" w:space="0"/>
              <w:bottom w:val="single" w:color="auto" w:sz="4" w:space="0"/>
              <w:right w:val="single" w:color="auto" w:sz="4" w:space="0"/>
            </w:tcBorders>
            <w:noWrap w:val="0"/>
            <w:vAlign w:val="center"/>
          </w:tcPr>
          <w:p w14:paraId="3427678B">
            <w:pPr>
              <w:snapToGrid w:val="0"/>
              <w:spacing w:line="400" w:lineRule="exact"/>
              <w:jc w:val="center"/>
              <w:rPr>
                <w:rFonts w:hint="eastAsia" w:ascii="仿宋_GB2312" w:hAnsi="宋体" w:eastAsia="仿宋_GB2312"/>
                <w:color w:val="auto"/>
                <w:sz w:val="24"/>
                <w:highlight w:val="none"/>
              </w:rPr>
            </w:pPr>
          </w:p>
        </w:tc>
        <w:tc>
          <w:tcPr>
            <w:tcW w:w="1236" w:type="dxa"/>
            <w:tcBorders>
              <w:top w:val="single" w:color="auto" w:sz="4" w:space="0"/>
              <w:left w:val="single" w:color="auto" w:sz="4" w:space="0"/>
              <w:bottom w:val="single" w:color="auto" w:sz="4" w:space="0"/>
              <w:right w:val="single" w:color="auto" w:sz="4" w:space="0"/>
            </w:tcBorders>
            <w:noWrap w:val="0"/>
            <w:vAlign w:val="center"/>
          </w:tcPr>
          <w:p w14:paraId="6C9C6784">
            <w:pPr>
              <w:snapToGrid w:val="0"/>
              <w:spacing w:line="400" w:lineRule="exact"/>
              <w:jc w:val="center"/>
              <w:rPr>
                <w:rFonts w:hint="eastAsia" w:ascii="仿宋_GB2312" w:hAnsi="宋体" w:eastAsia="仿宋_GB2312"/>
                <w:color w:val="auto"/>
                <w:sz w:val="24"/>
                <w:highlight w:val="none"/>
              </w:rPr>
            </w:pPr>
          </w:p>
        </w:tc>
        <w:tc>
          <w:tcPr>
            <w:tcW w:w="1544" w:type="dxa"/>
            <w:tcBorders>
              <w:top w:val="single" w:color="auto" w:sz="4" w:space="0"/>
              <w:left w:val="single" w:color="auto" w:sz="4" w:space="0"/>
              <w:bottom w:val="single" w:color="auto" w:sz="4" w:space="0"/>
              <w:right w:val="single" w:color="auto" w:sz="12" w:space="0"/>
            </w:tcBorders>
            <w:noWrap w:val="0"/>
            <w:vAlign w:val="center"/>
          </w:tcPr>
          <w:p w14:paraId="09373F64">
            <w:pPr>
              <w:snapToGrid w:val="0"/>
              <w:spacing w:line="400" w:lineRule="exact"/>
              <w:jc w:val="center"/>
              <w:rPr>
                <w:rFonts w:hint="eastAsia" w:ascii="仿宋_GB2312" w:hAnsi="宋体" w:eastAsia="仿宋_GB2312"/>
                <w:color w:val="auto"/>
                <w:sz w:val="24"/>
                <w:highlight w:val="none"/>
              </w:rPr>
            </w:pPr>
          </w:p>
        </w:tc>
      </w:tr>
      <w:tr w14:paraId="085B54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jc w:val="center"/>
        </w:trPr>
        <w:tc>
          <w:tcPr>
            <w:tcW w:w="683" w:type="dxa"/>
            <w:tcBorders>
              <w:top w:val="single" w:color="auto" w:sz="4" w:space="0"/>
              <w:left w:val="single" w:color="auto" w:sz="12" w:space="0"/>
              <w:bottom w:val="single" w:color="auto" w:sz="4" w:space="0"/>
              <w:right w:val="single" w:color="auto" w:sz="4" w:space="0"/>
            </w:tcBorders>
            <w:noWrap w:val="0"/>
            <w:vAlign w:val="center"/>
          </w:tcPr>
          <w:p w14:paraId="753A8DFF">
            <w:pPr>
              <w:snapToGrid w:val="0"/>
              <w:spacing w:line="400" w:lineRule="exact"/>
              <w:jc w:val="center"/>
              <w:rPr>
                <w:rFonts w:ascii="宋体" w:hAnsi="宋体"/>
                <w:color w:val="auto"/>
                <w:sz w:val="24"/>
                <w:highlight w:val="none"/>
              </w:rPr>
            </w:pPr>
          </w:p>
        </w:tc>
        <w:tc>
          <w:tcPr>
            <w:tcW w:w="1470" w:type="dxa"/>
            <w:tcBorders>
              <w:top w:val="single" w:color="auto" w:sz="4" w:space="0"/>
              <w:left w:val="single" w:color="auto" w:sz="4" w:space="0"/>
              <w:bottom w:val="single" w:color="auto" w:sz="4" w:space="0"/>
              <w:right w:val="single" w:color="auto" w:sz="4" w:space="0"/>
            </w:tcBorders>
            <w:noWrap w:val="0"/>
            <w:vAlign w:val="center"/>
          </w:tcPr>
          <w:p w14:paraId="01DA9B82">
            <w:pPr>
              <w:snapToGrid w:val="0"/>
              <w:spacing w:line="400" w:lineRule="exact"/>
              <w:jc w:val="center"/>
              <w:rPr>
                <w:rFonts w:ascii="宋体" w:hAnsi="宋体"/>
                <w:color w:val="auto"/>
                <w:sz w:val="24"/>
                <w:highlight w:val="none"/>
              </w:rPr>
            </w:pPr>
          </w:p>
        </w:tc>
        <w:tc>
          <w:tcPr>
            <w:tcW w:w="1015" w:type="dxa"/>
            <w:tcBorders>
              <w:top w:val="single" w:color="auto" w:sz="4" w:space="0"/>
              <w:left w:val="single" w:color="auto" w:sz="4" w:space="0"/>
              <w:bottom w:val="single" w:color="auto" w:sz="4" w:space="0"/>
              <w:right w:val="single" w:color="auto" w:sz="4" w:space="0"/>
            </w:tcBorders>
            <w:noWrap w:val="0"/>
            <w:vAlign w:val="center"/>
          </w:tcPr>
          <w:p w14:paraId="1CA1C294">
            <w:pPr>
              <w:snapToGrid w:val="0"/>
              <w:spacing w:line="400" w:lineRule="exact"/>
              <w:jc w:val="center"/>
              <w:rPr>
                <w:rFonts w:ascii="宋体" w:hAnsi="宋体"/>
                <w:color w:val="auto"/>
                <w:sz w:val="24"/>
                <w:highlight w:val="none"/>
              </w:rPr>
            </w:pPr>
          </w:p>
        </w:tc>
        <w:tc>
          <w:tcPr>
            <w:tcW w:w="1341" w:type="dxa"/>
            <w:tcBorders>
              <w:top w:val="single" w:color="auto" w:sz="4" w:space="0"/>
              <w:left w:val="single" w:color="auto" w:sz="4" w:space="0"/>
              <w:bottom w:val="single" w:color="auto" w:sz="4" w:space="0"/>
              <w:right w:val="single" w:color="auto" w:sz="4" w:space="0"/>
            </w:tcBorders>
            <w:noWrap w:val="0"/>
            <w:vAlign w:val="center"/>
          </w:tcPr>
          <w:p w14:paraId="7B60B3CA">
            <w:pPr>
              <w:snapToGrid w:val="0"/>
              <w:spacing w:line="400" w:lineRule="exact"/>
              <w:jc w:val="center"/>
              <w:rPr>
                <w:rFonts w:ascii="宋体" w:hAnsi="宋体"/>
                <w:color w:val="auto"/>
                <w:sz w:val="24"/>
                <w:highlight w:val="none"/>
              </w:rPr>
            </w:pPr>
          </w:p>
        </w:tc>
        <w:tc>
          <w:tcPr>
            <w:tcW w:w="2259" w:type="dxa"/>
            <w:tcBorders>
              <w:top w:val="single" w:color="auto" w:sz="4" w:space="0"/>
              <w:left w:val="single" w:color="auto" w:sz="4" w:space="0"/>
              <w:bottom w:val="single" w:color="auto" w:sz="4" w:space="0"/>
              <w:right w:val="single" w:color="auto" w:sz="4" w:space="0"/>
            </w:tcBorders>
            <w:noWrap w:val="0"/>
            <w:vAlign w:val="top"/>
          </w:tcPr>
          <w:p w14:paraId="0986EB1C">
            <w:pPr>
              <w:snapToGrid w:val="0"/>
              <w:spacing w:line="400" w:lineRule="exact"/>
              <w:jc w:val="center"/>
              <w:rPr>
                <w:rFonts w:ascii="宋体" w:hAnsi="宋体"/>
                <w:color w:val="auto"/>
                <w:sz w:val="24"/>
                <w:highlight w:val="none"/>
              </w:rPr>
            </w:pPr>
          </w:p>
        </w:tc>
        <w:tc>
          <w:tcPr>
            <w:tcW w:w="860" w:type="dxa"/>
            <w:tcBorders>
              <w:top w:val="single" w:color="auto" w:sz="4" w:space="0"/>
              <w:left w:val="single" w:color="auto" w:sz="4" w:space="0"/>
              <w:bottom w:val="single" w:color="auto" w:sz="4" w:space="0"/>
              <w:right w:val="single" w:color="auto" w:sz="4" w:space="0"/>
            </w:tcBorders>
            <w:noWrap w:val="0"/>
            <w:vAlign w:val="center"/>
          </w:tcPr>
          <w:p w14:paraId="197FAB3D">
            <w:pPr>
              <w:snapToGrid w:val="0"/>
              <w:spacing w:line="400" w:lineRule="exact"/>
              <w:jc w:val="center"/>
              <w:rPr>
                <w:rFonts w:ascii="宋体" w:hAnsi="宋体"/>
                <w:color w:val="auto"/>
                <w:sz w:val="24"/>
                <w:highlight w:val="none"/>
              </w:rPr>
            </w:pPr>
          </w:p>
        </w:tc>
        <w:tc>
          <w:tcPr>
            <w:tcW w:w="840" w:type="dxa"/>
            <w:tcBorders>
              <w:top w:val="single" w:color="auto" w:sz="4" w:space="0"/>
              <w:left w:val="single" w:color="auto" w:sz="4" w:space="0"/>
              <w:bottom w:val="single" w:color="auto" w:sz="4" w:space="0"/>
              <w:right w:val="single" w:color="auto" w:sz="4" w:space="0"/>
            </w:tcBorders>
            <w:noWrap w:val="0"/>
            <w:vAlign w:val="top"/>
          </w:tcPr>
          <w:p w14:paraId="767EC95A">
            <w:pPr>
              <w:snapToGrid w:val="0"/>
              <w:spacing w:line="400" w:lineRule="exact"/>
              <w:jc w:val="center"/>
              <w:rPr>
                <w:rFonts w:ascii="宋体" w:hAnsi="宋体"/>
                <w:color w:val="auto"/>
                <w:sz w:val="24"/>
                <w:highlight w:val="none"/>
              </w:rPr>
            </w:pPr>
          </w:p>
        </w:tc>
        <w:tc>
          <w:tcPr>
            <w:tcW w:w="1280" w:type="dxa"/>
            <w:tcBorders>
              <w:top w:val="single" w:color="auto" w:sz="4" w:space="0"/>
              <w:left w:val="single" w:color="auto" w:sz="4" w:space="0"/>
              <w:bottom w:val="single" w:color="auto" w:sz="4" w:space="0"/>
              <w:right w:val="single" w:color="auto" w:sz="4" w:space="0"/>
            </w:tcBorders>
            <w:noWrap w:val="0"/>
            <w:vAlign w:val="center"/>
          </w:tcPr>
          <w:p w14:paraId="0642E7FD">
            <w:pPr>
              <w:snapToGrid w:val="0"/>
              <w:spacing w:line="400" w:lineRule="exact"/>
              <w:jc w:val="center"/>
              <w:rPr>
                <w:rFonts w:ascii="宋体" w:hAnsi="宋体"/>
                <w:color w:val="auto"/>
                <w:sz w:val="24"/>
                <w:highlight w:val="none"/>
              </w:rPr>
            </w:pPr>
          </w:p>
        </w:tc>
        <w:tc>
          <w:tcPr>
            <w:tcW w:w="1236" w:type="dxa"/>
            <w:tcBorders>
              <w:top w:val="single" w:color="auto" w:sz="4" w:space="0"/>
              <w:left w:val="single" w:color="auto" w:sz="4" w:space="0"/>
              <w:bottom w:val="single" w:color="auto" w:sz="4" w:space="0"/>
              <w:right w:val="single" w:color="auto" w:sz="4" w:space="0"/>
            </w:tcBorders>
            <w:noWrap w:val="0"/>
            <w:vAlign w:val="center"/>
          </w:tcPr>
          <w:p w14:paraId="3DA40CD7">
            <w:pPr>
              <w:snapToGrid w:val="0"/>
              <w:spacing w:line="400" w:lineRule="exact"/>
              <w:jc w:val="center"/>
              <w:rPr>
                <w:rFonts w:ascii="宋体" w:hAnsi="宋体"/>
                <w:color w:val="auto"/>
                <w:sz w:val="24"/>
                <w:highlight w:val="none"/>
              </w:rPr>
            </w:pPr>
          </w:p>
        </w:tc>
        <w:tc>
          <w:tcPr>
            <w:tcW w:w="1544" w:type="dxa"/>
            <w:tcBorders>
              <w:top w:val="single" w:color="auto" w:sz="4" w:space="0"/>
              <w:left w:val="single" w:color="auto" w:sz="4" w:space="0"/>
              <w:bottom w:val="single" w:color="auto" w:sz="4" w:space="0"/>
              <w:right w:val="single" w:color="auto" w:sz="12" w:space="0"/>
            </w:tcBorders>
            <w:noWrap w:val="0"/>
            <w:vAlign w:val="center"/>
          </w:tcPr>
          <w:p w14:paraId="3A374BEC">
            <w:pPr>
              <w:snapToGrid w:val="0"/>
              <w:spacing w:line="400" w:lineRule="exact"/>
              <w:jc w:val="center"/>
              <w:rPr>
                <w:rFonts w:ascii="宋体" w:hAnsi="宋体"/>
                <w:color w:val="auto"/>
                <w:sz w:val="24"/>
                <w:highlight w:val="none"/>
              </w:rPr>
            </w:pPr>
          </w:p>
        </w:tc>
      </w:tr>
      <w:tr w14:paraId="3FAB78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jc w:val="center"/>
        </w:trPr>
        <w:tc>
          <w:tcPr>
            <w:tcW w:w="683" w:type="dxa"/>
            <w:tcBorders>
              <w:top w:val="single" w:color="auto" w:sz="4" w:space="0"/>
              <w:left w:val="single" w:color="auto" w:sz="12" w:space="0"/>
              <w:bottom w:val="single" w:color="auto" w:sz="4" w:space="0"/>
              <w:right w:val="single" w:color="auto" w:sz="4" w:space="0"/>
            </w:tcBorders>
            <w:noWrap w:val="0"/>
            <w:vAlign w:val="center"/>
          </w:tcPr>
          <w:p w14:paraId="2052DAF1">
            <w:pPr>
              <w:snapToGrid w:val="0"/>
              <w:spacing w:line="400" w:lineRule="exact"/>
              <w:jc w:val="center"/>
              <w:rPr>
                <w:rFonts w:ascii="宋体" w:hAnsi="宋体"/>
                <w:color w:val="auto"/>
                <w:sz w:val="24"/>
                <w:highlight w:val="none"/>
              </w:rPr>
            </w:pPr>
          </w:p>
        </w:tc>
        <w:tc>
          <w:tcPr>
            <w:tcW w:w="1470" w:type="dxa"/>
            <w:tcBorders>
              <w:top w:val="single" w:color="auto" w:sz="4" w:space="0"/>
              <w:left w:val="single" w:color="auto" w:sz="4" w:space="0"/>
              <w:bottom w:val="single" w:color="auto" w:sz="4" w:space="0"/>
              <w:right w:val="single" w:color="auto" w:sz="4" w:space="0"/>
            </w:tcBorders>
            <w:noWrap w:val="0"/>
            <w:vAlign w:val="center"/>
          </w:tcPr>
          <w:p w14:paraId="60296AA1">
            <w:pPr>
              <w:snapToGrid w:val="0"/>
              <w:spacing w:line="400" w:lineRule="exact"/>
              <w:jc w:val="center"/>
              <w:rPr>
                <w:rFonts w:ascii="宋体" w:hAnsi="宋体"/>
                <w:color w:val="auto"/>
                <w:sz w:val="24"/>
                <w:highlight w:val="none"/>
              </w:rPr>
            </w:pPr>
          </w:p>
        </w:tc>
        <w:tc>
          <w:tcPr>
            <w:tcW w:w="1015" w:type="dxa"/>
            <w:tcBorders>
              <w:top w:val="single" w:color="auto" w:sz="4" w:space="0"/>
              <w:left w:val="single" w:color="auto" w:sz="4" w:space="0"/>
              <w:bottom w:val="single" w:color="auto" w:sz="4" w:space="0"/>
              <w:right w:val="single" w:color="auto" w:sz="4" w:space="0"/>
            </w:tcBorders>
            <w:noWrap w:val="0"/>
            <w:vAlign w:val="center"/>
          </w:tcPr>
          <w:p w14:paraId="296E04C9">
            <w:pPr>
              <w:snapToGrid w:val="0"/>
              <w:spacing w:line="400" w:lineRule="exact"/>
              <w:jc w:val="center"/>
              <w:rPr>
                <w:rFonts w:ascii="宋体" w:hAnsi="宋体"/>
                <w:color w:val="auto"/>
                <w:sz w:val="24"/>
                <w:highlight w:val="none"/>
              </w:rPr>
            </w:pPr>
          </w:p>
        </w:tc>
        <w:tc>
          <w:tcPr>
            <w:tcW w:w="1341" w:type="dxa"/>
            <w:tcBorders>
              <w:top w:val="single" w:color="auto" w:sz="4" w:space="0"/>
              <w:left w:val="single" w:color="auto" w:sz="4" w:space="0"/>
              <w:bottom w:val="single" w:color="auto" w:sz="4" w:space="0"/>
              <w:right w:val="single" w:color="auto" w:sz="4" w:space="0"/>
            </w:tcBorders>
            <w:noWrap w:val="0"/>
            <w:vAlign w:val="center"/>
          </w:tcPr>
          <w:p w14:paraId="49596576">
            <w:pPr>
              <w:snapToGrid w:val="0"/>
              <w:spacing w:line="400" w:lineRule="exact"/>
              <w:jc w:val="center"/>
              <w:rPr>
                <w:rFonts w:ascii="宋体" w:hAnsi="宋体"/>
                <w:color w:val="auto"/>
                <w:sz w:val="24"/>
                <w:highlight w:val="none"/>
              </w:rPr>
            </w:pPr>
          </w:p>
        </w:tc>
        <w:tc>
          <w:tcPr>
            <w:tcW w:w="2259" w:type="dxa"/>
            <w:tcBorders>
              <w:top w:val="single" w:color="auto" w:sz="4" w:space="0"/>
              <w:left w:val="single" w:color="auto" w:sz="4" w:space="0"/>
              <w:bottom w:val="single" w:color="auto" w:sz="4" w:space="0"/>
              <w:right w:val="single" w:color="auto" w:sz="4" w:space="0"/>
            </w:tcBorders>
            <w:noWrap w:val="0"/>
            <w:vAlign w:val="top"/>
          </w:tcPr>
          <w:p w14:paraId="23017D87">
            <w:pPr>
              <w:snapToGrid w:val="0"/>
              <w:spacing w:line="400" w:lineRule="exact"/>
              <w:jc w:val="center"/>
              <w:rPr>
                <w:rFonts w:ascii="宋体" w:hAnsi="宋体"/>
                <w:color w:val="auto"/>
                <w:sz w:val="24"/>
                <w:highlight w:val="none"/>
              </w:rPr>
            </w:pPr>
          </w:p>
        </w:tc>
        <w:tc>
          <w:tcPr>
            <w:tcW w:w="860" w:type="dxa"/>
            <w:tcBorders>
              <w:top w:val="single" w:color="auto" w:sz="4" w:space="0"/>
              <w:left w:val="single" w:color="auto" w:sz="4" w:space="0"/>
              <w:bottom w:val="single" w:color="auto" w:sz="4" w:space="0"/>
              <w:right w:val="single" w:color="auto" w:sz="4" w:space="0"/>
            </w:tcBorders>
            <w:noWrap w:val="0"/>
            <w:vAlign w:val="center"/>
          </w:tcPr>
          <w:p w14:paraId="6EA74776">
            <w:pPr>
              <w:snapToGrid w:val="0"/>
              <w:spacing w:line="400" w:lineRule="exact"/>
              <w:jc w:val="center"/>
              <w:rPr>
                <w:rFonts w:ascii="宋体" w:hAnsi="宋体"/>
                <w:color w:val="auto"/>
                <w:sz w:val="24"/>
                <w:highlight w:val="none"/>
              </w:rPr>
            </w:pPr>
          </w:p>
        </w:tc>
        <w:tc>
          <w:tcPr>
            <w:tcW w:w="840" w:type="dxa"/>
            <w:tcBorders>
              <w:top w:val="single" w:color="auto" w:sz="4" w:space="0"/>
              <w:left w:val="single" w:color="auto" w:sz="4" w:space="0"/>
              <w:bottom w:val="single" w:color="auto" w:sz="4" w:space="0"/>
              <w:right w:val="single" w:color="auto" w:sz="4" w:space="0"/>
            </w:tcBorders>
            <w:noWrap w:val="0"/>
            <w:vAlign w:val="top"/>
          </w:tcPr>
          <w:p w14:paraId="3AF65516">
            <w:pPr>
              <w:snapToGrid w:val="0"/>
              <w:spacing w:line="400" w:lineRule="exact"/>
              <w:jc w:val="center"/>
              <w:rPr>
                <w:rFonts w:ascii="宋体" w:hAnsi="宋体"/>
                <w:color w:val="auto"/>
                <w:sz w:val="24"/>
                <w:highlight w:val="none"/>
              </w:rPr>
            </w:pPr>
          </w:p>
        </w:tc>
        <w:tc>
          <w:tcPr>
            <w:tcW w:w="1280" w:type="dxa"/>
            <w:tcBorders>
              <w:top w:val="single" w:color="auto" w:sz="4" w:space="0"/>
              <w:left w:val="single" w:color="auto" w:sz="4" w:space="0"/>
              <w:bottom w:val="single" w:color="auto" w:sz="4" w:space="0"/>
              <w:right w:val="single" w:color="auto" w:sz="4" w:space="0"/>
            </w:tcBorders>
            <w:noWrap w:val="0"/>
            <w:vAlign w:val="center"/>
          </w:tcPr>
          <w:p w14:paraId="79A3F00D">
            <w:pPr>
              <w:snapToGrid w:val="0"/>
              <w:spacing w:line="400" w:lineRule="exact"/>
              <w:jc w:val="center"/>
              <w:rPr>
                <w:rFonts w:ascii="宋体" w:hAnsi="宋体"/>
                <w:color w:val="auto"/>
                <w:sz w:val="24"/>
                <w:highlight w:val="none"/>
              </w:rPr>
            </w:pPr>
          </w:p>
        </w:tc>
        <w:tc>
          <w:tcPr>
            <w:tcW w:w="1236" w:type="dxa"/>
            <w:tcBorders>
              <w:top w:val="single" w:color="auto" w:sz="4" w:space="0"/>
              <w:left w:val="single" w:color="auto" w:sz="4" w:space="0"/>
              <w:bottom w:val="single" w:color="auto" w:sz="4" w:space="0"/>
              <w:right w:val="single" w:color="auto" w:sz="4" w:space="0"/>
            </w:tcBorders>
            <w:noWrap w:val="0"/>
            <w:vAlign w:val="center"/>
          </w:tcPr>
          <w:p w14:paraId="37A5EA8E">
            <w:pPr>
              <w:snapToGrid w:val="0"/>
              <w:spacing w:line="400" w:lineRule="exact"/>
              <w:jc w:val="center"/>
              <w:rPr>
                <w:rFonts w:ascii="宋体" w:hAnsi="宋体"/>
                <w:color w:val="auto"/>
                <w:sz w:val="24"/>
                <w:highlight w:val="none"/>
              </w:rPr>
            </w:pPr>
          </w:p>
        </w:tc>
        <w:tc>
          <w:tcPr>
            <w:tcW w:w="1544" w:type="dxa"/>
            <w:tcBorders>
              <w:top w:val="single" w:color="auto" w:sz="4" w:space="0"/>
              <w:left w:val="single" w:color="auto" w:sz="4" w:space="0"/>
              <w:bottom w:val="single" w:color="auto" w:sz="4" w:space="0"/>
              <w:right w:val="single" w:color="auto" w:sz="12" w:space="0"/>
            </w:tcBorders>
            <w:noWrap w:val="0"/>
            <w:vAlign w:val="center"/>
          </w:tcPr>
          <w:p w14:paraId="785EB05C">
            <w:pPr>
              <w:snapToGrid w:val="0"/>
              <w:spacing w:line="400" w:lineRule="exact"/>
              <w:jc w:val="center"/>
              <w:rPr>
                <w:rFonts w:ascii="宋体" w:hAnsi="宋体"/>
                <w:color w:val="auto"/>
                <w:sz w:val="24"/>
                <w:highlight w:val="none"/>
              </w:rPr>
            </w:pPr>
          </w:p>
        </w:tc>
      </w:tr>
      <w:tr w14:paraId="3F8373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1" w:hRule="atLeast"/>
          <w:jc w:val="center"/>
        </w:trPr>
        <w:tc>
          <w:tcPr>
            <w:tcW w:w="683" w:type="dxa"/>
            <w:tcBorders>
              <w:top w:val="single" w:color="auto" w:sz="4" w:space="0"/>
              <w:left w:val="single" w:color="auto" w:sz="12" w:space="0"/>
              <w:bottom w:val="single" w:color="auto" w:sz="4" w:space="0"/>
              <w:right w:val="single" w:color="auto" w:sz="4" w:space="0"/>
            </w:tcBorders>
            <w:noWrap w:val="0"/>
            <w:vAlign w:val="center"/>
          </w:tcPr>
          <w:p w14:paraId="7DE14688">
            <w:pPr>
              <w:snapToGrid w:val="0"/>
              <w:spacing w:line="400" w:lineRule="exact"/>
              <w:jc w:val="center"/>
              <w:rPr>
                <w:rFonts w:ascii="宋体" w:hAnsi="宋体"/>
                <w:color w:val="auto"/>
                <w:sz w:val="24"/>
                <w:highlight w:val="none"/>
              </w:rPr>
            </w:pPr>
          </w:p>
        </w:tc>
        <w:tc>
          <w:tcPr>
            <w:tcW w:w="1470" w:type="dxa"/>
            <w:tcBorders>
              <w:top w:val="single" w:color="auto" w:sz="4" w:space="0"/>
              <w:left w:val="single" w:color="auto" w:sz="4" w:space="0"/>
              <w:bottom w:val="single" w:color="auto" w:sz="4" w:space="0"/>
              <w:right w:val="single" w:color="auto" w:sz="4" w:space="0"/>
            </w:tcBorders>
            <w:noWrap w:val="0"/>
            <w:vAlign w:val="center"/>
          </w:tcPr>
          <w:p w14:paraId="676E1A26">
            <w:pPr>
              <w:snapToGrid w:val="0"/>
              <w:spacing w:line="400" w:lineRule="exact"/>
              <w:jc w:val="center"/>
              <w:rPr>
                <w:rFonts w:hint="eastAsia" w:ascii="仿宋_GB2312" w:hAnsi="宋体" w:eastAsia="仿宋_GB2312"/>
                <w:color w:val="auto"/>
                <w:sz w:val="24"/>
                <w:highlight w:val="none"/>
              </w:rPr>
            </w:pPr>
          </w:p>
        </w:tc>
        <w:tc>
          <w:tcPr>
            <w:tcW w:w="1015" w:type="dxa"/>
            <w:tcBorders>
              <w:top w:val="single" w:color="auto" w:sz="4" w:space="0"/>
              <w:left w:val="single" w:color="auto" w:sz="4" w:space="0"/>
              <w:bottom w:val="single" w:color="auto" w:sz="4" w:space="0"/>
              <w:right w:val="single" w:color="auto" w:sz="4" w:space="0"/>
            </w:tcBorders>
            <w:noWrap w:val="0"/>
            <w:vAlign w:val="center"/>
          </w:tcPr>
          <w:p w14:paraId="13EB3F6B">
            <w:pPr>
              <w:snapToGrid w:val="0"/>
              <w:spacing w:line="400" w:lineRule="exact"/>
              <w:jc w:val="center"/>
              <w:rPr>
                <w:rFonts w:ascii="宋体" w:hAnsi="宋体"/>
                <w:color w:val="auto"/>
                <w:sz w:val="24"/>
                <w:highlight w:val="none"/>
              </w:rPr>
            </w:pPr>
          </w:p>
        </w:tc>
        <w:tc>
          <w:tcPr>
            <w:tcW w:w="1341" w:type="dxa"/>
            <w:tcBorders>
              <w:top w:val="single" w:color="auto" w:sz="4" w:space="0"/>
              <w:left w:val="single" w:color="auto" w:sz="4" w:space="0"/>
              <w:bottom w:val="single" w:color="auto" w:sz="4" w:space="0"/>
              <w:right w:val="single" w:color="auto" w:sz="4" w:space="0"/>
            </w:tcBorders>
            <w:noWrap w:val="0"/>
            <w:vAlign w:val="center"/>
          </w:tcPr>
          <w:p w14:paraId="24A811CC">
            <w:pPr>
              <w:snapToGrid w:val="0"/>
              <w:spacing w:line="400" w:lineRule="exact"/>
              <w:jc w:val="center"/>
              <w:rPr>
                <w:rFonts w:ascii="宋体" w:hAnsi="宋体"/>
                <w:color w:val="auto"/>
                <w:sz w:val="24"/>
                <w:highlight w:val="none"/>
              </w:rPr>
            </w:pPr>
          </w:p>
        </w:tc>
        <w:tc>
          <w:tcPr>
            <w:tcW w:w="2259" w:type="dxa"/>
            <w:tcBorders>
              <w:top w:val="single" w:color="auto" w:sz="4" w:space="0"/>
              <w:left w:val="single" w:color="auto" w:sz="4" w:space="0"/>
              <w:bottom w:val="single" w:color="auto" w:sz="4" w:space="0"/>
              <w:right w:val="single" w:color="auto" w:sz="4" w:space="0"/>
            </w:tcBorders>
            <w:noWrap w:val="0"/>
            <w:vAlign w:val="top"/>
          </w:tcPr>
          <w:p w14:paraId="0BA51D74">
            <w:pPr>
              <w:snapToGrid w:val="0"/>
              <w:spacing w:line="400" w:lineRule="exact"/>
              <w:jc w:val="center"/>
              <w:rPr>
                <w:rFonts w:ascii="宋体" w:hAnsi="宋体"/>
                <w:color w:val="auto"/>
                <w:sz w:val="24"/>
                <w:highlight w:val="none"/>
              </w:rPr>
            </w:pPr>
          </w:p>
        </w:tc>
        <w:tc>
          <w:tcPr>
            <w:tcW w:w="860" w:type="dxa"/>
            <w:tcBorders>
              <w:top w:val="single" w:color="auto" w:sz="4" w:space="0"/>
              <w:left w:val="single" w:color="auto" w:sz="4" w:space="0"/>
              <w:bottom w:val="single" w:color="auto" w:sz="4" w:space="0"/>
              <w:right w:val="single" w:color="auto" w:sz="4" w:space="0"/>
            </w:tcBorders>
            <w:noWrap w:val="0"/>
            <w:vAlign w:val="center"/>
          </w:tcPr>
          <w:p w14:paraId="1DDDBC19">
            <w:pPr>
              <w:snapToGrid w:val="0"/>
              <w:spacing w:line="400" w:lineRule="exact"/>
              <w:jc w:val="center"/>
              <w:rPr>
                <w:rFonts w:ascii="宋体" w:hAnsi="宋体"/>
                <w:color w:val="auto"/>
                <w:sz w:val="24"/>
                <w:highlight w:val="none"/>
              </w:rPr>
            </w:pPr>
          </w:p>
        </w:tc>
        <w:tc>
          <w:tcPr>
            <w:tcW w:w="840" w:type="dxa"/>
            <w:tcBorders>
              <w:top w:val="single" w:color="auto" w:sz="4" w:space="0"/>
              <w:left w:val="single" w:color="auto" w:sz="4" w:space="0"/>
              <w:bottom w:val="single" w:color="auto" w:sz="4" w:space="0"/>
              <w:right w:val="single" w:color="auto" w:sz="4" w:space="0"/>
            </w:tcBorders>
            <w:noWrap w:val="0"/>
            <w:vAlign w:val="top"/>
          </w:tcPr>
          <w:p w14:paraId="4B6975B0">
            <w:pPr>
              <w:snapToGrid w:val="0"/>
              <w:spacing w:line="400" w:lineRule="exact"/>
              <w:jc w:val="center"/>
              <w:rPr>
                <w:rFonts w:ascii="宋体" w:hAnsi="宋体"/>
                <w:color w:val="auto"/>
                <w:sz w:val="24"/>
                <w:highlight w:val="none"/>
              </w:rPr>
            </w:pPr>
          </w:p>
        </w:tc>
        <w:tc>
          <w:tcPr>
            <w:tcW w:w="1280" w:type="dxa"/>
            <w:tcBorders>
              <w:top w:val="single" w:color="auto" w:sz="4" w:space="0"/>
              <w:left w:val="single" w:color="auto" w:sz="4" w:space="0"/>
              <w:bottom w:val="single" w:color="auto" w:sz="4" w:space="0"/>
              <w:right w:val="single" w:color="auto" w:sz="4" w:space="0"/>
            </w:tcBorders>
            <w:noWrap w:val="0"/>
            <w:vAlign w:val="center"/>
          </w:tcPr>
          <w:p w14:paraId="771EF2D8">
            <w:pPr>
              <w:snapToGrid w:val="0"/>
              <w:spacing w:line="400" w:lineRule="exact"/>
              <w:jc w:val="center"/>
              <w:rPr>
                <w:rFonts w:ascii="宋体" w:hAnsi="宋体"/>
                <w:color w:val="auto"/>
                <w:sz w:val="24"/>
                <w:highlight w:val="none"/>
              </w:rPr>
            </w:pPr>
          </w:p>
        </w:tc>
        <w:tc>
          <w:tcPr>
            <w:tcW w:w="1236" w:type="dxa"/>
            <w:tcBorders>
              <w:top w:val="single" w:color="auto" w:sz="4" w:space="0"/>
              <w:left w:val="single" w:color="auto" w:sz="4" w:space="0"/>
              <w:bottom w:val="single" w:color="auto" w:sz="4" w:space="0"/>
              <w:right w:val="single" w:color="auto" w:sz="4" w:space="0"/>
            </w:tcBorders>
            <w:noWrap w:val="0"/>
            <w:vAlign w:val="center"/>
          </w:tcPr>
          <w:p w14:paraId="42ACBF67">
            <w:pPr>
              <w:snapToGrid w:val="0"/>
              <w:spacing w:line="400" w:lineRule="exact"/>
              <w:jc w:val="center"/>
              <w:rPr>
                <w:rFonts w:ascii="宋体" w:hAnsi="宋体"/>
                <w:color w:val="auto"/>
                <w:sz w:val="24"/>
                <w:highlight w:val="none"/>
              </w:rPr>
            </w:pPr>
          </w:p>
        </w:tc>
        <w:tc>
          <w:tcPr>
            <w:tcW w:w="1544" w:type="dxa"/>
            <w:tcBorders>
              <w:top w:val="single" w:color="auto" w:sz="4" w:space="0"/>
              <w:left w:val="single" w:color="auto" w:sz="4" w:space="0"/>
              <w:bottom w:val="single" w:color="auto" w:sz="4" w:space="0"/>
              <w:right w:val="single" w:color="auto" w:sz="12" w:space="0"/>
            </w:tcBorders>
            <w:noWrap w:val="0"/>
            <w:vAlign w:val="center"/>
          </w:tcPr>
          <w:p w14:paraId="3C3DB869">
            <w:pPr>
              <w:snapToGrid w:val="0"/>
              <w:spacing w:line="400" w:lineRule="exact"/>
              <w:jc w:val="center"/>
              <w:rPr>
                <w:rFonts w:ascii="宋体" w:hAnsi="宋体"/>
                <w:color w:val="auto"/>
                <w:sz w:val="24"/>
                <w:highlight w:val="none"/>
              </w:rPr>
            </w:pPr>
          </w:p>
        </w:tc>
      </w:tr>
      <w:tr w14:paraId="3402F7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jc w:val="center"/>
        </w:trPr>
        <w:tc>
          <w:tcPr>
            <w:tcW w:w="683" w:type="dxa"/>
            <w:tcBorders>
              <w:top w:val="single" w:color="auto" w:sz="4" w:space="0"/>
              <w:left w:val="single" w:color="auto" w:sz="12" w:space="0"/>
              <w:bottom w:val="single" w:color="auto" w:sz="4" w:space="0"/>
              <w:right w:val="single" w:color="auto" w:sz="4" w:space="0"/>
            </w:tcBorders>
            <w:noWrap w:val="0"/>
            <w:vAlign w:val="center"/>
          </w:tcPr>
          <w:p w14:paraId="1D77A9EC">
            <w:pPr>
              <w:snapToGrid w:val="0"/>
              <w:spacing w:line="400" w:lineRule="exact"/>
              <w:jc w:val="center"/>
              <w:rPr>
                <w:rFonts w:ascii="宋体" w:hAnsi="宋体"/>
                <w:color w:val="auto"/>
                <w:sz w:val="24"/>
                <w:highlight w:val="none"/>
              </w:rPr>
            </w:pPr>
          </w:p>
        </w:tc>
        <w:tc>
          <w:tcPr>
            <w:tcW w:w="1470" w:type="dxa"/>
            <w:tcBorders>
              <w:top w:val="single" w:color="auto" w:sz="4" w:space="0"/>
              <w:left w:val="single" w:color="auto" w:sz="4" w:space="0"/>
              <w:bottom w:val="single" w:color="auto" w:sz="4" w:space="0"/>
              <w:right w:val="single" w:color="auto" w:sz="4" w:space="0"/>
            </w:tcBorders>
            <w:noWrap w:val="0"/>
            <w:vAlign w:val="center"/>
          </w:tcPr>
          <w:p w14:paraId="401A686A">
            <w:pPr>
              <w:snapToGrid w:val="0"/>
              <w:spacing w:line="400" w:lineRule="exact"/>
              <w:jc w:val="center"/>
              <w:rPr>
                <w:rFonts w:hint="eastAsia" w:ascii="仿宋_GB2312" w:hAnsi="宋体" w:eastAsia="仿宋_GB2312"/>
                <w:color w:val="auto"/>
                <w:sz w:val="18"/>
                <w:szCs w:val="18"/>
                <w:highlight w:val="none"/>
              </w:rPr>
            </w:pPr>
          </w:p>
        </w:tc>
        <w:tc>
          <w:tcPr>
            <w:tcW w:w="1015" w:type="dxa"/>
            <w:tcBorders>
              <w:top w:val="single" w:color="auto" w:sz="4" w:space="0"/>
              <w:left w:val="single" w:color="auto" w:sz="4" w:space="0"/>
              <w:bottom w:val="single" w:color="auto" w:sz="4" w:space="0"/>
              <w:right w:val="single" w:color="auto" w:sz="4" w:space="0"/>
            </w:tcBorders>
            <w:noWrap w:val="0"/>
            <w:vAlign w:val="center"/>
          </w:tcPr>
          <w:p w14:paraId="57F43F35">
            <w:pPr>
              <w:snapToGrid w:val="0"/>
              <w:spacing w:line="400" w:lineRule="exact"/>
              <w:jc w:val="center"/>
              <w:rPr>
                <w:rFonts w:ascii="宋体" w:hAnsi="宋体"/>
                <w:color w:val="auto"/>
                <w:sz w:val="24"/>
                <w:highlight w:val="none"/>
              </w:rPr>
            </w:pPr>
          </w:p>
        </w:tc>
        <w:tc>
          <w:tcPr>
            <w:tcW w:w="1341" w:type="dxa"/>
            <w:tcBorders>
              <w:top w:val="single" w:color="auto" w:sz="4" w:space="0"/>
              <w:left w:val="single" w:color="auto" w:sz="4" w:space="0"/>
              <w:bottom w:val="single" w:color="auto" w:sz="4" w:space="0"/>
              <w:right w:val="single" w:color="auto" w:sz="4" w:space="0"/>
            </w:tcBorders>
            <w:noWrap w:val="0"/>
            <w:vAlign w:val="center"/>
          </w:tcPr>
          <w:p w14:paraId="5011BCEE">
            <w:pPr>
              <w:snapToGrid w:val="0"/>
              <w:spacing w:line="400" w:lineRule="exact"/>
              <w:jc w:val="center"/>
              <w:rPr>
                <w:rFonts w:ascii="宋体" w:hAnsi="宋体"/>
                <w:color w:val="auto"/>
                <w:sz w:val="24"/>
                <w:highlight w:val="none"/>
              </w:rPr>
            </w:pPr>
          </w:p>
        </w:tc>
        <w:tc>
          <w:tcPr>
            <w:tcW w:w="2259" w:type="dxa"/>
            <w:tcBorders>
              <w:top w:val="single" w:color="auto" w:sz="4" w:space="0"/>
              <w:left w:val="single" w:color="auto" w:sz="4" w:space="0"/>
              <w:bottom w:val="single" w:color="auto" w:sz="4" w:space="0"/>
              <w:right w:val="single" w:color="auto" w:sz="4" w:space="0"/>
            </w:tcBorders>
            <w:noWrap w:val="0"/>
            <w:vAlign w:val="top"/>
          </w:tcPr>
          <w:p w14:paraId="20B42D11">
            <w:pPr>
              <w:snapToGrid w:val="0"/>
              <w:spacing w:line="400" w:lineRule="exact"/>
              <w:jc w:val="center"/>
              <w:rPr>
                <w:rFonts w:ascii="宋体" w:hAnsi="宋体"/>
                <w:color w:val="auto"/>
                <w:sz w:val="24"/>
                <w:highlight w:val="none"/>
              </w:rPr>
            </w:pPr>
          </w:p>
        </w:tc>
        <w:tc>
          <w:tcPr>
            <w:tcW w:w="860" w:type="dxa"/>
            <w:tcBorders>
              <w:top w:val="single" w:color="auto" w:sz="4" w:space="0"/>
              <w:left w:val="single" w:color="auto" w:sz="4" w:space="0"/>
              <w:bottom w:val="single" w:color="auto" w:sz="4" w:space="0"/>
              <w:right w:val="single" w:color="auto" w:sz="4" w:space="0"/>
            </w:tcBorders>
            <w:noWrap w:val="0"/>
            <w:vAlign w:val="center"/>
          </w:tcPr>
          <w:p w14:paraId="030DEBF2">
            <w:pPr>
              <w:snapToGrid w:val="0"/>
              <w:spacing w:line="400" w:lineRule="exact"/>
              <w:jc w:val="center"/>
              <w:rPr>
                <w:rFonts w:ascii="宋体" w:hAnsi="宋体"/>
                <w:color w:val="auto"/>
                <w:sz w:val="24"/>
                <w:highlight w:val="none"/>
              </w:rPr>
            </w:pPr>
          </w:p>
        </w:tc>
        <w:tc>
          <w:tcPr>
            <w:tcW w:w="840" w:type="dxa"/>
            <w:tcBorders>
              <w:top w:val="single" w:color="auto" w:sz="4" w:space="0"/>
              <w:left w:val="single" w:color="auto" w:sz="4" w:space="0"/>
              <w:bottom w:val="single" w:color="auto" w:sz="4" w:space="0"/>
              <w:right w:val="single" w:color="auto" w:sz="4" w:space="0"/>
            </w:tcBorders>
            <w:noWrap w:val="0"/>
            <w:vAlign w:val="top"/>
          </w:tcPr>
          <w:p w14:paraId="79367374">
            <w:pPr>
              <w:snapToGrid w:val="0"/>
              <w:spacing w:line="400" w:lineRule="exact"/>
              <w:jc w:val="center"/>
              <w:rPr>
                <w:rFonts w:ascii="宋体" w:hAnsi="宋体"/>
                <w:color w:val="auto"/>
                <w:sz w:val="24"/>
                <w:highlight w:val="none"/>
              </w:rPr>
            </w:pPr>
          </w:p>
        </w:tc>
        <w:tc>
          <w:tcPr>
            <w:tcW w:w="1280" w:type="dxa"/>
            <w:tcBorders>
              <w:top w:val="single" w:color="auto" w:sz="4" w:space="0"/>
              <w:left w:val="single" w:color="auto" w:sz="4" w:space="0"/>
              <w:bottom w:val="single" w:color="auto" w:sz="4" w:space="0"/>
              <w:right w:val="single" w:color="auto" w:sz="4" w:space="0"/>
            </w:tcBorders>
            <w:noWrap w:val="0"/>
            <w:vAlign w:val="center"/>
          </w:tcPr>
          <w:p w14:paraId="6C325C07">
            <w:pPr>
              <w:snapToGrid w:val="0"/>
              <w:spacing w:line="400" w:lineRule="exact"/>
              <w:jc w:val="center"/>
              <w:rPr>
                <w:rFonts w:ascii="宋体" w:hAnsi="宋体"/>
                <w:color w:val="auto"/>
                <w:sz w:val="24"/>
                <w:highlight w:val="none"/>
              </w:rPr>
            </w:pPr>
          </w:p>
        </w:tc>
        <w:tc>
          <w:tcPr>
            <w:tcW w:w="1236" w:type="dxa"/>
            <w:tcBorders>
              <w:top w:val="single" w:color="auto" w:sz="4" w:space="0"/>
              <w:left w:val="single" w:color="auto" w:sz="4" w:space="0"/>
              <w:bottom w:val="single" w:color="auto" w:sz="4" w:space="0"/>
              <w:right w:val="single" w:color="auto" w:sz="4" w:space="0"/>
            </w:tcBorders>
            <w:noWrap w:val="0"/>
            <w:vAlign w:val="center"/>
          </w:tcPr>
          <w:p w14:paraId="389713D6">
            <w:pPr>
              <w:snapToGrid w:val="0"/>
              <w:spacing w:line="400" w:lineRule="exact"/>
              <w:jc w:val="center"/>
              <w:rPr>
                <w:rFonts w:ascii="宋体" w:hAnsi="宋体"/>
                <w:color w:val="auto"/>
                <w:sz w:val="24"/>
                <w:highlight w:val="none"/>
              </w:rPr>
            </w:pPr>
          </w:p>
        </w:tc>
        <w:tc>
          <w:tcPr>
            <w:tcW w:w="1544" w:type="dxa"/>
            <w:tcBorders>
              <w:top w:val="single" w:color="auto" w:sz="4" w:space="0"/>
              <w:left w:val="single" w:color="auto" w:sz="4" w:space="0"/>
              <w:bottom w:val="single" w:color="auto" w:sz="4" w:space="0"/>
              <w:right w:val="single" w:color="auto" w:sz="12" w:space="0"/>
            </w:tcBorders>
            <w:noWrap w:val="0"/>
            <w:vAlign w:val="center"/>
          </w:tcPr>
          <w:p w14:paraId="2B288F83">
            <w:pPr>
              <w:snapToGrid w:val="0"/>
              <w:spacing w:line="400" w:lineRule="exact"/>
              <w:jc w:val="center"/>
              <w:rPr>
                <w:rFonts w:ascii="宋体" w:hAnsi="宋体"/>
                <w:color w:val="auto"/>
                <w:sz w:val="24"/>
                <w:highlight w:val="none"/>
              </w:rPr>
            </w:pPr>
          </w:p>
        </w:tc>
      </w:tr>
      <w:tr w14:paraId="798756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8" w:hRule="atLeast"/>
          <w:jc w:val="center"/>
        </w:trPr>
        <w:tc>
          <w:tcPr>
            <w:tcW w:w="683" w:type="dxa"/>
            <w:tcBorders>
              <w:top w:val="single" w:color="auto" w:sz="4" w:space="0"/>
              <w:left w:val="single" w:color="auto" w:sz="12" w:space="0"/>
              <w:bottom w:val="single" w:color="auto" w:sz="12" w:space="0"/>
              <w:right w:val="single" w:color="auto" w:sz="4" w:space="0"/>
            </w:tcBorders>
            <w:noWrap w:val="0"/>
            <w:vAlign w:val="center"/>
          </w:tcPr>
          <w:p w14:paraId="2B3843C4">
            <w:pPr>
              <w:snapToGrid w:val="0"/>
              <w:spacing w:line="400" w:lineRule="exact"/>
              <w:jc w:val="center"/>
              <w:rPr>
                <w:rFonts w:ascii="宋体" w:hAnsi="宋体"/>
                <w:color w:val="auto"/>
                <w:sz w:val="24"/>
                <w:highlight w:val="none"/>
              </w:rPr>
            </w:pPr>
          </w:p>
        </w:tc>
        <w:tc>
          <w:tcPr>
            <w:tcW w:w="1470" w:type="dxa"/>
            <w:tcBorders>
              <w:top w:val="single" w:color="auto" w:sz="4" w:space="0"/>
              <w:left w:val="single" w:color="auto" w:sz="4" w:space="0"/>
              <w:bottom w:val="single" w:color="auto" w:sz="12" w:space="0"/>
              <w:right w:val="single" w:color="auto" w:sz="4" w:space="0"/>
            </w:tcBorders>
            <w:noWrap w:val="0"/>
            <w:vAlign w:val="center"/>
          </w:tcPr>
          <w:p w14:paraId="4149FF8A">
            <w:pPr>
              <w:snapToGrid w:val="0"/>
              <w:spacing w:line="400" w:lineRule="exact"/>
              <w:jc w:val="center"/>
              <w:rPr>
                <w:rFonts w:hint="eastAsia" w:ascii="仿宋_GB2312" w:hAnsi="宋体" w:eastAsia="仿宋_GB2312"/>
                <w:color w:val="auto"/>
                <w:sz w:val="18"/>
                <w:szCs w:val="18"/>
                <w:highlight w:val="none"/>
              </w:rPr>
            </w:pPr>
          </w:p>
        </w:tc>
        <w:tc>
          <w:tcPr>
            <w:tcW w:w="1015" w:type="dxa"/>
            <w:tcBorders>
              <w:top w:val="single" w:color="auto" w:sz="4" w:space="0"/>
              <w:left w:val="single" w:color="auto" w:sz="4" w:space="0"/>
              <w:bottom w:val="single" w:color="auto" w:sz="12" w:space="0"/>
              <w:right w:val="single" w:color="auto" w:sz="4" w:space="0"/>
            </w:tcBorders>
            <w:noWrap w:val="0"/>
            <w:vAlign w:val="center"/>
          </w:tcPr>
          <w:p w14:paraId="2E01D1A3">
            <w:pPr>
              <w:snapToGrid w:val="0"/>
              <w:spacing w:line="400" w:lineRule="exact"/>
              <w:jc w:val="center"/>
              <w:rPr>
                <w:rFonts w:ascii="宋体" w:hAnsi="宋体"/>
                <w:color w:val="auto"/>
                <w:sz w:val="24"/>
                <w:highlight w:val="none"/>
              </w:rPr>
            </w:pPr>
          </w:p>
        </w:tc>
        <w:tc>
          <w:tcPr>
            <w:tcW w:w="1341" w:type="dxa"/>
            <w:tcBorders>
              <w:top w:val="single" w:color="auto" w:sz="4" w:space="0"/>
              <w:left w:val="single" w:color="auto" w:sz="4" w:space="0"/>
              <w:bottom w:val="single" w:color="auto" w:sz="12" w:space="0"/>
              <w:right w:val="single" w:color="auto" w:sz="4" w:space="0"/>
            </w:tcBorders>
            <w:noWrap w:val="0"/>
            <w:vAlign w:val="center"/>
          </w:tcPr>
          <w:p w14:paraId="1B3DB1AF">
            <w:pPr>
              <w:snapToGrid w:val="0"/>
              <w:spacing w:line="400" w:lineRule="exact"/>
              <w:jc w:val="center"/>
              <w:rPr>
                <w:rFonts w:ascii="宋体" w:hAnsi="宋体"/>
                <w:color w:val="auto"/>
                <w:sz w:val="24"/>
                <w:highlight w:val="none"/>
              </w:rPr>
            </w:pPr>
          </w:p>
        </w:tc>
        <w:tc>
          <w:tcPr>
            <w:tcW w:w="2259" w:type="dxa"/>
            <w:tcBorders>
              <w:top w:val="single" w:color="auto" w:sz="4" w:space="0"/>
              <w:left w:val="single" w:color="auto" w:sz="4" w:space="0"/>
              <w:bottom w:val="single" w:color="auto" w:sz="12" w:space="0"/>
              <w:right w:val="single" w:color="auto" w:sz="4" w:space="0"/>
            </w:tcBorders>
            <w:noWrap w:val="0"/>
            <w:vAlign w:val="top"/>
          </w:tcPr>
          <w:p w14:paraId="0A1F07D9">
            <w:pPr>
              <w:snapToGrid w:val="0"/>
              <w:spacing w:line="400" w:lineRule="exact"/>
              <w:jc w:val="center"/>
              <w:rPr>
                <w:rFonts w:ascii="宋体" w:hAnsi="宋体"/>
                <w:color w:val="auto"/>
                <w:sz w:val="24"/>
                <w:highlight w:val="none"/>
              </w:rPr>
            </w:pPr>
          </w:p>
        </w:tc>
        <w:tc>
          <w:tcPr>
            <w:tcW w:w="860" w:type="dxa"/>
            <w:tcBorders>
              <w:top w:val="single" w:color="auto" w:sz="4" w:space="0"/>
              <w:left w:val="single" w:color="auto" w:sz="4" w:space="0"/>
              <w:bottom w:val="single" w:color="auto" w:sz="12" w:space="0"/>
              <w:right w:val="single" w:color="auto" w:sz="4" w:space="0"/>
            </w:tcBorders>
            <w:noWrap w:val="0"/>
            <w:vAlign w:val="center"/>
          </w:tcPr>
          <w:p w14:paraId="0FC62B73">
            <w:pPr>
              <w:snapToGrid w:val="0"/>
              <w:spacing w:line="400" w:lineRule="exact"/>
              <w:jc w:val="center"/>
              <w:rPr>
                <w:rFonts w:ascii="宋体" w:hAnsi="宋体"/>
                <w:color w:val="auto"/>
                <w:sz w:val="24"/>
                <w:highlight w:val="none"/>
              </w:rPr>
            </w:pPr>
          </w:p>
        </w:tc>
        <w:tc>
          <w:tcPr>
            <w:tcW w:w="840" w:type="dxa"/>
            <w:tcBorders>
              <w:top w:val="single" w:color="auto" w:sz="4" w:space="0"/>
              <w:left w:val="single" w:color="auto" w:sz="4" w:space="0"/>
              <w:bottom w:val="single" w:color="auto" w:sz="12" w:space="0"/>
              <w:right w:val="single" w:color="auto" w:sz="4" w:space="0"/>
            </w:tcBorders>
            <w:noWrap w:val="0"/>
            <w:vAlign w:val="top"/>
          </w:tcPr>
          <w:p w14:paraId="01CA143C">
            <w:pPr>
              <w:snapToGrid w:val="0"/>
              <w:spacing w:line="400" w:lineRule="exact"/>
              <w:jc w:val="center"/>
              <w:rPr>
                <w:rFonts w:ascii="宋体" w:hAnsi="宋体"/>
                <w:color w:val="auto"/>
                <w:sz w:val="24"/>
                <w:highlight w:val="none"/>
              </w:rPr>
            </w:pPr>
          </w:p>
        </w:tc>
        <w:tc>
          <w:tcPr>
            <w:tcW w:w="1280" w:type="dxa"/>
            <w:tcBorders>
              <w:top w:val="single" w:color="auto" w:sz="4" w:space="0"/>
              <w:left w:val="single" w:color="auto" w:sz="4" w:space="0"/>
              <w:bottom w:val="single" w:color="auto" w:sz="12" w:space="0"/>
              <w:right w:val="single" w:color="auto" w:sz="4" w:space="0"/>
            </w:tcBorders>
            <w:noWrap w:val="0"/>
            <w:vAlign w:val="center"/>
          </w:tcPr>
          <w:p w14:paraId="6479AA40">
            <w:pPr>
              <w:snapToGrid w:val="0"/>
              <w:spacing w:line="400" w:lineRule="exact"/>
              <w:jc w:val="center"/>
              <w:rPr>
                <w:rFonts w:ascii="宋体" w:hAnsi="宋体"/>
                <w:color w:val="auto"/>
                <w:sz w:val="24"/>
                <w:highlight w:val="none"/>
              </w:rPr>
            </w:pPr>
          </w:p>
        </w:tc>
        <w:tc>
          <w:tcPr>
            <w:tcW w:w="1236" w:type="dxa"/>
            <w:tcBorders>
              <w:top w:val="single" w:color="auto" w:sz="4" w:space="0"/>
              <w:left w:val="single" w:color="auto" w:sz="4" w:space="0"/>
              <w:bottom w:val="single" w:color="auto" w:sz="12" w:space="0"/>
              <w:right w:val="single" w:color="auto" w:sz="4" w:space="0"/>
            </w:tcBorders>
            <w:noWrap w:val="0"/>
            <w:vAlign w:val="center"/>
          </w:tcPr>
          <w:p w14:paraId="3A0D9CC1">
            <w:pPr>
              <w:snapToGrid w:val="0"/>
              <w:spacing w:line="400" w:lineRule="exact"/>
              <w:jc w:val="center"/>
              <w:rPr>
                <w:rFonts w:ascii="宋体" w:hAnsi="宋体"/>
                <w:color w:val="auto"/>
                <w:sz w:val="24"/>
                <w:highlight w:val="none"/>
              </w:rPr>
            </w:pPr>
          </w:p>
        </w:tc>
        <w:tc>
          <w:tcPr>
            <w:tcW w:w="1544" w:type="dxa"/>
            <w:tcBorders>
              <w:top w:val="single" w:color="auto" w:sz="4" w:space="0"/>
              <w:left w:val="single" w:color="auto" w:sz="4" w:space="0"/>
              <w:bottom w:val="single" w:color="auto" w:sz="12" w:space="0"/>
              <w:right w:val="single" w:color="auto" w:sz="12" w:space="0"/>
            </w:tcBorders>
            <w:noWrap w:val="0"/>
            <w:vAlign w:val="center"/>
          </w:tcPr>
          <w:p w14:paraId="0E3D78F6">
            <w:pPr>
              <w:snapToGrid w:val="0"/>
              <w:spacing w:line="400" w:lineRule="exact"/>
              <w:jc w:val="center"/>
              <w:rPr>
                <w:rFonts w:ascii="宋体" w:hAnsi="宋体"/>
                <w:color w:val="auto"/>
                <w:sz w:val="24"/>
                <w:highlight w:val="none"/>
              </w:rPr>
            </w:pPr>
          </w:p>
        </w:tc>
      </w:tr>
    </w:tbl>
    <w:p w14:paraId="74994CEC">
      <w:pPr>
        <w:spacing w:line="400" w:lineRule="exact"/>
        <w:rPr>
          <w:rFonts w:hint="eastAsia" w:ascii="仿宋_GB2312" w:hAnsi="宋体" w:eastAsia="仿宋_GB2312"/>
          <w:b/>
          <w:bCs/>
          <w:color w:val="auto"/>
          <w:sz w:val="24"/>
          <w:highlight w:val="none"/>
        </w:rPr>
      </w:pPr>
      <w:r>
        <w:rPr>
          <w:rFonts w:hint="eastAsia" w:ascii="仿宋_GB2312" w:hAnsi="宋体" w:eastAsia="仿宋_GB2312"/>
          <w:color w:val="auto"/>
          <w:sz w:val="24"/>
          <w:highlight w:val="none"/>
        </w:rPr>
        <w:t xml:space="preserve">                                        </w:t>
      </w:r>
    </w:p>
    <w:p w14:paraId="6B19E9F4">
      <w:pPr>
        <w:spacing w:line="400" w:lineRule="exact"/>
        <w:ind w:left="840" w:hanging="840" w:hangingChars="350"/>
        <w:rPr>
          <w:rFonts w:hint="eastAsia" w:ascii="仿宋_GB2312" w:eastAsia="仿宋_GB2312"/>
          <w:color w:val="auto"/>
          <w:sz w:val="24"/>
          <w:highlight w:val="none"/>
        </w:rPr>
      </w:pPr>
    </w:p>
    <w:p w14:paraId="187DC6CE">
      <w:pPr>
        <w:spacing w:line="400" w:lineRule="exact"/>
        <w:ind w:left="840" w:hanging="840" w:hangingChars="350"/>
        <w:rPr>
          <w:rFonts w:hint="eastAsia" w:ascii="仿宋_GB2312" w:eastAsia="仿宋_GB2312"/>
          <w:color w:val="auto"/>
          <w:sz w:val="24"/>
          <w:highlight w:val="none"/>
        </w:rPr>
      </w:pPr>
    </w:p>
    <w:p w14:paraId="68D6B9BA">
      <w:pPr>
        <w:spacing w:line="400" w:lineRule="exact"/>
        <w:ind w:left="840" w:hanging="840" w:hangingChars="350"/>
        <w:rPr>
          <w:rFonts w:hint="eastAsia" w:ascii="仿宋_GB2312" w:eastAsia="仿宋_GB2312"/>
          <w:color w:val="auto"/>
          <w:sz w:val="24"/>
          <w:highlight w:val="none"/>
        </w:rPr>
      </w:pPr>
    </w:p>
    <w:p w14:paraId="5EFABE28">
      <w:pPr>
        <w:spacing w:line="400" w:lineRule="exact"/>
        <w:ind w:left="840" w:hanging="840" w:hangingChars="350"/>
        <w:rPr>
          <w:rFonts w:hint="eastAsia" w:ascii="仿宋_GB2312" w:eastAsia="仿宋_GB2312"/>
          <w:color w:val="auto"/>
          <w:sz w:val="24"/>
          <w:highlight w:val="none"/>
        </w:rPr>
      </w:pPr>
    </w:p>
    <w:p w14:paraId="42085F3C">
      <w:pPr>
        <w:spacing w:line="400" w:lineRule="exact"/>
        <w:ind w:left="840" w:hanging="840" w:hangingChars="350"/>
        <w:rPr>
          <w:rFonts w:hint="eastAsia" w:ascii="仿宋_GB2312" w:eastAsia="仿宋_GB2312"/>
          <w:color w:val="auto"/>
          <w:sz w:val="24"/>
          <w:highlight w:val="none"/>
        </w:rPr>
      </w:pPr>
    </w:p>
    <w:p w14:paraId="48B035A3">
      <w:pPr>
        <w:spacing w:line="400" w:lineRule="exact"/>
        <w:ind w:left="840" w:hanging="840" w:hangingChars="350"/>
        <w:rPr>
          <w:rFonts w:hint="eastAsia" w:ascii="仿宋_GB2312" w:eastAsia="仿宋_GB2312"/>
          <w:color w:val="auto"/>
          <w:sz w:val="24"/>
          <w:highlight w:val="none"/>
        </w:rPr>
      </w:pPr>
    </w:p>
    <w:p w14:paraId="40CA2910">
      <w:pPr>
        <w:spacing w:line="400" w:lineRule="exact"/>
        <w:ind w:left="840" w:hanging="840" w:hangingChars="350"/>
        <w:rPr>
          <w:rFonts w:hint="eastAsia" w:ascii="仿宋_GB2312" w:eastAsia="仿宋_GB2312"/>
          <w:color w:val="auto"/>
          <w:sz w:val="24"/>
          <w:highlight w:val="none"/>
        </w:rPr>
      </w:pPr>
    </w:p>
    <w:p w14:paraId="1527BCB8">
      <w:pPr>
        <w:spacing w:line="400" w:lineRule="exact"/>
        <w:ind w:left="840" w:hanging="840" w:hangingChars="350"/>
        <w:rPr>
          <w:rFonts w:hint="eastAsia" w:ascii="仿宋_GB2312" w:eastAsia="仿宋_GB2312"/>
          <w:color w:val="auto"/>
          <w:sz w:val="24"/>
          <w:highlight w:val="none"/>
        </w:rPr>
      </w:pPr>
    </w:p>
    <w:p w14:paraId="11DAA52D">
      <w:pPr>
        <w:spacing w:line="400" w:lineRule="exact"/>
        <w:ind w:left="840" w:hanging="840" w:hangingChars="350"/>
        <w:rPr>
          <w:rFonts w:hint="eastAsia" w:ascii="仿宋_GB2312" w:eastAsia="仿宋_GB2312"/>
          <w:color w:val="auto"/>
          <w:sz w:val="24"/>
          <w:highlight w:val="none"/>
        </w:rPr>
      </w:pPr>
    </w:p>
    <w:p w14:paraId="7370CF9F">
      <w:pPr>
        <w:spacing w:line="260" w:lineRule="exact"/>
        <w:rPr>
          <w:rFonts w:hint="eastAsia" w:ascii="仿宋_GB2312" w:eastAsia="仿宋_GB2312"/>
          <w:color w:val="auto"/>
          <w:sz w:val="24"/>
          <w:highlight w:val="none"/>
        </w:rPr>
      </w:pPr>
      <w:r>
        <w:rPr>
          <w:rFonts w:hint="eastAsia" w:ascii="仿宋_GB2312" w:eastAsia="仿宋_GB2312"/>
          <w:color w:val="auto"/>
          <w:sz w:val="24"/>
          <w:highlight w:val="none"/>
        </w:rPr>
        <w:t xml:space="preserve"> </w:t>
      </w:r>
    </w:p>
    <w:p w14:paraId="0A755720">
      <w:pPr>
        <w:spacing w:before="120" w:beforeLines="50"/>
        <w:ind w:left="779" w:leftChars="371" w:firstLine="210" w:firstLineChars="100"/>
        <w:rPr>
          <w:rFonts w:hint="eastAsia" w:ascii="楷体" w:hAnsi="楷体" w:eastAsia="楷体"/>
          <w:color w:val="auto"/>
          <w:szCs w:val="21"/>
          <w:highlight w:val="none"/>
        </w:rPr>
      </w:pPr>
      <w:r>
        <w:rPr>
          <w:rFonts w:hint="eastAsia" w:ascii="楷体" w:hAnsi="楷体" w:eastAsia="楷体"/>
          <w:color w:val="auto"/>
          <w:highlight w:val="none"/>
        </w:rPr>
        <w:t>说明：</w:t>
      </w:r>
      <w:r>
        <w:rPr>
          <w:rFonts w:hint="eastAsia" w:ascii="楷体" w:hAnsi="楷体" w:eastAsia="楷体"/>
          <w:color w:val="auto"/>
          <w:szCs w:val="21"/>
          <w:highlight w:val="none"/>
        </w:rPr>
        <w:t>1.“备</w:t>
      </w:r>
      <w:r>
        <w:rPr>
          <w:rFonts w:hint="eastAsia" w:ascii="楷体" w:hAnsi="楷体" w:eastAsia="楷体"/>
          <w:color w:val="auto"/>
          <w:szCs w:val="21"/>
          <w:highlight w:val="none"/>
          <w:lang w:val="en-US" w:eastAsia="zh-CN"/>
        </w:rPr>
        <w:t>品备</w:t>
      </w:r>
      <w:r>
        <w:rPr>
          <w:rFonts w:hint="eastAsia" w:ascii="楷体" w:hAnsi="楷体" w:eastAsia="楷体"/>
          <w:bCs/>
          <w:color w:val="auto"/>
          <w:szCs w:val="21"/>
          <w:highlight w:val="none"/>
        </w:rPr>
        <w:t>件报价表</w:t>
      </w:r>
      <w:r>
        <w:rPr>
          <w:rFonts w:hint="eastAsia" w:ascii="楷体" w:hAnsi="楷体" w:eastAsia="楷体"/>
          <w:color w:val="auto"/>
          <w:szCs w:val="21"/>
          <w:highlight w:val="none"/>
        </w:rPr>
        <w:t>”以包为单位填写，报价精确到元，不保留小数；</w:t>
      </w:r>
    </w:p>
    <w:p w14:paraId="5725DAC9">
      <w:pPr>
        <w:spacing w:line="320" w:lineRule="exact"/>
        <w:ind w:left="779" w:leftChars="371" w:firstLine="840" w:firstLineChars="400"/>
        <w:rPr>
          <w:rFonts w:hint="eastAsia" w:ascii="楷体" w:hAnsi="楷体" w:eastAsia="楷体"/>
          <w:bCs/>
          <w:color w:val="auto"/>
          <w:szCs w:val="21"/>
          <w:highlight w:val="none"/>
        </w:rPr>
      </w:pPr>
      <w:r>
        <w:rPr>
          <w:rFonts w:hint="eastAsia" w:ascii="楷体" w:hAnsi="楷体" w:eastAsia="楷体"/>
          <w:color w:val="auto"/>
          <w:szCs w:val="21"/>
          <w:highlight w:val="none"/>
        </w:rPr>
        <w:t>2.备</w:t>
      </w:r>
      <w:r>
        <w:rPr>
          <w:rFonts w:hint="eastAsia" w:ascii="楷体" w:hAnsi="楷体" w:eastAsia="楷体"/>
          <w:color w:val="auto"/>
          <w:szCs w:val="21"/>
          <w:highlight w:val="none"/>
          <w:lang w:val="en-US" w:eastAsia="zh-CN"/>
        </w:rPr>
        <w:t>品备</w:t>
      </w:r>
      <w:r>
        <w:rPr>
          <w:rFonts w:hint="eastAsia" w:ascii="楷体" w:hAnsi="楷体" w:eastAsia="楷体"/>
          <w:bCs/>
          <w:color w:val="auto"/>
          <w:szCs w:val="21"/>
          <w:highlight w:val="none"/>
        </w:rPr>
        <w:t>件，仅作为采购人后期选择购买，其报价不包含在本次投标总价内。</w:t>
      </w:r>
    </w:p>
    <w:p w14:paraId="3D87C0B2">
      <w:pPr>
        <w:adjustRightInd w:val="0"/>
        <w:spacing w:line="400" w:lineRule="exact"/>
        <w:ind w:firstLine="1050" w:firstLineChars="500"/>
        <w:jc w:val="left"/>
        <w:rPr>
          <w:rFonts w:hint="eastAsia" w:ascii="楷体" w:hAnsi="楷体" w:eastAsia="楷体"/>
          <w:bCs/>
          <w:color w:val="auto"/>
          <w:szCs w:val="21"/>
          <w:highlight w:val="none"/>
        </w:rPr>
      </w:pPr>
    </w:p>
    <w:p w14:paraId="105DD9A6">
      <w:pPr>
        <w:adjustRightInd w:val="0"/>
        <w:spacing w:after="240" w:afterLines="100" w:line="400" w:lineRule="exact"/>
        <w:ind w:firstLine="1050" w:firstLineChars="500"/>
        <w:jc w:val="left"/>
        <w:rPr>
          <w:rFonts w:hint="eastAsia" w:ascii="宋体" w:hAnsi="宋体"/>
          <w:color w:val="auto"/>
          <w:szCs w:val="21"/>
          <w:highlight w:val="none"/>
        </w:rPr>
      </w:pPr>
      <w:r>
        <w:rPr>
          <w:rFonts w:hint="eastAsia" w:ascii="宋体" w:hAnsi="宋体"/>
          <w:color w:val="auto"/>
          <w:szCs w:val="21"/>
          <w:highlight w:val="none"/>
        </w:rPr>
        <w:t>投 标 人：</w:t>
      </w:r>
      <w:r>
        <w:rPr>
          <w:rFonts w:hint="eastAsia" w:ascii="宋体" w:hAnsi="宋体"/>
          <w:color w:val="auto"/>
          <w:szCs w:val="21"/>
          <w:highlight w:val="none"/>
          <w:u w:val="single"/>
        </w:rPr>
        <w:t xml:space="preserve">                     </w:t>
      </w:r>
      <w:r>
        <w:rPr>
          <w:rFonts w:hint="eastAsia" w:ascii="宋体" w:hAnsi="宋体"/>
          <w:color w:val="auto"/>
          <w:szCs w:val="21"/>
          <w:highlight w:val="none"/>
        </w:rPr>
        <w:t>（盖单位章）</w:t>
      </w:r>
    </w:p>
    <w:p w14:paraId="036855BF">
      <w:pPr>
        <w:spacing w:after="240" w:afterLines="100" w:line="400" w:lineRule="exact"/>
        <w:ind w:firstLine="1050" w:firstLineChars="500"/>
        <w:rPr>
          <w:rFonts w:hint="eastAsia" w:ascii="宋体" w:hAnsi="宋体"/>
          <w:color w:val="auto"/>
          <w:szCs w:val="21"/>
          <w:highlight w:val="none"/>
        </w:rPr>
      </w:pPr>
      <w:r>
        <w:rPr>
          <w:rFonts w:hint="eastAsia" w:ascii="宋体" w:hAnsi="宋体"/>
          <w:color w:val="auto"/>
          <w:szCs w:val="21"/>
          <w:highlight w:val="none"/>
        </w:rPr>
        <w:t>法定代表人或委托代理人：</w:t>
      </w:r>
      <w:r>
        <w:rPr>
          <w:rFonts w:hint="eastAsia" w:ascii="宋体" w:hAnsi="宋体"/>
          <w:color w:val="auto"/>
          <w:szCs w:val="21"/>
          <w:highlight w:val="none"/>
          <w:u w:val="single"/>
        </w:rPr>
        <w:t xml:space="preserve">             </w:t>
      </w:r>
      <w:r>
        <w:rPr>
          <w:rFonts w:hint="eastAsia" w:ascii="宋体" w:hAnsi="宋体"/>
          <w:color w:val="auto"/>
          <w:szCs w:val="21"/>
          <w:highlight w:val="none"/>
        </w:rPr>
        <w:t xml:space="preserve">（签字） </w:t>
      </w:r>
    </w:p>
    <w:p w14:paraId="783F7012">
      <w:pPr>
        <w:spacing w:line="400" w:lineRule="exact"/>
        <w:ind w:firstLine="945" w:firstLineChars="450"/>
        <w:rPr>
          <w:rFonts w:hint="eastAsia" w:ascii="宋体" w:hAnsi="宋体"/>
          <w:color w:val="auto"/>
          <w:szCs w:val="21"/>
          <w:highlight w:val="none"/>
        </w:rPr>
      </w:pPr>
      <w:r>
        <w:rPr>
          <w:rFonts w:hint="eastAsia" w:ascii="宋体" w:hAnsi="宋体"/>
          <w:color w:val="auto"/>
          <w:szCs w:val="21"/>
          <w:highlight w:val="none"/>
        </w:rPr>
        <w:t xml:space="preserve"> 日    期：20</w:t>
      </w:r>
      <w:r>
        <w:rPr>
          <w:rFonts w:hint="eastAsia" w:ascii="宋体" w:hAnsi="宋体"/>
          <w:color w:val="auto"/>
          <w:szCs w:val="21"/>
          <w:highlight w:val="none"/>
          <w:u w:val="single"/>
        </w:rPr>
        <w:t xml:space="preserve">  </w:t>
      </w:r>
      <w:r>
        <w:rPr>
          <w:rFonts w:hint="eastAsia" w:ascii="宋体" w:hAnsi="宋体"/>
          <w:color w:val="auto"/>
          <w:szCs w:val="21"/>
          <w:highlight w:val="none"/>
        </w:rPr>
        <w:t xml:space="preserve"> 年</w:t>
      </w:r>
      <w:r>
        <w:rPr>
          <w:rFonts w:hint="eastAsia" w:ascii="宋体" w:hAnsi="宋体"/>
          <w:color w:val="auto"/>
          <w:szCs w:val="21"/>
          <w:highlight w:val="none"/>
          <w:u w:val="single"/>
        </w:rPr>
        <w:t xml:space="preserve">  </w:t>
      </w:r>
      <w:r>
        <w:rPr>
          <w:rFonts w:hint="eastAsia" w:ascii="宋体" w:hAnsi="宋体"/>
          <w:color w:val="auto"/>
          <w:szCs w:val="21"/>
          <w:highlight w:val="none"/>
        </w:rPr>
        <w:t>月</w:t>
      </w:r>
      <w:r>
        <w:rPr>
          <w:rFonts w:hint="eastAsia" w:ascii="宋体" w:hAnsi="宋体"/>
          <w:color w:val="auto"/>
          <w:szCs w:val="21"/>
          <w:highlight w:val="none"/>
          <w:u w:val="single"/>
        </w:rPr>
        <w:t xml:space="preserve">  </w:t>
      </w:r>
      <w:r>
        <w:rPr>
          <w:rFonts w:hint="eastAsia" w:ascii="宋体" w:hAnsi="宋体"/>
          <w:color w:val="auto"/>
          <w:szCs w:val="21"/>
          <w:highlight w:val="none"/>
        </w:rPr>
        <w:t>日</w:t>
      </w:r>
    </w:p>
    <w:p w14:paraId="3B8B9065">
      <w:pPr>
        <w:spacing w:line="400" w:lineRule="exact"/>
        <w:ind w:firstLine="945" w:firstLineChars="450"/>
        <w:rPr>
          <w:rFonts w:hint="eastAsia" w:ascii="宋体" w:hAnsi="宋体"/>
          <w:color w:val="auto"/>
          <w:szCs w:val="21"/>
          <w:highlight w:val="none"/>
        </w:rPr>
      </w:pPr>
    </w:p>
    <w:p w14:paraId="096625C4">
      <w:pPr>
        <w:spacing w:after="360" w:afterLines="150" w:line="400" w:lineRule="exact"/>
        <w:ind w:left="777" w:leftChars="86" w:hanging="596" w:hangingChars="165"/>
        <w:jc w:val="center"/>
        <w:rPr>
          <w:rFonts w:hint="eastAsia"/>
          <w:b/>
          <w:bCs/>
          <w:color w:val="auto"/>
          <w:sz w:val="36"/>
          <w:szCs w:val="36"/>
          <w:highlight w:val="none"/>
        </w:rPr>
      </w:pPr>
    </w:p>
    <w:p w14:paraId="2E3A9B85">
      <w:pPr>
        <w:spacing w:after="360" w:afterLines="150" w:line="400" w:lineRule="exact"/>
        <w:ind w:left="777" w:leftChars="86" w:hanging="596" w:hangingChars="165"/>
        <w:jc w:val="center"/>
        <w:rPr>
          <w:rFonts w:hint="eastAsia" w:ascii="仿宋_GB2312" w:hAnsi="宋体" w:eastAsia="仿宋_GB2312"/>
          <w:color w:val="auto"/>
          <w:sz w:val="28"/>
          <w:szCs w:val="28"/>
          <w:highlight w:val="none"/>
        </w:rPr>
      </w:pPr>
      <w:r>
        <w:rPr>
          <w:rFonts w:hint="eastAsia"/>
          <w:b/>
          <w:bCs/>
          <w:color w:val="auto"/>
          <w:sz w:val="36"/>
          <w:szCs w:val="36"/>
          <w:highlight w:val="none"/>
        </w:rPr>
        <w:t>五、货物（产品）说明一览表</w:t>
      </w:r>
    </w:p>
    <w:p w14:paraId="7B5379B7">
      <w:pPr>
        <w:pStyle w:val="4"/>
        <w:ind w:firstLine="840" w:firstLineChars="400"/>
        <w:rPr>
          <w:rFonts w:hint="eastAsia"/>
          <w:color w:val="auto"/>
          <w:highlight w:val="none"/>
        </w:rPr>
      </w:pPr>
      <w:r>
        <w:rPr>
          <w:rFonts w:hint="eastAsia" w:ascii="宋体" w:hAnsi="宋体"/>
          <w:color w:val="auto"/>
          <w:highlight w:val="none"/>
        </w:rPr>
        <w:t>投标人名称:                                                                    采购项目编号：</w:t>
      </w:r>
    </w:p>
    <w:tbl>
      <w:tblPr>
        <w:tblStyle w:val="23"/>
        <w:tblpPr w:leftFromText="180" w:rightFromText="180" w:vertAnchor="text" w:horzAnchor="margin" w:tblpXSpec="center" w:tblpY="7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3"/>
        <w:gridCol w:w="1470"/>
        <w:gridCol w:w="2356"/>
        <w:gridCol w:w="3119"/>
        <w:gridCol w:w="2380"/>
        <w:gridCol w:w="976"/>
        <w:gridCol w:w="2024"/>
      </w:tblGrid>
      <w:tr w14:paraId="19AF0C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87" w:hRule="exact"/>
        </w:trPr>
        <w:tc>
          <w:tcPr>
            <w:tcW w:w="683" w:type="dxa"/>
            <w:tcBorders>
              <w:top w:val="single" w:color="auto" w:sz="12" w:space="0"/>
              <w:left w:val="single" w:color="auto" w:sz="12" w:space="0"/>
              <w:bottom w:val="single" w:color="auto" w:sz="4" w:space="0"/>
              <w:right w:val="single" w:color="auto" w:sz="4" w:space="0"/>
            </w:tcBorders>
            <w:noWrap w:val="0"/>
            <w:vAlign w:val="center"/>
          </w:tcPr>
          <w:p w14:paraId="6939630C">
            <w:pPr>
              <w:snapToGrid w:val="0"/>
              <w:spacing w:line="400" w:lineRule="exact"/>
              <w:rPr>
                <w:rFonts w:hint="eastAsia" w:ascii="宋体" w:hAnsi="宋体"/>
                <w:b/>
                <w:color w:val="auto"/>
                <w:szCs w:val="21"/>
                <w:highlight w:val="none"/>
              </w:rPr>
            </w:pPr>
            <w:r>
              <w:rPr>
                <w:rFonts w:hint="eastAsia" w:ascii="宋体" w:hAnsi="宋体"/>
                <w:b/>
                <w:color w:val="auto"/>
                <w:szCs w:val="21"/>
                <w:highlight w:val="none"/>
              </w:rPr>
              <w:t>序号</w:t>
            </w:r>
          </w:p>
        </w:tc>
        <w:tc>
          <w:tcPr>
            <w:tcW w:w="1470" w:type="dxa"/>
            <w:tcBorders>
              <w:top w:val="single" w:color="auto" w:sz="12" w:space="0"/>
              <w:left w:val="single" w:color="auto" w:sz="4" w:space="0"/>
              <w:bottom w:val="single" w:color="auto" w:sz="4" w:space="0"/>
              <w:right w:val="single" w:color="auto" w:sz="4" w:space="0"/>
            </w:tcBorders>
            <w:noWrap w:val="0"/>
            <w:vAlign w:val="center"/>
          </w:tcPr>
          <w:p w14:paraId="46AA753F">
            <w:pPr>
              <w:snapToGrid w:val="0"/>
              <w:spacing w:line="400" w:lineRule="exact"/>
              <w:jc w:val="center"/>
              <w:rPr>
                <w:rFonts w:hint="eastAsia" w:ascii="宋体" w:hAnsi="宋体"/>
                <w:b/>
                <w:color w:val="auto"/>
                <w:szCs w:val="21"/>
                <w:highlight w:val="none"/>
              </w:rPr>
            </w:pPr>
            <w:r>
              <w:rPr>
                <w:rFonts w:hint="eastAsia" w:ascii="宋体" w:hAnsi="宋体"/>
                <w:b/>
                <w:color w:val="auto"/>
                <w:szCs w:val="21"/>
                <w:highlight w:val="none"/>
              </w:rPr>
              <w:t>产品名称</w:t>
            </w:r>
          </w:p>
        </w:tc>
        <w:tc>
          <w:tcPr>
            <w:tcW w:w="2356" w:type="dxa"/>
            <w:tcBorders>
              <w:top w:val="single" w:color="auto" w:sz="12" w:space="0"/>
              <w:left w:val="single" w:color="auto" w:sz="4" w:space="0"/>
              <w:bottom w:val="single" w:color="auto" w:sz="4" w:space="0"/>
              <w:right w:val="single" w:color="auto" w:sz="4" w:space="0"/>
            </w:tcBorders>
            <w:noWrap w:val="0"/>
            <w:vAlign w:val="center"/>
          </w:tcPr>
          <w:p w14:paraId="35B30A67">
            <w:pPr>
              <w:snapToGrid w:val="0"/>
              <w:spacing w:line="400" w:lineRule="exact"/>
              <w:ind w:firstLine="517" w:firstLineChars="245"/>
              <w:rPr>
                <w:rFonts w:hint="eastAsia" w:ascii="宋体" w:hAnsi="宋体"/>
                <w:b/>
                <w:color w:val="auto"/>
                <w:szCs w:val="21"/>
                <w:highlight w:val="none"/>
              </w:rPr>
            </w:pPr>
            <w:r>
              <w:rPr>
                <w:rFonts w:hint="eastAsia" w:ascii="宋体" w:hAnsi="宋体"/>
                <w:b/>
                <w:color w:val="auto"/>
                <w:szCs w:val="21"/>
                <w:highlight w:val="none"/>
              </w:rPr>
              <w:t>品牌/型号</w:t>
            </w:r>
          </w:p>
        </w:tc>
        <w:tc>
          <w:tcPr>
            <w:tcW w:w="3119" w:type="dxa"/>
            <w:tcBorders>
              <w:top w:val="single" w:color="auto" w:sz="12" w:space="0"/>
              <w:left w:val="single" w:color="auto" w:sz="4" w:space="0"/>
              <w:bottom w:val="single" w:color="auto" w:sz="4" w:space="0"/>
              <w:right w:val="single" w:color="auto" w:sz="4" w:space="0"/>
            </w:tcBorders>
            <w:noWrap w:val="0"/>
            <w:vAlign w:val="center"/>
          </w:tcPr>
          <w:p w14:paraId="472F7D26">
            <w:pPr>
              <w:snapToGrid w:val="0"/>
              <w:spacing w:line="400" w:lineRule="exact"/>
              <w:jc w:val="center"/>
              <w:rPr>
                <w:rFonts w:hint="eastAsia" w:ascii="宋体" w:hAnsi="宋体"/>
                <w:b/>
                <w:color w:val="auto"/>
                <w:szCs w:val="21"/>
                <w:highlight w:val="none"/>
              </w:rPr>
            </w:pPr>
            <w:r>
              <w:rPr>
                <w:rFonts w:hint="eastAsia" w:ascii="宋体" w:hAnsi="宋体"/>
                <w:b/>
                <w:color w:val="auto"/>
                <w:szCs w:val="21"/>
                <w:highlight w:val="none"/>
              </w:rPr>
              <w:t>规格、配置及主要技术参数</w:t>
            </w:r>
          </w:p>
        </w:tc>
        <w:tc>
          <w:tcPr>
            <w:tcW w:w="2380" w:type="dxa"/>
            <w:tcBorders>
              <w:top w:val="single" w:color="auto" w:sz="12" w:space="0"/>
              <w:left w:val="single" w:color="auto" w:sz="4" w:space="0"/>
              <w:bottom w:val="single" w:color="auto" w:sz="4" w:space="0"/>
              <w:right w:val="single" w:color="auto" w:sz="4" w:space="0"/>
            </w:tcBorders>
            <w:noWrap w:val="0"/>
            <w:vAlign w:val="center"/>
          </w:tcPr>
          <w:p w14:paraId="518653A8">
            <w:pPr>
              <w:snapToGrid w:val="0"/>
              <w:spacing w:line="400" w:lineRule="exact"/>
              <w:jc w:val="center"/>
              <w:rPr>
                <w:rFonts w:hint="eastAsia" w:ascii="宋体" w:hAnsi="宋体"/>
                <w:b/>
                <w:color w:val="auto"/>
                <w:szCs w:val="21"/>
                <w:highlight w:val="none"/>
              </w:rPr>
            </w:pPr>
            <w:r>
              <w:rPr>
                <w:rFonts w:hint="eastAsia" w:ascii="宋体" w:hAnsi="宋体"/>
                <w:b/>
                <w:color w:val="auto"/>
                <w:szCs w:val="21"/>
                <w:highlight w:val="none"/>
              </w:rPr>
              <w:t>制造商</w:t>
            </w:r>
          </w:p>
        </w:tc>
        <w:tc>
          <w:tcPr>
            <w:tcW w:w="976" w:type="dxa"/>
            <w:tcBorders>
              <w:top w:val="single" w:color="auto" w:sz="12" w:space="0"/>
              <w:left w:val="single" w:color="auto" w:sz="4" w:space="0"/>
              <w:bottom w:val="single" w:color="auto" w:sz="4" w:space="0"/>
              <w:right w:val="single" w:color="auto" w:sz="4" w:space="0"/>
            </w:tcBorders>
            <w:noWrap w:val="0"/>
            <w:vAlign w:val="center"/>
          </w:tcPr>
          <w:p w14:paraId="0A12686A">
            <w:pPr>
              <w:snapToGrid w:val="0"/>
              <w:spacing w:line="400" w:lineRule="exact"/>
              <w:jc w:val="center"/>
              <w:rPr>
                <w:rFonts w:hint="eastAsia" w:ascii="宋体" w:hAnsi="宋体"/>
                <w:b/>
                <w:color w:val="auto"/>
                <w:szCs w:val="21"/>
                <w:highlight w:val="none"/>
              </w:rPr>
            </w:pPr>
            <w:r>
              <w:rPr>
                <w:rFonts w:hint="eastAsia" w:ascii="宋体" w:hAnsi="宋体"/>
                <w:b/>
                <w:color w:val="auto"/>
                <w:szCs w:val="21"/>
                <w:highlight w:val="none"/>
              </w:rPr>
              <w:t>数量</w:t>
            </w:r>
          </w:p>
        </w:tc>
        <w:tc>
          <w:tcPr>
            <w:tcW w:w="2024" w:type="dxa"/>
            <w:tcBorders>
              <w:top w:val="single" w:color="auto" w:sz="12" w:space="0"/>
              <w:left w:val="single" w:color="auto" w:sz="4" w:space="0"/>
              <w:bottom w:val="single" w:color="auto" w:sz="4" w:space="0"/>
              <w:right w:val="single" w:color="auto" w:sz="12" w:space="0"/>
            </w:tcBorders>
            <w:noWrap w:val="0"/>
            <w:vAlign w:val="center"/>
          </w:tcPr>
          <w:p w14:paraId="6F0CC4A6">
            <w:pPr>
              <w:snapToGrid w:val="0"/>
              <w:spacing w:line="400" w:lineRule="exact"/>
              <w:ind w:firstLine="105" w:firstLineChars="50"/>
              <w:jc w:val="center"/>
              <w:rPr>
                <w:rFonts w:hint="eastAsia" w:ascii="宋体" w:hAnsi="宋体"/>
                <w:b/>
                <w:color w:val="auto"/>
                <w:szCs w:val="21"/>
                <w:highlight w:val="none"/>
                <w:lang w:val="en-US" w:eastAsia="zh-CN"/>
              </w:rPr>
            </w:pPr>
            <w:r>
              <w:rPr>
                <w:rFonts w:hint="eastAsia" w:ascii="宋体" w:hAnsi="宋体"/>
                <w:b/>
                <w:color w:val="auto"/>
                <w:szCs w:val="21"/>
                <w:highlight w:val="none"/>
                <w:lang w:val="en-US" w:eastAsia="zh-CN"/>
              </w:rPr>
              <w:t>合同履行期限</w:t>
            </w:r>
          </w:p>
        </w:tc>
      </w:tr>
      <w:tr w14:paraId="46458C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8" w:hRule="atLeast"/>
        </w:trPr>
        <w:tc>
          <w:tcPr>
            <w:tcW w:w="683" w:type="dxa"/>
            <w:tcBorders>
              <w:top w:val="single" w:color="auto" w:sz="4" w:space="0"/>
              <w:left w:val="single" w:color="auto" w:sz="12" w:space="0"/>
              <w:bottom w:val="single" w:color="auto" w:sz="4" w:space="0"/>
              <w:right w:val="single" w:color="auto" w:sz="4" w:space="0"/>
            </w:tcBorders>
            <w:noWrap w:val="0"/>
            <w:vAlign w:val="center"/>
          </w:tcPr>
          <w:p w14:paraId="05291895">
            <w:pPr>
              <w:snapToGrid w:val="0"/>
              <w:spacing w:line="400" w:lineRule="exact"/>
              <w:jc w:val="center"/>
              <w:rPr>
                <w:rFonts w:hint="eastAsia" w:ascii="仿宋_GB2312" w:hAnsi="宋体" w:eastAsia="仿宋_GB2312"/>
                <w:color w:val="auto"/>
                <w:sz w:val="24"/>
                <w:highlight w:val="none"/>
              </w:rPr>
            </w:pPr>
          </w:p>
        </w:tc>
        <w:tc>
          <w:tcPr>
            <w:tcW w:w="1470" w:type="dxa"/>
            <w:tcBorders>
              <w:top w:val="single" w:color="auto" w:sz="4" w:space="0"/>
              <w:left w:val="single" w:color="auto" w:sz="4" w:space="0"/>
              <w:bottom w:val="single" w:color="auto" w:sz="4" w:space="0"/>
              <w:right w:val="single" w:color="auto" w:sz="4" w:space="0"/>
            </w:tcBorders>
            <w:noWrap w:val="0"/>
            <w:vAlign w:val="center"/>
          </w:tcPr>
          <w:p w14:paraId="12A80A79">
            <w:pPr>
              <w:snapToGrid w:val="0"/>
              <w:spacing w:line="400" w:lineRule="exact"/>
              <w:jc w:val="center"/>
              <w:rPr>
                <w:rFonts w:hint="eastAsia" w:ascii="仿宋_GB2312" w:hAnsi="宋体" w:eastAsia="仿宋_GB2312"/>
                <w:color w:val="auto"/>
                <w:sz w:val="24"/>
                <w:highlight w:val="none"/>
              </w:rPr>
            </w:pPr>
          </w:p>
        </w:tc>
        <w:tc>
          <w:tcPr>
            <w:tcW w:w="2356" w:type="dxa"/>
            <w:tcBorders>
              <w:top w:val="single" w:color="auto" w:sz="4" w:space="0"/>
              <w:left w:val="single" w:color="auto" w:sz="4" w:space="0"/>
              <w:bottom w:val="single" w:color="auto" w:sz="4" w:space="0"/>
              <w:right w:val="single" w:color="auto" w:sz="4" w:space="0"/>
            </w:tcBorders>
            <w:noWrap w:val="0"/>
            <w:vAlign w:val="center"/>
          </w:tcPr>
          <w:p w14:paraId="6DB9ED47">
            <w:pPr>
              <w:snapToGrid w:val="0"/>
              <w:spacing w:line="400" w:lineRule="exact"/>
              <w:jc w:val="center"/>
              <w:rPr>
                <w:rFonts w:hint="eastAsia" w:ascii="仿宋_GB2312" w:hAnsi="宋体" w:eastAsia="仿宋_GB2312"/>
                <w:color w:val="auto"/>
                <w:sz w:val="24"/>
                <w:highlight w:val="none"/>
              </w:rPr>
            </w:pPr>
          </w:p>
        </w:tc>
        <w:tc>
          <w:tcPr>
            <w:tcW w:w="3119" w:type="dxa"/>
            <w:tcBorders>
              <w:top w:val="single" w:color="auto" w:sz="4" w:space="0"/>
              <w:left w:val="single" w:color="auto" w:sz="4" w:space="0"/>
              <w:bottom w:val="single" w:color="auto" w:sz="4" w:space="0"/>
              <w:right w:val="single" w:color="auto" w:sz="4" w:space="0"/>
            </w:tcBorders>
            <w:noWrap w:val="0"/>
            <w:vAlign w:val="top"/>
          </w:tcPr>
          <w:p w14:paraId="77C50079">
            <w:pPr>
              <w:snapToGrid w:val="0"/>
              <w:spacing w:line="400" w:lineRule="exact"/>
              <w:jc w:val="center"/>
              <w:rPr>
                <w:rFonts w:hint="eastAsia" w:ascii="仿宋_GB2312" w:hAnsi="宋体" w:eastAsia="仿宋_GB2312"/>
                <w:color w:val="auto"/>
                <w:sz w:val="24"/>
                <w:highlight w:val="none"/>
              </w:rPr>
            </w:pPr>
          </w:p>
        </w:tc>
        <w:tc>
          <w:tcPr>
            <w:tcW w:w="2380" w:type="dxa"/>
            <w:tcBorders>
              <w:top w:val="single" w:color="auto" w:sz="4" w:space="0"/>
              <w:left w:val="single" w:color="auto" w:sz="4" w:space="0"/>
              <w:bottom w:val="single" w:color="auto" w:sz="4" w:space="0"/>
              <w:right w:val="single" w:color="auto" w:sz="4" w:space="0"/>
            </w:tcBorders>
            <w:noWrap w:val="0"/>
            <w:vAlign w:val="top"/>
          </w:tcPr>
          <w:p w14:paraId="428C0C76">
            <w:pPr>
              <w:snapToGrid w:val="0"/>
              <w:spacing w:line="400" w:lineRule="exact"/>
              <w:jc w:val="center"/>
              <w:rPr>
                <w:rFonts w:hint="eastAsia" w:ascii="仿宋_GB2312" w:hAnsi="宋体" w:eastAsia="仿宋_GB2312"/>
                <w:color w:val="auto"/>
                <w:sz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728BBFF4">
            <w:pPr>
              <w:snapToGrid w:val="0"/>
              <w:spacing w:line="400" w:lineRule="exact"/>
              <w:jc w:val="center"/>
              <w:rPr>
                <w:rFonts w:hint="eastAsia" w:ascii="仿宋_GB2312" w:hAnsi="宋体" w:eastAsia="仿宋_GB2312"/>
                <w:color w:val="auto"/>
                <w:sz w:val="24"/>
                <w:highlight w:val="none"/>
              </w:rPr>
            </w:pPr>
          </w:p>
        </w:tc>
        <w:tc>
          <w:tcPr>
            <w:tcW w:w="2024" w:type="dxa"/>
            <w:tcBorders>
              <w:top w:val="single" w:color="auto" w:sz="4" w:space="0"/>
              <w:left w:val="single" w:color="auto" w:sz="4" w:space="0"/>
              <w:bottom w:val="single" w:color="auto" w:sz="4" w:space="0"/>
              <w:right w:val="single" w:color="auto" w:sz="12" w:space="0"/>
            </w:tcBorders>
            <w:noWrap w:val="0"/>
            <w:vAlign w:val="center"/>
          </w:tcPr>
          <w:p w14:paraId="4134B504">
            <w:pPr>
              <w:snapToGrid w:val="0"/>
              <w:spacing w:line="400" w:lineRule="exact"/>
              <w:jc w:val="center"/>
              <w:rPr>
                <w:rFonts w:hint="eastAsia" w:ascii="仿宋_GB2312" w:hAnsi="宋体" w:eastAsia="仿宋_GB2312"/>
                <w:color w:val="auto"/>
                <w:sz w:val="24"/>
                <w:highlight w:val="none"/>
              </w:rPr>
            </w:pPr>
          </w:p>
        </w:tc>
      </w:tr>
      <w:tr w14:paraId="38BF31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8" w:hRule="atLeast"/>
        </w:trPr>
        <w:tc>
          <w:tcPr>
            <w:tcW w:w="683" w:type="dxa"/>
            <w:tcBorders>
              <w:top w:val="single" w:color="auto" w:sz="4" w:space="0"/>
              <w:left w:val="single" w:color="auto" w:sz="12" w:space="0"/>
              <w:bottom w:val="single" w:color="auto" w:sz="4" w:space="0"/>
              <w:right w:val="single" w:color="auto" w:sz="4" w:space="0"/>
            </w:tcBorders>
            <w:noWrap w:val="0"/>
            <w:vAlign w:val="center"/>
          </w:tcPr>
          <w:p w14:paraId="5182A6B7">
            <w:pPr>
              <w:snapToGrid w:val="0"/>
              <w:spacing w:line="400" w:lineRule="exact"/>
              <w:jc w:val="center"/>
              <w:rPr>
                <w:rFonts w:hint="eastAsia" w:ascii="仿宋_GB2312" w:hAnsi="宋体" w:eastAsia="仿宋_GB2312"/>
                <w:color w:val="auto"/>
                <w:sz w:val="24"/>
                <w:highlight w:val="none"/>
              </w:rPr>
            </w:pPr>
          </w:p>
        </w:tc>
        <w:tc>
          <w:tcPr>
            <w:tcW w:w="1470" w:type="dxa"/>
            <w:tcBorders>
              <w:top w:val="single" w:color="auto" w:sz="4" w:space="0"/>
              <w:left w:val="single" w:color="auto" w:sz="4" w:space="0"/>
              <w:bottom w:val="single" w:color="auto" w:sz="4" w:space="0"/>
              <w:right w:val="single" w:color="auto" w:sz="4" w:space="0"/>
            </w:tcBorders>
            <w:noWrap w:val="0"/>
            <w:vAlign w:val="center"/>
          </w:tcPr>
          <w:p w14:paraId="34585108">
            <w:pPr>
              <w:snapToGrid w:val="0"/>
              <w:spacing w:line="400" w:lineRule="exact"/>
              <w:jc w:val="center"/>
              <w:rPr>
                <w:rFonts w:hint="eastAsia" w:ascii="仿宋_GB2312" w:hAnsi="宋体" w:eastAsia="仿宋_GB2312"/>
                <w:color w:val="auto"/>
                <w:sz w:val="24"/>
                <w:highlight w:val="none"/>
              </w:rPr>
            </w:pPr>
          </w:p>
        </w:tc>
        <w:tc>
          <w:tcPr>
            <w:tcW w:w="2356" w:type="dxa"/>
            <w:tcBorders>
              <w:top w:val="single" w:color="auto" w:sz="4" w:space="0"/>
              <w:left w:val="single" w:color="auto" w:sz="4" w:space="0"/>
              <w:bottom w:val="single" w:color="auto" w:sz="4" w:space="0"/>
              <w:right w:val="single" w:color="auto" w:sz="4" w:space="0"/>
            </w:tcBorders>
            <w:noWrap w:val="0"/>
            <w:vAlign w:val="center"/>
          </w:tcPr>
          <w:p w14:paraId="49A7FFB5">
            <w:pPr>
              <w:snapToGrid w:val="0"/>
              <w:spacing w:line="400" w:lineRule="exact"/>
              <w:jc w:val="center"/>
              <w:rPr>
                <w:rFonts w:hint="eastAsia" w:ascii="仿宋_GB2312" w:hAnsi="宋体" w:eastAsia="仿宋_GB2312"/>
                <w:color w:val="auto"/>
                <w:sz w:val="24"/>
                <w:highlight w:val="none"/>
              </w:rPr>
            </w:pPr>
          </w:p>
        </w:tc>
        <w:tc>
          <w:tcPr>
            <w:tcW w:w="3119" w:type="dxa"/>
            <w:tcBorders>
              <w:top w:val="single" w:color="auto" w:sz="4" w:space="0"/>
              <w:left w:val="single" w:color="auto" w:sz="4" w:space="0"/>
              <w:bottom w:val="single" w:color="auto" w:sz="4" w:space="0"/>
              <w:right w:val="single" w:color="auto" w:sz="4" w:space="0"/>
            </w:tcBorders>
            <w:noWrap w:val="0"/>
            <w:vAlign w:val="top"/>
          </w:tcPr>
          <w:p w14:paraId="1C61EE49">
            <w:pPr>
              <w:snapToGrid w:val="0"/>
              <w:spacing w:line="400" w:lineRule="exact"/>
              <w:jc w:val="center"/>
              <w:rPr>
                <w:rFonts w:hint="eastAsia" w:ascii="仿宋_GB2312" w:hAnsi="宋体" w:eastAsia="仿宋_GB2312"/>
                <w:color w:val="auto"/>
                <w:sz w:val="24"/>
                <w:highlight w:val="none"/>
              </w:rPr>
            </w:pPr>
          </w:p>
        </w:tc>
        <w:tc>
          <w:tcPr>
            <w:tcW w:w="2380" w:type="dxa"/>
            <w:tcBorders>
              <w:top w:val="single" w:color="auto" w:sz="4" w:space="0"/>
              <w:left w:val="single" w:color="auto" w:sz="4" w:space="0"/>
              <w:bottom w:val="single" w:color="auto" w:sz="4" w:space="0"/>
              <w:right w:val="single" w:color="auto" w:sz="4" w:space="0"/>
            </w:tcBorders>
            <w:noWrap w:val="0"/>
            <w:vAlign w:val="top"/>
          </w:tcPr>
          <w:p w14:paraId="70B002E4">
            <w:pPr>
              <w:snapToGrid w:val="0"/>
              <w:spacing w:line="400" w:lineRule="exact"/>
              <w:jc w:val="center"/>
              <w:rPr>
                <w:rFonts w:hint="eastAsia" w:ascii="仿宋_GB2312" w:hAnsi="宋体" w:eastAsia="仿宋_GB2312"/>
                <w:color w:val="auto"/>
                <w:sz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10B694CF">
            <w:pPr>
              <w:snapToGrid w:val="0"/>
              <w:spacing w:line="400" w:lineRule="exact"/>
              <w:jc w:val="center"/>
              <w:rPr>
                <w:rFonts w:hint="eastAsia" w:ascii="仿宋_GB2312" w:hAnsi="宋体" w:eastAsia="仿宋_GB2312"/>
                <w:color w:val="auto"/>
                <w:sz w:val="24"/>
                <w:highlight w:val="none"/>
              </w:rPr>
            </w:pPr>
          </w:p>
        </w:tc>
        <w:tc>
          <w:tcPr>
            <w:tcW w:w="2024" w:type="dxa"/>
            <w:tcBorders>
              <w:top w:val="single" w:color="auto" w:sz="4" w:space="0"/>
              <w:left w:val="single" w:color="auto" w:sz="4" w:space="0"/>
              <w:bottom w:val="single" w:color="auto" w:sz="4" w:space="0"/>
              <w:right w:val="single" w:color="auto" w:sz="12" w:space="0"/>
            </w:tcBorders>
            <w:noWrap w:val="0"/>
            <w:vAlign w:val="center"/>
          </w:tcPr>
          <w:p w14:paraId="4681B53F">
            <w:pPr>
              <w:snapToGrid w:val="0"/>
              <w:spacing w:line="400" w:lineRule="exact"/>
              <w:jc w:val="center"/>
              <w:rPr>
                <w:rFonts w:hint="eastAsia" w:ascii="仿宋_GB2312" w:hAnsi="宋体" w:eastAsia="仿宋_GB2312"/>
                <w:color w:val="auto"/>
                <w:sz w:val="24"/>
                <w:highlight w:val="none"/>
              </w:rPr>
            </w:pPr>
          </w:p>
        </w:tc>
      </w:tr>
      <w:tr w14:paraId="1F836E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683" w:type="dxa"/>
            <w:tcBorders>
              <w:top w:val="single" w:color="auto" w:sz="4" w:space="0"/>
              <w:left w:val="single" w:color="auto" w:sz="12" w:space="0"/>
              <w:bottom w:val="single" w:color="auto" w:sz="4" w:space="0"/>
              <w:right w:val="single" w:color="auto" w:sz="4" w:space="0"/>
            </w:tcBorders>
            <w:noWrap w:val="0"/>
            <w:vAlign w:val="center"/>
          </w:tcPr>
          <w:p w14:paraId="6CFB120E">
            <w:pPr>
              <w:snapToGrid w:val="0"/>
              <w:spacing w:line="400" w:lineRule="exact"/>
              <w:jc w:val="center"/>
              <w:rPr>
                <w:rFonts w:ascii="宋体" w:hAnsi="宋体"/>
                <w:color w:val="auto"/>
                <w:sz w:val="24"/>
                <w:highlight w:val="none"/>
              </w:rPr>
            </w:pPr>
          </w:p>
        </w:tc>
        <w:tc>
          <w:tcPr>
            <w:tcW w:w="1470" w:type="dxa"/>
            <w:tcBorders>
              <w:top w:val="single" w:color="auto" w:sz="4" w:space="0"/>
              <w:left w:val="single" w:color="auto" w:sz="4" w:space="0"/>
              <w:bottom w:val="single" w:color="auto" w:sz="4" w:space="0"/>
              <w:right w:val="single" w:color="auto" w:sz="4" w:space="0"/>
            </w:tcBorders>
            <w:noWrap w:val="0"/>
            <w:vAlign w:val="center"/>
          </w:tcPr>
          <w:p w14:paraId="6203AA40">
            <w:pPr>
              <w:snapToGrid w:val="0"/>
              <w:spacing w:line="400" w:lineRule="exact"/>
              <w:jc w:val="center"/>
              <w:rPr>
                <w:rFonts w:ascii="宋体" w:hAnsi="宋体"/>
                <w:color w:val="auto"/>
                <w:sz w:val="24"/>
                <w:highlight w:val="none"/>
              </w:rPr>
            </w:pPr>
          </w:p>
        </w:tc>
        <w:tc>
          <w:tcPr>
            <w:tcW w:w="2356" w:type="dxa"/>
            <w:tcBorders>
              <w:top w:val="single" w:color="auto" w:sz="4" w:space="0"/>
              <w:left w:val="single" w:color="auto" w:sz="4" w:space="0"/>
              <w:bottom w:val="single" w:color="auto" w:sz="4" w:space="0"/>
              <w:right w:val="single" w:color="auto" w:sz="4" w:space="0"/>
            </w:tcBorders>
            <w:noWrap w:val="0"/>
            <w:vAlign w:val="center"/>
          </w:tcPr>
          <w:p w14:paraId="78DBE9F6">
            <w:pPr>
              <w:snapToGrid w:val="0"/>
              <w:spacing w:line="400" w:lineRule="exact"/>
              <w:jc w:val="center"/>
              <w:rPr>
                <w:rFonts w:ascii="宋体" w:hAnsi="宋体"/>
                <w:color w:val="auto"/>
                <w:sz w:val="24"/>
                <w:highlight w:val="none"/>
              </w:rPr>
            </w:pPr>
          </w:p>
        </w:tc>
        <w:tc>
          <w:tcPr>
            <w:tcW w:w="3119" w:type="dxa"/>
            <w:tcBorders>
              <w:top w:val="single" w:color="auto" w:sz="4" w:space="0"/>
              <w:left w:val="single" w:color="auto" w:sz="4" w:space="0"/>
              <w:bottom w:val="single" w:color="auto" w:sz="4" w:space="0"/>
              <w:right w:val="single" w:color="auto" w:sz="4" w:space="0"/>
            </w:tcBorders>
            <w:noWrap w:val="0"/>
            <w:vAlign w:val="top"/>
          </w:tcPr>
          <w:p w14:paraId="2566035F">
            <w:pPr>
              <w:snapToGrid w:val="0"/>
              <w:spacing w:line="400" w:lineRule="exact"/>
              <w:jc w:val="center"/>
              <w:rPr>
                <w:rFonts w:ascii="宋体" w:hAnsi="宋体"/>
                <w:color w:val="auto"/>
                <w:sz w:val="24"/>
                <w:highlight w:val="none"/>
              </w:rPr>
            </w:pPr>
          </w:p>
        </w:tc>
        <w:tc>
          <w:tcPr>
            <w:tcW w:w="2380" w:type="dxa"/>
            <w:tcBorders>
              <w:top w:val="single" w:color="auto" w:sz="4" w:space="0"/>
              <w:left w:val="single" w:color="auto" w:sz="4" w:space="0"/>
              <w:bottom w:val="single" w:color="auto" w:sz="4" w:space="0"/>
              <w:right w:val="single" w:color="auto" w:sz="4" w:space="0"/>
            </w:tcBorders>
            <w:noWrap w:val="0"/>
            <w:vAlign w:val="top"/>
          </w:tcPr>
          <w:p w14:paraId="586C86D9">
            <w:pPr>
              <w:snapToGrid w:val="0"/>
              <w:spacing w:line="400" w:lineRule="exact"/>
              <w:jc w:val="center"/>
              <w:rPr>
                <w:rFonts w:ascii="宋体" w:hAnsi="宋体"/>
                <w:color w:val="auto"/>
                <w:sz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27327A67">
            <w:pPr>
              <w:snapToGrid w:val="0"/>
              <w:spacing w:line="400" w:lineRule="exact"/>
              <w:jc w:val="center"/>
              <w:rPr>
                <w:rFonts w:ascii="宋体" w:hAnsi="宋体"/>
                <w:color w:val="auto"/>
                <w:sz w:val="24"/>
                <w:highlight w:val="none"/>
              </w:rPr>
            </w:pPr>
          </w:p>
        </w:tc>
        <w:tc>
          <w:tcPr>
            <w:tcW w:w="2024" w:type="dxa"/>
            <w:tcBorders>
              <w:top w:val="single" w:color="auto" w:sz="4" w:space="0"/>
              <w:left w:val="single" w:color="auto" w:sz="4" w:space="0"/>
              <w:bottom w:val="single" w:color="auto" w:sz="4" w:space="0"/>
              <w:right w:val="single" w:color="auto" w:sz="12" w:space="0"/>
            </w:tcBorders>
            <w:noWrap w:val="0"/>
            <w:vAlign w:val="center"/>
          </w:tcPr>
          <w:p w14:paraId="3E2B2183">
            <w:pPr>
              <w:snapToGrid w:val="0"/>
              <w:spacing w:line="400" w:lineRule="exact"/>
              <w:jc w:val="center"/>
              <w:rPr>
                <w:rFonts w:ascii="宋体" w:hAnsi="宋体"/>
                <w:color w:val="auto"/>
                <w:sz w:val="24"/>
                <w:highlight w:val="none"/>
              </w:rPr>
            </w:pPr>
          </w:p>
        </w:tc>
      </w:tr>
      <w:tr w14:paraId="1565E1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683" w:type="dxa"/>
            <w:tcBorders>
              <w:top w:val="single" w:color="auto" w:sz="4" w:space="0"/>
              <w:left w:val="single" w:color="auto" w:sz="12" w:space="0"/>
              <w:bottom w:val="single" w:color="auto" w:sz="4" w:space="0"/>
              <w:right w:val="single" w:color="auto" w:sz="4" w:space="0"/>
            </w:tcBorders>
            <w:noWrap w:val="0"/>
            <w:vAlign w:val="center"/>
          </w:tcPr>
          <w:p w14:paraId="64552587">
            <w:pPr>
              <w:snapToGrid w:val="0"/>
              <w:spacing w:line="400" w:lineRule="exact"/>
              <w:jc w:val="center"/>
              <w:rPr>
                <w:rFonts w:ascii="宋体" w:hAnsi="宋体"/>
                <w:color w:val="auto"/>
                <w:sz w:val="24"/>
                <w:highlight w:val="none"/>
              </w:rPr>
            </w:pPr>
          </w:p>
        </w:tc>
        <w:tc>
          <w:tcPr>
            <w:tcW w:w="1470" w:type="dxa"/>
            <w:tcBorders>
              <w:top w:val="single" w:color="auto" w:sz="4" w:space="0"/>
              <w:left w:val="single" w:color="auto" w:sz="4" w:space="0"/>
              <w:bottom w:val="single" w:color="auto" w:sz="4" w:space="0"/>
              <w:right w:val="single" w:color="auto" w:sz="4" w:space="0"/>
            </w:tcBorders>
            <w:noWrap w:val="0"/>
            <w:vAlign w:val="center"/>
          </w:tcPr>
          <w:p w14:paraId="42639AC9">
            <w:pPr>
              <w:snapToGrid w:val="0"/>
              <w:spacing w:line="400" w:lineRule="exact"/>
              <w:jc w:val="center"/>
              <w:rPr>
                <w:rFonts w:ascii="宋体" w:hAnsi="宋体"/>
                <w:color w:val="auto"/>
                <w:sz w:val="24"/>
                <w:highlight w:val="none"/>
              </w:rPr>
            </w:pPr>
          </w:p>
        </w:tc>
        <w:tc>
          <w:tcPr>
            <w:tcW w:w="2356" w:type="dxa"/>
            <w:tcBorders>
              <w:top w:val="single" w:color="auto" w:sz="4" w:space="0"/>
              <w:left w:val="single" w:color="auto" w:sz="4" w:space="0"/>
              <w:bottom w:val="single" w:color="auto" w:sz="4" w:space="0"/>
              <w:right w:val="single" w:color="auto" w:sz="4" w:space="0"/>
            </w:tcBorders>
            <w:noWrap w:val="0"/>
            <w:vAlign w:val="center"/>
          </w:tcPr>
          <w:p w14:paraId="7C74F1C5">
            <w:pPr>
              <w:snapToGrid w:val="0"/>
              <w:spacing w:line="400" w:lineRule="exact"/>
              <w:jc w:val="center"/>
              <w:rPr>
                <w:rFonts w:ascii="宋体" w:hAnsi="宋体"/>
                <w:color w:val="auto"/>
                <w:sz w:val="24"/>
                <w:highlight w:val="none"/>
              </w:rPr>
            </w:pPr>
          </w:p>
        </w:tc>
        <w:tc>
          <w:tcPr>
            <w:tcW w:w="3119" w:type="dxa"/>
            <w:tcBorders>
              <w:top w:val="single" w:color="auto" w:sz="4" w:space="0"/>
              <w:left w:val="single" w:color="auto" w:sz="4" w:space="0"/>
              <w:bottom w:val="single" w:color="auto" w:sz="4" w:space="0"/>
              <w:right w:val="single" w:color="auto" w:sz="4" w:space="0"/>
            </w:tcBorders>
            <w:noWrap w:val="0"/>
            <w:vAlign w:val="top"/>
          </w:tcPr>
          <w:p w14:paraId="7C007BC1">
            <w:pPr>
              <w:snapToGrid w:val="0"/>
              <w:spacing w:line="400" w:lineRule="exact"/>
              <w:jc w:val="center"/>
              <w:rPr>
                <w:rFonts w:ascii="宋体" w:hAnsi="宋体"/>
                <w:color w:val="auto"/>
                <w:sz w:val="24"/>
                <w:highlight w:val="none"/>
              </w:rPr>
            </w:pPr>
          </w:p>
        </w:tc>
        <w:tc>
          <w:tcPr>
            <w:tcW w:w="2380" w:type="dxa"/>
            <w:tcBorders>
              <w:top w:val="single" w:color="auto" w:sz="4" w:space="0"/>
              <w:left w:val="single" w:color="auto" w:sz="4" w:space="0"/>
              <w:bottom w:val="single" w:color="auto" w:sz="4" w:space="0"/>
              <w:right w:val="single" w:color="auto" w:sz="4" w:space="0"/>
            </w:tcBorders>
            <w:noWrap w:val="0"/>
            <w:vAlign w:val="top"/>
          </w:tcPr>
          <w:p w14:paraId="6D579A2F">
            <w:pPr>
              <w:snapToGrid w:val="0"/>
              <w:spacing w:line="400" w:lineRule="exact"/>
              <w:jc w:val="center"/>
              <w:rPr>
                <w:rFonts w:ascii="宋体" w:hAnsi="宋体"/>
                <w:color w:val="auto"/>
                <w:sz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3DDE5A5F">
            <w:pPr>
              <w:snapToGrid w:val="0"/>
              <w:spacing w:line="400" w:lineRule="exact"/>
              <w:jc w:val="center"/>
              <w:rPr>
                <w:rFonts w:ascii="宋体" w:hAnsi="宋体"/>
                <w:color w:val="auto"/>
                <w:sz w:val="24"/>
                <w:highlight w:val="none"/>
              </w:rPr>
            </w:pPr>
          </w:p>
        </w:tc>
        <w:tc>
          <w:tcPr>
            <w:tcW w:w="2024" w:type="dxa"/>
            <w:tcBorders>
              <w:top w:val="single" w:color="auto" w:sz="4" w:space="0"/>
              <w:left w:val="single" w:color="auto" w:sz="4" w:space="0"/>
              <w:bottom w:val="single" w:color="auto" w:sz="4" w:space="0"/>
              <w:right w:val="single" w:color="auto" w:sz="12" w:space="0"/>
            </w:tcBorders>
            <w:noWrap w:val="0"/>
            <w:vAlign w:val="center"/>
          </w:tcPr>
          <w:p w14:paraId="31154727">
            <w:pPr>
              <w:snapToGrid w:val="0"/>
              <w:spacing w:line="400" w:lineRule="exact"/>
              <w:jc w:val="center"/>
              <w:rPr>
                <w:rFonts w:ascii="宋体" w:hAnsi="宋体"/>
                <w:color w:val="auto"/>
                <w:sz w:val="24"/>
                <w:highlight w:val="none"/>
              </w:rPr>
            </w:pPr>
          </w:p>
        </w:tc>
      </w:tr>
      <w:tr w14:paraId="07CC5C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1" w:hRule="atLeast"/>
        </w:trPr>
        <w:tc>
          <w:tcPr>
            <w:tcW w:w="683" w:type="dxa"/>
            <w:tcBorders>
              <w:top w:val="single" w:color="auto" w:sz="4" w:space="0"/>
              <w:left w:val="single" w:color="auto" w:sz="12" w:space="0"/>
              <w:bottom w:val="single" w:color="auto" w:sz="4" w:space="0"/>
              <w:right w:val="single" w:color="auto" w:sz="4" w:space="0"/>
            </w:tcBorders>
            <w:noWrap w:val="0"/>
            <w:vAlign w:val="center"/>
          </w:tcPr>
          <w:p w14:paraId="0918BCFC">
            <w:pPr>
              <w:snapToGrid w:val="0"/>
              <w:spacing w:line="400" w:lineRule="exact"/>
              <w:jc w:val="center"/>
              <w:rPr>
                <w:rFonts w:ascii="宋体" w:hAnsi="宋体"/>
                <w:color w:val="auto"/>
                <w:sz w:val="24"/>
                <w:highlight w:val="none"/>
              </w:rPr>
            </w:pPr>
          </w:p>
        </w:tc>
        <w:tc>
          <w:tcPr>
            <w:tcW w:w="1470" w:type="dxa"/>
            <w:tcBorders>
              <w:top w:val="single" w:color="auto" w:sz="4" w:space="0"/>
              <w:left w:val="single" w:color="auto" w:sz="4" w:space="0"/>
              <w:bottom w:val="single" w:color="auto" w:sz="4" w:space="0"/>
              <w:right w:val="single" w:color="auto" w:sz="4" w:space="0"/>
            </w:tcBorders>
            <w:noWrap w:val="0"/>
            <w:vAlign w:val="center"/>
          </w:tcPr>
          <w:p w14:paraId="75B22DD8">
            <w:pPr>
              <w:snapToGrid w:val="0"/>
              <w:spacing w:line="400" w:lineRule="exact"/>
              <w:jc w:val="center"/>
              <w:rPr>
                <w:rFonts w:hint="eastAsia" w:ascii="仿宋_GB2312" w:hAnsi="宋体" w:eastAsia="仿宋_GB2312"/>
                <w:color w:val="auto"/>
                <w:sz w:val="24"/>
                <w:highlight w:val="none"/>
              </w:rPr>
            </w:pPr>
          </w:p>
        </w:tc>
        <w:tc>
          <w:tcPr>
            <w:tcW w:w="2356" w:type="dxa"/>
            <w:tcBorders>
              <w:top w:val="single" w:color="auto" w:sz="4" w:space="0"/>
              <w:left w:val="single" w:color="auto" w:sz="4" w:space="0"/>
              <w:bottom w:val="single" w:color="auto" w:sz="4" w:space="0"/>
              <w:right w:val="single" w:color="auto" w:sz="4" w:space="0"/>
            </w:tcBorders>
            <w:noWrap w:val="0"/>
            <w:vAlign w:val="center"/>
          </w:tcPr>
          <w:p w14:paraId="0E693838">
            <w:pPr>
              <w:snapToGrid w:val="0"/>
              <w:spacing w:line="400" w:lineRule="exact"/>
              <w:jc w:val="center"/>
              <w:rPr>
                <w:rFonts w:ascii="宋体" w:hAnsi="宋体"/>
                <w:color w:val="auto"/>
                <w:sz w:val="24"/>
                <w:highlight w:val="none"/>
              </w:rPr>
            </w:pPr>
          </w:p>
        </w:tc>
        <w:tc>
          <w:tcPr>
            <w:tcW w:w="3119" w:type="dxa"/>
            <w:tcBorders>
              <w:top w:val="single" w:color="auto" w:sz="4" w:space="0"/>
              <w:left w:val="single" w:color="auto" w:sz="4" w:space="0"/>
              <w:bottom w:val="single" w:color="auto" w:sz="4" w:space="0"/>
              <w:right w:val="single" w:color="auto" w:sz="4" w:space="0"/>
            </w:tcBorders>
            <w:noWrap w:val="0"/>
            <w:vAlign w:val="top"/>
          </w:tcPr>
          <w:p w14:paraId="579205E1">
            <w:pPr>
              <w:snapToGrid w:val="0"/>
              <w:spacing w:line="400" w:lineRule="exact"/>
              <w:jc w:val="center"/>
              <w:rPr>
                <w:rFonts w:ascii="宋体" w:hAnsi="宋体"/>
                <w:color w:val="auto"/>
                <w:sz w:val="24"/>
                <w:highlight w:val="none"/>
              </w:rPr>
            </w:pPr>
          </w:p>
        </w:tc>
        <w:tc>
          <w:tcPr>
            <w:tcW w:w="2380" w:type="dxa"/>
            <w:tcBorders>
              <w:top w:val="single" w:color="auto" w:sz="4" w:space="0"/>
              <w:left w:val="single" w:color="auto" w:sz="4" w:space="0"/>
              <w:bottom w:val="single" w:color="auto" w:sz="4" w:space="0"/>
              <w:right w:val="single" w:color="auto" w:sz="4" w:space="0"/>
            </w:tcBorders>
            <w:noWrap w:val="0"/>
            <w:vAlign w:val="top"/>
          </w:tcPr>
          <w:p w14:paraId="18CDC7AB">
            <w:pPr>
              <w:snapToGrid w:val="0"/>
              <w:spacing w:line="400" w:lineRule="exact"/>
              <w:jc w:val="center"/>
              <w:rPr>
                <w:rFonts w:ascii="宋体" w:hAnsi="宋体"/>
                <w:color w:val="auto"/>
                <w:sz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6D3B5730">
            <w:pPr>
              <w:snapToGrid w:val="0"/>
              <w:spacing w:line="400" w:lineRule="exact"/>
              <w:jc w:val="center"/>
              <w:rPr>
                <w:rFonts w:ascii="宋体" w:hAnsi="宋体"/>
                <w:color w:val="auto"/>
                <w:sz w:val="24"/>
                <w:highlight w:val="none"/>
              </w:rPr>
            </w:pPr>
          </w:p>
        </w:tc>
        <w:tc>
          <w:tcPr>
            <w:tcW w:w="2024" w:type="dxa"/>
            <w:tcBorders>
              <w:top w:val="single" w:color="auto" w:sz="4" w:space="0"/>
              <w:left w:val="single" w:color="auto" w:sz="4" w:space="0"/>
              <w:bottom w:val="single" w:color="auto" w:sz="4" w:space="0"/>
              <w:right w:val="single" w:color="auto" w:sz="12" w:space="0"/>
            </w:tcBorders>
            <w:noWrap w:val="0"/>
            <w:vAlign w:val="center"/>
          </w:tcPr>
          <w:p w14:paraId="593B8318">
            <w:pPr>
              <w:snapToGrid w:val="0"/>
              <w:spacing w:line="400" w:lineRule="exact"/>
              <w:jc w:val="center"/>
              <w:rPr>
                <w:rFonts w:ascii="宋体" w:hAnsi="宋体"/>
                <w:color w:val="auto"/>
                <w:sz w:val="24"/>
                <w:highlight w:val="none"/>
              </w:rPr>
            </w:pPr>
          </w:p>
        </w:tc>
      </w:tr>
      <w:tr w14:paraId="7FD789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1" w:hRule="atLeast"/>
        </w:trPr>
        <w:tc>
          <w:tcPr>
            <w:tcW w:w="683" w:type="dxa"/>
            <w:tcBorders>
              <w:top w:val="single" w:color="auto" w:sz="4" w:space="0"/>
              <w:left w:val="single" w:color="auto" w:sz="12" w:space="0"/>
              <w:bottom w:val="single" w:color="auto" w:sz="4" w:space="0"/>
              <w:right w:val="single" w:color="auto" w:sz="4" w:space="0"/>
            </w:tcBorders>
            <w:noWrap w:val="0"/>
            <w:vAlign w:val="center"/>
          </w:tcPr>
          <w:p w14:paraId="5C96E350">
            <w:pPr>
              <w:snapToGrid w:val="0"/>
              <w:spacing w:line="400" w:lineRule="exact"/>
              <w:jc w:val="center"/>
              <w:rPr>
                <w:rFonts w:ascii="宋体" w:hAnsi="宋体"/>
                <w:color w:val="auto"/>
                <w:sz w:val="24"/>
                <w:highlight w:val="none"/>
              </w:rPr>
            </w:pPr>
          </w:p>
        </w:tc>
        <w:tc>
          <w:tcPr>
            <w:tcW w:w="1470" w:type="dxa"/>
            <w:tcBorders>
              <w:top w:val="single" w:color="auto" w:sz="4" w:space="0"/>
              <w:left w:val="single" w:color="auto" w:sz="4" w:space="0"/>
              <w:bottom w:val="single" w:color="auto" w:sz="4" w:space="0"/>
              <w:right w:val="single" w:color="auto" w:sz="4" w:space="0"/>
            </w:tcBorders>
            <w:noWrap w:val="0"/>
            <w:vAlign w:val="center"/>
          </w:tcPr>
          <w:p w14:paraId="5CAB93DF">
            <w:pPr>
              <w:snapToGrid w:val="0"/>
              <w:spacing w:line="400" w:lineRule="exact"/>
              <w:jc w:val="center"/>
              <w:rPr>
                <w:rFonts w:hint="eastAsia" w:ascii="仿宋_GB2312" w:hAnsi="宋体" w:eastAsia="仿宋_GB2312"/>
                <w:color w:val="auto"/>
                <w:sz w:val="24"/>
                <w:highlight w:val="none"/>
              </w:rPr>
            </w:pPr>
          </w:p>
        </w:tc>
        <w:tc>
          <w:tcPr>
            <w:tcW w:w="2356" w:type="dxa"/>
            <w:tcBorders>
              <w:top w:val="single" w:color="auto" w:sz="4" w:space="0"/>
              <w:left w:val="single" w:color="auto" w:sz="4" w:space="0"/>
              <w:bottom w:val="single" w:color="auto" w:sz="4" w:space="0"/>
              <w:right w:val="single" w:color="auto" w:sz="4" w:space="0"/>
            </w:tcBorders>
            <w:noWrap w:val="0"/>
            <w:vAlign w:val="center"/>
          </w:tcPr>
          <w:p w14:paraId="3C019FC1">
            <w:pPr>
              <w:snapToGrid w:val="0"/>
              <w:spacing w:line="400" w:lineRule="exact"/>
              <w:jc w:val="center"/>
              <w:rPr>
                <w:rFonts w:ascii="宋体" w:hAnsi="宋体"/>
                <w:color w:val="auto"/>
                <w:sz w:val="24"/>
                <w:highlight w:val="none"/>
              </w:rPr>
            </w:pPr>
          </w:p>
        </w:tc>
        <w:tc>
          <w:tcPr>
            <w:tcW w:w="3119" w:type="dxa"/>
            <w:tcBorders>
              <w:top w:val="single" w:color="auto" w:sz="4" w:space="0"/>
              <w:left w:val="single" w:color="auto" w:sz="4" w:space="0"/>
              <w:bottom w:val="single" w:color="auto" w:sz="4" w:space="0"/>
              <w:right w:val="single" w:color="auto" w:sz="4" w:space="0"/>
            </w:tcBorders>
            <w:noWrap w:val="0"/>
            <w:vAlign w:val="top"/>
          </w:tcPr>
          <w:p w14:paraId="4EFBE931">
            <w:pPr>
              <w:snapToGrid w:val="0"/>
              <w:spacing w:line="400" w:lineRule="exact"/>
              <w:jc w:val="center"/>
              <w:rPr>
                <w:rFonts w:ascii="宋体" w:hAnsi="宋体"/>
                <w:color w:val="auto"/>
                <w:sz w:val="24"/>
                <w:highlight w:val="none"/>
              </w:rPr>
            </w:pPr>
          </w:p>
        </w:tc>
        <w:tc>
          <w:tcPr>
            <w:tcW w:w="2380" w:type="dxa"/>
            <w:tcBorders>
              <w:top w:val="single" w:color="auto" w:sz="4" w:space="0"/>
              <w:left w:val="single" w:color="auto" w:sz="4" w:space="0"/>
              <w:bottom w:val="single" w:color="auto" w:sz="4" w:space="0"/>
              <w:right w:val="single" w:color="auto" w:sz="4" w:space="0"/>
            </w:tcBorders>
            <w:noWrap w:val="0"/>
            <w:vAlign w:val="top"/>
          </w:tcPr>
          <w:p w14:paraId="2665B3A1">
            <w:pPr>
              <w:snapToGrid w:val="0"/>
              <w:spacing w:line="400" w:lineRule="exact"/>
              <w:jc w:val="center"/>
              <w:rPr>
                <w:rFonts w:ascii="宋体" w:hAnsi="宋体"/>
                <w:color w:val="auto"/>
                <w:sz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4E191CE8">
            <w:pPr>
              <w:snapToGrid w:val="0"/>
              <w:spacing w:line="400" w:lineRule="exact"/>
              <w:jc w:val="center"/>
              <w:rPr>
                <w:rFonts w:ascii="宋体" w:hAnsi="宋体"/>
                <w:color w:val="auto"/>
                <w:sz w:val="24"/>
                <w:highlight w:val="none"/>
              </w:rPr>
            </w:pPr>
          </w:p>
        </w:tc>
        <w:tc>
          <w:tcPr>
            <w:tcW w:w="2024" w:type="dxa"/>
            <w:tcBorders>
              <w:top w:val="single" w:color="auto" w:sz="4" w:space="0"/>
              <w:left w:val="single" w:color="auto" w:sz="4" w:space="0"/>
              <w:bottom w:val="single" w:color="auto" w:sz="4" w:space="0"/>
              <w:right w:val="single" w:color="auto" w:sz="12" w:space="0"/>
            </w:tcBorders>
            <w:noWrap w:val="0"/>
            <w:vAlign w:val="center"/>
          </w:tcPr>
          <w:p w14:paraId="47D1379E">
            <w:pPr>
              <w:snapToGrid w:val="0"/>
              <w:spacing w:line="400" w:lineRule="exact"/>
              <w:jc w:val="center"/>
              <w:rPr>
                <w:rFonts w:ascii="宋体" w:hAnsi="宋体"/>
                <w:color w:val="auto"/>
                <w:sz w:val="24"/>
                <w:highlight w:val="none"/>
              </w:rPr>
            </w:pPr>
          </w:p>
        </w:tc>
      </w:tr>
      <w:tr w14:paraId="3BCA62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683" w:type="dxa"/>
            <w:tcBorders>
              <w:top w:val="single" w:color="auto" w:sz="4" w:space="0"/>
              <w:left w:val="single" w:color="auto" w:sz="12" w:space="0"/>
              <w:bottom w:val="single" w:color="auto" w:sz="4" w:space="0"/>
              <w:right w:val="single" w:color="auto" w:sz="4" w:space="0"/>
            </w:tcBorders>
            <w:noWrap w:val="0"/>
            <w:vAlign w:val="center"/>
          </w:tcPr>
          <w:p w14:paraId="3E357C68">
            <w:pPr>
              <w:snapToGrid w:val="0"/>
              <w:spacing w:line="400" w:lineRule="exact"/>
              <w:jc w:val="center"/>
              <w:rPr>
                <w:rFonts w:ascii="宋体" w:hAnsi="宋体"/>
                <w:color w:val="auto"/>
                <w:sz w:val="24"/>
                <w:highlight w:val="none"/>
              </w:rPr>
            </w:pPr>
          </w:p>
        </w:tc>
        <w:tc>
          <w:tcPr>
            <w:tcW w:w="1470" w:type="dxa"/>
            <w:tcBorders>
              <w:top w:val="single" w:color="auto" w:sz="4" w:space="0"/>
              <w:left w:val="single" w:color="auto" w:sz="4" w:space="0"/>
              <w:bottom w:val="single" w:color="auto" w:sz="4" w:space="0"/>
              <w:right w:val="single" w:color="auto" w:sz="4" w:space="0"/>
            </w:tcBorders>
            <w:noWrap w:val="0"/>
            <w:vAlign w:val="center"/>
          </w:tcPr>
          <w:p w14:paraId="087E7018">
            <w:pPr>
              <w:snapToGrid w:val="0"/>
              <w:spacing w:line="400" w:lineRule="exact"/>
              <w:jc w:val="center"/>
              <w:rPr>
                <w:rFonts w:hint="eastAsia" w:ascii="仿宋_GB2312" w:hAnsi="宋体" w:eastAsia="仿宋_GB2312"/>
                <w:color w:val="auto"/>
                <w:sz w:val="18"/>
                <w:szCs w:val="18"/>
                <w:highlight w:val="none"/>
              </w:rPr>
            </w:pPr>
          </w:p>
        </w:tc>
        <w:tc>
          <w:tcPr>
            <w:tcW w:w="2356" w:type="dxa"/>
            <w:tcBorders>
              <w:top w:val="single" w:color="auto" w:sz="4" w:space="0"/>
              <w:left w:val="single" w:color="auto" w:sz="4" w:space="0"/>
              <w:bottom w:val="single" w:color="auto" w:sz="4" w:space="0"/>
              <w:right w:val="single" w:color="auto" w:sz="4" w:space="0"/>
            </w:tcBorders>
            <w:noWrap w:val="0"/>
            <w:vAlign w:val="center"/>
          </w:tcPr>
          <w:p w14:paraId="0602E5BE">
            <w:pPr>
              <w:snapToGrid w:val="0"/>
              <w:spacing w:line="400" w:lineRule="exact"/>
              <w:jc w:val="center"/>
              <w:rPr>
                <w:rFonts w:ascii="宋体" w:hAnsi="宋体"/>
                <w:color w:val="auto"/>
                <w:sz w:val="24"/>
                <w:highlight w:val="none"/>
              </w:rPr>
            </w:pPr>
          </w:p>
        </w:tc>
        <w:tc>
          <w:tcPr>
            <w:tcW w:w="3119" w:type="dxa"/>
            <w:tcBorders>
              <w:top w:val="single" w:color="auto" w:sz="4" w:space="0"/>
              <w:left w:val="single" w:color="auto" w:sz="4" w:space="0"/>
              <w:bottom w:val="single" w:color="auto" w:sz="4" w:space="0"/>
              <w:right w:val="single" w:color="auto" w:sz="4" w:space="0"/>
            </w:tcBorders>
            <w:noWrap w:val="0"/>
            <w:vAlign w:val="top"/>
          </w:tcPr>
          <w:p w14:paraId="0B8ADCE2">
            <w:pPr>
              <w:snapToGrid w:val="0"/>
              <w:spacing w:line="400" w:lineRule="exact"/>
              <w:jc w:val="center"/>
              <w:rPr>
                <w:rFonts w:ascii="宋体" w:hAnsi="宋体"/>
                <w:color w:val="auto"/>
                <w:sz w:val="24"/>
                <w:highlight w:val="none"/>
              </w:rPr>
            </w:pPr>
          </w:p>
        </w:tc>
        <w:tc>
          <w:tcPr>
            <w:tcW w:w="2380" w:type="dxa"/>
            <w:tcBorders>
              <w:top w:val="single" w:color="auto" w:sz="4" w:space="0"/>
              <w:left w:val="single" w:color="auto" w:sz="4" w:space="0"/>
              <w:bottom w:val="single" w:color="auto" w:sz="4" w:space="0"/>
              <w:right w:val="single" w:color="auto" w:sz="4" w:space="0"/>
            </w:tcBorders>
            <w:noWrap w:val="0"/>
            <w:vAlign w:val="top"/>
          </w:tcPr>
          <w:p w14:paraId="0287EA2C">
            <w:pPr>
              <w:snapToGrid w:val="0"/>
              <w:spacing w:line="400" w:lineRule="exact"/>
              <w:jc w:val="center"/>
              <w:rPr>
                <w:rFonts w:ascii="宋体" w:hAnsi="宋体"/>
                <w:color w:val="auto"/>
                <w:sz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1EF196C2">
            <w:pPr>
              <w:snapToGrid w:val="0"/>
              <w:spacing w:line="400" w:lineRule="exact"/>
              <w:jc w:val="center"/>
              <w:rPr>
                <w:rFonts w:ascii="宋体" w:hAnsi="宋体"/>
                <w:color w:val="auto"/>
                <w:sz w:val="24"/>
                <w:highlight w:val="none"/>
              </w:rPr>
            </w:pPr>
          </w:p>
        </w:tc>
        <w:tc>
          <w:tcPr>
            <w:tcW w:w="2024" w:type="dxa"/>
            <w:tcBorders>
              <w:top w:val="single" w:color="auto" w:sz="4" w:space="0"/>
              <w:left w:val="single" w:color="auto" w:sz="4" w:space="0"/>
              <w:bottom w:val="single" w:color="auto" w:sz="4" w:space="0"/>
              <w:right w:val="single" w:color="auto" w:sz="12" w:space="0"/>
            </w:tcBorders>
            <w:noWrap w:val="0"/>
            <w:vAlign w:val="center"/>
          </w:tcPr>
          <w:p w14:paraId="2F525A52">
            <w:pPr>
              <w:snapToGrid w:val="0"/>
              <w:spacing w:line="400" w:lineRule="exact"/>
              <w:jc w:val="center"/>
              <w:rPr>
                <w:rFonts w:ascii="宋体" w:hAnsi="宋体"/>
                <w:color w:val="auto"/>
                <w:sz w:val="24"/>
                <w:highlight w:val="none"/>
              </w:rPr>
            </w:pPr>
          </w:p>
        </w:tc>
      </w:tr>
      <w:tr w14:paraId="3FC264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8" w:hRule="atLeast"/>
        </w:trPr>
        <w:tc>
          <w:tcPr>
            <w:tcW w:w="683" w:type="dxa"/>
            <w:tcBorders>
              <w:top w:val="single" w:color="auto" w:sz="4" w:space="0"/>
              <w:left w:val="single" w:color="auto" w:sz="12" w:space="0"/>
              <w:bottom w:val="single" w:color="auto" w:sz="12" w:space="0"/>
              <w:right w:val="single" w:color="auto" w:sz="4" w:space="0"/>
            </w:tcBorders>
            <w:noWrap w:val="0"/>
            <w:vAlign w:val="center"/>
          </w:tcPr>
          <w:p w14:paraId="68573703">
            <w:pPr>
              <w:snapToGrid w:val="0"/>
              <w:spacing w:line="400" w:lineRule="exact"/>
              <w:jc w:val="center"/>
              <w:rPr>
                <w:rFonts w:ascii="宋体" w:hAnsi="宋体"/>
                <w:color w:val="auto"/>
                <w:sz w:val="24"/>
                <w:highlight w:val="none"/>
              </w:rPr>
            </w:pPr>
          </w:p>
        </w:tc>
        <w:tc>
          <w:tcPr>
            <w:tcW w:w="1470" w:type="dxa"/>
            <w:tcBorders>
              <w:top w:val="single" w:color="auto" w:sz="4" w:space="0"/>
              <w:left w:val="single" w:color="auto" w:sz="4" w:space="0"/>
              <w:bottom w:val="single" w:color="auto" w:sz="12" w:space="0"/>
              <w:right w:val="single" w:color="auto" w:sz="4" w:space="0"/>
            </w:tcBorders>
            <w:noWrap w:val="0"/>
            <w:vAlign w:val="center"/>
          </w:tcPr>
          <w:p w14:paraId="79C6417D">
            <w:pPr>
              <w:snapToGrid w:val="0"/>
              <w:spacing w:line="400" w:lineRule="exact"/>
              <w:jc w:val="center"/>
              <w:rPr>
                <w:rFonts w:hint="eastAsia" w:ascii="仿宋_GB2312" w:hAnsi="宋体" w:eastAsia="仿宋_GB2312"/>
                <w:color w:val="auto"/>
                <w:sz w:val="18"/>
                <w:szCs w:val="18"/>
                <w:highlight w:val="none"/>
              </w:rPr>
            </w:pPr>
          </w:p>
        </w:tc>
        <w:tc>
          <w:tcPr>
            <w:tcW w:w="2356" w:type="dxa"/>
            <w:tcBorders>
              <w:top w:val="single" w:color="auto" w:sz="4" w:space="0"/>
              <w:left w:val="single" w:color="auto" w:sz="4" w:space="0"/>
              <w:bottom w:val="single" w:color="auto" w:sz="12" w:space="0"/>
              <w:right w:val="single" w:color="auto" w:sz="4" w:space="0"/>
            </w:tcBorders>
            <w:noWrap w:val="0"/>
            <w:vAlign w:val="center"/>
          </w:tcPr>
          <w:p w14:paraId="1AFD99CE">
            <w:pPr>
              <w:snapToGrid w:val="0"/>
              <w:spacing w:line="400" w:lineRule="exact"/>
              <w:jc w:val="center"/>
              <w:rPr>
                <w:rFonts w:ascii="宋体" w:hAnsi="宋体"/>
                <w:color w:val="auto"/>
                <w:sz w:val="24"/>
                <w:highlight w:val="none"/>
              </w:rPr>
            </w:pPr>
          </w:p>
        </w:tc>
        <w:tc>
          <w:tcPr>
            <w:tcW w:w="3119" w:type="dxa"/>
            <w:tcBorders>
              <w:top w:val="single" w:color="auto" w:sz="4" w:space="0"/>
              <w:left w:val="single" w:color="auto" w:sz="4" w:space="0"/>
              <w:bottom w:val="single" w:color="auto" w:sz="12" w:space="0"/>
              <w:right w:val="single" w:color="auto" w:sz="4" w:space="0"/>
            </w:tcBorders>
            <w:noWrap w:val="0"/>
            <w:vAlign w:val="top"/>
          </w:tcPr>
          <w:p w14:paraId="119482C7">
            <w:pPr>
              <w:snapToGrid w:val="0"/>
              <w:spacing w:line="400" w:lineRule="exact"/>
              <w:jc w:val="center"/>
              <w:rPr>
                <w:rFonts w:ascii="宋体" w:hAnsi="宋体"/>
                <w:color w:val="auto"/>
                <w:sz w:val="24"/>
                <w:highlight w:val="none"/>
              </w:rPr>
            </w:pPr>
          </w:p>
        </w:tc>
        <w:tc>
          <w:tcPr>
            <w:tcW w:w="2380" w:type="dxa"/>
            <w:tcBorders>
              <w:top w:val="single" w:color="auto" w:sz="4" w:space="0"/>
              <w:left w:val="single" w:color="auto" w:sz="4" w:space="0"/>
              <w:bottom w:val="single" w:color="auto" w:sz="12" w:space="0"/>
              <w:right w:val="single" w:color="auto" w:sz="4" w:space="0"/>
            </w:tcBorders>
            <w:noWrap w:val="0"/>
            <w:vAlign w:val="top"/>
          </w:tcPr>
          <w:p w14:paraId="3624DA7F">
            <w:pPr>
              <w:snapToGrid w:val="0"/>
              <w:spacing w:line="400" w:lineRule="exact"/>
              <w:jc w:val="center"/>
              <w:rPr>
                <w:rFonts w:ascii="宋体" w:hAnsi="宋体"/>
                <w:color w:val="auto"/>
                <w:sz w:val="24"/>
                <w:highlight w:val="none"/>
              </w:rPr>
            </w:pPr>
          </w:p>
        </w:tc>
        <w:tc>
          <w:tcPr>
            <w:tcW w:w="976" w:type="dxa"/>
            <w:tcBorders>
              <w:top w:val="single" w:color="auto" w:sz="4" w:space="0"/>
              <w:left w:val="single" w:color="auto" w:sz="4" w:space="0"/>
              <w:bottom w:val="single" w:color="auto" w:sz="12" w:space="0"/>
              <w:right w:val="single" w:color="auto" w:sz="4" w:space="0"/>
            </w:tcBorders>
            <w:noWrap w:val="0"/>
            <w:vAlign w:val="center"/>
          </w:tcPr>
          <w:p w14:paraId="3976AF01">
            <w:pPr>
              <w:snapToGrid w:val="0"/>
              <w:spacing w:line="400" w:lineRule="exact"/>
              <w:jc w:val="center"/>
              <w:rPr>
                <w:rFonts w:ascii="宋体" w:hAnsi="宋体"/>
                <w:color w:val="auto"/>
                <w:sz w:val="24"/>
                <w:highlight w:val="none"/>
              </w:rPr>
            </w:pPr>
          </w:p>
        </w:tc>
        <w:tc>
          <w:tcPr>
            <w:tcW w:w="2024" w:type="dxa"/>
            <w:tcBorders>
              <w:top w:val="single" w:color="auto" w:sz="4" w:space="0"/>
              <w:left w:val="single" w:color="auto" w:sz="4" w:space="0"/>
              <w:bottom w:val="single" w:color="auto" w:sz="12" w:space="0"/>
              <w:right w:val="single" w:color="auto" w:sz="12" w:space="0"/>
            </w:tcBorders>
            <w:noWrap w:val="0"/>
            <w:vAlign w:val="center"/>
          </w:tcPr>
          <w:p w14:paraId="0157257E">
            <w:pPr>
              <w:snapToGrid w:val="0"/>
              <w:spacing w:line="400" w:lineRule="exact"/>
              <w:jc w:val="center"/>
              <w:rPr>
                <w:rFonts w:ascii="宋体" w:hAnsi="宋体"/>
                <w:color w:val="auto"/>
                <w:sz w:val="24"/>
                <w:highlight w:val="none"/>
              </w:rPr>
            </w:pPr>
          </w:p>
        </w:tc>
      </w:tr>
    </w:tbl>
    <w:p w14:paraId="13E1F061">
      <w:pPr>
        <w:pStyle w:val="4"/>
        <w:rPr>
          <w:rFonts w:hint="eastAsia"/>
          <w:color w:val="auto"/>
          <w:highlight w:val="none"/>
        </w:rPr>
      </w:pPr>
    </w:p>
    <w:p w14:paraId="7C81BF85">
      <w:pPr>
        <w:pStyle w:val="4"/>
        <w:spacing w:before="120" w:beforeLines="50"/>
        <w:ind w:firstLine="1050" w:firstLineChars="500"/>
        <w:rPr>
          <w:rFonts w:hint="eastAsia" w:ascii="楷体" w:hAnsi="楷体" w:eastAsia="楷体"/>
          <w:color w:val="auto"/>
          <w:highlight w:val="none"/>
        </w:rPr>
      </w:pPr>
      <w:r>
        <w:rPr>
          <w:rFonts w:hint="eastAsia" w:ascii="楷体" w:hAnsi="楷体" w:eastAsia="楷体"/>
          <w:color w:val="auto"/>
          <w:highlight w:val="none"/>
        </w:rPr>
        <w:t>说明：1.本表须逐项填写，不得空缺；如空缺将视为没有实质性响应招标文件；</w:t>
      </w:r>
    </w:p>
    <w:p w14:paraId="387DB35C">
      <w:pPr>
        <w:pStyle w:val="4"/>
        <w:ind w:firstLine="1680" w:firstLineChars="800"/>
        <w:rPr>
          <w:rFonts w:hint="eastAsia" w:ascii="楷体" w:hAnsi="楷体" w:eastAsia="楷体"/>
          <w:color w:val="auto"/>
          <w:highlight w:val="none"/>
        </w:rPr>
      </w:pPr>
      <w:r>
        <w:rPr>
          <w:rFonts w:hint="eastAsia" w:ascii="楷体" w:hAnsi="楷体" w:eastAsia="楷体"/>
          <w:color w:val="auto"/>
          <w:highlight w:val="none"/>
        </w:rPr>
        <w:t>2.货物各项详细技术性能可另页描述；若货物没有注册商标和具体型号须注明。</w:t>
      </w:r>
    </w:p>
    <w:p w14:paraId="2ACD1111">
      <w:pPr>
        <w:adjustRightInd w:val="0"/>
        <w:spacing w:after="240" w:afterLines="100" w:line="400" w:lineRule="exact"/>
        <w:ind w:firstLine="840" w:firstLineChars="400"/>
        <w:jc w:val="left"/>
        <w:rPr>
          <w:rFonts w:hint="eastAsia" w:ascii="宋体" w:hAnsi="宋体"/>
          <w:color w:val="auto"/>
          <w:szCs w:val="21"/>
          <w:highlight w:val="none"/>
        </w:rPr>
      </w:pPr>
      <w:r>
        <w:rPr>
          <w:rFonts w:hint="eastAsia" w:ascii="宋体" w:hAnsi="宋体"/>
          <w:color w:val="auto"/>
          <w:szCs w:val="21"/>
          <w:highlight w:val="none"/>
        </w:rPr>
        <w:t>投 标 人：</w:t>
      </w:r>
      <w:r>
        <w:rPr>
          <w:rFonts w:hint="eastAsia" w:ascii="宋体" w:hAnsi="宋体"/>
          <w:color w:val="auto"/>
          <w:szCs w:val="21"/>
          <w:highlight w:val="none"/>
          <w:u w:val="single"/>
        </w:rPr>
        <w:t xml:space="preserve">                                </w:t>
      </w:r>
      <w:r>
        <w:rPr>
          <w:rFonts w:hint="eastAsia" w:ascii="宋体" w:hAnsi="宋体"/>
          <w:color w:val="auto"/>
          <w:szCs w:val="21"/>
          <w:highlight w:val="none"/>
        </w:rPr>
        <w:t>（盖单位章）</w:t>
      </w:r>
    </w:p>
    <w:p w14:paraId="50528494">
      <w:pPr>
        <w:adjustRightInd w:val="0"/>
        <w:spacing w:after="240" w:afterLines="100" w:line="400" w:lineRule="exact"/>
        <w:ind w:firstLine="840" w:firstLineChars="400"/>
        <w:jc w:val="left"/>
        <w:rPr>
          <w:rFonts w:hint="eastAsia"/>
          <w:color w:val="auto"/>
          <w:szCs w:val="21"/>
          <w:highlight w:val="none"/>
        </w:rPr>
      </w:pPr>
      <w:r>
        <w:rPr>
          <w:rFonts w:hint="eastAsia"/>
          <w:color w:val="auto"/>
          <w:szCs w:val="21"/>
          <w:highlight w:val="none"/>
        </w:rPr>
        <w:t>法定代表人或委托代理人：</w:t>
      </w:r>
      <w:r>
        <w:rPr>
          <w:rFonts w:hint="eastAsia"/>
          <w:color w:val="auto"/>
          <w:szCs w:val="21"/>
          <w:highlight w:val="none"/>
          <w:u w:val="single"/>
        </w:rPr>
        <w:t xml:space="preserve">                  </w:t>
      </w:r>
      <w:r>
        <w:rPr>
          <w:rFonts w:hint="eastAsia"/>
          <w:color w:val="auto"/>
          <w:szCs w:val="21"/>
          <w:highlight w:val="none"/>
        </w:rPr>
        <w:t xml:space="preserve">（签字） </w:t>
      </w:r>
    </w:p>
    <w:p w14:paraId="5960537E">
      <w:pPr>
        <w:adjustRightInd w:val="0"/>
        <w:spacing w:line="400" w:lineRule="exact"/>
        <w:ind w:firstLine="840" w:firstLineChars="400"/>
        <w:jc w:val="left"/>
        <w:rPr>
          <w:rFonts w:hint="eastAsia"/>
          <w:color w:val="auto"/>
          <w:szCs w:val="21"/>
          <w:highlight w:val="none"/>
        </w:rPr>
      </w:pPr>
      <w:r>
        <w:rPr>
          <w:rFonts w:hint="eastAsia"/>
          <w:color w:val="auto"/>
          <w:szCs w:val="21"/>
          <w:highlight w:val="none"/>
        </w:rPr>
        <w:t>日    期：</w:t>
      </w:r>
      <w:r>
        <w:rPr>
          <w:rFonts w:hint="eastAsia" w:ascii="宋体" w:hAnsi="宋体"/>
          <w:color w:val="auto"/>
          <w:szCs w:val="21"/>
          <w:highlight w:val="none"/>
        </w:rPr>
        <w:t>20</w:t>
      </w:r>
      <w:r>
        <w:rPr>
          <w:rFonts w:hint="eastAsia" w:ascii="宋体" w:hAnsi="宋体"/>
          <w:color w:val="auto"/>
          <w:szCs w:val="21"/>
          <w:highlight w:val="none"/>
          <w:u w:val="single"/>
        </w:rPr>
        <w:t xml:space="preserve">  </w:t>
      </w:r>
      <w:r>
        <w:rPr>
          <w:rFonts w:hint="eastAsia"/>
          <w:color w:val="auto"/>
          <w:szCs w:val="21"/>
          <w:highlight w:val="none"/>
        </w:rPr>
        <w:t>年</w:t>
      </w:r>
      <w:r>
        <w:rPr>
          <w:rFonts w:hint="eastAsia"/>
          <w:color w:val="auto"/>
          <w:szCs w:val="21"/>
          <w:highlight w:val="none"/>
          <w:u w:val="single"/>
        </w:rPr>
        <w:t xml:space="preserve">  </w:t>
      </w:r>
      <w:r>
        <w:rPr>
          <w:rFonts w:hint="eastAsia"/>
          <w:color w:val="auto"/>
          <w:szCs w:val="21"/>
          <w:highlight w:val="none"/>
        </w:rPr>
        <w:t>月</w:t>
      </w:r>
      <w:r>
        <w:rPr>
          <w:rFonts w:hint="eastAsia"/>
          <w:color w:val="auto"/>
          <w:szCs w:val="21"/>
          <w:highlight w:val="none"/>
          <w:u w:val="single"/>
        </w:rPr>
        <w:t xml:space="preserve">  </w:t>
      </w:r>
      <w:r>
        <w:rPr>
          <w:rFonts w:hint="eastAsia"/>
          <w:color w:val="auto"/>
          <w:szCs w:val="21"/>
          <w:highlight w:val="none"/>
        </w:rPr>
        <w:t>日</w:t>
      </w:r>
    </w:p>
    <w:p w14:paraId="4B6C5BEB">
      <w:pPr>
        <w:adjustRightInd w:val="0"/>
        <w:spacing w:line="400" w:lineRule="exact"/>
        <w:ind w:firstLine="840" w:firstLineChars="400"/>
        <w:jc w:val="left"/>
        <w:rPr>
          <w:rFonts w:ascii="仿宋_GB2312" w:eastAsia="仿宋_GB2312"/>
          <w:bCs/>
          <w:color w:val="auto"/>
          <w:szCs w:val="28"/>
          <w:highlight w:val="none"/>
        </w:rPr>
        <w:sectPr>
          <w:pgSz w:w="16840" w:h="11907" w:orient="landscape"/>
          <w:pgMar w:top="1474" w:right="1440" w:bottom="1474" w:left="1440" w:header="851" w:footer="992" w:gutter="0"/>
          <w:pgBorders>
            <w:top w:val="none" w:sz="0" w:space="0"/>
            <w:left w:val="none" w:sz="0" w:space="0"/>
            <w:bottom w:val="none" w:sz="0" w:space="0"/>
            <w:right w:val="none" w:sz="0" w:space="0"/>
          </w:pgBorders>
          <w:pgNumType w:fmt="decimal"/>
          <w:cols w:space="720" w:num="1"/>
          <w:docGrid w:linePitch="312" w:charSpace="0"/>
        </w:sectPr>
      </w:pPr>
    </w:p>
    <w:bookmarkEnd w:id="255"/>
    <w:p w14:paraId="02F48B0E">
      <w:pPr>
        <w:pStyle w:val="4"/>
        <w:spacing w:after="240" w:afterLines="100" w:line="360" w:lineRule="auto"/>
        <w:ind w:firstLine="0"/>
        <w:jc w:val="center"/>
        <w:rPr>
          <w:rFonts w:hint="eastAsia" w:ascii="宋体" w:hAnsi="宋体"/>
          <w:b/>
          <w:color w:val="auto"/>
          <w:sz w:val="36"/>
          <w:szCs w:val="36"/>
          <w:highlight w:val="none"/>
        </w:rPr>
      </w:pPr>
      <w:r>
        <w:rPr>
          <w:rFonts w:hint="eastAsia" w:ascii="宋体" w:hAnsi="宋体"/>
          <w:b/>
          <w:bCs/>
          <w:color w:val="auto"/>
          <w:sz w:val="36"/>
          <w:szCs w:val="36"/>
          <w:highlight w:val="none"/>
        </w:rPr>
        <w:t>六、商务偏离表</w:t>
      </w:r>
    </w:p>
    <w:p w14:paraId="44CF0B16">
      <w:pPr>
        <w:pStyle w:val="4"/>
        <w:spacing w:after="120" w:afterLines="50"/>
        <w:ind w:firstLine="105" w:firstLineChars="50"/>
        <w:rPr>
          <w:rFonts w:hint="eastAsia" w:ascii="宋体" w:hAnsi="宋体"/>
          <w:color w:val="auto"/>
          <w:highlight w:val="none"/>
        </w:rPr>
      </w:pPr>
      <w:r>
        <w:rPr>
          <w:rFonts w:hint="eastAsia" w:ascii="宋体" w:hAnsi="宋体"/>
          <w:color w:val="auto"/>
          <w:highlight w:val="none"/>
        </w:rPr>
        <w:t xml:space="preserve">投标人名称：                              </w:t>
      </w:r>
      <w:r>
        <w:rPr>
          <w:rFonts w:hint="eastAsia" w:ascii="宋体" w:hAnsi="宋体"/>
          <w:color w:val="auto"/>
          <w:highlight w:val="none"/>
          <w:lang w:val="en-US" w:eastAsia="zh-CN"/>
        </w:rPr>
        <w:t xml:space="preserve">                            </w:t>
      </w:r>
      <w:r>
        <w:rPr>
          <w:rFonts w:hint="eastAsia" w:ascii="宋体" w:hAnsi="宋体"/>
          <w:color w:val="auto"/>
          <w:highlight w:val="none"/>
        </w:rPr>
        <w:t xml:space="preserve"> 采购项目编号：</w:t>
      </w:r>
    </w:p>
    <w:tbl>
      <w:tblPr>
        <w:tblStyle w:val="23"/>
        <w:tblW w:w="9797"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551"/>
        <w:gridCol w:w="1429"/>
        <w:gridCol w:w="1600"/>
        <w:gridCol w:w="2180"/>
        <w:gridCol w:w="1040"/>
        <w:gridCol w:w="2020"/>
        <w:gridCol w:w="977"/>
      </w:tblGrid>
      <w:tr w14:paraId="4BE95FD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32" w:hRule="atLeast"/>
          <w:jc w:val="center"/>
        </w:trPr>
        <w:tc>
          <w:tcPr>
            <w:tcW w:w="551" w:type="dxa"/>
            <w:noWrap w:val="0"/>
            <w:vAlign w:val="center"/>
          </w:tcPr>
          <w:p w14:paraId="5F165F2F">
            <w:pPr>
              <w:adjustRightInd w:val="0"/>
              <w:snapToGrid w:val="0"/>
              <w:ind w:right="23"/>
              <w:jc w:val="center"/>
              <w:rPr>
                <w:rFonts w:hint="eastAsia" w:ascii="宋体" w:hAnsi="宋体"/>
                <w:b/>
                <w:bCs/>
                <w:color w:val="auto"/>
                <w:szCs w:val="21"/>
                <w:highlight w:val="none"/>
              </w:rPr>
            </w:pPr>
            <w:r>
              <w:rPr>
                <w:rFonts w:hint="eastAsia" w:ascii="宋体" w:hAnsi="宋体"/>
                <w:b/>
                <w:bCs/>
                <w:color w:val="auto"/>
                <w:szCs w:val="21"/>
                <w:highlight w:val="none"/>
              </w:rPr>
              <w:t>序号</w:t>
            </w:r>
          </w:p>
        </w:tc>
        <w:tc>
          <w:tcPr>
            <w:tcW w:w="1429" w:type="dxa"/>
            <w:noWrap w:val="0"/>
            <w:vAlign w:val="center"/>
          </w:tcPr>
          <w:p w14:paraId="7484D458">
            <w:pPr>
              <w:adjustRightInd w:val="0"/>
              <w:snapToGrid w:val="0"/>
              <w:ind w:right="23"/>
              <w:jc w:val="center"/>
              <w:rPr>
                <w:rFonts w:hint="eastAsia" w:ascii="宋体" w:hAnsi="宋体"/>
                <w:b/>
                <w:bCs/>
                <w:color w:val="auto"/>
                <w:szCs w:val="21"/>
                <w:highlight w:val="none"/>
              </w:rPr>
            </w:pPr>
            <w:r>
              <w:rPr>
                <w:rFonts w:hint="eastAsia" w:ascii="宋体" w:hAnsi="宋体"/>
                <w:b/>
                <w:bCs/>
                <w:color w:val="auto"/>
                <w:szCs w:val="21"/>
                <w:highlight w:val="none"/>
              </w:rPr>
              <w:t>文件条目号</w:t>
            </w:r>
          </w:p>
        </w:tc>
        <w:tc>
          <w:tcPr>
            <w:tcW w:w="1600" w:type="dxa"/>
            <w:noWrap w:val="0"/>
            <w:vAlign w:val="center"/>
          </w:tcPr>
          <w:p w14:paraId="1821D17B">
            <w:pPr>
              <w:adjustRightInd w:val="0"/>
              <w:snapToGrid w:val="0"/>
              <w:ind w:right="23"/>
              <w:jc w:val="center"/>
              <w:rPr>
                <w:rFonts w:hint="eastAsia" w:ascii="宋体" w:hAnsi="宋体"/>
                <w:b/>
                <w:bCs/>
                <w:color w:val="auto"/>
                <w:szCs w:val="21"/>
                <w:highlight w:val="none"/>
              </w:rPr>
            </w:pPr>
            <w:r>
              <w:rPr>
                <w:rFonts w:hint="eastAsia" w:ascii="宋体" w:hAnsi="宋体"/>
                <w:b/>
                <w:bCs/>
                <w:color w:val="auto"/>
                <w:szCs w:val="21"/>
                <w:highlight w:val="none"/>
              </w:rPr>
              <w:t>采购商务要求</w:t>
            </w:r>
          </w:p>
        </w:tc>
        <w:tc>
          <w:tcPr>
            <w:tcW w:w="2180" w:type="dxa"/>
            <w:noWrap w:val="0"/>
            <w:vAlign w:val="center"/>
          </w:tcPr>
          <w:p w14:paraId="34D758ED">
            <w:pPr>
              <w:adjustRightInd w:val="0"/>
              <w:snapToGrid w:val="0"/>
              <w:ind w:right="23"/>
              <w:jc w:val="center"/>
              <w:rPr>
                <w:rFonts w:hint="eastAsia" w:ascii="宋体" w:hAnsi="宋体"/>
                <w:b/>
                <w:bCs/>
                <w:color w:val="auto"/>
                <w:szCs w:val="21"/>
                <w:highlight w:val="none"/>
              </w:rPr>
            </w:pPr>
            <w:r>
              <w:rPr>
                <w:rFonts w:hint="eastAsia" w:ascii="宋体" w:hAnsi="宋体"/>
                <w:b/>
                <w:bCs/>
                <w:color w:val="auto"/>
                <w:szCs w:val="21"/>
                <w:highlight w:val="none"/>
              </w:rPr>
              <w:t>响应文件商务响应</w:t>
            </w:r>
          </w:p>
        </w:tc>
        <w:tc>
          <w:tcPr>
            <w:tcW w:w="1040" w:type="dxa"/>
            <w:noWrap w:val="0"/>
            <w:vAlign w:val="center"/>
          </w:tcPr>
          <w:p w14:paraId="3F9796BF">
            <w:pPr>
              <w:adjustRightInd w:val="0"/>
              <w:snapToGrid w:val="0"/>
              <w:ind w:right="23"/>
              <w:jc w:val="center"/>
              <w:rPr>
                <w:rFonts w:hint="eastAsia" w:ascii="宋体" w:hAnsi="宋体"/>
                <w:b/>
                <w:bCs/>
                <w:color w:val="auto"/>
                <w:szCs w:val="21"/>
                <w:highlight w:val="none"/>
              </w:rPr>
            </w:pPr>
            <w:r>
              <w:rPr>
                <w:rFonts w:hint="eastAsia" w:ascii="宋体" w:hAnsi="宋体"/>
                <w:b/>
                <w:bCs/>
                <w:color w:val="auto"/>
                <w:szCs w:val="21"/>
                <w:highlight w:val="none"/>
              </w:rPr>
              <w:t>偏离</w:t>
            </w:r>
          </w:p>
        </w:tc>
        <w:tc>
          <w:tcPr>
            <w:tcW w:w="2020" w:type="dxa"/>
            <w:noWrap w:val="0"/>
            <w:vAlign w:val="center"/>
          </w:tcPr>
          <w:p w14:paraId="6520EC47">
            <w:pPr>
              <w:adjustRightInd w:val="0"/>
              <w:snapToGrid w:val="0"/>
              <w:ind w:right="23"/>
              <w:jc w:val="center"/>
              <w:rPr>
                <w:rFonts w:hint="eastAsia" w:ascii="宋体" w:hAnsi="宋体"/>
                <w:b/>
                <w:bCs/>
                <w:color w:val="auto"/>
                <w:szCs w:val="21"/>
                <w:highlight w:val="none"/>
              </w:rPr>
            </w:pPr>
            <w:r>
              <w:rPr>
                <w:rFonts w:hint="eastAsia" w:ascii="宋体" w:hAnsi="宋体"/>
                <w:b/>
                <w:bCs/>
                <w:color w:val="auto"/>
                <w:szCs w:val="21"/>
                <w:highlight w:val="none"/>
              </w:rPr>
              <w:t>偏离及其影响</w:t>
            </w:r>
          </w:p>
        </w:tc>
        <w:tc>
          <w:tcPr>
            <w:tcW w:w="977" w:type="dxa"/>
            <w:noWrap w:val="0"/>
            <w:vAlign w:val="center"/>
          </w:tcPr>
          <w:p w14:paraId="6192BEAF">
            <w:pPr>
              <w:adjustRightInd w:val="0"/>
              <w:snapToGrid w:val="0"/>
              <w:ind w:right="23"/>
              <w:jc w:val="center"/>
              <w:rPr>
                <w:rFonts w:hint="eastAsia" w:ascii="宋体" w:hAnsi="宋体" w:eastAsia="宋体"/>
                <w:b/>
                <w:bCs/>
                <w:color w:val="auto"/>
                <w:szCs w:val="21"/>
                <w:highlight w:val="none"/>
                <w:lang w:val="en-US" w:eastAsia="zh-CN"/>
              </w:rPr>
            </w:pPr>
            <w:r>
              <w:rPr>
                <w:rFonts w:hint="eastAsia" w:ascii="宋体" w:hAnsi="宋体"/>
                <w:b/>
                <w:bCs/>
                <w:color w:val="auto"/>
                <w:szCs w:val="21"/>
                <w:highlight w:val="none"/>
                <w:lang w:val="en-US" w:eastAsia="zh-CN"/>
              </w:rPr>
              <w:t>备注</w:t>
            </w:r>
          </w:p>
        </w:tc>
      </w:tr>
      <w:tr w14:paraId="68648C8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551" w:type="dxa"/>
            <w:noWrap w:val="0"/>
            <w:vAlign w:val="top"/>
          </w:tcPr>
          <w:p w14:paraId="3EB6CB72">
            <w:pPr>
              <w:adjustRightInd w:val="0"/>
              <w:snapToGrid w:val="0"/>
              <w:spacing w:line="360" w:lineRule="auto"/>
              <w:ind w:right="24"/>
              <w:rPr>
                <w:rFonts w:hint="eastAsia" w:ascii="黑体" w:hAnsi="华文中宋" w:eastAsia="黑体"/>
                <w:bCs/>
                <w:color w:val="auto"/>
                <w:sz w:val="24"/>
                <w:highlight w:val="none"/>
              </w:rPr>
            </w:pPr>
          </w:p>
        </w:tc>
        <w:tc>
          <w:tcPr>
            <w:tcW w:w="1429" w:type="dxa"/>
            <w:noWrap w:val="0"/>
            <w:vAlign w:val="top"/>
          </w:tcPr>
          <w:p w14:paraId="34E2793E">
            <w:pPr>
              <w:adjustRightInd w:val="0"/>
              <w:snapToGrid w:val="0"/>
              <w:spacing w:line="360" w:lineRule="auto"/>
              <w:ind w:right="24"/>
              <w:rPr>
                <w:rFonts w:hint="eastAsia" w:ascii="黑体" w:hAnsi="华文中宋" w:eastAsia="黑体"/>
                <w:bCs/>
                <w:color w:val="auto"/>
                <w:sz w:val="24"/>
                <w:highlight w:val="none"/>
              </w:rPr>
            </w:pPr>
          </w:p>
        </w:tc>
        <w:tc>
          <w:tcPr>
            <w:tcW w:w="1600" w:type="dxa"/>
            <w:noWrap w:val="0"/>
            <w:vAlign w:val="top"/>
          </w:tcPr>
          <w:p w14:paraId="31BCAADE">
            <w:pPr>
              <w:adjustRightInd w:val="0"/>
              <w:snapToGrid w:val="0"/>
              <w:spacing w:line="360" w:lineRule="auto"/>
              <w:ind w:right="24"/>
              <w:rPr>
                <w:rFonts w:hint="eastAsia" w:ascii="黑体" w:hAnsi="华文中宋" w:eastAsia="黑体"/>
                <w:bCs/>
                <w:color w:val="auto"/>
                <w:sz w:val="24"/>
                <w:highlight w:val="none"/>
              </w:rPr>
            </w:pPr>
          </w:p>
        </w:tc>
        <w:tc>
          <w:tcPr>
            <w:tcW w:w="2180" w:type="dxa"/>
            <w:noWrap w:val="0"/>
            <w:vAlign w:val="top"/>
          </w:tcPr>
          <w:p w14:paraId="68F45FD6">
            <w:pPr>
              <w:adjustRightInd w:val="0"/>
              <w:snapToGrid w:val="0"/>
              <w:spacing w:line="360" w:lineRule="auto"/>
              <w:ind w:right="24"/>
              <w:rPr>
                <w:rFonts w:hint="eastAsia" w:ascii="黑体" w:hAnsi="华文中宋" w:eastAsia="黑体"/>
                <w:bCs/>
                <w:color w:val="auto"/>
                <w:sz w:val="24"/>
                <w:highlight w:val="none"/>
              </w:rPr>
            </w:pPr>
          </w:p>
        </w:tc>
        <w:tc>
          <w:tcPr>
            <w:tcW w:w="1040" w:type="dxa"/>
            <w:noWrap w:val="0"/>
            <w:vAlign w:val="top"/>
          </w:tcPr>
          <w:p w14:paraId="01C83794">
            <w:pPr>
              <w:adjustRightInd w:val="0"/>
              <w:snapToGrid w:val="0"/>
              <w:spacing w:line="360" w:lineRule="auto"/>
              <w:ind w:right="24"/>
              <w:rPr>
                <w:rFonts w:hint="eastAsia" w:ascii="黑体" w:hAnsi="华文中宋" w:eastAsia="黑体"/>
                <w:bCs/>
                <w:color w:val="auto"/>
                <w:sz w:val="24"/>
                <w:highlight w:val="none"/>
              </w:rPr>
            </w:pPr>
          </w:p>
        </w:tc>
        <w:tc>
          <w:tcPr>
            <w:tcW w:w="2020" w:type="dxa"/>
            <w:noWrap w:val="0"/>
            <w:vAlign w:val="top"/>
          </w:tcPr>
          <w:p w14:paraId="2D5AA3EA">
            <w:pPr>
              <w:adjustRightInd w:val="0"/>
              <w:snapToGrid w:val="0"/>
              <w:spacing w:line="360" w:lineRule="auto"/>
              <w:ind w:right="24"/>
              <w:rPr>
                <w:rFonts w:hint="eastAsia" w:ascii="黑体" w:hAnsi="华文中宋" w:eastAsia="黑体"/>
                <w:bCs/>
                <w:color w:val="auto"/>
                <w:sz w:val="24"/>
                <w:highlight w:val="none"/>
              </w:rPr>
            </w:pPr>
          </w:p>
        </w:tc>
        <w:tc>
          <w:tcPr>
            <w:tcW w:w="977" w:type="dxa"/>
            <w:noWrap w:val="0"/>
            <w:vAlign w:val="top"/>
          </w:tcPr>
          <w:p w14:paraId="0A051400">
            <w:pPr>
              <w:adjustRightInd w:val="0"/>
              <w:snapToGrid w:val="0"/>
              <w:spacing w:line="360" w:lineRule="auto"/>
              <w:ind w:right="24"/>
              <w:rPr>
                <w:rFonts w:hint="eastAsia" w:ascii="黑体" w:hAnsi="华文中宋" w:eastAsia="黑体"/>
                <w:bCs/>
                <w:color w:val="auto"/>
                <w:sz w:val="24"/>
                <w:highlight w:val="none"/>
              </w:rPr>
            </w:pPr>
          </w:p>
        </w:tc>
      </w:tr>
      <w:tr w14:paraId="7473AE6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551" w:type="dxa"/>
            <w:noWrap w:val="0"/>
            <w:vAlign w:val="top"/>
          </w:tcPr>
          <w:p w14:paraId="0697BCBC">
            <w:pPr>
              <w:adjustRightInd w:val="0"/>
              <w:snapToGrid w:val="0"/>
              <w:spacing w:line="360" w:lineRule="auto"/>
              <w:ind w:right="24"/>
              <w:rPr>
                <w:rFonts w:hint="eastAsia" w:ascii="黑体" w:hAnsi="华文中宋" w:eastAsia="黑体"/>
                <w:bCs/>
                <w:color w:val="auto"/>
                <w:sz w:val="24"/>
                <w:highlight w:val="none"/>
              </w:rPr>
            </w:pPr>
          </w:p>
        </w:tc>
        <w:tc>
          <w:tcPr>
            <w:tcW w:w="1429" w:type="dxa"/>
            <w:noWrap w:val="0"/>
            <w:vAlign w:val="top"/>
          </w:tcPr>
          <w:p w14:paraId="18607451">
            <w:pPr>
              <w:adjustRightInd w:val="0"/>
              <w:snapToGrid w:val="0"/>
              <w:spacing w:line="360" w:lineRule="auto"/>
              <w:ind w:right="24"/>
              <w:rPr>
                <w:rFonts w:hint="eastAsia" w:ascii="黑体" w:hAnsi="华文中宋" w:eastAsia="黑体"/>
                <w:bCs/>
                <w:color w:val="auto"/>
                <w:sz w:val="24"/>
                <w:highlight w:val="none"/>
              </w:rPr>
            </w:pPr>
          </w:p>
        </w:tc>
        <w:tc>
          <w:tcPr>
            <w:tcW w:w="1600" w:type="dxa"/>
            <w:noWrap w:val="0"/>
            <w:vAlign w:val="top"/>
          </w:tcPr>
          <w:p w14:paraId="3A9F5683">
            <w:pPr>
              <w:adjustRightInd w:val="0"/>
              <w:snapToGrid w:val="0"/>
              <w:spacing w:line="360" w:lineRule="auto"/>
              <w:ind w:right="24"/>
              <w:rPr>
                <w:rFonts w:hint="eastAsia" w:ascii="黑体" w:hAnsi="华文中宋" w:eastAsia="黑体"/>
                <w:bCs/>
                <w:color w:val="auto"/>
                <w:sz w:val="24"/>
                <w:highlight w:val="none"/>
              </w:rPr>
            </w:pPr>
          </w:p>
        </w:tc>
        <w:tc>
          <w:tcPr>
            <w:tcW w:w="2180" w:type="dxa"/>
            <w:noWrap w:val="0"/>
            <w:vAlign w:val="top"/>
          </w:tcPr>
          <w:p w14:paraId="2E35FF12">
            <w:pPr>
              <w:adjustRightInd w:val="0"/>
              <w:snapToGrid w:val="0"/>
              <w:spacing w:line="360" w:lineRule="auto"/>
              <w:ind w:right="24"/>
              <w:rPr>
                <w:rFonts w:hint="eastAsia" w:ascii="黑体" w:hAnsi="华文中宋" w:eastAsia="黑体"/>
                <w:bCs/>
                <w:color w:val="auto"/>
                <w:sz w:val="24"/>
                <w:highlight w:val="none"/>
              </w:rPr>
            </w:pPr>
          </w:p>
        </w:tc>
        <w:tc>
          <w:tcPr>
            <w:tcW w:w="1040" w:type="dxa"/>
            <w:noWrap w:val="0"/>
            <w:vAlign w:val="top"/>
          </w:tcPr>
          <w:p w14:paraId="43F817F5">
            <w:pPr>
              <w:adjustRightInd w:val="0"/>
              <w:snapToGrid w:val="0"/>
              <w:spacing w:line="360" w:lineRule="auto"/>
              <w:ind w:right="24"/>
              <w:rPr>
                <w:rFonts w:hint="eastAsia" w:ascii="黑体" w:hAnsi="华文中宋" w:eastAsia="黑体"/>
                <w:bCs/>
                <w:color w:val="auto"/>
                <w:sz w:val="24"/>
                <w:highlight w:val="none"/>
              </w:rPr>
            </w:pPr>
          </w:p>
        </w:tc>
        <w:tc>
          <w:tcPr>
            <w:tcW w:w="2020" w:type="dxa"/>
            <w:noWrap w:val="0"/>
            <w:vAlign w:val="top"/>
          </w:tcPr>
          <w:p w14:paraId="70F2A786">
            <w:pPr>
              <w:adjustRightInd w:val="0"/>
              <w:snapToGrid w:val="0"/>
              <w:spacing w:line="360" w:lineRule="auto"/>
              <w:ind w:right="24"/>
              <w:rPr>
                <w:rFonts w:hint="eastAsia" w:ascii="黑体" w:hAnsi="华文中宋" w:eastAsia="黑体"/>
                <w:bCs/>
                <w:color w:val="auto"/>
                <w:sz w:val="24"/>
                <w:highlight w:val="none"/>
              </w:rPr>
            </w:pPr>
          </w:p>
        </w:tc>
        <w:tc>
          <w:tcPr>
            <w:tcW w:w="977" w:type="dxa"/>
            <w:noWrap w:val="0"/>
            <w:vAlign w:val="top"/>
          </w:tcPr>
          <w:p w14:paraId="18A41C0C">
            <w:pPr>
              <w:adjustRightInd w:val="0"/>
              <w:snapToGrid w:val="0"/>
              <w:spacing w:line="360" w:lineRule="auto"/>
              <w:ind w:right="24"/>
              <w:rPr>
                <w:rFonts w:hint="eastAsia" w:ascii="黑体" w:hAnsi="华文中宋" w:eastAsia="黑体"/>
                <w:bCs/>
                <w:color w:val="auto"/>
                <w:sz w:val="24"/>
                <w:highlight w:val="none"/>
              </w:rPr>
            </w:pPr>
          </w:p>
        </w:tc>
      </w:tr>
      <w:tr w14:paraId="3595D9A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551" w:type="dxa"/>
            <w:noWrap w:val="0"/>
            <w:vAlign w:val="top"/>
          </w:tcPr>
          <w:p w14:paraId="52D5D47D">
            <w:pPr>
              <w:adjustRightInd w:val="0"/>
              <w:snapToGrid w:val="0"/>
              <w:spacing w:line="360" w:lineRule="auto"/>
              <w:ind w:right="24"/>
              <w:rPr>
                <w:rFonts w:hint="eastAsia" w:ascii="黑体" w:hAnsi="华文中宋" w:eastAsia="黑体"/>
                <w:bCs/>
                <w:color w:val="auto"/>
                <w:sz w:val="24"/>
                <w:highlight w:val="none"/>
              </w:rPr>
            </w:pPr>
          </w:p>
        </w:tc>
        <w:tc>
          <w:tcPr>
            <w:tcW w:w="1429" w:type="dxa"/>
            <w:noWrap w:val="0"/>
            <w:vAlign w:val="top"/>
          </w:tcPr>
          <w:p w14:paraId="32EF2F3E">
            <w:pPr>
              <w:adjustRightInd w:val="0"/>
              <w:snapToGrid w:val="0"/>
              <w:spacing w:line="360" w:lineRule="auto"/>
              <w:ind w:right="24"/>
              <w:rPr>
                <w:rFonts w:hint="eastAsia" w:ascii="黑体" w:hAnsi="华文中宋" w:eastAsia="黑体"/>
                <w:bCs/>
                <w:color w:val="auto"/>
                <w:sz w:val="24"/>
                <w:highlight w:val="none"/>
              </w:rPr>
            </w:pPr>
          </w:p>
        </w:tc>
        <w:tc>
          <w:tcPr>
            <w:tcW w:w="1600" w:type="dxa"/>
            <w:noWrap w:val="0"/>
            <w:vAlign w:val="top"/>
          </w:tcPr>
          <w:p w14:paraId="2AFD21B0">
            <w:pPr>
              <w:adjustRightInd w:val="0"/>
              <w:snapToGrid w:val="0"/>
              <w:spacing w:line="360" w:lineRule="auto"/>
              <w:ind w:right="24"/>
              <w:rPr>
                <w:rFonts w:hint="eastAsia" w:ascii="黑体" w:hAnsi="华文中宋" w:eastAsia="黑体"/>
                <w:bCs/>
                <w:color w:val="auto"/>
                <w:sz w:val="24"/>
                <w:highlight w:val="none"/>
              </w:rPr>
            </w:pPr>
          </w:p>
        </w:tc>
        <w:tc>
          <w:tcPr>
            <w:tcW w:w="2180" w:type="dxa"/>
            <w:noWrap w:val="0"/>
            <w:vAlign w:val="top"/>
          </w:tcPr>
          <w:p w14:paraId="16F8DAA7">
            <w:pPr>
              <w:adjustRightInd w:val="0"/>
              <w:snapToGrid w:val="0"/>
              <w:spacing w:line="360" w:lineRule="auto"/>
              <w:ind w:right="24"/>
              <w:rPr>
                <w:rFonts w:hint="eastAsia" w:ascii="黑体" w:hAnsi="华文中宋" w:eastAsia="黑体"/>
                <w:bCs/>
                <w:color w:val="auto"/>
                <w:sz w:val="24"/>
                <w:highlight w:val="none"/>
              </w:rPr>
            </w:pPr>
          </w:p>
        </w:tc>
        <w:tc>
          <w:tcPr>
            <w:tcW w:w="1040" w:type="dxa"/>
            <w:noWrap w:val="0"/>
            <w:vAlign w:val="top"/>
          </w:tcPr>
          <w:p w14:paraId="5EB70738">
            <w:pPr>
              <w:adjustRightInd w:val="0"/>
              <w:snapToGrid w:val="0"/>
              <w:spacing w:line="360" w:lineRule="auto"/>
              <w:ind w:right="24"/>
              <w:rPr>
                <w:rFonts w:hint="eastAsia" w:ascii="黑体" w:hAnsi="华文中宋" w:eastAsia="黑体"/>
                <w:bCs/>
                <w:color w:val="auto"/>
                <w:sz w:val="24"/>
                <w:highlight w:val="none"/>
              </w:rPr>
            </w:pPr>
          </w:p>
        </w:tc>
        <w:tc>
          <w:tcPr>
            <w:tcW w:w="2020" w:type="dxa"/>
            <w:noWrap w:val="0"/>
            <w:vAlign w:val="top"/>
          </w:tcPr>
          <w:p w14:paraId="0C578F92">
            <w:pPr>
              <w:adjustRightInd w:val="0"/>
              <w:snapToGrid w:val="0"/>
              <w:spacing w:line="360" w:lineRule="auto"/>
              <w:ind w:right="24"/>
              <w:rPr>
                <w:rFonts w:hint="eastAsia" w:ascii="黑体" w:hAnsi="华文中宋" w:eastAsia="黑体"/>
                <w:bCs/>
                <w:color w:val="auto"/>
                <w:sz w:val="24"/>
                <w:highlight w:val="none"/>
              </w:rPr>
            </w:pPr>
          </w:p>
        </w:tc>
        <w:tc>
          <w:tcPr>
            <w:tcW w:w="977" w:type="dxa"/>
            <w:noWrap w:val="0"/>
            <w:vAlign w:val="top"/>
          </w:tcPr>
          <w:p w14:paraId="110FE911">
            <w:pPr>
              <w:adjustRightInd w:val="0"/>
              <w:snapToGrid w:val="0"/>
              <w:spacing w:line="360" w:lineRule="auto"/>
              <w:ind w:right="24"/>
              <w:rPr>
                <w:rFonts w:hint="eastAsia" w:ascii="黑体" w:hAnsi="华文中宋" w:eastAsia="黑体"/>
                <w:bCs/>
                <w:color w:val="auto"/>
                <w:sz w:val="24"/>
                <w:highlight w:val="none"/>
              </w:rPr>
            </w:pPr>
          </w:p>
        </w:tc>
      </w:tr>
      <w:tr w14:paraId="6A27C5A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551" w:type="dxa"/>
            <w:noWrap w:val="0"/>
            <w:vAlign w:val="top"/>
          </w:tcPr>
          <w:p w14:paraId="7D2DD02B">
            <w:pPr>
              <w:adjustRightInd w:val="0"/>
              <w:snapToGrid w:val="0"/>
              <w:spacing w:line="360" w:lineRule="auto"/>
              <w:ind w:right="24"/>
              <w:rPr>
                <w:rFonts w:hint="eastAsia" w:ascii="黑体" w:hAnsi="华文中宋" w:eastAsia="黑体"/>
                <w:bCs/>
                <w:color w:val="auto"/>
                <w:sz w:val="24"/>
                <w:highlight w:val="none"/>
              </w:rPr>
            </w:pPr>
          </w:p>
        </w:tc>
        <w:tc>
          <w:tcPr>
            <w:tcW w:w="1429" w:type="dxa"/>
            <w:noWrap w:val="0"/>
            <w:vAlign w:val="top"/>
          </w:tcPr>
          <w:p w14:paraId="34A2D5CE">
            <w:pPr>
              <w:adjustRightInd w:val="0"/>
              <w:snapToGrid w:val="0"/>
              <w:spacing w:line="360" w:lineRule="auto"/>
              <w:ind w:right="24"/>
              <w:rPr>
                <w:rFonts w:hint="eastAsia" w:ascii="黑体" w:hAnsi="华文中宋" w:eastAsia="黑体"/>
                <w:bCs/>
                <w:color w:val="auto"/>
                <w:sz w:val="24"/>
                <w:highlight w:val="none"/>
              </w:rPr>
            </w:pPr>
          </w:p>
        </w:tc>
        <w:tc>
          <w:tcPr>
            <w:tcW w:w="1600" w:type="dxa"/>
            <w:noWrap w:val="0"/>
            <w:vAlign w:val="top"/>
          </w:tcPr>
          <w:p w14:paraId="0349D1DC">
            <w:pPr>
              <w:adjustRightInd w:val="0"/>
              <w:snapToGrid w:val="0"/>
              <w:spacing w:line="360" w:lineRule="auto"/>
              <w:ind w:right="24"/>
              <w:rPr>
                <w:rFonts w:hint="eastAsia" w:ascii="黑体" w:hAnsi="华文中宋" w:eastAsia="黑体"/>
                <w:bCs/>
                <w:color w:val="auto"/>
                <w:sz w:val="24"/>
                <w:highlight w:val="none"/>
              </w:rPr>
            </w:pPr>
          </w:p>
        </w:tc>
        <w:tc>
          <w:tcPr>
            <w:tcW w:w="2180" w:type="dxa"/>
            <w:noWrap w:val="0"/>
            <w:vAlign w:val="top"/>
          </w:tcPr>
          <w:p w14:paraId="58EA1B6F">
            <w:pPr>
              <w:adjustRightInd w:val="0"/>
              <w:snapToGrid w:val="0"/>
              <w:spacing w:line="360" w:lineRule="auto"/>
              <w:ind w:right="24"/>
              <w:rPr>
                <w:rFonts w:hint="eastAsia" w:ascii="黑体" w:hAnsi="华文中宋" w:eastAsia="黑体"/>
                <w:bCs/>
                <w:color w:val="auto"/>
                <w:sz w:val="24"/>
                <w:highlight w:val="none"/>
              </w:rPr>
            </w:pPr>
          </w:p>
        </w:tc>
        <w:tc>
          <w:tcPr>
            <w:tcW w:w="1040" w:type="dxa"/>
            <w:noWrap w:val="0"/>
            <w:vAlign w:val="top"/>
          </w:tcPr>
          <w:p w14:paraId="3A7A1C34">
            <w:pPr>
              <w:adjustRightInd w:val="0"/>
              <w:snapToGrid w:val="0"/>
              <w:spacing w:line="360" w:lineRule="auto"/>
              <w:ind w:right="24"/>
              <w:rPr>
                <w:rFonts w:hint="eastAsia" w:ascii="黑体" w:hAnsi="华文中宋" w:eastAsia="黑体"/>
                <w:bCs/>
                <w:color w:val="auto"/>
                <w:sz w:val="24"/>
                <w:highlight w:val="none"/>
              </w:rPr>
            </w:pPr>
          </w:p>
        </w:tc>
        <w:tc>
          <w:tcPr>
            <w:tcW w:w="2020" w:type="dxa"/>
            <w:noWrap w:val="0"/>
            <w:vAlign w:val="top"/>
          </w:tcPr>
          <w:p w14:paraId="50DB38CF">
            <w:pPr>
              <w:adjustRightInd w:val="0"/>
              <w:snapToGrid w:val="0"/>
              <w:spacing w:line="360" w:lineRule="auto"/>
              <w:ind w:right="24"/>
              <w:rPr>
                <w:rFonts w:hint="eastAsia" w:ascii="黑体" w:hAnsi="华文中宋" w:eastAsia="黑体"/>
                <w:bCs/>
                <w:color w:val="auto"/>
                <w:sz w:val="24"/>
                <w:highlight w:val="none"/>
              </w:rPr>
            </w:pPr>
          </w:p>
        </w:tc>
        <w:tc>
          <w:tcPr>
            <w:tcW w:w="977" w:type="dxa"/>
            <w:noWrap w:val="0"/>
            <w:vAlign w:val="top"/>
          </w:tcPr>
          <w:p w14:paraId="0C205D47">
            <w:pPr>
              <w:adjustRightInd w:val="0"/>
              <w:snapToGrid w:val="0"/>
              <w:spacing w:line="360" w:lineRule="auto"/>
              <w:ind w:right="24"/>
              <w:rPr>
                <w:rFonts w:hint="eastAsia" w:ascii="黑体" w:hAnsi="华文中宋" w:eastAsia="黑体"/>
                <w:bCs/>
                <w:color w:val="auto"/>
                <w:sz w:val="24"/>
                <w:highlight w:val="none"/>
              </w:rPr>
            </w:pPr>
          </w:p>
        </w:tc>
      </w:tr>
      <w:tr w14:paraId="28B2056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551" w:type="dxa"/>
            <w:noWrap w:val="0"/>
            <w:vAlign w:val="top"/>
          </w:tcPr>
          <w:p w14:paraId="498F4EAC">
            <w:pPr>
              <w:adjustRightInd w:val="0"/>
              <w:snapToGrid w:val="0"/>
              <w:spacing w:line="360" w:lineRule="auto"/>
              <w:ind w:right="24"/>
              <w:rPr>
                <w:rFonts w:hint="eastAsia" w:ascii="黑体" w:hAnsi="华文中宋" w:eastAsia="黑体"/>
                <w:bCs/>
                <w:color w:val="auto"/>
                <w:sz w:val="24"/>
                <w:highlight w:val="none"/>
              </w:rPr>
            </w:pPr>
          </w:p>
        </w:tc>
        <w:tc>
          <w:tcPr>
            <w:tcW w:w="1429" w:type="dxa"/>
            <w:noWrap w:val="0"/>
            <w:vAlign w:val="top"/>
          </w:tcPr>
          <w:p w14:paraId="26AAD9D0">
            <w:pPr>
              <w:adjustRightInd w:val="0"/>
              <w:snapToGrid w:val="0"/>
              <w:spacing w:line="360" w:lineRule="auto"/>
              <w:ind w:right="24"/>
              <w:rPr>
                <w:rFonts w:hint="eastAsia" w:ascii="黑体" w:hAnsi="华文中宋" w:eastAsia="黑体"/>
                <w:bCs/>
                <w:color w:val="auto"/>
                <w:sz w:val="24"/>
                <w:highlight w:val="none"/>
              </w:rPr>
            </w:pPr>
          </w:p>
        </w:tc>
        <w:tc>
          <w:tcPr>
            <w:tcW w:w="1600" w:type="dxa"/>
            <w:noWrap w:val="0"/>
            <w:vAlign w:val="top"/>
          </w:tcPr>
          <w:p w14:paraId="4635C2F7">
            <w:pPr>
              <w:adjustRightInd w:val="0"/>
              <w:snapToGrid w:val="0"/>
              <w:spacing w:line="360" w:lineRule="auto"/>
              <w:ind w:right="24"/>
              <w:rPr>
                <w:rFonts w:hint="eastAsia" w:ascii="黑体" w:hAnsi="华文中宋" w:eastAsia="黑体"/>
                <w:bCs/>
                <w:color w:val="auto"/>
                <w:sz w:val="24"/>
                <w:highlight w:val="none"/>
              </w:rPr>
            </w:pPr>
          </w:p>
        </w:tc>
        <w:tc>
          <w:tcPr>
            <w:tcW w:w="2180" w:type="dxa"/>
            <w:noWrap w:val="0"/>
            <w:vAlign w:val="top"/>
          </w:tcPr>
          <w:p w14:paraId="27862490">
            <w:pPr>
              <w:adjustRightInd w:val="0"/>
              <w:snapToGrid w:val="0"/>
              <w:spacing w:line="360" w:lineRule="auto"/>
              <w:ind w:right="24"/>
              <w:rPr>
                <w:rFonts w:hint="eastAsia" w:ascii="黑体" w:hAnsi="华文中宋" w:eastAsia="黑体"/>
                <w:bCs/>
                <w:color w:val="auto"/>
                <w:sz w:val="24"/>
                <w:highlight w:val="none"/>
              </w:rPr>
            </w:pPr>
          </w:p>
        </w:tc>
        <w:tc>
          <w:tcPr>
            <w:tcW w:w="1040" w:type="dxa"/>
            <w:noWrap w:val="0"/>
            <w:vAlign w:val="top"/>
          </w:tcPr>
          <w:p w14:paraId="7456DE96">
            <w:pPr>
              <w:adjustRightInd w:val="0"/>
              <w:snapToGrid w:val="0"/>
              <w:spacing w:line="360" w:lineRule="auto"/>
              <w:ind w:right="24"/>
              <w:rPr>
                <w:rFonts w:hint="eastAsia" w:ascii="黑体" w:hAnsi="华文中宋" w:eastAsia="黑体"/>
                <w:bCs/>
                <w:color w:val="auto"/>
                <w:sz w:val="24"/>
                <w:highlight w:val="none"/>
              </w:rPr>
            </w:pPr>
          </w:p>
        </w:tc>
        <w:tc>
          <w:tcPr>
            <w:tcW w:w="2020" w:type="dxa"/>
            <w:noWrap w:val="0"/>
            <w:vAlign w:val="top"/>
          </w:tcPr>
          <w:p w14:paraId="235EC259">
            <w:pPr>
              <w:adjustRightInd w:val="0"/>
              <w:snapToGrid w:val="0"/>
              <w:spacing w:line="360" w:lineRule="auto"/>
              <w:ind w:right="24"/>
              <w:rPr>
                <w:rFonts w:hint="eastAsia" w:ascii="黑体" w:hAnsi="华文中宋" w:eastAsia="黑体"/>
                <w:bCs/>
                <w:color w:val="auto"/>
                <w:sz w:val="24"/>
                <w:highlight w:val="none"/>
              </w:rPr>
            </w:pPr>
          </w:p>
        </w:tc>
        <w:tc>
          <w:tcPr>
            <w:tcW w:w="977" w:type="dxa"/>
            <w:noWrap w:val="0"/>
            <w:vAlign w:val="top"/>
          </w:tcPr>
          <w:p w14:paraId="7623DF68">
            <w:pPr>
              <w:adjustRightInd w:val="0"/>
              <w:snapToGrid w:val="0"/>
              <w:spacing w:line="360" w:lineRule="auto"/>
              <w:ind w:right="24"/>
              <w:rPr>
                <w:rFonts w:hint="eastAsia" w:ascii="黑体" w:hAnsi="华文中宋" w:eastAsia="黑体"/>
                <w:bCs/>
                <w:color w:val="auto"/>
                <w:sz w:val="24"/>
                <w:highlight w:val="none"/>
              </w:rPr>
            </w:pPr>
          </w:p>
        </w:tc>
      </w:tr>
      <w:tr w14:paraId="69553BB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551" w:type="dxa"/>
            <w:noWrap w:val="0"/>
            <w:vAlign w:val="top"/>
          </w:tcPr>
          <w:p w14:paraId="2DF1369B">
            <w:pPr>
              <w:adjustRightInd w:val="0"/>
              <w:snapToGrid w:val="0"/>
              <w:spacing w:line="360" w:lineRule="auto"/>
              <w:ind w:right="24"/>
              <w:rPr>
                <w:rFonts w:hint="eastAsia" w:ascii="黑体" w:hAnsi="华文中宋" w:eastAsia="黑体"/>
                <w:bCs/>
                <w:color w:val="auto"/>
                <w:sz w:val="24"/>
                <w:highlight w:val="none"/>
              </w:rPr>
            </w:pPr>
          </w:p>
        </w:tc>
        <w:tc>
          <w:tcPr>
            <w:tcW w:w="1429" w:type="dxa"/>
            <w:noWrap w:val="0"/>
            <w:vAlign w:val="top"/>
          </w:tcPr>
          <w:p w14:paraId="2DF646F1">
            <w:pPr>
              <w:adjustRightInd w:val="0"/>
              <w:snapToGrid w:val="0"/>
              <w:spacing w:line="360" w:lineRule="auto"/>
              <w:ind w:right="24"/>
              <w:rPr>
                <w:rFonts w:hint="eastAsia" w:ascii="黑体" w:hAnsi="华文中宋" w:eastAsia="黑体"/>
                <w:bCs/>
                <w:color w:val="auto"/>
                <w:sz w:val="24"/>
                <w:highlight w:val="none"/>
              </w:rPr>
            </w:pPr>
          </w:p>
        </w:tc>
        <w:tc>
          <w:tcPr>
            <w:tcW w:w="1600" w:type="dxa"/>
            <w:noWrap w:val="0"/>
            <w:vAlign w:val="top"/>
          </w:tcPr>
          <w:p w14:paraId="575ABD25">
            <w:pPr>
              <w:adjustRightInd w:val="0"/>
              <w:snapToGrid w:val="0"/>
              <w:spacing w:line="360" w:lineRule="auto"/>
              <w:ind w:right="24"/>
              <w:rPr>
                <w:rFonts w:hint="eastAsia" w:ascii="黑体" w:hAnsi="华文中宋" w:eastAsia="黑体"/>
                <w:bCs/>
                <w:color w:val="auto"/>
                <w:sz w:val="24"/>
                <w:highlight w:val="none"/>
              </w:rPr>
            </w:pPr>
          </w:p>
        </w:tc>
        <w:tc>
          <w:tcPr>
            <w:tcW w:w="2180" w:type="dxa"/>
            <w:noWrap w:val="0"/>
            <w:vAlign w:val="top"/>
          </w:tcPr>
          <w:p w14:paraId="42FF0872">
            <w:pPr>
              <w:adjustRightInd w:val="0"/>
              <w:snapToGrid w:val="0"/>
              <w:spacing w:line="360" w:lineRule="auto"/>
              <w:ind w:right="24"/>
              <w:rPr>
                <w:rFonts w:hint="eastAsia" w:ascii="黑体" w:hAnsi="华文中宋" w:eastAsia="黑体"/>
                <w:bCs/>
                <w:color w:val="auto"/>
                <w:sz w:val="24"/>
                <w:highlight w:val="none"/>
              </w:rPr>
            </w:pPr>
          </w:p>
        </w:tc>
        <w:tc>
          <w:tcPr>
            <w:tcW w:w="1040" w:type="dxa"/>
            <w:noWrap w:val="0"/>
            <w:vAlign w:val="top"/>
          </w:tcPr>
          <w:p w14:paraId="14A06736">
            <w:pPr>
              <w:adjustRightInd w:val="0"/>
              <w:snapToGrid w:val="0"/>
              <w:spacing w:line="360" w:lineRule="auto"/>
              <w:ind w:right="24"/>
              <w:rPr>
                <w:rFonts w:hint="eastAsia" w:ascii="黑体" w:hAnsi="华文中宋" w:eastAsia="黑体"/>
                <w:bCs/>
                <w:color w:val="auto"/>
                <w:sz w:val="24"/>
                <w:highlight w:val="none"/>
              </w:rPr>
            </w:pPr>
          </w:p>
        </w:tc>
        <w:tc>
          <w:tcPr>
            <w:tcW w:w="2020" w:type="dxa"/>
            <w:noWrap w:val="0"/>
            <w:vAlign w:val="top"/>
          </w:tcPr>
          <w:p w14:paraId="368C30F1">
            <w:pPr>
              <w:adjustRightInd w:val="0"/>
              <w:snapToGrid w:val="0"/>
              <w:spacing w:line="360" w:lineRule="auto"/>
              <w:ind w:right="24"/>
              <w:rPr>
                <w:rFonts w:hint="eastAsia" w:ascii="黑体" w:hAnsi="华文中宋" w:eastAsia="黑体"/>
                <w:bCs/>
                <w:color w:val="auto"/>
                <w:sz w:val="24"/>
                <w:highlight w:val="none"/>
              </w:rPr>
            </w:pPr>
          </w:p>
        </w:tc>
        <w:tc>
          <w:tcPr>
            <w:tcW w:w="977" w:type="dxa"/>
            <w:noWrap w:val="0"/>
            <w:vAlign w:val="top"/>
          </w:tcPr>
          <w:p w14:paraId="257F0E33">
            <w:pPr>
              <w:adjustRightInd w:val="0"/>
              <w:snapToGrid w:val="0"/>
              <w:spacing w:line="360" w:lineRule="auto"/>
              <w:ind w:right="24"/>
              <w:rPr>
                <w:rFonts w:hint="eastAsia" w:ascii="黑体" w:hAnsi="华文中宋" w:eastAsia="黑体"/>
                <w:bCs/>
                <w:color w:val="auto"/>
                <w:sz w:val="24"/>
                <w:highlight w:val="none"/>
              </w:rPr>
            </w:pPr>
          </w:p>
        </w:tc>
      </w:tr>
      <w:tr w14:paraId="0CFC464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551" w:type="dxa"/>
            <w:noWrap w:val="0"/>
            <w:vAlign w:val="top"/>
          </w:tcPr>
          <w:p w14:paraId="615B2DB9">
            <w:pPr>
              <w:adjustRightInd w:val="0"/>
              <w:snapToGrid w:val="0"/>
              <w:spacing w:line="360" w:lineRule="auto"/>
              <w:ind w:right="24"/>
              <w:rPr>
                <w:rFonts w:hint="eastAsia" w:ascii="黑体" w:hAnsi="华文中宋" w:eastAsia="黑体"/>
                <w:bCs/>
                <w:color w:val="auto"/>
                <w:sz w:val="24"/>
                <w:highlight w:val="none"/>
              </w:rPr>
            </w:pPr>
          </w:p>
        </w:tc>
        <w:tc>
          <w:tcPr>
            <w:tcW w:w="1429" w:type="dxa"/>
            <w:noWrap w:val="0"/>
            <w:vAlign w:val="top"/>
          </w:tcPr>
          <w:p w14:paraId="507F4D52">
            <w:pPr>
              <w:adjustRightInd w:val="0"/>
              <w:snapToGrid w:val="0"/>
              <w:spacing w:line="360" w:lineRule="auto"/>
              <w:ind w:right="24"/>
              <w:rPr>
                <w:rFonts w:hint="eastAsia" w:ascii="黑体" w:hAnsi="华文中宋" w:eastAsia="黑体"/>
                <w:bCs/>
                <w:color w:val="auto"/>
                <w:sz w:val="24"/>
                <w:highlight w:val="none"/>
              </w:rPr>
            </w:pPr>
          </w:p>
        </w:tc>
        <w:tc>
          <w:tcPr>
            <w:tcW w:w="1600" w:type="dxa"/>
            <w:noWrap w:val="0"/>
            <w:vAlign w:val="top"/>
          </w:tcPr>
          <w:p w14:paraId="3DE7F0F3">
            <w:pPr>
              <w:adjustRightInd w:val="0"/>
              <w:snapToGrid w:val="0"/>
              <w:spacing w:line="360" w:lineRule="auto"/>
              <w:ind w:right="24"/>
              <w:rPr>
                <w:rFonts w:hint="eastAsia" w:ascii="黑体" w:hAnsi="华文中宋" w:eastAsia="黑体"/>
                <w:bCs/>
                <w:color w:val="auto"/>
                <w:sz w:val="24"/>
                <w:highlight w:val="none"/>
              </w:rPr>
            </w:pPr>
          </w:p>
        </w:tc>
        <w:tc>
          <w:tcPr>
            <w:tcW w:w="2180" w:type="dxa"/>
            <w:noWrap w:val="0"/>
            <w:vAlign w:val="top"/>
          </w:tcPr>
          <w:p w14:paraId="67FB4132">
            <w:pPr>
              <w:adjustRightInd w:val="0"/>
              <w:snapToGrid w:val="0"/>
              <w:spacing w:line="360" w:lineRule="auto"/>
              <w:ind w:right="24"/>
              <w:rPr>
                <w:rFonts w:hint="eastAsia" w:ascii="黑体" w:hAnsi="华文中宋" w:eastAsia="黑体"/>
                <w:bCs/>
                <w:color w:val="auto"/>
                <w:sz w:val="24"/>
                <w:highlight w:val="none"/>
              </w:rPr>
            </w:pPr>
          </w:p>
        </w:tc>
        <w:tc>
          <w:tcPr>
            <w:tcW w:w="1040" w:type="dxa"/>
            <w:noWrap w:val="0"/>
            <w:vAlign w:val="top"/>
          </w:tcPr>
          <w:p w14:paraId="091E15FE">
            <w:pPr>
              <w:adjustRightInd w:val="0"/>
              <w:snapToGrid w:val="0"/>
              <w:spacing w:line="360" w:lineRule="auto"/>
              <w:ind w:right="24"/>
              <w:rPr>
                <w:rFonts w:hint="eastAsia" w:ascii="黑体" w:hAnsi="华文中宋" w:eastAsia="黑体"/>
                <w:bCs/>
                <w:color w:val="auto"/>
                <w:sz w:val="24"/>
                <w:highlight w:val="none"/>
              </w:rPr>
            </w:pPr>
          </w:p>
        </w:tc>
        <w:tc>
          <w:tcPr>
            <w:tcW w:w="2020" w:type="dxa"/>
            <w:noWrap w:val="0"/>
            <w:vAlign w:val="top"/>
          </w:tcPr>
          <w:p w14:paraId="1972C67D">
            <w:pPr>
              <w:adjustRightInd w:val="0"/>
              <w:snapToGrid w:val="0"/>
              <w:spacing w:line="360" w:lineRule="auto"/>
              <w:ind w:right="24"/>
              <w:rPr>
                <w:rFonts w:hint="eastAsia" w:ascii="黑体" w:hAnsi="华文中宋" w:eastAsia="黑体"/>
                <w:bCs/>
                <w:color w:val="auto"/>
                <w:sz w:val="24"/>
                <w:highlight w:val="none"/>
              </w:rPr>
            </w:pPr>
          </w:p>
        </w:tc>
        <w:tc>
          <w:tcPr>
            <w:tcW w:w="977" w:type="dxa"/>
            <w:noWrap w:val="0"/>
            <w:vAlign w:val="top"/>
          </w:tcPr>
          <w:p w14:paraId="69E49336">
            <w:pPr>
              <w:adjustRightInd w:val="0"/>
              <w:snapToGrid w:val="0"/>
              <w:spacing w:line="360" w:lineRule="auto"/>
              <w:ind w:right="24"/>
              <w:rPr>
                <w:rFonts w:hint="eastAsia" w:ascii="黑体" w:hAnsi="华文中宋" w:eastAsia="黑体"/>
                <w:bCs/>
                <w:color w:val="auto"/>
                <w:sz w:val="24"/>
                <w:highlight w:val="none"/>
              </w:rPr>
            </w:pPr>
          </w:p>
        </w:tc>
      </w:tr>
      <w:tr w14:paraId="4BD09E4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551" w:type="dxa"/>
            <w:noWrap w:val="0"/>
            <w:vAlign w:val="top"/>
          </w:tcPr>
          <w:p w14:paraId="07F17F94">
            <w:pPr>
              <w:adjustRightInd w:val="0"/>
              <w:snapToGrid w:val="0"/>
              <w:spacing w:line="360" w:lineRule="auto"/>
              <w:ind w:right="24"/>
              <w:rPr>
                <w:rFonts w:hint="eastAsia" w:ascii="黑体" w:hAnsi="华文中宋" w:eastAsia="黑体"/>
                <w:bCs/>
                <w:color w:val="auto"/>
                <w:sz w:val="24"/>
                <w:highlight w:val="none"/>
              </w:rPr>
            </w:pPr>
          </w:p>
        </w:tc>
        <w:tc>
          <w:tcPr>
            <w:tcW w:w="1429" w:type="dxa"/>
            <w:noWrap w:val="0"/>
            <w:vAlign w:val="top"/>
          </w:tcPr>
          <w:p w14:paraId="700D73E6">
            <w:pPr>
              <w:adjustRightInd w:val="0"/>
              <w:snapToGrid w:val="0"/>
              <w:spacing w:line="360" w:lineRule="auto"/>
              <w:ind w:right="24"/>
              <w:rPr>
                <w:rFonts w:hint="eastAsia" w:ascii="黑体" w:hAnsi="华文中宋" w:eastAsia="黑体"/>
                <w:bCs/>
                <w:color w:val="auto"/>
                <w:sz w:val="24"/>
                <w:highlight w:val="none"/>
              </w:rPr>
            </w:pPr>
          </w:p>
        </w:tc>
        <w:tc>
          <w:tcPr>
            <w:tcW w:w="1600" w:type="dxa"/>
            <w:noWrap w:val="0"/>
            <w:vAlign w:val="top"/>
          </w:tcPr>
          <w:p w14:paraId="154DB007">
            <w:pPr>
              <w:adjustRightInd w:val="0"/>
              <w:snapToGrid w:val="0"/>
              <w:spacing w:line="360" w:lineRule="auto"/>
              <w:ind w:right="24"/>
              <w:rPr>
                <w:rFonts w:hint="eastAsia" w:ascii="黑体" w:hAnsi="华文中宋" w:eastAsia="黑体"/>
                <w:bCs/>
                <w:color w:val="auto"/>
                <w:sz w:val="24"/>
                <w:highlight w:val="none"/>
              </w:rPr>
            </w:pPr>
          </w:p>
        </w:tc>
        <w:tc>
          <w:tcPr>
            <w:tcW w:w="2180" w:type="dxa"/>
            <w:noWrap w:val="0"/>
            <w:vAlign w:val="top"/>
          </w:tcPr>
          <w:p w14:paraId="27286F1E">
            <w:pPr>
              <w:adjustRightInd w:val="0"/>
              <w:snapToGrid w:val="0"/>
              <w:spacing w:line="360" w:lineRule="auto"/>
              <w:ind w:right="24"/>
              <w:rPr>
                <w:rFonts w:hint="eastAsia" w:ascii="黑体" w:hAnsi="华文中宋" w:eastAsia="黑体"/>
                <w:bCs/>
                <w:color w:val="auto"/>
                <w:sz w:val="24"/>
                <w:highlight w:val="none"/>
              </w:rPr>
            </w:pPr>
          </w:p>
        </w:tc>
        <w:tc>
          <w:tcPr>
            <w:tcW w:w="1040" w:type="dxa"/>
            <w:noWrap w:val="0"/>
            <w:vAlign w:val="top"/>
          </w:tcPr>
          <w:p w14:paraId="081D4BD7">
            <w:pPr>
              <w:adjustRightInd w:val="0"/>
              <w:snapToGrid w:val="0"/>
              <w:spacing w:line="360" w:lineRule="auto"/>
              <w:ind w:right="24"/>
              <w:rPr>
                <w:rFonts w:hint="eastAsia" w:ascii="黑体" w:hAnsi="华文中宋" w:eastAsia="黑体"/>
                <w:bCs/>
                <w:color w:val="auto"/>
                <w:sz w:val="24"/>
                <w:highlight w:val="none"/>
              </w:rPr>
            </w:pPr>
          </w:p>
        </w:tc>
        <w:tc>
          <w:tcPr>
            <w:tcW w:w="2020" w:type="dxa"/>
            <w:noWrap w:val="0"/>
            <w:vAlign w:val="top"/>
          </w:tcPr>
          <w:p w14:paraId="75546F87">
            <w:pPr>
              <w:adjustRightInd w:val="0"/>
              <w:snapToGrid w:val="0"/>
              <w:spacing w:line="360" w:lineRule="auto"/>
              <w:ind w:right="24"/>
              <w:rPr>
                <w:rFonts w:hint="eastAsia" w:ascii="黑体" w:hAnsi="华文中宋" w:eastAsia="黑体"/>
                <w:bCs/>
                <w:color w:val="auto"/>
                <w:sz w:val="24"/>
                <w:highlight w:val="none"/>
              </w:rPr>
            </w:pPr>
          </w:p>
        </w:tc>
        <w:tc>
          <w:tcPr>
            <w:tcW w:w="977" w:type="dxa"/>
            <w:noWrap w:val="0"/>
            <w:vAlign w:val="top"/>
          </w:tcPr>
          <w:p w14:paraId="643A1E9D">
            <w:pPr>
              <w:adjustRightInd w:val="0"/>
              <w:snapToGrid w:val="0"/>
              <w:spacing w:line="360" w:lineRule="auto"/>
              <w:ind w:right="24"/>
              <w:rPr>
                <w:rFonts w:hint="eastAsia" w:ascii="黑体" w:hAnsi="华文中宋" w:eastAsia="黑体"/>
                <w:bCs/>
                <w:color w:val="auto"/>
                <w:sz w:val="24"/>
                <w:highlight w:val="none"/>
              </w:rPr>
            </w:pPr>
          </w:p>
        </w:tc>
      </w:tr>
      <w:tr w14:paraId="48857F6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551" w:type="dxa"/>
            <w:noWrap w:val="0"/>
            <w:vAlign w:val="top"/>
          </w:tcPr>
          <w:p w14:paraId="72575F04">
            <w:pPr>
              <w:adjustRightInd w:val="0"/>
              <w:snapToGrid w:val="0"/>
              <w:spacing w:line="360" w:lineRule="auto"/>
              <w:ind w:right="24"/>
              <w:rPr>
                <w:rFonts w:hint="eastAsia" w:ascii="黑体" w:hAnsi="华文中宋" w:eastAsia="黑体"/>
                <w:bCs/>
                <w:color w:val="auto"/>
                <w:sz w:val="24"/>
                <w:highlight w:val="none"/>
              </w:rPr>
            </w:pPr>
          </w:p>
        </w:tc>
        <w:tc>
          <w:tcPr>
            <w:tcW w:w="1429" w:type="dxa"/>
            <w:noWrap w:val="0"/>
            <w:vAlign w:val="top"/>
          </w:tcPr>
          <w:p w14:paraId="5E57ED34">
            <w:pPr>
              <w:adjustRightInd w:val="0"/>
              <w:snapToGrid w:val="0"/>
              <w:spacing w:line="360" w:lineRule="auto"/>
              <w:ind w:right="24"/>
              <w:rPr>
                <w:rFonts w:hint="eastAsia" w:ascii="黑体" w:hAnsi="华文中宋" w:eastAsia="黑体"/>
                <w:bCs/>
                <w:color w:val="auto"/>
                <w:sz w:val="24"/>
                <w:highlight w:val="none"/>
              </w:rPr>
            </w:pPr>
          </w:p>
        </w:tc>
        <w:tc>
          <w:tcPr>
            <w:tcW w:w="1600" w:type="dxa"/>
            <w:noWrap w:val="0"/>
            <w:vAlign w:val="top"/>
          </w:tcPr>
          <w:p w14:paraId="0B8DB744">
            <w:pPr>
              <w:adjustRightInd w:val="0"/>
              <w:snapToGrid w:val="0"/>
              <w:spacing w:line="360" w:lineRule="auto"/>
              <w:ind w:right="24"/>
              <w:rPr>
                <w:rFonts w:hint="eastAsia" w:ascii="黑体" w:hAnsi="华文中宋" w:eastAsia="黑体"/>
                <w:bCs/>
                <w:color w:val="auto"/>
                <w:sz w:val="24"/>
                <w:highlight w:val="none"/>
              </w:rPr>
            </w:pPr>
          </w:p>
        </w:tc>
        <w:tc>
          <w:tcPr>
            <w:tcW w:w="2180" w:type="dxa"/>
            <w:noWrap w:val="0"/>
            <w:vAlign w:val="top"/>
          </w:tcPr>
          <w:p w14:paraId="33B1A8C0">
            <w:pPr>
              <w:adjustRightInd w:val="0"/>
              <w:snapToGrid w:val="0"/>
              <w:spacing w:line="360" w:lineRule="auto"/>
              <w:ind w:right="24"/>
              <w:rPr>
                <w:rFonts w:hint="eastAsia" w:ascii="黑体" w:hAnsi="华文中宋" w:eastAsia="黑体"/>
                <w:bCs/>
                <w:color w:val="auto"/>
                <w:sz w:val="24"/>
                <w:highlight w:val="none"/>
              </w:rPr>
            </w:pPr>
          </w:p>
        </w:tc>
        <w:tc>
          <w:tcPr>
            <w:tcW w:w="1040" w:type="dxa"/>
            <w:noWrap w:val="0"/>
            <w:vAlign w:val="top"/>
          </w:tcPr>
          <w:p w14:paraId="42B6908D">
            <w:pPr>
              <w:adjustRightInd w:val="0"/>
              <w:snapToGrid w:val="0"/>
              <w:spacing w:line="360" w:lineRule="auto"/>
              <w:ind w:right="24"/>
              <w:rPr>
                <w:rFonts w:hint="eastAsia" w:ascii="黑体" w:hAnsi="华文中宋" w:eastAsia="黑体"/>
                <w:bCs/>
                <w:color w:val="auto"/>
                <w:sz w:val="24"/>
                <w:highlight w:val="none"/>
              </w:rPr>
            </w:pPr>
          </w:p>
        </w:tc>
        <w:tc>
          <w:tcPr>
            <w:tcW w:w="2020" w:type="dxa"/>
            <w:noWrap w:val="0"/>
            <w:vAlign w:val="top"/>
          </w:tcPr>
          <w:p w14:paraId="42CC2877">
            <w:pPr>
              <w:adjustRightInd w:val="0"/>
              <w:snapToGrid w:val="0"/>
              <w:spacing w:line="360" w:lineRule="auto"/>
              <w:ind w:right="24"/>
              <w:rPr>
                <w:rFonts w:hint="eastAsia" w:ascii="黑体" w:hAnsi="华文中宋" w:eastAsia="黑体"/>
                <w:bCs/>
                <w:color w:val="auto"/>
                <w:sz w:val="24"/>
                <w:highlight w:val="none"/>
              </w:rPr>
            </w:pPr>
          </w:p>
        </w:tc>
        <w:tc>
          <w:tcPr>
            <w:tcW w:w="977" w:type="dxa"/>
            <w:noWrap w:val="0"/>
            <w:vAlign w:val="top"/>
          </w:tcPr>
          <w:p w14:paraId="2DF41853">
            <w:pPr>
              <w:adjustRightInd w:val="0"/>
              <w:snapToGrid w:val="0"/>
              <w:spacing w:line="360" w:lineRule="auto"/>
              <w:ind w:right="24"/>
              <w:rPr>
                <w:rFonts w:hint="eastAsia" w:ascii="黑体" w:hAnsi="华文中宋" w:eastAsia="黑体"/>
                <w:bCs/>
                <w:color w:val="auto"/>
                <w:sz w:val="24"/>
                <w:highlight w:val="none"/>
              </w:rPr>
            </w:pPr>
          </w:p>
        </w:tc>
      </w:tr>
      <w:tr w14:paraId="24B8644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551" w:type="dxa"/>
            <w:noWrap w:val="0"/>
            <w:vAlign w:val="top"/>
          </w:tcPr>
          <w:p w14:paraId="2DEECDAC">
            <w:pPr>
              <w:adjustRightInd w:val="0"/>
              <w:snapToGrid w:val="0"/>
              <w:spacing w:line="360" w:lineRule="auto"/>
              <w:ind w:right="24"/>
              <w:rPr>
                <w:rFonts w:hint="eastAsia" w:ascii="黑体" w:hAnsi="华文中宋" w:eastAsia="黑体"/>
                <w:bCs/>
                <w:color w:val="auto"/>
                <w:sz w:val="24"/>
                <w:highlight w:val="none"/>
              </w:rPr>
            </w:pPr>
          </w:p>
        </w:tc>
        <w:tc>
          <w:tcPr>
            <w:tcW w:w="1429" w:type="dxa"/>
            <w:noWrap w:val="0"/>
            <w:vAlign w:val="top"/>
          </w:tcPr>
          <w:p w14:paraId="041F50DA">
            <w:pPr>
              <w:adjustRightInd w:val="0"/>
              <w:snapToGrid w:val="0"/>
              <w:spacing w:line="360" w:lineRule="auto"/>
              <w:ind w:right="24"/>
              <w:rPr>
                <w:rFonts w:hint="eastAsia" w:ascii="黑体" w:hAnsi="华文中宋" w:eastAsia="黑体"/>
                <w:bCs/>
                <w:color w:val="auto"/>
                <w:sz w:val="24"/>
                <w:highlight w:val="none"/>
              </w:rPr>
            </w:pPr>
          </w:p>
        </w:tc>
        <w:tc>
          <w:tcPr>
            <w:tcW w:w="1600" w:type="dxa"/>
            <w:noWrap w:val="0"/>
            <w:vAlign w:val="top"/>
          </w:tcPr>
          <w:p w14:paraId="2186999C">
            <w:pPr>
              <w:adjustRightInd w:val="0"/>
              <w:snapToGrid w:val="0"/>
              <w:spacing w:line="360" w:lineRule="auto"/>
              <w:ind w:right="24"/>
              <w:rPr>
                <w:rFonts w:hint="eastAsia" w:ascii="黑体" w:hAnsi="华文中宋" w:eastAsia="黑体"/>
                <w:bCs/>
                <w:color w:val="auto"/>
                <w:sz w:val="24"/>
                <w:highlight w:val="none"/>
              </w:rPr>
            </w:pPr>
          </w:p>
        </w:tc>
        <w:tc>
          <w:tcPr>
            <w:tcW w:w="2180" w:type="dxa"/>
            <w:noWrap w:val="0"/>
            <w:vAlign w:val="top"/>
          </w:tcPr>
          <w:p w14:paraId="3B230CE9">
            <w:pPr>
              <w:adjustRightInd w:val="0"/>
              <w:snapToGrid w:val="0"/>
              <w:spacing w:line="360" w:lineRule="auto"/>
              <w:ind w:right="24"/>
              <w:rPr>
                <w:rFonts w:hint="eastAsia" w:ascii="黑体" w:hAnsi="华文中宋" w:eastAsia="黑体"/>
                <w:bCs/>
                <w:color w:val="auto"/>
                <w:sz w:val="24"/>
                <w:highlight w:val="none"/>
              </w:rPr>
            </w:pPr>
          </w:p>
        </w:tc>
        <w:tc>
          <w:tcPr>
            <w:tcW w:w="1040" w:type="dxa"/>
            <w:noWrap w:val="0"/>
            <w:vAlign w:val="top"/>
          </w:tcPr>
          <w:p w14:paraId="27D6F426">
            <w:pPr>
              <w:adjustRightInd w:val="0"/>
              <w:snapToGrid w:val="0"/>
              <w:spacing w:line="360" w:lineRule="auto"/>
              <w:ind w:right="24"/>
              <w:rPr>
                <w:rFonts w:hint="eastAsia" w:ascii="黑体" w:hAnsi="华文中宋" w:eastAsia="黑体"/>
                <w:bCs/>
                <w:color w:val="auto"/>
                <w:sz w:val="24"/>
                <w:highlight w:val="none"/>
              </w:rPr>
            </w:pPr>
          </w:p>
        </w:tc>
        <w:tc>
          <w:tcPr>
            <w:tcW w:w="2020" w:type="dxa"/>
            <w:noWrap w:val="0"/>
            <w:vAlign w:val="top"/>
          </w:tcPr>
          <w:p w14:paraId="2DA712F6">
            <w:pPr>
              <w:adjustRightInd w:val="0"/>
              <w:snapToGrid w:val="0"/>
              <w:spacing w:line="360" w:lineRule="auto"/>
              <w:ind w:right="24"/>
              <w:rPr>
                <w:rFonts w:hint="eastAsia" w:ascii="黑体" w:hAnsi="华文中宋" w:eastAsia="黑体"/>
                <w:bCs/>
                <w:color w:val="auto"/>
                <w:sz w:val="24"/>
                <w:highlight w:val="none"/>
              </w:rPr>
            </w:pPr>
          </w:p>
        </w:tc>
        <w:tc>
          <w:tcPr>
            <w:tcW w:w="977" w:type="dxa"/>
            <w:noWrap w:val="0"/>
            <w:vAlign w:val="top"/>
          </w:tcPr>
          <w:p w14:paraId="0FD455BA">
            <w:pPr>
              <w:adjustRightInd w:val="0"/>
              <w:snapToGrid w:val="0"/>
              <w:spacing w:line="360" w:lineRule="auto"/>
              <w:ind w:right="24"/>
              <w:rPr>
                <w:rFonts w:hint="eastAsia" w:ascii="黑体" w:hAnsi="华文中宋" w:eastAsia="黑体"/>
                <w:bCs/>
                <w:color w:val="auto"/>
                <w:sz w:val="24"/>
                <w:highlight w:val="none"/>
              </w:rPr>
            </w:pPr>
          </w:p>
        </w:tc>
      </w:tr>
      <w:tr w14:paraId="38F851F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551" w:type="dxa"/>
            <w:noWrap w:val="0"/>
            <w:vAlign w:val="top"/>
          </w:tcPr>
          <w:p w14:paraId="2883CC55">
            <w:pPr>
              <w:adjustRightInd w:val="0"/>
              <w:snapToGrid w:val="0"/>
              <w:spacing w:line="360" w:lineRule="auto"/>
              <w:ind w:right="24"/>
              <w:rPr>
                <w:rFonts w:hint="eastAsia" w:ascii="黑体" w:hAnsi="华文中宋" w:eastAsia="黑体"/>
                <w:bCs/>
                <w:color w:val="auto"/>
                <w:sz w:val="24"/>
                <w:highlight w:val="none"/>
              </w:rPr>
            </w:pPr>
          </w:p>
        </w:tc>
        <w:tc>
          <w:tcPr>
            <w:tcW w:w="1429" w:type="dxa"/>
            <w:noWrap w:val="0"/>
            <w:vAlign w:val="top"/>
          </w:tcPr>
          <w:p w14:paraId="6AAF9344">
            <w:pPr>
              <w:adjustRightInd w:val="0"/>
              <w:snapToGrid w:val="0"/>
              <w:spacing w:line="360" w:lineRule="auto"/>
              <w:ind w:right="24"/>
              <w:rPr>
                <w:rFonts w:hint="eastAsia" w:ascii="黑体" w:hAnsi="华文中宋" w:eastAsia="黑体"/>
                <w:bCs/>
                <w:color w:val="auto"/>
                <w:sz w:val="24"/>
                <w:highlight w:val="none"/>
              </w:rPr>
            </w:pPr>
          </w:p>
        </w:tc>
        <w:tc>
          <w:tcPr>
            <w:tcW w:w="1600" w:type="dxa"/>
            <w:noWrap w:val="0"/>
            <w:vAlign w:val="top"/>
          </w:tcPr>
          <w:p w14:paraId="7568C7E3">
            <w:pPr>
              <w:adjustRightInd w:val="0"/>
              <w:snapToGrid w:val="0"/>
              <w:spacing w:line="360" w:lineRule="auto"/>
              <w:ind w:right="24"/>
              <w:rPr>
                <w:rFonts w:hint="eastAsia" w:ascii="黑体" w:hAnsi="华文中宋" w:eastAsia="黑体"/>
                <w:bCs/>
                <w:color w:val="auto"/>
                <w:sz w:val="24"/>
                <w:highlight w:val="none"/>
              </w:rPr>
            </w:pPr>
          </w:p>
        </w:tc>
        <w:tc>
          <w:tcPr>
            <w:tcW w:w="2180" w:type="dxa"/>
            <w:noWrap w:val="0"/>
            <w:vAlign w:val="top"/>
          </w:tcPr>
          <w:p w14:paraId="71D53F38">
            <w:pPr>
              <w:adjustRightInd w:val="0"/>
              <w:snapToGrid w:val="0"/>
              <w:spacing w:line="360" w:lineRule="auto"/>
              <w:ind w:right="24"/>
              <w:rPr>
                <w:rFonts w:hint="eastAsia" w:ascii="黑体" w:hAnsi="华文中宋" w:eastAsia="黑体"/>
                <w:bCs/>
                <w:color w:val="auto"/>
                <w:sz w:val="24"/>
                <w:highlight w:val="none"/>
              </w:rPr>
            </w:pPr>
          </w:p>
        </w:tc>
        <w:tc>
          <w:tcPr>
            <w:tcW w:w="1040" w:type="dxa"/>
            <w:noWrap w:val="0"/>
            <w:vAlign w:val="top"/>
          </w:tcPr>
          <w:p w14:paraId="0471DEB5">
            <w:pPr>
              <w:adjustRightInd w:val="0"/>
              <w:snapToGrid w:val="0"/>
              <w:spacing w:line="360" w:lineRule="auto"/>
              <w:ind w:right="24"/>
              <w:rPr>
                <w:rFonts w:hint="eastAsia" w:ascii="黑体" w:hAnsi="华文中宋" w:eastAsia="黑体"/>
                <w:bCs/>
                <w:color w:val="auto"/>
                <w:sz w:val="24"/>
                <w:highlight w:val="none"/>
              </w:rPr>
            </w:pPr>
          </w:p>
        </w:tc>
        <w:tc>
          <w:tcPr>
            <w:tcW w:w="2020" w:type="dxa"/>
            <w:noWrap w:val="0"/>
            <w:vAlign w:val="top"/>
          </w:tcPr>
          <w:p w14:paraId="7182BF60">
            <w:pPr>
              <w:adjustRightInd w:val="0"/>
              <w:snapToGrid w:val="0"/>
              <w:spacing w:line="360" w:lineRule="auto"/>
              <w:ind w:right="24"/>
              <w:rPr>
                <w:rFonts w:hint="eastAsia" w:ascii="黑体" w:hAnsi="华文中宋" w:eastAsia="黑体"/>
                <w:bCs/>
                <w:color w:val="auto"/>
                <w:sz w:val="24"/>
                <w:highlight w:val="none"/>
              </w:rPr>
            </w:pPr>
          </w:p>
        </w:tc>
        <w:tc>
          <w:tcPr>
            <w:tcW w:w="977" w:type="dxa"/>
            <w:noWrap w:val="0"/>
            <w:vAlign w:val="top"/>
          </w:tcPr>
          <w:p w14:paraId="7DDF1B48">
            <w:pPr>
              <w:adjustRightInd w:val="0"/>
              <w:snapToGrid w:val="0"/>
              <w:spacing w:line="360" w:lineRule="auto"/>
              <w:ind w:right="24"/>
              <w:rPr>
                <w:rFonts w:hint="eastAsia" w:ascii="黑体" w:hAnsi="华文中宋" w:eastAsia="黑体"/>
                <w:bCs/>
                <w:color w:val="auto"/>
                <w:sz w:val="24"/>
                <w:highlight w:val="none"/>
              </w:rPr>
            </w:pPr>
          </w:p>
        </w:tc>
      </w:tr>
      <w:tr w14:paraId="5D46357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551" w:type="dxa"/>
            <w:noWrap w:val="0"/>
            <w:vAlign w:val="top"/>
          </w:tcPr>
          <w:p w14:paraId="195FBD67">
            <w:pPr>
              <w:adjustRightInd w:val="0"/>
              <w:snapToGrid w:val="0"/>
              <w:spacing w:line="360" w:lineRule="auto"/>
              <w:ind w:right="24"/>
              <w:rPr>
                <w:rFonts w:hint="eastAsia" w:ascii="黑体" w:hAnsi="华文中宋" w:eastAsia="黑体"/>
                <w:bCs/>
                <w:color w:val="auto"/>
                <w:sz w:val="24"/>
                <w:highlight w:val="none"/>
              </w:rPr>
            </w:pPr>
          </w:p>
        </w:tc>
        <w:tc>
          <w:tcPr>
            <w:tcW w:w="1429" w:type="dxa"/>
            <w:noWrap w:val="0"/>
            <w:vAlign w:val="top"/>
          </w:tcPr>
          <w:p w14:paraId="36086298">
            <w:pPr>
              <w:adjustRightInd w:val="0"/>
              <w:snapToGrid w:val="0"/>
              <w:spacing w:line="360" w:lineRule="auto"/>
              <w:ind w:right="24"/>
              <w:rPr>
                <w:rFonts w:hint="eastAsia" w:ascii="黑体" w:hAnsi="华文中宋" w:eastAsia="黑体"/>
                <w:bCs/>
                <w:color w:val="auto"/>
                <w:sz w:val="24"/>
                <w:highlight w:val="none"/>
              </w:rPr>
            </w:pPr>
          </w:p>
        </w:tc>
        <w:tc>
          <w:tcPr>
            <w:tcW w:w="1600" w:type="dxa"/>
            <w:noWrap w:val="0"/>
            <w:vAlign w:val="top"/>
          </w:tcPr>
          <w:p w14:paraId="09003E42">
            <w:pPr>
              <w:adjustRightInd w:val="0"/>
              <w:snapToGrid w:val="0"/>
              <w:spacing w:line="360" w:lineRule="auto"/>
              <w:ind w:right="24"/>
              <w:rPr>
                <w:rFonts w:hint="eastAsia" w:ascii="黑体" w:hAnsi="华文中宋" w:eastAsia="黑体"/>
                <w:bCs/>
                <w:color w:val="auto"/>
                <w:sz w:val="24"/>
                <w:highlight w:val="none"/>
              </w:rPr>
            </w:pPr>
          </w:p>
        </w:tc>
        <w:tc>
          <w:tcPr>
            <w:tcW w:w="2180" w:type="dxa"/>
            <w:noWrap w:val="0"/>
            <w:vAlign w:val="top"/>
          </w:tcPr>
          <w:p w14:paraId="2964FAF4">
            <w:pPr>
              <w:adjustRightInd w:val="0"/>
              <w:snapToGrid w:val="0"/>
              <w:spacing w:line="360" w:lineRule="auto"/>
              <w:ind w:right="24"/>
              <w:rPr>
                <w:rFonts w:hint="eastAsia" w:ascii="黑体" w:hAnsi="华文中宋" w:eastAsia="黑体"/>
                <w:bCs/>
                <w:color w:val="auto"/>
                <w:sz w:val="24"/>
                <w:highlight w:val="none"/>
              </w:rPr>
            </w:pPr>
          </w:p>
        </w:tc>
        <w:tc>
          <w:tcPr>
            <w:tcW w:w="1040" w:type="dxa"/>
            <w:noWrap w:val="0"/>
            <w:vAlign w:val="top"/>
          </w:tcPr>
          <w:p w14:paraId="6AC483AA">
            <w:pPr>
              <w:adjustRightInd w:val="0"/>
              <w:snapToGrid w:val="0"/>
              <w:spacing w:line="360" w:lineRule="auto"/>
              <w:ind w:right="24"/>
              <w:rPr>
                <w:rFonts w:hint="eastAsia" w:ascii="黑体" w:hAnsi="华文中宋" w:eastAsia="黑体"/>
                <w:bCs/>
                <w:color w:val="auto"/>
                <w:sz w:val="24"/>
                <w:highlight w:val="none"/>
              </w:rPr>
            </w:pPr>
          </w:p>
        </w:tc>
        <w:tc>
          <w:tcPr>
            <w:tcW w:w="2020" w:type="dxa"/>
            <w:noWrap w:val="0"/>
            <w:vAlign w:val="top"/>
          </w:tcPr>
          <w:p w14:paraId="4F52F4A0">
            <w:pPr>
              <w:adjustRightInd w:val="0"/>
              <w:snapToGrid w:val="0"/>
              <w:spacing w:line="360" w:lineRule="auto"/>
              <w:ind w:right="24"/>
              <w:rPr>
                <w:rFonts w:hint="eastAsia" w:ascii="黑体" w:hAnsi="华文中宋" w:eastAsia="黑体"/>
                <w:bCs/>
                <w:color w:val="auto"/>
                <w:sz w:val="24"/>
                <w:highlight w:val="none"/>
              </w:rPr>
            </w:pPr>
          </w:p>
        </w:tc>
        <w:tc>
          <w:tcPr>
            <w:tcW w:w="977" w:type="dxa"/>
            <w:noWrap w:val="0"/>
            <w:vAlign w:val="top"/>
          </w:tcPr>
          <w:p w14:paraId="168AF50D">
            <w:pPr>
              <w:adjustRightInd w:val="0"/>
              <w:snapToGrid w:val="0"/>
              <w:spacing w:line="360" w:lineRule="auto"/>
              <w:ind w:right="24"/>
              <w:rPr>
                <w:rFonts w:hint="eastAsia" w:ascii="黑体" w:hAnsi="华文中宋" w:eastAsia="黑体"/>
                <w:bCs/>
                <w:color w:val="auto"/>
                <w:sz w:val="24"/>
                <w:highlight w:val="none"/>
              </w:rPr>
            </w:pPr>
          </w:p>
        </w:tc>
      </w:tr>
      <w:tr w14:paraId="2D7ED94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551" w:type="dxa"/>
            <w:noWrap w:val="0"/>
            <w:vAlign w:val="top"/>
          </w:tcPr>
          <w:p w14:paraId="1CEF9A2A">
            <w:pPr>
              <w:adjustRightInd w:val="0"/>
              <w:snapToGrid w:val="0"/>
              <w:spacing w:line="360" w:lineRule="auto"/>
              <w:ind w:right="24"/>
              <w:rPr>
                <w:rFonts w:hint="eastAsia" w:ascii="黑体" w:hAnsi="华文中宋" w:eastAsia="黑体"/>
                <w:bCs/>
                <w:color w:val="auto"/>
                <w:sz w:val="24"/>
                <w:highlight w:val="none"/>
              </w:rPr>
            </w:pPr>
          </w:p>
        </w:tc>
        <w:tc>
          <w:tcPr>
            <w:tcW w:w="1429" w:type="dxa"/>
            <w:noWrap w:val="0"/>
            <w:vAlign w:val="top"/>
          </w:tcPr>
          <w:p w14:paraId="51B1F2A4">
            <w:pPr>
              <w:adjustRightInd w:val="0"/>
              <w:snapToGrid w:val="0"/>
              <w:spacing w:line="360" w:lineRule="auto"/>
              <w:ind w:right="24"/>
              <w:rPr>
                <w:rFonts w:hint="eastAsia" w:ascii="黑体" w:hAnsi="华文中宋" w:eastAsia="黑体"/>
                <w:bCs/>
                <w:color w:val="auto"/>
                <w:sz w:val="24"/>
                <w:highlight w:val="none"/>
              </w:rPr>
            </w:pPr>
          </w:p>
        </w:tc>
        <w:tc>
          <w:tcPr>
            <w:tcW w:w="1600" w:type="dxa"/>
            <w:noWrap w:val="0"/>
            <w:vAlign w:val="top"/>
          </w:tcPr>
          <w:p w14:paraId="7D6F666E">
            <w:pPr>
              <w:adjustRightInd w:val="0"/>
              <w:snapToGrid w:val="0"/>
              <w:spacing w:line="360" w:lineRule="auto"/>
              <w:ind w:right="24"/>
              <w:rPr>
                <w:rFonts w:hint="eastAsia" w:ascii="黑体" w:hAnsi="华文中宋" w:eastAsia="黑体"/>
                <w:bCs/>
                <w:color w:val="auto"/>
                <w:sz w:val="24"/>
                <w:highlight w:val="none"/>
              </w:rPr>
            </w:pPr>
          </w:p>
        </w:tc>
        <w:tc>
          <w:tcPr>
            <w:tcW w:w="2180" w:type="dxa"/>
            <w:noWrap w:val="0"/>
            <w:vAlign w:val="top"/>
          </w:tcPr>
          <w:p w14:paraId="669D42BC">
            <w:pPr>
              <w:adjustRightInd w:val="0"/>
              <w:snapToGrid w:val="0"/>
              <w:spacing w:line="360" w:lineRule="auto"/>
              <w:ind w:right="24"/>
              <w:rPr>
                <w:rFonts w:hint="eastAsia" w:ascii="黑体" w:hAnsi="华文中宋" w:eastAsia="黑体"/>
                <w:bCs/>
                <w:color w:val="auto"/>
                <w:sz w:val="24"/>
                <w:highlight w:val="none"/>
              </w:rPr>
            </w:pPr>
          </w:p>
        </w:tc>
        <w:tc>
          <w:tcPr>
            <w:tcW w:w="1040" w:type="dxa"/>
            <w:noWrap w:val="0"/>
            <w:vAlign w:val="top"/>
          </w:tcPr>
          <w:p w14:paraId="4616DB9E">
            <w:pPr>
              <w:adjustRightInd w:val="0"/>
              <w:snapToGrid w:val="0"/>
              <w:spacing w:line="360" w:lineRule="auto"/>
              <w:ind w:right="24"/>
              <w:rPr>
                <w:rFonts w:hint="eastAsia" w:ascii="黑体" w:hAnsi="华文中宋" w:eastAsia="黑体"/>
                <w:bCs/>
                <w:color w:val="auto"/>
                <w:sz w:val="24"/>
                <w:highlight w:val="none"/>
              </w:rPr>
            </w:pPr>
          </w:p>
        </w:tc>
        <w:tc>
          <w:tcPr>
            <w:tcW w:w="2020" w:type="dxa"/>
            <w:noWrap w:val="0"/>
            <w:vAlign w:val="top"/>
          </w:tcPr>
          <w:p w14:paraId="17B3CDD9">
            <w:pPr>
              <w:adjustRightInd w:val="0"/>
              <w:snapToGrid w:val="0"/>
              <w:spacing w:line="360" w:lineRule="auto"/>
              <w:ind w:right="24"/>
              <w:rPr>
                <w:rFonts w:hint="eastAsia" w:ascii="黑体" w:hAnsi="华文中宋" w:eastAsia="黑体"/>
                <w:bCs/>
                <w:color w:val="auto"/>
                <w:sz w:val="24"/>
                <w:highlight w:val="none"/>
              </w:rPr>
            </w:pPr>
          </w:p>
        </w:tc>
        <w:tc>
          <w:tcPr>
            <w:tcW w:w="977" w:type="dxa"/>
            <w:noWrap w:val="0"/>
            <w:vAlign w:val="top"/>
          </w:tcPr>
          <w:p w14:paraId="272BFCA0">
            <w:pPr>
              <w:adjustRightInd w:val="0"/>
              <w:snapToGrid w:val="0"/>
              <w:spacing w:line="360" w:lineRule="auto"/>
              <w:ind w:right="24"/>
              <w:rPr>
                <w:rFonts w:hint="eastAsia" w:ascii="黑体" w:hAnsi="华文中宋" w:eastAsia="黑体"/>
                <w:bCs/>
                <w:color w:val="auto"/>
                <w:sz w:val="24"/>
                <w:highlight w:val="none"/>
              </w:rPr>
            </w:pPr>
          </w:p>
        </w:tc>
      </w:tr>
      <w:tr w14:paraId="0A30172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551" w:type="dxa"/>
            <w:noWrap w:val="0"/>
            <w:vAlign w:val="top"/>
          </w:tcPr>
          <w:p w14:paraId="0A3EE83D">
            <w:pPr>
              <w:adjustRightInd w:val="0"/>
              <w:snapToGrid w:val="0"/>
              <w:spacing w:line="360" w:lineRule="auto"/>
              <w:ind w:right="24"/>
              <w:rPr>
                <w:rFonts w:hint="eastAsia" w:ascii="黑体" w:hAnsi="华文中宋" w:eastAsia="黑体"/>
                <w:bCs/>
                <w:color w:val="auto"/>
                <w:sz w:val="24"/>
                <w:highlight w:val="none"/>
              </w:rPr>
            </w:pPr>
          </w:p>
        </w:tc>
        <w:tc>
          <w:tcPr>
            <w:tcW w:w="1429" w:type="dxa"/>
            <w:noWrap w:val="0"/>
            <w:vAlign w:val="top"/>
          </w:tcPr>
          <w:p w14:paraId="5918DD9B">
            <w:pPr>
              <w:adjustRightInd w:val="0"/>
              <w:snapToGrid w:val="0"/>
              <w:spacing w:line="360" w:lineRule="auto"/>
              <w:ind w:right="24"/>
              <w:rPr>
                <w:rFonts w:hint="eastAsia" w:ascii="黑体" w:hAnsi="华文中宋" w:eastAsia="黑体"/>
                <w:bCs/>
                <w:color w:val="auto"/>
                <w:sz w:val="24"/>
                <w:highlight w:val="none"/>
              </w:rPr>
            </w:pPr>
          </w:p>
        </w:tc>
        <w:tc>
          <w:tcPr>
            <w:tcW w:w="1600" w:type="dxa"/>
            <w:noWrap w:val="0"/>
            <w:vAlign w:val="top"/>
          </w:tcPr>
          <w:p w14:paraId="79BF4048">
            <w:pPr>
              <w:adjustRightInd w:val="0"/>
              <w:snapToGrid w:val="0"/>
              <w:spacing w:line="360" w:lineRule="auto"/>
              <w:ind w:right="24"/>
              <w:rPr>
                <w:rFonts w:hint="eastAsia" w:ascii="黑体" w:hAnsi="华文中宋" w:eastAsia="黑体"/>
                <w:bCs/>
                <w:color w:val="auto"/>
                <w:sz w:val="24"/>
                <w:highlight w:val="none"/>
              </w:rPr>
            </w:pPr>
          </w:p>
        </w:tc>
        <w:tc>
          <w:tcPr>
            <w:tcW w:w="2180" w:type="dxa"/>
            <w:noWrap w:val="0"/>
            <w:vAlign w:val="top"/>
          </w:tcPr>
          <w:p w14:paraId="73884D1E">
            <w:pPr>
              <w:adjustRightInd w:val="0"/>
              <w:snapToGrid w:val="0"/>
              <w:spacing w:line="360" w:lineRule="auto"/>
              <w:ind w:right="24"/>
              <w:rPr>
                <w:rFonts w:hint="eastAsia" w:ascii="黑体" w:hAnsi="华文中宋" w:eastAsia="黑体"/>
                <w:bCs/>
                <w:color w:val="auto"/>
                <w:sz w:val="24"/>
                <w:highlight w:val="none"/>
              </w:rPr>
            </w:pPr>
          </w:p>
        </w:tc>
        <w:tc>
          <w:tcPr>
            <w:tcW w:w="1040" w:type="dxa"/>
            <w:noWrap w:val="0"/>
            <w:vAlign w:val="top"/>
          </w:tcPr>
          <w:p w14:paraId="497DA499">
            <w:pPr>
              <w:adjustRightInd w:val="0"/>
              <w:snapToGrid w:val="0"/>
              <w:spacing w:line="360" w:lineRule="auto"/>
              <w:ind w:right="24"/>
              <w:rPr>
                <w:rFonts w:hint="eastAsia" w:ascii="黑体" w:hAnsi="华文中宋" w:eastAsia="黑体"/>
                <w:bCs/>
                <w:color w:val="auto"/>
                <w:sz w:val="24"/>
                <w:highlight w:val="none"/>
              </w:rPr>
            </w:pPr>
          </w:p>
        </w:tc>
        <w:tc>
          <w:tcPr>
            <w:tcW w:w="2020" w:type="dxa"/>
            <w:noWrap w:val="0"/>
            <w:vAlign w:val="top"/>
          </w:tcPr>
          <w:p w14:paraId="1C157381">
            <w:pPr>
              <w:adjustRightInd w:val="0"/>
              <w:snapToGrid w:val="0"/>
              <w:spacing w:line="360" w:lineRule="auto"/>
              <w:ind w:right="24"/>
              <w:rPr>
                <w:rFonts w:hint="eastAsia" w:ascii="黑体" w:hAnsi="华文中宋" w:eastAsia="黑体"/>
                <w:bCs/>
                <w:color w:val="auto"/>
                <w:sz w:val="24"/>
                <w:highlight w:val="none"/>
              </w:rPr>
            </w:pPr>
          </w:p>
        </w:tc>
        <w:tc>
          <w:tcPr>
            <w:tcW w:w="977" w:type="dxa"/>
            <w:noWrap w:val="0"/>
            <w:vAlign w:val="top"/>
          </w:tcPr>
          <w:p w14:paraId="64C4CD7D">
            <w:pPr>
              <w:adjustRightInd w:val="0"/>
              <w:snapToGrid w:val="0"/>
              <w:spacing w:line="360" w:lineRule="auto"/>
              <w:ind w:right="24"/>
              <w:rPr>
                <w:rFonts w:hint="eastAsia" w:ascii="黑体" w:hAnsi="华文中宋" w:eastAsia="黑体"/>
                <w:bCs/>
                <w:color w:val="auto"/>
                <w:sz w:val="24"/>
                <w:highlight w:val="none"/>
              </w:rPr>
            </w:pPr>
          </w:p>
        </w:tc>
      </w:tr>
    </w:tbl>
    <w:p w14:paraId="11D103C2">
      <w:pPr>
        <w:spacing w:before="120" w:beforeLines="50" w:line="400" w:lineRule="exact"/>
        <w:ind w:left="735" w:leftChars="50" w:hanging="630" w:hangingChars="300"/>
        <w:rPr>
          <w:rFonts w:hint="eastAsia" w:ascii="楷体" w:hAnsi="楷体" w:eastAsia="楷体"/>
          <w:color w:val="auto"/>
          <w:szCs w:val="21"/>
          <w:highlight w:val="none"/>
        </w:rPr>
      </w:pPr>
      <w:r>
        <w:rPr>
          <w:rFonts w:hint="eastAsia" w:ascii="楷体" w:hAnsi="楷体" w:eastAsia="楷体"/>
          <w:color w:val="auto"/>
          <w:szCs w:val="21"/>
          <w:highlight w:val="none"/>
        </w:rPr>
        <w:t>说明：</w:t>
      </w:r>
    </w:p>
    <w:p w14:paraId="0F145D13">
      <w:pPr>
        <w:spacing w:line="500" w:lineRule="exact"/>
        <w:ind w:firstLine="361" w:firstLineChars="200"/>
        <w:jc w:val="left"/>
        <w:rPr>
          <w:rFonts w:hint="eastAsia" w:ascii="宋体" w:hAnsi="宋体"/>
          <w:b/>
          <w:color w:val="auto"/>
          <w:sz w:val="18"/>
          <w:szCs w:val="18"/>
          <w:highlight w:val="none"/>
        </w:rPr>
      </w:pPr>
      <w:r>
        <w:rPr>
          <w:rFonts w:hint="eastAsia" w:ascii="宋体" w:hAnsi="宋体"/>
          <w:b/>
          <w:color w:val="auto"/>
          <w:sz w:val="18"/>
          <w:szCs w:val="18"/>
          <w:highlight w:val="none"/>
        </w:rPr>
        <w:t>1、本项目商务条款全部为重要指标（实质性要求），不得负偏离，投标人在投标文件中必须对商务条款进行一一正面响应，若不响应、逃避响应或模糊混淆概念响应，按照负偏离处理（不符合招标文件实质性要求），不能提供证明文件的不予认可。在交货后，发现部分不能实现，甲方有权退货并索取赔偿。</w:t>
      </w:r>
    </w:p>
    <w:p w14:paraId="607E1E89">
      <w:pPr>
        <w:spacing w:line="500" w:lineRule="exact"/>
        <w:ind w:firstLine="361" w:firstLineChars="200"/>
        <w:jc w:val="left"/>
        <w:rPr>
          <w:rFonts w:hint="eastAsia" w:ascii="宋体" w:hAnsi="宋体"/>
          <w:b/>
          <w:color w:val="auto"/>
          <w:sz w:val="18"/>
          <w:szCs w:val="18"/>
          <w:highlight w:val="none"/>
        </w:rPr>
      </w:pPr>
      <w:r>
        <w:rPr>
          <w:rFonts w:hint="eastAsia" w:ascii="宋体" w:hAnsi="宋体"/>
          <w:b/>
          <w:color w:val="auto"/>
          <w:sz w:val="18"/>
          <w:szCs w:val="18"/>
          <w:highlight w:val="none"/>
        </w:rPr>
        <w:t>2、投标人必须据实填写，不得虚假响应，否则将取消其投标或中标资格，并按有关规定进行处罚。</w:t>
      </w:r>
    </w:p>
    <w:p w14:paraId="2D0CD4B6">
      <w:pPr>
        <w:adjustRightInd w:val="0"/>
        <w:spacing w:line="400" w:lineRule="exact"/>
        <w:ind w:firstLine="560" w:firstLineChars="200"/>
        <w:jc w:val="left"/>
        <w:rPr>
          <w:rFonts w:hint="eastAsia" w:ascii="仿宋_GB2312" w:hAnsi="宋体" w:eastAsia="仿宋_GB2312"/>
          <w:bCs/>
          <w:color w:val="auto"/>
          <w:sz w:val="28"/>
          <w:szCs w:val="28"/>
          <w:highlight w:val="none"/>
        </w:rPr>
      </w:pPr>
    </w:p>
    <w:p w14:paraId="0E24BD1E">
      <w:pPr>
        <w:adjustRightInd w:val="0"/>
        <w:spacing w:line="400" w:lineRule="exact"/>
        <w:ind w:firstLine="420" w:firstLineChars="200"/>
        <w:jc w:val="left"/>
        <w:rPr>
          <w:rFonts w:hint="eastAsia" w:ascii="宋体" w:hAnsi="宋体"/>
          <w:bCs/>
          <w:color w:val="auto"/>
          <w:szCs w:val="21"/>
          <w:highlight w:val="none"/>
        </w:rPr>
      </w:pPr>
      <w:r>
        <w:rPr>
          <w:rFonts w:hint="eastAsia" w:ascii="宋体" w:hAnsi="宋体"/>
          <w:bCs/>
          <w:color w:val="auto"/>
          <w:szCs w:val="21"/>
          <w:highlight w:val="none"/>
        </w:rPr>
        <w:t>投 标 人：</w:t>
      </w:r>
      <w:r>
        <w:rPr>
          <w:rFonts w:hint="eastAsia" w:ascii="宋体" w:hAnsi="宋体"/>
          <w:bCs/>
          <w:color w:val="auto"/>
          <w:szCs w:val="21"/>
          <w:highlight w:val="none"/>
          <w:u w:val="single"/>
        </w:rPr>
        <w:t xml:space="preserve">                          </w:t>
      </w:r>
      <w:r>
        <w:rPr>
          <w:rFonts w:hint="eastAsia" w:ascii="宋体" w:hAnsi="宋体"/>
          <w:bCs/>
          <w:color w:val="auto"/>
          <w:szCs w:val="21"/>
          <w:highlight w:val="none"/>
        </w:rPr>
        <w:t>（盖单位章）</w:t>
      </w:r>
    </w:p>
    <w:p w14:paraId="13FF04B0">
      <w:pPr>
        <w:adjustRightInd w:val="0"/>
        <w:spacing w:line="400" w:lineRule="exact"/>
        <w:ind w:firstLine="367" w:firstLineChars="175"/>
        <w:jc w:val="left"/>
        <w:rPr>
          <w:rFonts w:hint="eastAsia" w:ascii="宋体" w:hAnsi="宋体"/>
          <w:color w:val="auto"/>
          <w:szCs w:val="21"/>
          <w:highlight w:val="none"/>
        </w:rPr>
      </w:pPr>
    </w:p>
    <w:p w14:paraId="66C11A5E">
      <w:pPr>
        <w:adjustRightInd w:val="0"/>
        <w:spacing w:line="400" w:lineRule="exact"/>
        <w:ind w:firstLine="367" w:firstLineChars="175"/>
        <w:jc w:val="left"/>
        <w:rPr>
          <w:rFonts w:hint="eastAsia" w:ascii="宋体" w:hAnsi="宋体"/>
          <w:bCs/>
          <w:color w:val="auto"/>
          <w:szCs w:val="21"/>
          <w:highlight w:val="none"/>
        </w:rPr>
      </w:pPr>
      <w:r>
        <w:rPr>
          <w:rFonts w:hint="eastAsia" w:ascii="宋体" w:hAnsi="宋体"/>
          <w:color w:val="auto"/>
          <w:szCs w:val="21"/>
          <w:highlight w:val="none"/>
        </w:rPr>
        <w:t>法定代表人或委托代理人：</w:t>
      </w:r>
      <w:r>
        <w:rPr>
          <w:rFonts w:hint="eastAsia" w:ascii="宋体" w:hAnsi="宋体"/>
          <w:color w:val="auto"/>
          <w:szCs w:val="21"/>
          <w:highlight w:val="none"/>
          <w:u w:val="single"/>
        </w:rPr>
        <w:t xml:space="preserve">             </w:t>
      </w:r>
      <w:r>
        <w:rPr>
          <w:rFonts w:hint="eastAsia" w:ascii="宋体" w:hAnsi="宋体"/>
          <w:color w:val="auto"/>
          <w:szCs w:val="21"/>
          <w:highlight w:val="none"/>
        </w:rPr>
        <w:t>（签字）</w:t>
      </w:r>
      <w:r>
        <w:rPr>
          <w:rFonts w:hint="eastAsia" w:ascii="宋体" w:hAnsi="宋体"/>
          <w:bCs/>
          <w:color w:val="auto"/>
          <w:szCs w:val="21"/>
          <w:highlight w:val="none"/>
        </w:rPr>
        <w:t xml:space="preserve">                </w:t>
      </w:r>
    </w:p>
    <w:p w14:paraId="3FC4F954">
      <w:pPr>
        <w:adjustRightInd w:val="0"/>
        <w:spacing w:before="240" w:beforeLines="100" w:line="400" w:lineRule="exact"/>
        <w:ind w:firstLine="420" w:firstLineChars="200"/>
        <w:jc w:val="left"/>
        <w:rPr>
          <w:rFonts w:hint="eastAsia" w:ascii="宋体" w:hAnsi="宋体"/>
          <w:bCs/>
          <w:color w:val="auto"/>
          <w:szCs w:val="21"/>
          <w:highlight w:val="none"/>
        </w:rPr>
      </w:pPr>
      <w:r>
        <w:rPr>
          <w:rFonts w:hint="eastAsia" w:ascii="宋体" w:hAnsi="宋体"/>
          <w:bCs/>
          <w:color w:val="auto"/>
          <w:szCs w:val="21"/>
          <w:highlight w:val="none"/>
        </w:rPr>
        <w:t>日    期: 20</w:t>
      </w:r>
      <w:r>
        <w:rPr>
          <w:rFonts w:hint="eastAsia" w:ascii="宋体" w:hAnsi="宋体"/>
          <w:bCs/>
          <w:color w:val="auto"/>
          <w:szCs w:val="21"/>
          <w:highlight w:val="none"/>
          <w:u w:val="single"/>
        </w:rPr>
        <w:t xml:space="preserve">  </w:t>
      </w:r>
      <w:r>
        <w:rPr>
          <w:rFonts w:hint="eastAsia" w:ascii="宋体" w:hAnsi="宋体"/>
          <w:bCs/>
          <w:color w:val="auto"/>
          <w:szCs w:val="21"/>
          <w:highlight w:val="none"/>
        </w:rPr>
        <w:t>年</w:t>
      </w:r>
      <w:r>
        <w:rPr>
          <w:rFonts w:hint="eastAsia" w:ascii="宋体" w:hAnsi="宋体"/>
          <w:bCs/>
          <w:color w:val="auto"/>
          <w:szCs w:val="21"/>
          <w:highlight w:val="none"/>
          <w:u w:val="single"/>
        </w:rPr>
        <w:t xml:space="preserve">  </w:t>
      </w:r>
      <w:r>
        <w:rPr>
          <w:rFonts w:hint="eastAsia" w:ascii="宋体" w:hAnsi="宋体"/>
          <w:bCs/>
          <w:color w:val="auto"/>
          <w:szCs w:val="21"/>
          <w:highlight w:val="none"/>
        </w:rPr>
        <w:t>月</w:t>
      </w:r>
      <w:r>
        <w:rPr>
          <w:rFonts w:hint="eastAsia" w:ascii="宋体" w:hAnsi="宋体"/>
          <w:bCs/>
          <w:color w:val="auto"/>
          <w:szCs w:val="21"/>
          <w:highlight w:val="none"/>
          <w:u w:val="single"/>
        </w:rPr>
        <w:t xml:space="preserve">  </w:t>
      </w:r>
      <w:r>
        <w:rPr>
          <w:rFonts w:hint="eastAsia" w:ascii="宋体" w:hAnsi="宋体"/>
          <w:bCs/>
          <w:color w:val="auto"/>
          <w:szCs w:val="21"/>
          <w:highlight w:val="none"/>
        </w:rPr>
        <w:t>日</w:t>
      </w:r>
    </w:p>
    <w:p w14:paraId="049311EB">
      <w:pPr>
        <w:numPr>
          <w:ilvl w:val="0"/>
          <w:numId w:val="2"/>
        </w:numPr>
        <w:spacing w:line="360" w:lineRule="auto"/>
        <w:jc w:val="center"/>
        <w:rPr>
          <w:rFonts w:hint="eastAsia" w:ascii="宋体" w:hAnsi="宋体" w:eastAsia="宋体" w:cs="Times New Roman"/>
          <w:b/>
          <w:bCs/>
          <w:color w:val="auto"/>
          <w:kern w:val="2"/>
          <w:sz w:val="36"/>
          <w:szCs w:val="36"/>
          <w:highlight w:val="none"/>
          <w:lang w:val="en-US" w:eastAsia="zh-CN" w:bidi="ar-SA"/>
        </w:rPr>
      </w:pPr>
      <w:r>
        <w:rPr>
          <w:rFonts w:hint="eastAsia" w:ascii="宋体" w:hAnsi="宋体" w:eastAsia="宋体" w:cs="Times New Roman"/>
          <w:b/>
          <w:bCs/>
          <w:color w:val="auto"/>
          <w:kern w:val="2"/>
          <w:sz w:val="36"/>
          <w:szCs w:val="36"/>
          <w:highlight w:val="none"/>
          <w:lang w:val="en-US" w:eastAsia="zh-CN" w:bidi="ar-SA"/>
        </w:rPr>
        <w:t>技术文件 （根据本项目评分标准顺序编写）</w:t>
      </w:r>
    </w:p>
    <w:p w14:paraId="4B08B2D9">
      <w:pPr>
        <w:numPr>
          <w:ilvl w:val="0"/>
          <w:numId w:val="0"/>
        </w:numPr>
        <w:spacing w:line="360" w:lineRule="auto"/>
        <w:jc w:val="both"/>
        <w:rPr>
          <w:rFonts w:hint="eastAsia" w:ascii="楷体" w:hAnsi="楷体" w:eastAsia="楷体"/>
          <w:color w:val="auto"/>
          <w:szCs w:val="21"/>
          <w:highlight w:val="none"/>
        </w:rPr>
      </w:pPr>
      <w:r>
        <w:rPr>
          <w:rFonts w:hint="eastAsia" w:ascii="楷体" w:hAnsi="楷体" w:eastAsia="楷体"/>
          <w:color w:val="auto"/>
          <w:szCs w:val="21"/>
          <w:highlight w:val="none"/>
        </w:rPr>
        <w:t>说明：</w:t>
      </w:r>
    </w:p>
    <w:p w14:paraId="78AC33F3">
      <w:pPr>
        <w:spacing w:line="360" w:lineRule="auto"/>
        <w:ind w:firstLine="420" w:firstLineChars="200"/>
        <w:rPr>
          <w:rFonts w:hint="eastAsia" w:ascii="楷体" w:hAnsi="楷体" w:eastAsia="楷体"/>
          <w:color w:val="auto"/>
          <w:szCs w:val="21"/>
          <w:highlight w:val="none"/>
        </w:rPr>
      </w:pPr>
      <w:r>
        <w:rPr>
          <w:rFonts w:hint="eastAsia" w:ascii="楷体" w:hAnsi="楷体" w:eastAsia="楷体"/>
          <w:color w:val="auto"/>
          <w:szCs w:val="21"/>
          <w:highlight w:val="none"/>
        </w:rPr>
        <w:t>格式自定。</w:t>
      </w:r>
    </w:p>
    <w:p w14:paraId="1CAA9BFC">
      <w:pPr>
        <w:numPr>
          <w:ilvl w:val="0"/>
          <w:numId w:val="0"/>
        </w:numPr>
        <w:adjustRightInd w:val="0"/>
        <w:spacing w:line="400" w:lineRule="exact"/>
        <w:jc w:val="center"/>
        <w:rPr>
          <w:rFonts w:hint="eastAsia"/>
          <w:b/>
          <w:color w:val="auto"/>
          <w:sz w:val="36"/>
          <w:szCs w:val="36"/>
          <w:highlight w:val="none"/>
        </w:rPr>
      </w:pPr>
      <w:r>
        <w:rPr>
          <w:b/>
          <w:color w:val="auto"/>
          <w:sz w:val="36"/>
          <w:szCs w:val="36"/>
          <w:highlight w:val="none"/>
        </w:rPr>
        <w:br w:type="page"/>
      </w:r>
      <w:r>
        <w:rPr>
          <w:rFonts w:hint="eastAsia"/>
          <w:b/>
          <w:color w:val="auto"/>
          <w:sz w:val="36"/>
          <w:szCs w:val="36"/>
          <w:highlight w:val="none"/>
          <w:lang w:val="en-US" w:eastAsia="zh-CN"/>
        </w:rPr>
        <w:t>八、</w:t>
      </w:r>
      <w:r>
        <w:rPr>
          <w:rFonts w:hint="eastAsia"/>
          <w:b/>
          <w:color w:val="auto"/>
          <w:sz w:val="36"/>
          <w:szCs w:val="36"/>
          <w:highlight w:val="none"/>
        </w:rPr>
        <w:t>承诺文件</w:t>
      </w:r>
    </w:p>
    <w:p w14:paraId="5C428E8F">
      <w:pPr>
        <w:adjustRightInd w:val="0"/>
        <w:spacing w:line="400" w:lineRule="exact"/>
        <w:jc w:val="left"/>
        <w:rPr>
          <w:rFonts w:hint="eastAsia" w:ascii="楷体" w:hAnsi="楷体" w:eastAsia="楷体"/>
          <w:color w:val="auto"/>
          <w:szCs w:val="21"/>
          <w:highlight w:val="none"/>
        </w:rPr>
      </w:pPr>
      <w:r>
        <w:rPr>
          <w:rFonts w:hint="eastAsia"/>
          <w:b/>
          <w:color w:val="auto"/>
          <w:sz w:val="36"/>
          <w:szCs w:val="36"/>
          <w:highlight w:val="none"/>
        </w:rPr>
        <w:t xml:space="preserve"> </w:t>
      </w:r>
      <w:r>
        <w:rPr>
          <w:rFonts w:hint="eastAsia" w:ascii="楷体" w:hAnsi="楷体" w:eastAsia="楷体"/>
          <w:color w:val="auto"/>
          <w:szCs w:val="21"/>
          <w:highlight w:val="none"/>
        </w:rPr>
        <w:t>说明：</w:t>
      </w:r>
    </w:p>
    <w:p w14:paraId="76FBE621">
      <w:pPr>
        <w:adjustRightInd w:val="0"/>
        <w:spacing w:line="400" w:lineRule="exact"/>
        <w:ind w:firstLine="630" w:firstLineChars="300"/>
        <w:jc w:val="left"/>
        <w:rPr>
          <w:rFonts w:hint="eastAsia" w:ascii="楷体" w:hAnsi="楷体" w:eastAsia="楷体"/>
          <w:color w:val="auto"/>
          <w:szCs w:val="21"/>
          <w:highlight w:val="none"/>
        </w:rPr>
      </w:pPr>
      <w:r>
        <w:rPr>
          <w:rFonts w:hint="eastAsia" w:ascii="楷体" w:hAnsi="楷体" w:eastAsia="楷体"/>
          <w:color w:val="auto"/>
          <w:szCs w:val="21"/>
          <w:highlight w:val="none"/>
        </w:rPr>
        <w:t>格式自定。投标人根据招标文件要求和采购需求，作出质量保证承诺和质保期服务计划。</w:t>
      </w:r>
    </w:p>
    <w:p w14:paraId="35D175CE">
      <w:pPr>
        <w:adjustRightInd w:val="0"/>
        <w:spacing w:line="400" w:lineRule="exact"/>
        <w:jc w:val="left"/>
        <w:rPr>
          <w:rFonts w:hint="eastAsia" w:ascii="宋体" w:hAnsi="宋体"/>
          <w:b/>
          <w:bCs/>
          <w:color w:val="auto"/>
          <w:sz w:val="36"/>
          <w:szCs w:val="36"/>
          <w:highlight w:val="none"/>
        </w:rPr>
      </w:pPr>
    </w:p>
    <w:p w14:paraId="02FA5616">
      <w:pPr>
        <w:adjustRightInd w:val="0"/>
        <w:spacing w:line="400" w:lineRule="exact"/>
        <w:jc w:val="left"/>
        <w:rPr>
          <w:rFonts w:hint="eastAsia" w:ascii="宋体" w:hAnsi="宋体"/>
          <w:b/>
          <w:bCs/>
          <w:color w:val="auto"/>
          <w:sz w:val="36"/>
          <w:szCs w:val="36"/>
          <w:highlight w:val="none"/>
        </w:rPr>
      </w:pPr>
    </w:p>
    <w:p w14:paraId="53CAF681">
      <w:pPr>
        <w:adjustRightInd w:val="0"/>
        <w:spacing w:line="400" w:lineRule="exact"/>
        <w:jc w:val="left"/>
        <w:rPr>
          <w:rFonts w:hint="eastAsia" w:ascii="宋体" w:hAnsi="宋体"/>
          <w:b/>
          <w:bCs/>
          <w:color w:val="auto"/>
          <w:sz w:val="36"/>
          <w:szCs w:val="36"/>
          <w:highlight w:val="none"/>
        </w:rPr>
      </w:pPr>
    </w:p>
    <w:p w14:paraId="55825B87">
      <w:pPr>
        <w:adjustRightInd w:val="0"/>
        <w:spacing w:line="400" w:lineRule="exact"/>
        <w:jc w:val="left"/>
        <w:rPr>
          <w:rFonts w:hint="eastAsia" w:ascii="宋体" w:hAnsi="宋体"/>
          <w:b/>
          <w:bCs/>
          <w:color w:val="auto"/>
          <w:sz w:val="36"/>
          <w:szCs w:val="36"/>
          <w:highlight w:val="none"/>
        </w:rPr>
      </w:pPr>
    </w:p>
    <w:p w14:paraId="25813376">
      <w:pPr>
        <w:adjustRightInd w:val="0"/>
        <w:spacing w:line="400" w:lineRule="exact"/>
        <w:jc w:val="left"/>
        <w:rPr>
          <w:rFonts w:hint="eastAsia" w:ascii="宋体" w:hAnsi="宋体"/>
          <w:b/>
          <w:bCs/>
          <w:color w:val="auto"/>
          <w:sz w:val="36"/>
          <w:szCs w:val="36"/>
          <w:highlight w:val="none"/>
        </w:rPr>
      </w:pPr>
    </w:p>
    <w:p w14:paraId="64C67125">
      <w:pPr>
        <w:adjustRightInd w:val="0"/>
        <w:spacing w:line="400" w:lineRule="exact"/>
        <w:jc w:val="left"/>
        <w:rPr>
          <w:rFonts w:hint="eastAsia" w:ascii="宋体" w:hAnsi="宋体"/>
          <w:b/>
          <w:bCs/>
          <w:color w:val="auto"/>
          <w:sz w:val="36"/>
          <w:szCs w:val="36"/>
          <w:highlight w:val="none"/>
        </w:rPr>
      </w:pPr>
    </w:p>
    <w:p w14:paraId="74C0E478">
      <w:pPr>
        <w:adjustRightInd w:val="0"/>
        <w:spacing w:line="400" w:lineRule="exact"/>
        <w:jc w:val="left"/>
        <w:rPr>
          <w:rFonts w:hint="eastAsia" w:ascii="宋体" w:hAnsi="宋体"/>
          <w:b/>
          <w:bCs/>
          <w:color w:val="auto"/>
          <w:sz w:val="36"/>
          <w:szCs w:val="36"/>
          <w:highlight w:val="none"/>
        </w:rPr>
      </w:pPr>
    </w:p>
    <w:p w14:paraId="69A94C66">
      <w:pPr>
        <w:adjustRightInd w:val="0"/>
        <w:spacing w:line="400" w:lineRule="exact"/>
        <w:jc w:val="left"/>
        <w:rPr>
          <w:rFonts w:hint="eastAsia" w:ascii="宋体" w:hAnsi="宋体"/>
          <w:b/>
          <w:bCs/>
          <w:color w:val="auto"/>
          <w:sz w:val="36"/>
          <w:szCs w:val="36"/>
          <w:highlight w:val="none"/>
        </w:rPr>
      </w:pPr>
    </w:p>
    <w:p w14:paraId="44A7AFE8">
      <w:pPr>
        <w:adjustRightInd w:val="0"/>
        <w:spacing w:line="400" w:lineRule="exact"/>
        <w:jc w:val="left"/>
        <w:rPr>
          <w:rFonts w:hint="eastAsia" w:ascii="宋体" w:hAnsi="宋体"/>
          <w:b/>
          <w:bCs/>
          <w:color w:val="auto"/>
          <w:sz w:val="36"/>
          <w:szCs w:val="36"/>
          <w:highlight w:val="none"/>
        </w:rPr>
      </w:pPr>
    </w:p>
    <w:p w14:paraId="007D409A">
      <w:pPr>
        <w:adjustRightInd w:val="0"/>
        <w:spacing w:line="400" w:lineRule="exact"/>
        <w:jc w:val="left"/>
        <w:rPr>
          <w:rFonts w:hint="eastAsia" w:ascii="宋体" w:hAnsi="宋体"/>
          <w:b/>
          <w:bCs/>
          <w:color w:val="auto"/>
          <w:sz w:val="36"/>
          <w:szCs w:val="36"/>
          <w:highlight w:val="none"/>
        </w:rPr>
      </w:pPr>
    </w:p>
    <w:p w14:paraId="1FF0B34A">
      <w:pPr>
        <w:adjustRightInd w:val="0"/>
        <w:spacing w:line="400" w:lineRule="exact"/>
        <w:jc w:val="left"/>
        <w:rPr>
          <w:rFonts w:hint="eastAsia" w:ascii="宋体" w:hAnsi="宋体"/>
          <w:b/>
          <w:bCs/>
          <w:color w:val="auto"/>
          <w:sz w:val="36"/>
          <w:szCs w:val="36"/>
          <w:highlight w:val="none"/>
        </w:rPr>
      </w:pPr>
    </w:p>
    <w:p w14:paraId="698E6D12">
      <w:pPr>
        <w:adjustRightInd w:val="0"/>
        <w:spacing w:line="400" w:lineRule="exact"/>
        <w:jc w:val="left"/>
        <w:rPr>
          <w:rFonts w:hint="eastAsia" w:ascii="宋体" w:hAnsi="宋体"/>
          <w:b/>
          <w:bCs/>
          <w:color w:val="auto"/>
          <w:sz w:val="36"/>
          <w:szCs w:val="36"/>
          <w:highlight w:val="none"/>
        </w:rPr>
      </w:pPr>
    </w:p>
    <w:p w14:paraId="484F09B6">
      <w:pPr>
        <w:adjustRightInd w:val="0"/>
        <w:spacing w:line="400" w:lineRule="exact"/>
        <w:jc w:val="left"/>
        <w:rPr>
          <w:rFonts w:hint="eastAsia" w:ascii="宋体" w:hAnsi="宋体"/>
          <w:b/>
          <w:bCs/>
          <w:color w:val="auto"/>
          <w:sz w:val="36"/>
          <w:szCs w:val="36"/>
          <w:highlight w:val="none"/>
        </w:rPr>
      </w:pPr>
    </w:p>
    <w:p w14:paraId="178DA2FC">
      <w:pPr>
        <w:adjustRightInd w:val="0"/>
        <w:spacing w:line="400" w:lineRule="exact"/>
        <w:jc w:val="left"/>
        <w:rPr>
          <w:rFonts w:hint="eastAsia" w:ascii="宋体" w:hAnsi="宋体"/>
          <w:b/>
          <w:bCs/>
          <w:color w:val="auto"/>
          <w:sz w:val="36"/>
          <w:szCs w:val="36"/>
          <w:highlight w:val="none"/>
        </w:rPr>
      </w:pPr>
    </w:p>
    <w:p w14:paraId="3D2231DD">
      <w:pPr>
        <w:adjustRightInd w:val="0"/>
        <w:spacing w:line="400" w:lineRule="exact"/>
        <w:jc w:val="left"/>
        <w:rPr>
          <w:rFonts w:hint="eastAsia" w:ascii="宋体" w:hAnsi="宋体"/>
          <w:b/>
          <w:bCs/>
          <w:color w:val="auto"/>
          <w:sz w:val="36"/>
          <w:szCs w:val="36"/>
          <w:highlight w:val="none"/>
        </w:rPr>
      </w:pPr>
    </w:p>
    <w:p w14:paraId="7B281CC6">
      <w:pPr>
        <w:adjustRightInd w:val="0"/>
        <w:spacing w:line="400" w:lineRule="exact"/>
        <w:jc w:val="left"/>
        <w:rPr>
          <w:rFonts w:hint="eastAsia" w:ascii="宋体" w:hAnsi="宋体"/>
          <w:b/>
          <w:bCs/>
          <w:color w:val="auto"/>
          <w:sz w:val="36"/>
          <w:szCs w:val="36"/>
          <w:highlight w:val="none"/>
        </w:rPr>
      </w:pPr>
    </w:p>
    <w:p w14:paraId="2503BADE">
      <w:pPr>
        <w:adjustRightInd w:val="0"/>
        <w:spacing w:line="400" w:lineRule="exact"/>
        <w:jc w:val="left"/>
        <w:rPr>
          <w:rFonts w:hint="eastAsia" w:ascii="宋体" w:hAnsi="宋体"/>
          <w:b/>
          <w:bCs/>
          <w:color w:val="auto"/>
          <w:sz w:val="36"/>
          <w:szCs w:val="36"/>
          <w:highlight w:val="none"/>
        </w:rPr>
      </w:pPr>
    </w:p>
    <w:p w14:paraId="0043925A">
      <w:pPr>
        <w:adjustRightInd w:val="0"/>
        <w:spacing w:line="400" w:lineRule="exact"/>
        <w:jc w:val="left"/>
        <w:rPr>
          <w:rFonts w:hint="eastAsia" w:ascii="宋体" w:hAnsi="宋体"/>
          <w:b/>
          <w:bCs/>
          <w:color w:val="auto"/>
          <w:sz w:val="36"/>
          <w:szCs w:val="36"/>
          <w:highlight w:val="none"/>
        </w:rPr>
      </w:pPr>
    </w:p>
    <w:p w14:paraId="370950D8">
      <w:pPr>
        <w:adjustRightInd w:val="0"/>
        <w:spacing w:line="400" w:lineRule="exact"/>
        <w:jc w:val="left"/>
        <w:rPr>
          <w:rFonts w:hint="eastAsia" w:ascii="宋体" w:hAnsi="宋体"/>
          <w:b/>
          <w:bCs/>
          <w:color w:val="auto"/>
          <w:sz w:val="36"/>
          <w:szCs w:val="36"/>
          <w:highlight w:val="none"/>
        </w:rPr>
      </w:pPr>
    </w:p>
    <w:p w14:paraId="649430BC">
      <w:pPr>
        <w:adjustRightInd w:val="0"/>
        <w:spacing w:line="400" w:lineRule="exact"/>
        <w:jc w:val="left"/>
        <w:rPr>
          <w:rFonts w:hint="eastAsia" w:ascii="宋体" w:hAnsi="宋体"/>
          <w:b/>
          <w:bCs/>
          <w:color w:val="auto"/>
          <w:sz w:val="36"/>
          <w:szCs w:val="36"/>
          <w:highlight w:val="none"/>
        </w:rPr>
      </w:pPr>
    </w:p>
    <w:p w14:paraId="0E4C2014">
      <w:pPr>
        <w:adjustRightInd w:val="0"/>
        <w:spacing w:line="400" w:lineRule="exact"/>
        <w:jc w:val="left"/>
        <w:rPr>
          <w:rFonts w:hint="eastAsia" w:ascii="宋体" w:hAnsi="宋体"/>
          <w:b/>
          <w:bCs/>
          <w:color w:val="auto"/>
          <w:sz w:val="36"/>
          <w:szCs w:val="36"/>
          <w:highlight w:val="none"/>
        </w:rPr>
      </w:pPr>
    </w:p>
    <w:p w14:paraId="20D9C08D">
      <w:pPr>
        <w:adjustRightInd w:val="0"/>
        <w:spacing w:line="400" w:lineRule="exact"/>
        <w:jc w:val="left"/>
        <w:rPr>
          <w:rFonts w:hint="eastAsia" w:ascii="宋体" w:hAnsi="宋体"/>
          <w:b/>
          <w:bCs/>
          <w:color w:val="auto"/>
          <w:sz w:val="36"/>
          <w:szCs w:val="36"/>
          <w:highlight w:val="none"/>
        </w:rPr>
      </w:pPr>
    </w:p>
    <w:p w14:paraId="7916578F">
      <w:pPr>
        <w:adjustRightInd w:val="0"/>
        <w:spacing w:line="400" w:lineRule="exact"/>
        <w:jc w:val="left"/>
        <w:rPr>
          <w:rFonts w:hint="eastAsia" w:ascii="宋体" w:hAnsi="宋体"/>
          <w:b/>
          <w:bCs/>
          <w:color w:val="auto"/>
          <w:sz w:val="36"/>
          <w:szCs w:val="36"/>
          <w:highlight w:val="none"/>
        </w:rPr>
      </w:pPr>
    </w:p>
    <w:p w14:paraId="40F45CF0">
      <w:pPr>
        <w:adjustRightInd w:val="0"/>
        <w:spacing w:line="400" w:lineRule="exact"/>
        <w:jc w:val="left"/>
        <w:rPr>
          <w:rFonts w:hint="eastAsia" w:ascii="宋体" w:hAnsi="宋体"/>
          <w:b/>
          <w:bCs/>
          <w:color w:val="auto"/>
          <w:sz w:val="36"/>
          <w:szCs w:val="36"/>
          <w:highlight w:val="none"/>
        </w:rPr>
      </w:pPr>
    </w:p>
    <w:p w14:paraId="3CB59F3F">
      <w:pPr>
        <w:adjustRightInd w:val="0"/>
        <w:spacing w:line="400" w:lineRule="exact"/>
        <w:jc w:val="left"/>
        <w:rPr>
          <w:rFonts w:hint="eastAsia" w:ascii="宋体" w:hAnsi="宋体"/>
          <w:b/>
          <w:bCs/>
          <w:color w:val="auto"/>
          <w:sz w:val="36"/>
          <w:szCs w:val="36"/>
          <w:highlight w:val="none"/>
        </w:rPr>
      </w:pPr>
    </w:p>
    <w:p w14:paraId="4F347052">
      <w:pPr>
        <w:adjustRightInd w:val="0"/>
        <w:spacing w:line="400" w:lineRule="exact"/>
        <w:jc w:val="left"/>
        <w:rPr>
          <w:rFonts w:hint="eastAsia" w:ascii="宋体" w:hAnsi="宋体"/>
          <w:b/>
          <w:bCs/>
          <w:color w:val="auto"/>
          <w:sz w:val="36"/>
          <w:szCs w:val="36"/>
          <w:highlight w:val="none"/>
        </w:rPr>
      </w:pPr>
    </w:p>
    <w:p w14:paraId="0F58E993">
      <w:pPr>
        <w:adjustRightInd w:val="0"/>
        <w:spacing w:line="400" w:lineRule="exact"/>
        <w:jc w:val="left"/>
        <w:rPr>
          <w:rFonts w:hint="eastAsia" w:ascii="宋体" w:hAnsi="宋体"/>
          <w:b/>
          <w:bCs/>
          <w:color w:val="auto"/>
          <w:sz w:val="36"/>
          <w:szCs w:val="36"/>
          <w:highlight w:val="none"/>
        </w:rPr>
      </w:pPr>
    </w:p>
    <w:p w14:paraId="1BA6473C">
      <w:pPr>
        <w:adjustRightInd w:val="0"/>
        <w:spacing w:line="400" w:lineRule="exact"/>
        <w:jc w:val="left"/>
        <w:rPr>
          <w:rFonts w:hint="eastAsia" w:ascii="宋体" w:hAnsi="宋体"/>
          <w:b/>
          <w:bCs/>
          <w:color w:val="auto"/>
          <w:sz w:val="36"/>
          <w:szCs w:val="36"/>
          <w:highlight w:val="none"/>
        </w:rPr>
      </w:pPr>
    </w:p>
    <w:p w14:paraId="34888C10">
      <w:pPr>
        <w:adjustRightInd w:val="0"/>
        <w:spacing w:line="400" w:lineRule="exact"/>
        <w:jc w:val="left"/>
        <w:rPr>
          <w:rFonts w:hint="eastAsia" w:ascii="宋体" w:hAnsi="宋体"/>
          <w:b/>
          <w:bCs/>
          <w:color w:val="auto"/>
          <w:sz w:val="36"/>
          <w:szCs w:val="36"/>
          <w:highlight w:val="none"/>
        </w:rPr>
      </w:pPr>
    </w:p>
    <w:p w14:paraId="6BD45424">
      <w:pPr>
        <w:adjustRightInd w:val="0"/>
        <w:spacing w:after="240" w:afterLines="100" w:line="400" w:lineRule="exact"/>
        <w:jc w:val="center"/>
        <w:rPr>
          <w:rFonts w:hint="eastAsia"/>
          <w:b/>
          <w:color w:val="auto"/>
          <w:kern w:val="0"/>
          <w:sz w:val="36"/>
          <w:szCs w:val="36"/>
          <w:highlight w:val="none"/>
        </w:rPr>
      </w:pPr>
      <w:r>
        <w:rPr>
          <w:b/>
          <w:color w:val="auto"/>
          <w:kern w:val="0"/>
          <w:sz w:val="36"/>
          <w:szCs w:val="36"/>
          <w:highlight w:val="none"/>
        </w:rPr>
        <w:br w:type="page"/>
      </w:r>
      <w:r>
        <w:rPr>
          <w:rFonts w:hint="eastAsia"/>
          <w:b/>
          <w:color w:val="auto"/>
          <w:kern w:val="0"/>
          <w:sz w:val="36"/>
          <w:szCs w:val="36"/>
          <w:highlight w:val="none"/>
          <w:lang w:val="en-US" w:eastAsia="zh-CN"/>
        </w:rPr>
        <w:t>九</w:t>
      </w:r>
      <w:r>
        <w:rPr>
          <w:rFonts w:hint="eastAsia"/>
          <w:b/>
          <w:color w:val="auto"/>
          <w:kern w:val="0"/>
          <w:sz w:val="36"/>
          <w:szCs w:val="36"/>
          <w:highlight w:val="none"/>
        </w:rPr>
        <w:t>、售后服务文件</w:t>
      </w:r>
    </w:p>
    <w:p w14:paraId="377B4578">
      <w:pPr>
        <w:spacing w:before="360" w:beforeLines="150"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 投标人依据产品特性和需求，按招标文件要求自拟售后服务方案和培训计划。</w:t>
      </w:r>
    </w:p>
    <w:p w14:paraId="72BC825C">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2. 投标人应提供在售后服务中心证明材料或与合作方的协议书，这些服务中心和特约维修服务点的名称、地址、电话、联系人应在投标文件中一一列出（参考样式如下）。</w:t>
      </w:r>
    </w:p>
    <w:p w14:paraId="71EE9623">
      <w:pPr>
        <w:spacing w:after="120" w:afterLines="50"/>
        <w:jc w:val="center"/>
        <w:rPr>
          <w:rFonts w:hint="eastAsia" w:ascii="宋体" w:hAnsi="宋体"/>
          <w:b/>
          <w:color w:val="auto"/>
          <w:sz w:val="36"/>
          <w:szCs w:val="36"/>
          <w:highlight w:val="none"/>
        </w:rPr>
      </w:pPr>
      <w:r>
        <w:rPr>
          <w:rFonts w:hint="eastAsia" w:ascii="宋体" w:hAnsi="宋体"/>
          <w:b/>
          <w:color w:val="auto"/>
          <w:sz w:val="36"/>
          <w:szCs w:val="36"/>
          <w:highlight w:val="none"/>
        </w:rPr>
        <w:t>货物（产品）售后服务点联系表</w:t>
      </w:r>
    </w:p>
    <w:tbl>
      <w:tblPr>
        <w:tblStyle w:val="23"/>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2434"/>
        <w:gridCol w:w="1080"/>
        <w:gridCol w:w="1260"/>
        <w:gridCol w:w="1516"/>
        <w:gridCol w:w="2548"/>
      </w:tblGrid>
      <w:tr w14:paraId="19C3238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2434" w:type="dxa"/>
            <w:noWrap w:val="0"/>
            <w:vAlign w:val="center"/>
          </w:tcPr>
          <w:p w14:paraId="67FCA39E">
            <w:pPr>
              <w:spacing w:line="480" w:lineRule="exact"/>
              <w:jc w:val="center"/>
              <w:rPr>
                <w:rFonts w:hint="eastAsia" w:ascii="宋体" w:hAnsi="宋体"/>
                <w:b/>
                <w:color w:val="auto"/>
                <w:szCs w:val="21"/>
                <w:highlight w:val="none"/>
              </w:rPr>
            </w:pPr>
            <w:r>
              <w:rPr>
                <w:rFonts w:hint="eastAsia" w:ascii="宋体" w:hAnsi="宋体"/>
                <w:b/>
                <w:color w:val="auto"/>
                <w:szCs w:val="21"/>
                <w:highlight w:val="none"/>
              </w:rPr>
              <w:t>服务机构名称</w:t>
            </w:r>
          </w:p>
        </w:tc>
        <w:tc>
          <w:tcPr>
            <w:tcW w:w="1080" w:type="dxa"/>
            <w:noWrap w:val="0"/>
            <w:vAlign w:val="center"/>
          </w:tcPr>
          <w:p w14:paraId="2D59A8F5">
            <w:pPr>
              <w:spacing w:line="480" w:lineRule="exact"/>
              <w:jc w:val="center"/>
              <w:rPr>
                <w:rFonts w:hint="eastAsia" w:ascii="宋体" w:hAnsi="宋体"/>
                <w:b/>
                <w:color w:val="auto"/>
                <w:szCs w:val="21"/>
                <w:highlight w:val="none"/>
              </w:rPr>
            </w:pPr>
            <w:r>
              <w:rPr>
                <w:rFonts w:hint="eastAsia" w:ascii="宋体" w:hAnsi="宋体"/>
                <w:b/>
                <w:color w:val="auto"/>
                <w:szCs w:val="21"/>
                <w:highlight w:val="none"/>
              </w:rPr>
              <w:t>所在地</w:t>
            </w:r>
          </w:p>
        </w:tc>
        <w:tc>
          <w:tcPr>
            <w:tcW w:w="1260" w:type="dxa"/>
            <w:noWrap w:val="0"/>
            <w:vAlign w:val="center"/>
          </w:tcPr>
          <w:p w14:paraId="68300A57">
            <w:pPr>
              <w:spacing w:line="480" w:lineRule="exact"/>
              <w:jc w:val="center"/>
              <w:rPr>
                <w:rFonts w:hint="eastAsia" w:ascii="宋体" w:hAnsi="宋体"/>
                <w:b/>
                <w:color w:val="auto"/>
                <w:szCs w:val="21"/>
                <w:highlight w:val="none"/>
              </w:rPr>
            </w:pPr>
            <w:r>
              <w:rPr>
                <w:rFonts w:hint="eastAsia" w:ascii="宋体" w:hAnsi="宋体"/>
                <w:b/>
                <w:color w:val="auto"/>
                <w:szCs w:val="21"/>
                <w:highlight w:val="none"/>
              </w:rPr>
              <w:t>联系人</w:t>
            </w:r>
          </w:p>
        </w:tc>
        <w:tc>
          <w:tcPr>
            <w:tcW w:w="1516" w:type="dxa"/>
            <w:noWrap w:val="0"/>
            <w:vAlign w:val="center"/>
          </w:tcPr>
          <w:p w14:paraId="6BD5C8FC">
            <w:pPr>
              <w:spacing w:line="480" w:lineRule="exact"/>
              <w:jc w:val="center"/>
              <w:rPr>
                <w:rFonts w:hint="eastAsia" w:ascii="宋体" w:hAnsi="宋体"/>
                <w:b/>
                <w:color w:val="auto"/>
                <w:szCs w:val="21"/>
                <w:highlight w:val="none"/>
              </w:rPr>
            </w:pPr>
            <w:r>
              <w:rPr>
                <w:rFonts w:hint="eastAsia" w:ascii="宋体" w:hAnsi="宋体"/>
                <w:b/>
                <w:color w:val="auto"/>
                <w:szCs w:val="21"/>
                <w:highlight w:val="none"/>
              </w:rPr>
              <w:t>联系电话</w:t>
            </w:r>
          </w:p>
        </w:tc>
        <w:tc>
          <w:tcPr>
            <w:tcW w:w="2548" w:type="dxa"/>
            <w:noWrap w:val="0"/>
            <w:vAlign w:val="center"/>
          </w:tcPr>
          <w:p w14:paraId="7C4CDC17">
            <w:pPr>
              <w:spacing w:line="480" w:lineRule="exact"/>
              <w:jc w:val="center"/>
              <w:rPr>
                <w:rFonts w:hint="eastAsia" w:ascii="宋体" w:hAnsi="宋体"/>
                <w:b/>
                <w:color w:val="auto"/>
                <w:szCs w:val="21"/>
                <w:highlight w:val="none"/>
              </w:rPr>
            </w:pPr>
            <w:r>
              <w:rPr>
                <w:rFonts w:hint="eastAsia" w:ascii="宋体" w:hAnsi="宋体"/>
                <w:b/>
                <w:color w:val="auto"/>
                <w:szCs w:val="21"/>
                <w:highlight w:val="none"/>
              </w:rPr>
              <w:t>地 址</w:t>
            </w:r>
          </w:p>
        </w:tc>
      </w:tr>
      <w:tr w14:paraId="1951817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2434" w:type="dxa"/>
            <w:noWrap w:val="0"/>
            <w:vAlign w:val="center"/>
          </w:tcPr>
          <w:p w14:paraId="71B46B52">
            <w:pPr>
              <w:spacing w:line="480" w:lineRule="exact"/>
              <w:jc w:val="center"/>
              <w:rPr>
                <w:rFonts w:ascii="宋体" w:hAnsi="宋体"/>
                <w:color w:val="auto"/>
                <w:highlight w:val="none"/>
              </w:rPr>
            </w:pPr>
          </w:p>
        </w:tc>
        <w:tc>
          <w:tcPr>
            <w:tcW w:w="1080" w:type="dxa"/>
            <w:noWrap w:val="0"/>
            <w:vAlign w:val="center"/>
          </w:tcPr>
          <w:p w14:paraId="13ED637F">
            <w:pPr>
              <w:spacing w:line="480" w:lineRule="exact"/>
              <w:jc w:val="center"/>
              <w:rPr>
                <w:rFonts w:ascii="宋体" w:hAnsi="宋体"/>
                <w:color w:val="auto"/>
                <w:highlight w:val="none"/>
              </w:rPr>
            </w:pPr>
          </w:p>
        </w:tc>
        <w:tc>
          <w:tcPr>
            <w:tcW w:w="1260" w:type="dxa"/>
            <w:noWrap w:val="0"/>
            <w:vAlign w:val="center"/>
          </w:tcPr>
          <w:p w14:paraId="03BFD8B2">
            <w:pPr>
              <w:spacing w:line="480" w:lineRule="exact"/>
              <w:jc w:val="center"/>
              <w:rPr>
                <w:rFonts w:ascii="宋体" w:hAnsi="宋体"/>
                <w:color w:val="auto"/>
                <w:highlight w:val="none"/>
              </w:rPr>
            </w:pPr>
          </w:p>
        </w:tc>
        <w:tc>
          <w:tcPr>
            <w:tcW w:w="1516" w:type="dxa"/>
            <w:noWrap w:val="0"/>
            <w:vAlign w:val="center"/>
          </w:tcPr>
          <w:p w14:paraId="7AF74C6F">
            <w:pPr>
              <w:spacing w:line="480" w:lineRule="exact"/>
              <w:jc w:val="center"/>
              <w:rPr>
                <w:rFonts w:ascii="宋体" w:hAnsi="宋体"/>
                <w:color w:val="auto"/>
                <w:highlight w:val="none"/>
              </w:rPr>
            </w:pPr>
          </w:p>
        </w:tc>
        <w:tc>
          <w:tcPr>
            <w:tcW w:w="2548" w:type="dxa"/>
            <w:noWrap w:val="0"/>
            <w:vAlign w:val="center"/>
          </w:tcPr>
          <w:p w14:paraId="0E1FCD84">
            <w:pPr>
              <w:spacing w:line="480" w:lineRule="exact"/>
              <w:jc w:val="center"/>
              <w:rPr>
                <w:rFonts w:ascii="宋体" w:hAnsi="宋体"/>
                <w:color w:val="auto"/>
                <w:highlight w:val="none"/>
              </w:rPr>
            </w:pPr>
          </w:p>
        </w:tc>
      </w:tr>
      <w:tr w14:paraId="6510B0F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66" w:hRule="atLeast"/>
          <w:jc w:val="center"/>
        </w:trPr>
        <w:tc>
          <w:tcPr>
            <w:tcW w:w="2434" w:type="dxa"/>
            <w:noWrap w:val="0"/>
            <w:vAlign w:val="center"/>
          </w:tcPr>
          <w:p w14:paraId="2AEEAD8F">
            <w:pPr>
              <w:spacing w:line="480" w:lineRule="exact"/>
              <w:jc w:val="center"/>
              <w:rPr>
                <w:rFonts w:ascii="宋体" w:hAnsi="宋体"/>
                <w:color w:val="auto"/>
                <w:highlight w:val="none"/>
              </w:rPr>
            </w:pPr>
          </w:p>
        </w:tc>
        <w:tc>
          <w:tcPr>
            <w:tcW w:w="1080" w:type="dxa"/>
            <w:noWrap w:val="0"/>
            <w:vAlign w:val="center"/>
          </w:tcPr>
          <w:p w14:paraId="1265C883">
            <w:pPr>
              <w:spacing w:line="480" w:lineRule="exact"/>
              <w:jc w:val="center"/>
              <w:rPr>
                <w:rFonts w:ascii="宋体" w:hAnsi="宋体"/>
                <w:color w:val="auto"/>
                <w:highlight w:val="none"/>
              </w:rPr>
            </w:pPr>
          </w:p>
        </w:tc>
        <w:tc>
          <w:tcPr>
            <w:tcW w:w="1260" w:type="dxa"/>
            <w:noWrap w:val="0"/>
            <w:vAlign w:val="center"/>
          </w:tcPr>
          <w:p w14:paraId="32030E0D">
            <w:pPr>
              <w:spacing w:line="480" w:lineRule="exact"/>
              <w:jc w:val="center"/>
              <w:rPr>
                <w:rFonts w:ascii="宋体" w:hAnsi="宋体"/>
                <w:color w:val="auto"/>
                <w:highlight w:val="none"/>
              </w:rPr>
            </w:pPr>
          </w:p>
        </w:tc>
        <w:tc>
          <w:tcPr>
            <w:tcW w:w="1516" w:type="dxa"/>
            <w:noWrap w:val="0"/>
            <w:vAlign w:val="center"/>
          </w:tcPr>
          <w:p w14:paraId="1B275278">
            <w:pPr>
              <w:spacing w:line="480" w:lineRule="exact"/>
              <w:jc w:val="center"/>
              <w:rPr>
                <w:rFonts w:ascii="宋体" w:hAnsi="宋体"/>
                <w:color w:val="auto"/>
                <w:highlight w:val="none"/>
              </w:rPr>
            </w:pPr>
          </w:p>
        </w:tc>
        <w:tc>
          <w:tcPr>
            <w:tcW w:w="2548" w:type="dxa"/>
            <w:noWrap w:val="0"/>
            <w:vAlign w:val="center"/>
          </w:tcPr>
          <w:p w14:paraId="78D0EA9B">
            <w:pPr>
              <w:spacing w:line="480" w:lineRule="exact"/>
              <w:jc w:val="center"/>
              <w:rPr>
                <w:rFonts w:ascii="宋体" w:hAnsi="宋体"/>
                <w:color w:val="auto"/>
                <w:highlight w:val="none"/>
              </w:rPr>
            </w:pPr>
          </w:p>
        </w:tc>
      </w:tr>
      <w:tr w14:paraId="5A1960C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66" w:hRule="atLeast"/>
          <w:jc w:val="center"/>
        </w:trPr>
        <w:tc>
          <w:tcPr>
            <w:tcW w:w="2434" w:type="dxa"/>
            <w:noWrap w:val="0"/>
            <w:vAlign w:val="center"/>
          </w:tcPr>
          <w:p w14:paraId="1FA84C1F">
            <w:pPr>
              <w:spacing w:line="480" w:lineRule="exact"/>
              <w:jc w:val="center"/>
              <w:rPr>
                <w:rFonts w:ascii="宋体" w:hAnsi="宋体"/>
                <w:color w:val="auto"/>
                <w:highlight w:val="none"/>
              </w:rPr>
            </w:pPr>
          </w:p>
        </w:tc>
        <w:tc>
          <w:tcPr>
            <w:tcW w:w="1080" w:type="dxa"/>
            <w:noWrap w:val="0"/>
            <w:vAlign w:val="center"/>
          </w:tcPr>
          <w:p w14:paraId="27B8537F">
            <w:pPr>
              <w:spacing w:line="480" w:lineRule="exact"/>
              <w:jc w:val="center"/>
              <w:rPr>
                <w:rFonts w:ascii="宋体" w:hAnsi="宋体"/>
                <w:color w:val="auto"/>
                <w:highlight w:val="none"/>
              </w:rPr>
            </w:pPr>
          </w:p>
        </w:tc>
        <w:tc>
          <w:tcPr>
            <w:tcW w:w="1260" w:type="dxa"/>
            <w:noWrap w:val="0"/>
            <w:vAlign w:val="center"/>
          </w:tcPr>
          <w:p w14:paraId="213CCAF8">
            <w:pPr>
              <w:spacing w:line="480" w:lineRule="exact"/>
              <w:jc w:val="center"/>
              <w:rPr>
                <w:rFonts w:ascii="宋体" w:hAnsi="宋体"/>
                <w:color w:val="auto"/>
                <w:highlight w:val="none"/>
              </w:rPr>
            </w:pPr>
          </w:p>
        </w:tc>
        <w:tc>
          <w:tcPr>
            <w:tcW w:w="1516" w:type="dxa"/>
            <w:noWrap w:val="0"/>
            <w:vAlign w:val="center"/>
          </w:tcPr>
          <w:p w14:paraId="422FFC4A">
            <w:pPr>
              <w:spacing w:line="480" w:lineRule="exact"/>
              <w:jc w:val="center"/>
              <w:rPr>
                <w:rFonts w:ascii="宋体" w:hAnsi="宋体"/>
                <w:color w:val="auto"/>
                <w:highlight w:val="none"/>
              </w:rPr>
            </w:pPr>
          </w:p>
        </w:tc>
        <w:tc>
          <w:tcPr>
            <w:tcW w:w="2548" w:type="dxa"/>
            <w:noWrap w:val="0"/>
            <w:vAlign w:val="center"/>
          </w:tcPr>
          <w:p w14:paraId="28499838">
            <w:pPr>
              <w:spacing w:line="480" w:lineRule="exact"/>
              <w:jc w:val="center"/>
              <w:rPr>
                <w:rFonts w:ascii="宋体" w:hAnsi="宋体"/>
                <w:color w:val="auto"/>
                <w:highlight w:val="none"/>
              </w:rPr>
            </w:pPr>
          </w:p>
        </w:tc>
      </w:tr>
      <w:tr w14:paraId="496B3B0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434" w:type="dxa"/>
            <w:noWrap w:val="0"/>
            <w:vAlign w:val="center"/>
          </w:tcPr>
          <w:p w14:paraId="18B1AA5C">
            <w:pPr>
              <w:spacing w:line="480" w:lineRule="exact"/>
              <w:jc w:val="center"/>
              <w:rPr>
                <w:rFonts w:ascii="宋体" w:hAnsi="宋体"/>
                <w:color w:val="auto"/>
                <w:highlight w:val="none"/>
              </w:rPr>
            </w:pPr>
          </w:p>
        </w:tc>
        <w:tc>
          <w:tcPr>
            <w:tcW w:w="1080" w:type="dxa"/>
            <w:noWrap w:val="0"/>
            <w:vAlign w:val="center"/>
          </w:tcPr>
          <w:p w14:paraId="75ECCE54">
            <w:pPr>
              <w:spacing w:line="480" w:lineRule="exact"/>
              <w:jc w:val="center"/>
              <w:rPr>
                <w:rFonts w:ascii="宋体" w:hAnsi="宋体"/>
                <w:color w:val="auto"/>
                <w:highlight w:val="none"/>
              </w:rPr>
            </w:pPr>
          </w:p>
        </w:tc>
        <w:tc>
          <w:tcPr>
            <w:tcW w:w="1260" w:type="dxa"/>
            <w:noWrap w:val="0"/>
            <w:vAlign w:val="center"/>
          </w:tcPr>
          <w:p w14:paraId="647DD850">
            <w:pPr>
              <w:spacing w:line="480" w:lineRule="exact"/>
              <w:jc w:val="center"/>
              <w:rPr>
                <w:rFonts w:ascii="宋体" w:hAnsi="宋体"/>
                <w:color w:val="auto"/>
                <w:highlight w:val="none"/>
              </w:rPr>
            </w:pPr>
          </w:p>
        </w:tc>
        <w:tc>
          <w:tcPr>
            <w:tcW w:w="1516" w:type="dxa"/>
            <w:noWrap w:val="0"/>
            <w:vAlign w:val="center"/>
          </w:tcPr>
          <w:p w14:paraId="66B5D3CB">
            <w:pPr>
              <w:spacing w:line="480" w:lineRule="exact"/>
              <w:jc w:val="center"/>
              <w:rPr>
                <w:rFonts w:ascii="宋体" w:hAnsi="宋体"/>
                <w:color w:val="auto"/>
                <w:highlight w:val="none"/>
              </w:rPr>
            </w:pPr>
          </w:p>
        </w:tc>
        <w:tc>
          <w:tcPr>
            <w:tcW w:w="2548" w:type="dxa"/>
            <w:noWrap w:val="0"/>
            <w:vAlign w:val="center"/>
          </w:tcPr>
          <w:p w14:paraId="11E6D389">
            <w:pPr>
              <w:spacing w:line="480" w:lineRule="exact"/>
              <w:jc w:val="center"/>
              <w:rPr>
                <w:rFonts w:ascii="宋体" w:hAnsi="宋体"/>
                <w:color w:val="auto"/>
                <w:highlight w:val="none"/>
              </w:rPr>
            </w:pPr>
          </w:p>
        </w:tc>
      </w:tr>
      <w:tr w14:paraId="78B6661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434" w:type="dxa"/>
            <w:noWrap w:val="0"/>
            <w:vAlign w:val="center"/>
          </w:tcPr>
          <w:p w14:paraId="27E5F191">
            <w:pPr>
              <w:spacing w:line="480" w:lineRule="exact"/>
              <w:jc w:val="center"/>
              <w:rPr>
                <w:rFonts w:ascii="宋体" w:hAnsi="宋体"/>
                <w:color w:val="auto"/>
                <w:highlight w:val="none"/>
              </w:rPr>
            </w:pPr>
          </w:p>
        </w:tc>
        <w:tc>
          <w:tcPr>
            <w:tcW w:w="1080" w:type="dxa"/>
            <w:noWrap w:val="0"/>
            <w:vAlign w:val="center"/>
          </w:tcPr>
          <w:p w14:paraId="3CCB27A1">
            <w:pPr>
              <w:spacing w:line="480" w:lineRule="exact"/>
              <w:jc w:val="center"/>
              <w:rPr>
                <w:rFonts w:ascii="宋体" w:hAnsi="宋体"/>
                <w:color w:val="auto"/>
                <w:highlight w:val="none"/>
              </w:rPr>
            </w:pPr>
          </w:p>
        </w:tc>
        <w:tc>
          <w:tcPr>
            <w:tcW w:w="1260" w:type="dxa"/>
            <w:noWrap w:val="0"/>
            <w:vAlign w:val="center"/>
          </w:tcPr>
          <w:p w14:paraId="1281B858">
            <w:pPr>
              <w:spacing w:line="480" w:lineRule="exact"/>
              <w:jc w:val="center"/>
              <w:rPr>
                <w:rFonts w:ascii="宋体" w:hAnsi="宋体"/>
                <w:color w:val="auto"/>
                <w:highlight w:val="none"/>
              </w:rPr>
            </w:pPr>
          </w:p>
        </w:tc>
        <w:tc>
          <w:tcPr>
            <w:tcW w:w="1516" w:type="dxa"/>
            <w:noWrap w:val="0"/>
            <w:vAlign w:val="center"/>
          </w:tcPr>
          <w:p w14:paraId="7B085938">
            <w:pPr>
              <w:spacing w:line="480" w:lineRule="exact"/>
              <w:jc w:val="center"/>
              <w:rPr>
                <w:rFonts w:ascii="宋体" w:hAnsi="宋体"/>
                <w:color w:val="auto"/>
                <w:highlight w:val="none"/>
              </w:rPr>
            </w:pPr>
          </w:p>
        </w:tc>
        <w:tc>
          <w:tcPr>
            <w:tcW w:w="2548" w:type="dxa"/>
            <w:noWrap w:val="0"/>
            <w:vAlign w:val="center"/>
          </w:tcPr>
          <w:p w14:paraId="220D6938">
            <w:pPr>
              <w:spacing w:line="480" w:lineRule="exact"/>
              <w:jc w:val="center"/>
              <w:rPr>
                <w:rFonts w:ascii="宋体" w:hAnsi="宋体"/>
                <w:color w:val="auto"/>
                <w:highlight w:val="none"/>
              </w:rPr>
            </w:pPr>
          </w:p>
        </w:tc>
      </w:tr>
      <w:tr w14:paraId="3965BCF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434" w:type="dxa"/>
            <w:noWrap w:val="0"/>
            <w:vAlign w:val="center"/>
          </w:tcPr>
          <w:p w14:paraId="4FE18D72">
            <w:pPr>
              <w:spacing w:line="480" w:lineRule="exact"/>
              <w:jc w:val="center"/>
              <w:rPr>
                <w:rFonts w:ascii="宋体" w:hAnsi="宋体"/>
                <w:color w:val="auto"/>
                <w:highlight w:val="none"/>
              </w:rPr>
            </w:pPr>
          </w:p>
        </w:tc>
        <w:tc>
          <w:tcPr>
            <w:tcW w:w="1080" w:type="dxa"/>
            <w:noWrap w:val="0"/>
            <w:vAlign w:val="center"/>
          </w:tcPr>
          <w:p w14:paraId="5F4C0723">
            <w:pPr>
              <w:spacing w:line="480" w:lineRule="exact"/>
              <w:jc w:val="center"/>
              <w:rPr>
                <w:rFonts w:ascii="宋体" w:hAnsi="宋体"/>
                <w:color w:val="auto"/>
                <w:highlight w:val="none"/>
              </w:rPr>
            </w:pPr>
          </w:p>
        </w:tc>
        <w:tc>
          <w:tcPr>
            <w:tcW w:w="1260" w:type="dxa"/>
            <w:noWrap w:val="0"/>
            <w:vAlign w:val="center"/>
          </w:tcPr>
          <w:p w14:paraId="5209E544">
            <w:pPr>
              <w:spacing w:line="480" w:lineRule="exact"/>
              <w:jc w:val="center"/>
              <w:rPr>
                <w:rFonts w:ascii="宋体" w:hAnsi="宋体"/>
                <w:color w:val="auto"/>
                <w:highlight w:val="none"/>
              </w:rPr>
            </w:pPr>
          </w:p>
        </w:tc>
        <w:tc>
          <w:tcPr>
            <w:tcW w:w="1516" w:type="dxa"/>
            <w:noWrap w:val="0"/>
            <w:vAlign w:val="center"/>
          </w:tcPr>
          <w:p w14:paraId="7356D175">
            <w:pPr>
              <w:spacing w:line="480" w:lineRule="exact"/>
              <w:jc w:val="center"/>
              <w:rPr>
                <w:rFonts w:ascii="宋体" w:hAnsi="宋体"/>
                <w:color w:val="auto"/>
                <w:highlight w:val="none"/>
              </w:rPr>
            </w:pPr>
          </w:p>
        </w:tc>
        <w:tc>
          <w:tcPr>
            <w:tcW w:w="2548" w:type="dxa"/>
            <w:noWrap w:val="0"/>
            <w:vAlign w:val="center"/>
          </w:tcPr>
          <w:p w14:paraId="11F7E6E5">
            <w:pPr>
              <w:spacing w:line="480" w:lineRule="exact"/>
              <w:jc w:val="center"/>
              <w:rPr>
                <w:rFonts w:ascii="宋体" w:hAnsi="宋体"/>
                <w:color w:val="auto"/>
                <w:highlight w:val="none"/>
              </w:rPr>
            </w:pPr>
          </w:p>
        </w:tc>
      </w:tr>
      <w:tr w14:paraId="4876766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434" w:type="dxa"/>
            <w:noWrap w:val="0"/>
            <w:vAlign w:val="center"/>
          </w:tcPr>
          <w:p w14:paraId="3A333887">
            <w:pPr>
              <w:spacing w:line="480" w:lineRule="exact"/>
              <w:jc w:val="center"/>
              <w:rPr>
                <w:rFonts w:ascii="宋体" w:hAnsi="宋体"/>
                <w:color w:val="auto"/>
                <w:highlight w:val="none"/>
              </w:rPr>
            </w:pPr>
          </w:p>
        </w:tc>
        <w:tc>
          <w:tcPr>
            <w:tcW w:w="1080" w:type="dxa"/>
            <w:noWrap w:val="0"/>
            <w:vAlign w:val="center"/>
          </w:tcPr>
          <w:p w14:paraId="132DCF4B">
            <w:pPr>
              <w:spacing w:line="480" w:lineRule="exact"/>
              <w:jc w:val="center"/>
              <w:rPr>
                <w:rFonts w:ascii="宋体" w:hAnsi="宋体"/>
                <w:color w:val="auto"/>
                <w:highlight w:val="none"/>
              </w:rPr>
            </w:pPr>
          </w:p>
        </w:tc>
        <w:tc>
          <w:tcPr>
            <w:tcW w:w="1260" w:type="dxa"/>
            <w:noWrap w:val="0"/>
            <w:vAlign w:val="center"/>
          </w:tcPr>
          <w:p w14:paraId="7A6DAFDC">
            <w:pPr>
              <w:spacing w:line="480" w:lineRule="exact"/>
              <w:jc w:val="center"/>
              <w:rPr>
                <w:rFonts w:ascii="宋体" w:hAnsi="宋体"/>
                <w:color w:val="auto"/>
                <w:highlight w:val="none"/>
              </w:rPr>
            </w:pPr>
          </w:p>
        </w:tc>
        <w:tc>
          <w:tcPr>
            <w:tcW w:w="1516" w:type="dxa"/>
            <w:noWrap w:val="0"/>
            <w:vAlign w:val="center"/>
          </w:tcPr>
          <w:p w14:paraId="076577EC">
            <w:pPr>
              <w:spacing w:line="480" w:lineRule="exact"/>
              <w:jc w:val="center"/>
              <w:rPr>
                <w:rFonts w:ascii="宋体" w:hAnsi="宋体"/>
                <w:color w:val="auto"/>
                <w:highlight w:val="none"/>
              </w:rPr>
            </w:pPr>
          </w:p>
        </w:tc>
        <w:tc>
          <w:tcPr>
            <w:tcW w:w="2548" w:type="dxa"/>
            <w:noWrap w:val="0"/>
            <w:vAlign w:val="center"/>
          </w:tcPr>
          <w:p w14:paraId="264B1DF7">
            <w:pPr>
              <w:spacing w:line="480" w:lineRule="exact"/>
              <w:jc w:val="center"/>
              <w:rPr>
                <w:rFonts w:ascii="宋体" w:hAnsi="宋体"/>
                <w:color w:val="auto"/>
                <w:highlight w:val="none"/>
              </w:rPr>
            </w:pPr>
          </w:p>
        </w:tc>
      </w:tr>
      <w:tr w14:paraId="46CB083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434" w:type="dxa"/>
            <w:noWrap w:val="0"/>
            <w:vAlign w:val="center"/>
          </w:tcPr>
          <w:p w14:paraId="7563C2AA">
            <w:pPr>
              <w:spacing w:line="480" w:lineRule="exact"/>
              <w:jc w:val="center"/>
              <w:rPr>
                <w:rFonts w:ascii="宋体" w:hAnsi="宋体"/>
                <w:color w:val="auto"/>
                <w:highlight w:val="none"/>
              </w:rPr>
            </w:pPr>
          </w:p>
        </w:tc>
        <w:tc>
          <w:tcPr>
            <w:tcW w:w="1080" w:type="dxa"/>
            <w:noWrap w:val="0"/>
            <w:vAlign w:val="center"/>
          </w:tcPr>
          <w:p w14:paraId="235463D3">
            <w:pPr>
              <w:spacing w:line="480" w:lineRule="exact"/>
              <w:jc w:val="center"/>
              <w:rPr>
                <w:rFonts w:ascii="宋体" w:hAnsi="宋体"/>
                <w:color w:val="auto"/>
                <w:highlight w:val="none"/>
              </w:rPr>
            </w:pPr>
          </w:p>
        </w:tc>
        <w:tc>
          <w:tcPr>
            <w:tcW w:w="1260" w:type="dxa"/>
            <w:noWrap w:val="0"/>
            <w:vAlign w:val="center"/>
          </w:tcPr>
          <w:p w14:paraId="03AA9587">
            <w:pPr>
              <w:spacing w:line="480" w:lineRule="exact"/>
              <w:jc w:val="center"/>
              <w:rPr>
                <w:rFonts w:ascii="宋体" w:hAnsi="宋体"/>
                <w:color w:val="auto"/>
                <w:highlight w:val="none"/>
              </w:rPr>
            </w:pPr>
          </w:p>
        </w:tc>
        <w:tc>
          <w:tcPr>
            <w:tcW w:w="1516" w:type="dxa"/>
            <w:noWrap w:val="0"/>
            <w:vAlign w:val="center"/>
          </w:tcPr>
          <w:p w14:paraId="5E4C1783">
            <w:pPr>
              <w:spacing w:line="480" w:lineRule="exact"/>
              <w:jc w:val="center"/>
              <w:rPr>
                <w:rFonts w:ascii="宋体" w:hAnsi="宋体"/>
                <w:color w:val="auto"/>
                <w:highlight w:val="none"/>
              </w:rPr>
            </w:pPr>
          </w:p>
        </w:tc>
        <w:tc>
          <w:tcPr>
            <w:tcW w:w="2548" w:type="dxa"/>
            <w:noWrap w:val="0"/>
            <w:vAlign w:val="center"/>
          </w:tcPr>
          <w:p w14:paraId="732DC09F">
            <w:pPr>
              <w:spacing w:line="480" w:lineRule="exact"/>
              <w:jc w:val="center"/>
              <w:rPr>
                <w:rFonts w:ascii="宋体" w:hAnsi="宋体"/>
                <w:color w:val="auto"/>
                <w:highlight w:val="none"/>
              </w:rPr>
            </w:pPr>
          </w:p>
        </w:tc>
      </w:tr>
      <w:tr w14:paraId="7CDC548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434" w:type="dxa"/>
            <w:noWrap w:val="0"/>
            <w:vAlign w:val="center"/>
          </w:tcPr>
          <w:p w14:paraId="05555D48">
            <w:pPr>
              <w:spacing w:line="480" w:lineRule="exact"/>
              <w:jc w:val="center"/>
              <w:rPr>
                <w:rFonts w:ascii="宋体" w:hAnsi="宋体"/>
                <w:color w:val="auto"/>
                <w:highlight w:val="none"/>
              </w:rPr>
            </w:pPr>
          </w:p>
        </w:tc>
        <w:tc>
          <w:tcPr>
            <w:tcW w:w="1080" w:type="dxa"/>
            <w:noWrap w:val="0"/>
            <w:vAlign w:val="center"/>
          </w:tcPr>
          <w:p w14:paraId="581D2D27">
            <w:pPr>
              <w:spacing w:line="480" w:lineRule="exact"/>
              <w:jc w:val="center"/>
              <w:rPr>
                <w:rFonts w:ascii="宋体" w:hAnsi="宋体"/>
                <w:color w:val="auto"/>
                <w:highlight w:val="none"/>
              </w:rPr>
            </w:pPr>
          </w:p>
        </w:tc>
        <w:tc>
          <w:tcPr>
            <w:tcW w:w="1260" w:type="dxa"/>
            <w:noWrap w:val="0"/>
            <w:vAlign w:val="center"/>
          </w:tcPr>
          <w:p w14:paraId="32D74C0F">
            <w:pPr>
              <w:spacing w:line="480" w:lineRule="exact"/>
              <w:jc w:val="center"/>
              <w:rPr>
                <w:rFonts w:ascii="宋体" w:hAnsi="宋体"/>
                <w:color w:val="auto"/>
                <w:highlight w:val="none"/>
              </w:rPr>
            </w:pPr>
          </w:p>
        </w:tc>
        <w:tc>
          <w:tcPr>
            <w:tcW w:w="1516" w:type="dxa"/>
            <w:noWrap w:val="0"/>
            <w:vAlign w:val="center"/>
          </w:tcPr>
          <w:p w14:paraId="250454B3">
            <w:pPr>
              <w:spacing w:line="480" w:lineRule="exact"/>
              <w:jc w:val="center"/>
              <w:rPr>
                <w:rFonts w:ascii="宋体" w:hAnsi="宋体"/>
                <w:color w:val="auto"/>
                <w:highlight w:val="none"/>
              </w:rPr>
            </w:pPr>
          </w:p>
        </w:tc>
        <w:tc>
          <w:tcPr>
            <w:tcW w:w="2548" w:type="dxa"/>
            <w:noWrap w:val="0"/>
            <w:vAlign w:val="center"/>
          </w:tcPr>
          <w:p w14:paraId="1BE4010D">
            <w:pPr>
              <w:spacing w:line="480" w:lineRule="exact"/>
              <w:jc w:val="center"/>
              <w:rPr>
                <w:rFonts w:ascii="宋体" w:hAnsi="宋体"/>
                <w:color w:val="auto"/>
                <w:highlight w:val="none"/>
              </w:rPr>
            </w:pPr>
          </w:p>
        </w:tc>
      </w:tr>
      <w:tr w14:paraId="497DE77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434" w:type="dxa"/>
            <w:noWrap w:val="0"/>
            <w:vAlign w:val="center"/>
          </w:tcPr>
          <w:p w14:paraId="39894AE1">
            <w:pPr>
              <w:spacing w:line="480" w:lineRule="exact"/>
              <w:jc w:val="center"/>
              <w:rPr>
                <w:rFonts w:ascii="宋体" w:hAnsi="宋体"/>
                <w:color w:val="auto"/>
                <w:highlight w:val="none"/>
              </w:rPr>
            </w:pPr>
          </w:p>
        </w:tc>
        <w:tc>
          <w:tcPr>
            <w:tcW w:w="1080" w:type="dxa"/>
            <w:noWrap w:val="0"/>
            <w:vAlign w:val="center"/>
          </w:tcPr>
          <w:p w14:paraId="21AFB930">
            <w:pPr>
              <w:spacing w:line="480" w:lineRule="exact"/>
              <w:jc w:val="center"/>
              <w:rPr>
                <w:rFonts w:ascii="宋体" w:hAnsi="宋体"/>
                <w:color w:val="auto"/>
                <w:highlight w:val="none"/>
              </w:rPr>
            </w:pPr>
          </w:p>
        </w:tc>
        <w:tc>
          <w:tcPr>
            <w:tcW w:w="1260" w:type="dxa"/>
            <w:noWrap w:val="0"/>
            <w:vAlign w:val="center"/>
          </w:tcPr>
          <w:p w14:paraId="7FB5AFF3">
            <w:pPr>
              <w:spacing w:line="480" w:lineRule="exact"/>
              <w:jc w:val="center"/>
              <w:rPr>
                <w:rFonts w:ascii="宋体" w:hAnsi="宋体"/>
                <w:color w:val="auto"/>
                <w:highlight w:val="none"/>
              </w:rPr>
            </w:pPr>
          </w:p>
        </w:tc>
        <w:tc>
          <w:tcPr>
            <w:tcW w:w="1516" w:type="dxa"/>
            <w:noWrap w:val="0"/>
            <w:vAlign w:val="center"/>
          </w:tcPr>
          <w:p w14:paraId="37B047FC">
            <w:pPr>
              <w:spacing w:line="480" w:lineRule="exact"/>
              <w:jc w:val="center"/>
              <w:rPr>
                <w:rFonts w:ascii="宋体" w:hAnsi="宋体"/>
                <w:color w:val="auto"/>
                <w:highlight w:val="none"/>
              </w:rPr>
            </w:pPr>
          </w:p>
        </w:tc>
        <w:tc>
          <w:tcPr>
            <w:tcW w:w="2548" w:type="dxa"/>
            <w:noWrap w:val="0"/>
            <w:vAlign w:val="center"/>
          </w:tcPr>
          <w:p w14:paraId="5819829D">
            <w:pPr>
              <w:spacing w:line="480" w:lineRule="exact"/>
              <w:jc w:val="center"/>
              <w:rPr>
                <w:rFonts w:ascii="宋体" w:hAnsi="宋体"/>
                <w:color w:val="auto"/>
                <w:highlight w:val="none"/>
              </w:rPr>
            </w:pPr>
          </w:p>
        </w:tc>
      </w:tr>
      <w:tr w14:paraId="5FF45F0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434" w:type="dxa"/>
            <w:noWrap w:val="0"/>
            <w:vAlign w:val="center"/>
          </w:tcPr>
          <w:p w14:paraId="4A71DA4A">
            <w:pPr>
              <w:spacing w:line="480" w:lineRule="exact"/>
              <w:jc w:val="center"/>
              <w:rPr>
                <w:rFonts w:ascii="宋体" w:hAnsi="宋体"/>
                <w:color w:val="auto"/>
                <w:highlight w:val="none"/>
              </w:rPr>
            </w:pPr>
          </w:p>
        </w:tc>
        <w:tc>
          <w:tcPr>
            <w:tcW w:w="1080" w:type="dxa"/>
            <w:noWrap w:val="0"/>
            <w:vAlign w:val="center"/>
          </w:tcPr>
          <w:p w14:paraId="52B95A84">
            <w:pPr>
              <w:spacing w:line="480" w:lineRule="exact"/>
              <w:jc w:val="center"/>
              <w:rPr>
                <w:rFonts w:ascii="宋体" w:hAnsi="宋体"/>
                <w:color w:val="auto"/>
                <w:highlight w:val="none"/>
              </w:rPr>
            </w:pPr>
          </w:p>
        </w:tc>
        <w:tc>
          <w:tcPr>
            <w:tcW w:w="1260" w:type="dxa"/>
            <w:noWrap w:val="0"/>
            <w:vAlign w:val="center"/>
          </w:tcPr>
          <w:p w14:paraId="36164FFB">
            <w:pPr>
              <w:spacing w:line="480" w:lineRule="exact"/>
              <w:jc w:val="center"/>
              <w:rPr>
                <w:rFonts w:ascii="宋体" w:hAnsi="宋体"/>
                <w:color w:val="auto"/>
                <w:highlight w:val="none"/>
              </w:rPr>
            </w:pPr>
          </w:p>
        </w:tc>
        <w:tc>
          <w:tcPr>
            <w:tcW w:w="1516" w:type="dxa"/>
            <w:noWrap w:val="0"/>
            <w:vAlign w:val="center"/>
          </w:tcPr>
          <w:p w14:paraId="76B02CC6">
            <w:pPr>
              <w:spacing w:line="480" w:lineRule="exact"/>
              <w:jc w:val="center"/>
              <w:rPr>
                <w:rFonts w:ascii="宋体" w:hAnsi="宋体"/>
                <w:color w:val="auto"/>
                <w:highlight w:val="none"/>
              </w:rPr>
            </w:pPr>
          </w:p>
        </w:tc>
        <w:tc>
          <w:tcPr>
            <w:tcW w:w="2548" w:type="dxa"/>
            <w:noWrap w:val="0"/>
            <w:vAlign w:val="center"/>
          </w:tcPr>
          <w:p w14:paraId="156360B9">
            <w:pPr>
              <w:spacing w:line="480" w:lineRule="exact"/>
              <w:jc w:val="center"/>
              <w:rPr>
                <w:rFonts w:ascii="宋体" w:hAnsi="宋体"/>
                <w:color w:val="auto"/>
                <w:highlight w:val="none"/>
              </w:rPr>
            </w:pPr>
          </w:p>
        </w:tc>
      </w:tr>
      <w:tr w14:paraId="1C929EE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434" w:type="dxa"/>
            <w:noWrap w:val="0"/>
            <w:vAlign w:val="center"/>
          </w:tcPr>
          <w:p w14:paraId="04FD87C4">
            <w:pPr>
              <w:spacing w:line="480" w:lineRule="exact"/>
              <w:jc w:val="center"/>
              <w:rPr>
                <w:rFonts w:ascii="宋体" w:hAnsi="宋体"/>
                <w:color w:val="auto"/>
                <w:highlight w:val="none"/>
              </w:rPr>
            </w:pPr>
          </w:p>
        </w:tc>
        <w:tc>
          <w:tcPr>
            <w:tcW w:w="1080" w:type="dxa"/>
            <w:noWrap w:val="0"/>
            <w:vAlign w:val="center"/>
          </w:tcPr>
          <w:p w14:paraId="019F5E52">
            <w:pPr>
              <w:spacing w:line="480" w:lineRule="exact"/>
              <w:jc w:val="center"/>
              <w:rPr>
                <w:rFonts w:ascii="宋体" w:hAnsi="宋体"/>
                <w:color w:val="auto"/>
                <w:highlight w:val="none"/>
              </w:rPr>
            </w:pPr>
          </w:p>
        </w:tc>
        <w:tc>
          <w:tcPr>
            <w:tcW w:w="1260" w:type="dxa"/>
            <w:noWrap w:val="0"/>
            <w:vAlign w:val="center"/>
          </w:tcPr>
          <w:p w14:paraId="37F281BF">
            <w:pPr>
              <w:spacing w:line="480" w:lineRule="exact"/>
              <w:jc w:val="center"/>
              <w:rPr>
                <w:rFonts w:ascii="宋体" w:hAnsi="宋体"/>
                <w:color w:val="auto"/>
                <w:highlight w:val="none"/>
              </w:rPr>
            </w:pPr>
          </w:p>
        </w:tc>
        <w:tc>
          <w:tcPr>
            <w:tcW w:w="1516" w:type="dxa"/>
            <w:noWrap w:val="0"/>
            <w:vAlign w:val="center"/>
          </w:tcPr>
          <w:p w14:paraId="51367D6A">
            <w:pPr>
              <w:spacing w:line="480" w:lineRule="exact"/>
              <w:jc w:val="center"/>
              <w:rPr>
                <w:rFonts w:ascii="宋体" w:hAnsi="宋体"/>
                <w:color w:val="auto"/>
                <w:highlight w:val="none"/>
              </w:rPr>
            </w:pPr>
          </w:p>
        </w:tc>
        <w:tc>
          <w:tcPr>
            <w:tcW w:w="2548" w:type="dxa"/>
            <w:noWrap w:val="0"/>
            <w:vAlign w:val="center"/>
          </w:tcPr>
          <w:p w14:paraId="2C460A44">
            <w:pPr>
              <w:spacing w:line="480" w:lineRule="exact"/>
              <w:jc w:val="center"/>
              <w:rPr>
                <w:rFonts w:ascii="宋体" w:hAnsi="宋体"/>
                <w:color w:val="auto"/>
                <w:highlight w:val="none"/>
              </w:rPr>
            </w:pPr>
          </w:p>
        </w:tc>
      </w:tr>
      <w:tr w14:paraId="4767CC7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434" w:type="dxa"/>
            <w:noWrap w:val="0"/>
            <w:vAlign w:val="center"/>
          </w:tcPr>
          <w:p w14:paraId="0D563FB8">
            <w:pPr>
              <w:spacing w:line="480" w:lineRule="exact"/>
              <w:jc w:val="center"/>
              <w:rPr>
                <w:rFonts w:ascii="宋体" w:hAnsi="宋体"/>
                <w:color w:val="auto"/>
                <w:highlight w:val="none"/>
              </w:rPr>
            </w:pPr>
          </w:p>
        </w:tc>
        <w:tc>
          <w:tcPr>
            <w:tcW w:w="1080" w:type="dxa"/>
            <w:noWrap w:val="0"/>
            <w:vAlign w:val="center"/>
          </w:tcPr>
          <w:p w14:paraId="0BF6CB2E">
            <w:pPr>
              <w:spacing w:line="480" w:lineRule="exact"/>
              <w:jc w:val="center"/>
              <w:rPr>
                <w:rFonts w:ascii="宋体" w:hAnsi="宋体"/>
                <w:color w:val="auto"/>
                <w:highlight w:val="none"/>
              </w:rPr>
            </w:pPr>
          </w:p>
        </w:tc>
        <w:tc>
          <w:tcPr>
            <w:tcW w:w="1260" w:type="dxa"/>
            <w:noWrap w:val="0"/>
            <w:vAlign w:val="center"/>
          </w:tcPr>
          <w:p w14:paraId="0020E179">
            <w:pPr>
              <w:spacing w:line="480" w:lineRule="exact"/>
              <w:jc w:val="center"/>
              <w:rPr>
                <w:rFonts w:ascii="宋体" w:hAnsi="宋体"/>
                <w:color w:val="auto"/>
                <w:highlight w:val="none"/>
              </w:rPr>
            </w:pPr>
          </w:p>
        </w:tc>
        <w:tc>
          <w:tcPr>
            <w:tcW w:w="1516" w:type="dxa"/>
            <w:noWrap w:val="0"/>
            <w:vAlign w:val="center"/>
          </w:tcPr>
          <w:p w14:paraId="48A2B233">
            <w:pPr>
              <w:spacing w:line="480" w:lineRule="exact"/>
              <w:jc w:val="center"/>
              <w:rPr>
                <w:rFonts w:ascii="宋体" w:hAnsi="宋体"/>
                <w:color w:val="auto"/>
                <w:highlight w:val="none"/>
              </w:rPr>
            </w:pPr>
          </w:p>
        </w:tc>
        <w:tc>
          <w:tcPr>
            <w:tcW w:w="2548" w:type="dxa"/>
            <w:noWrap w:val="0"/>
            <w:vAlign w:val="center"/>
          </w:tcPr>
          <w:p w14:paraId="49192A50">
            <w:pPr>
              <w:spacing w:line="480" w:lineRule="exact"/>
              <w:jc w:val="center"/>
              <w:rPr>
                <w:rFonts w:ascii="宋体" w:hAnsi="宋体"/>
                <w:color w:val="auto"/>
                <w:highlight w:val="none"/>
              </w:rPr>
            </w:pPr>
          </w:p>
        </w:tc>
      </w:tr>
      <w:tr w14:paraId="44D9396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434" w:type="dxa"/>
            <w:noWrap w:val="0"/>
            <w:vAlign w:val="center"/>
          </w:tcPr>
          <w:p w14:paraId="79DB4FE2">
            <w:pPr>
              <w:spacing w:line="480" w:lineRule="exact"/>
              <w:jc w:val="center"/>
              <w:rPr>
                <w:rFonts w:ascii="宋体" w:hAnsi="宋体"/>
                <w:color w:val="auto"/>
                <w:highlight w:val="none"/>
              </w:rPr>
            </w:pPr>
          </w:p>
        </w:tc>
        <w:tc>
          <w:tcPr>
            <w:tcW w:w="1080" w:type="dxa"/>
            <w:noWrap w:val="0"/>
            <w:vAlign w:val="center"/>
          </w:tcPr>
          <w:p w14:paraId="4A951AB0">
            <w:pPr>
              <w:spacing w:line="480" w:lineRule="exact"/>
              <w:jc w:val="center"/>
              <w:rPr>
                <w:rFonts w:ascii="宋体" w:hAnsi="宋体"/>
                <w:color w:val="auto"/>
                <w:highlight w:val="none"/>
              </w:rPr>
            </w:pPr>
          </w:p>
        </w:tc>
        <w:tc>
          <w:tcPr>
            <w:tcW w:w="1260" w:type="dxa"/>
            <w:noWrap w:val="0"/>
            <w:vAlign w:val="center"/>
          </w:tcPr>
          <w:p w14:paraId="697C2E30">
            <w:pPr>
              <w:spacing w:line="480" w:lineRule="exact"/>
              <w:jc w:val="center"/>
              <w:rPr>
                <w:rFonts w:ascii="宋体" w:hAnsi="宋体"/>
                <w:color w:val="auto"/>
                <w:highlight w:val="none"/>
              </w:rPr>
            </w:pPr>
          </w:p>
        </w:tc>
        <w:tc>
          <w:tcPr>
            <w:tcW w:w="1516" w:type="dxa"/>
            <w:noWrap w:val="0"/>
            <w:vAlign w:val="center"/>
          </w:tcPr>
          <w:p w14:paraId="2E7A8801">
            <w:pPr>
              <w:spacing w:line="480" w:lineRule="exact"/>
              <w:jc w:val="center"/>
              <w:rPr>
                <w:rFonts w:ascii="宋体" w:hAnsi="宋体"/>
                <w:color w:val="auto"/>
                <w:highlight w:val="none"/>
              </w:rPr>
            </w:pPr>
          </w:p>
        </w:tc>
        <w:tc>
          <w:tcPr>
            <w:tcW w:w="2548" w:type="dxa"/>
            <w:noWrap w:val="0"/>
            <w:vAlign w:val="center"/>
          </w:tcPr>
          <w:p w14:paraId="6ECDCA7D">
            <w:pPr>
              <w:spacing w:line="480" w:lineRule="exact"/>
              <w:jc w:val="center"/>
              <w:rPr>
                <w:rFonts w:ascii="宋体" w:hAnsi="宋体"/>
                <w:color w:val="auto"/>
                <w:highlight w:val="none"/>
              </w:rPr>
            </w:pPr>
          </w:p>
        </w:tc>
      </w:tr>
    </w:tbl>
    <w:p w14:paraId="330574EE">
      <w:pPr>
        <w:spacing w:before="240" w:beforeLines="100" w:line="360" w:lineRule="auto"/>
        <w:ind w:firstLine="409" w:firstLineChars="195"/>
        <w:rPr>
          <w:rFonts w:hint="eastAsia" w:ascii="楷体" w:hAnsi="楷体" w:eastAsia="楷体"/>
          <w:bCs/>
          <w:iCs/>
          <w:color w:val="auto"/>
          <w:highlight w:val="none"/>
        </w:rPr>
      </w:pPr>
      <w:r>
        <w:rPr>
          <w:rFonts w:hint="eastAsia" w:ascii="楷体" w:hAnsi="楷体" w:eastAsia="楷体"/>
          <w:bCs/>
          <w:iCs/>
          <w:color w:val="auto"/>
          <w:highlight w:val="none"/>
        </w:rPr>
        <w:t>注：采购人将核实中标人承诺的售后服务机构，如果不属实，则从扣除合同总额的2％作为违约处罚。</w:t>
      </w:r>
    </w:p>
    <w:p w14:paraId="562DF404">
      <w:pPr>
        <w:spacing w:before="240" w:beforeLines="100" w:line="360" w:lineRule="auto"/>
        <w:ind w:firstLine="409" w:firstLineChars="195"/>
        <w:rPr>
          <w:rFonts w:hint="eastAsia" w:ascii="仿宋_GB2312" w:hAnsi="宋体" w:eastAsia="仿宋_GB2312"/>
          <w:bCs/>
          <w:iCs/>
          <w:color w:val="auto"/>
          <w:highlight w:val="none"/>
        </w:rPr>
      </w:pPr>
    </w:p>
    <w:p w14:paraId="2EB2999A">
      <w:pPr>
        <w:spacing w:before="240" w:beforeLines="100" w:line="360" w:lineRule="auto"/>
        <w:ind w:firstLine="409" w:firstLineChars="195"/>
        <w:rPr>
          <w:rFonts w:hint="eastAsia" w:ascii="仿宋_GB2312" w:hAnsi="宋体" w:eastAsia="仿宋_GB2312"/>
          <w:bCs/>
          <w:iCs/>
          <w:color w:val="auto"/>
          <w:highlight w:val="none"/>
        </w:rPr>
      </w:pPr>
    </w:p>
    <w:p w14:paraId="02820340">
      <w:pPr>
        <w:pageBreakBefore/>
        <w:spacing w:line="360" w:lineRule="auto"/>
        <w:jc w:val="center"/>
        <w:rPr>
          <w:rFonts w:hint="eastAsia" w:ascii="宋体" w:hAnsi="宋体"/>
          <w:b/>
          <w:color w:val="auto"/>
          <w:sz w:val="36"/>
          <w:szCs w:val="36"/>
          <w:highlight w:val="none"/>
        </w:rPr>
      </w:pPr>
      <w:r>
        <w:rPr>
          <w:rFonts w:hint="eastAsia" w:ascii="宋体" w:hAnsi="宋体"/>
          <w:b/>
          <w:color w:val="auto"/>
          <w:sz w:val="36"/>
          <w:szCs w:val="36"/>
          <w:highlight w:val="none"/>
          <w:lang w:val="en-US" w:eastAsia="zh-CN"/>
        </w:rPr>
        <w:t>十</w:t>
      </w:r>
      <w:r>
        <w:rPr>
          <w:rFonts w:hint="eastAsia" w:ascii="宋体" w:hAnsi="宋体"/>
          <w:b/>
          <w:color w:val="auto"/>
          <w:sz w:val="36"/>
          <w:szCs w:val="36"/>
          <w:highlight w:val="none"/>
        </w:rPr>
        <w:t>、其他证明材料</w:t>
      </w:r>
    </w:p>
    <w:p w14:paraId="1F8CB7AB">
      <w:pPr>
        <w:spacing w:line="360" w:lineRule="auto"/>
        <w:rPr>
          <w:rFonts w:hint="eastAsia" w:ascii="楷体" w:hAnsi="楷体" w:eastAsia="楷体"/>
          <w:color w:val="auto"/>
          <w:szCs w:val="21"/>
          <w:highlight w:val="none"/>
        </w:rPr>
      </w:pPr>
      <w:r>
        <w:rPr>
          <w:rFonts w:hint="eastAsia" w:ascii="楷体" w:hAnsi="楷体" w:eastAsia="楷体"/>
          <w:color w:val="auto"/>
          <w:szCs w:val="21"/>
          <w:highlight w:val="none"/>
        </w:rPr>
        <w:t>说明：</w:t>
      </w:r>
    </w:p>
    <w:p w14:paraId="18E77797">
      <w:pPr>
        <w:spacing w:line="360" w:lineRule="auto"/>
        <w:ind w:firstLine="420" w:firstLineChars="200"/>
        <w:outlineLvl w:val="1"/>
        <w:rPr>
          <w:rFonts w:hint="eastAsia" w:ascii="楷体" w:hAnsi="楷体" w:eastAsia="楷体" w:cs="宋体"/>
          <w:bCs/>
          <w:color w:val="auto"/>
          <w:spacing w:val="6"/>
          <w:kern w:val="0"/>
          <w:szCs w:val="21"/>
          <w:highlight w:val="none"/>
        </w:rPr>
      </w:pPr>
      <w:bookmarkStart w:id="256" w:name="_Toc205"/>
      <w:r>
        <w:rPr>
          <w:rFonts w:hint="eastAsia" w:ascii="楷体" w:hAnsi="楷体" w:eastAsia="楷体"/>
          <w:color w:val="auto"/>
          <w:szCs w:val="21"/>
          <w:highlight w:val="none"/>
          <w:lang w:val="en-US" w:eastAsia="zh-CN"/>
        </w:rPr>
        <w:t>1</w:t>
      </w:r>
      <w:r>
        <w:rPr>
          <w:rFonts w:hint="eastAsia" w:ascii="楷体" w:hAnsi="楷体" w:eastAsia="楷体"/>
          <w:color w:val="auto"/>
          <w:szCs w:val="21"/>
          <w:highlight w:val="none"/>
        </w:rPr>
        <w:t>.</w:t>
      </w:r>
      <w:r>
        <w:rPr>
          <w:rFonts w:hint="eastAsia" w:ascii="楷体" w:hAnsi="楷体" w:eastAsia="楷体" w:cs="宋体"/>
          <w:bCs/>
          <w:color w:val="auto"/>
          <w:spacing w:val="6"/>
          <w:kern w:val="0"/>
          <w:szCs w:val="21"/>
          <w:highlight w:val="none"/>
        </w:rPr>
        <w:t>提供投标人</w:t>
      </w:r>
      <w:r>
        <w:rPr>
          <w:rFonts w:hint="eastAsia" w:ascii="楷体" w:hAnsi="楷体" w:eastAsia="楷体" w:cs="宋体"/>
          <w:bCs/>
          <w:color w:val="auto"/>
          <w:spacing w:val="6"/>
          <w:kern w:val="0"/>
          <w:szCs w:val="21"/>
          <w:highlight w:val="none"/>
          <w:lang w:val="en-US" w:eastAsia="zh-CN"/>
        </w:rPr>
        <w:t>2021年1月1日至今类似业绩</w:t>
      </w:r>
      <w:r>
        <w:rPr>
          <w:rFonts w:hint="eastAsia" w:ascii="楷体" w:hAnsi="楷体" w:eastAsia="楷体" w:cs="宋体"/>
          <w:bCs/>
          <w:color w:val="auto"/>
          <w:spacing w:val="6"/>
          <w:kern w:val="0"/>
          <w:szCs w:val="21"/>
          <w:highlight w:val="none"/>
        </w:rPr>
        <w:t>证明材料；</w:t>
      </w:r>
      <w:bookmarkEnd w:id="256"/>
    </w:p>
    <w:p w14:paraId="6820CBE7">
      <w:pPr>
        <w:tabs>
          <w:tab w:val="left" w:pos="3600"/>
        </w:tabs>
        <w:adjustRightInd w:val="0"/>
        <w:snapToGrid w:val="0"/>
        <w:ind w:firstLine="444" w:firstLineChars="200"/>
        <w:rPr>
          <w:rFonts w:hint="eastAsia" w:ascii="楷体" w:hAnsi="楷体" w:eastAsia="楷体" w:cs="宋体"/>
          <w:bCs/>
          <w:color w:val="auto"/>
          <w:spacing w:val="6"/>
          <w:kern w:val="0"/>
          <w:szCs w:val="21"/>
          <w:highlight w:val="none"/>
        </w:rPr>
      </w:pPr>
      <w:r>
        <w:rPr>
          <w:rFonts w:hint="eastAsia" w:ascii="楷体" w:hAnsi="楷体" w:eastAsia="楷体" w:cs="宋体"/>
          <w:bCs/>
          <w:color w:val="auto"/>
          <w:spacing w:val="6"/>
          <w:kern w:val="0"/>
          <w:szCs w:val="21"/>
          <w:highlight w:val="none"/>
          <w:lang w:val="en-US" w:eastAsia="zh-CN"/>
        </w:rPr>
        <w:t>2</w:t>
      </w:r>
      <w:r>
        <w:rPr>
          <w:rFonts w:hint="eastAsia" w:ascii="楷体" w:hAnsi="楷体" w:eastAsia="楷体" w:cs="宋体"/>
          <w:bCs/>
          <w:color w:val="auto"/>
          <w:spacing w:val="6"/>
          <w:kern w:val="0"/>
          <w:szCs w:val="21"/>
          <w:highlight w:val="none"/>
        </w:rPr>
        <w:t>.其他条件证明材料，非投标人必备证明材料，仅作为评审的因素。</w:t>
      </w:r>
    </w:p>
    <w:p w14:paraId="050EACA7">
      <w:pPr>
        <w:spacing w:line="360" w:lineRule="auto"/>
        <w:ind w:firstLine="420" w:firstLineChars="200"/>
        <w:rPr>
          <w:rFonts w:hint="eastAsia" w:ascii="宋体" w:hAnsi="宋体"/>
          <w:color w:val="auto"/>
          <w:szCs w:val="21"/>
          <w:highlight w:val="none"/>
        </w:rPr>
      </w:pPr>
    </w:p>
    <w:p w14:paraId="742A56D7">
      <w:pPr>
        <w:adjustRightInd w:val="0"/>
        <w:spacing w:line="400" w:lineRule="exact"/>
        <w:jc w:val="left"/>
        <w:rPr>
          <w:rFonts w:hint="eastAsia" w:ascii="宋体" w:hAnsi="宋体"/>
          <w:b/>
          <w:bCs/>
          <w:color w:val="auto"/>
          <w:sz w:val="36"/>
          <w:szCs w:val="36"/>
          <w:highlight w:val="none"/>
        </w:rPr>
      </w:pPr>
    </w:p>
    <w:p w14:paraId="7C8063BD">
      <w:pPr>
        <w:adjustRightInd w:val="0"/>
        <w:spacing w:line="400" w:lineRule="exact"/>
        <w:jc w:val="left"/>
        <w:rPr>
          <w:rFonts w:hint="eastAsia" w:ascii="宋体" w:hAnsi="宋体"/>
          <w:b/>
          <w:bCs/>
          <w:color w:val="auto"/>
          <w:sz w:val="36"/>
          <w:szCs w:val="36"/>
          <w:highlight w:val="none"/>
        </w:rPr>
      </w:pPr>
    </w:p>
    <w:p w14:paraId="1B381730">
      <w:pPr>
        <w:tabs>
          <w:tab w:val="left" w:pos="3600"/>
        </w:tabs>
        <w:adjustRightInd w:val="0"/>
        <w:snapToGrid w:val="0"/>
        <w:ind w:firstLine="493" w:firstLineChars="196"/>
        <w:rPr>
          <w:rFonts w:hint="eastAsia" w:ascii="宋体" w:hAnsi="宋体" w:cs="宋体"/>
          <w:bCs/>
          <w:color w:val="auto"/>
          <w:spacing w:val="6"/>
          <w:kern w:val="0"/>
          <w:sz w:val="24"/>
          <w:highlight w:val="none"/>
        </w:rPr>
      </w:pPr>
    </w:p>
    <w:p w14:paraId="42AE4323">
      <w:pPr>
        <w:tabs>
          <w:tab w:val="left" w:pos="3600"/>
        </w:tabs>
        <w:adjustRightInd w:val="0"/>
        <w:snapToGrid w:val="0"/>
        <w:ind w:firstLine="493" w:firstLineChars="196"/>
        <w:rPr>
          <w:rFonts w:hint="eastAsia" w:ascii="宋体" w:hAnsi="宋体" w:cs="宋体"/>
          <w:bCs/>
          <w:color w:val="auto"/>
          <w:spacing w:val="6"/>
          <w:kern w:val="0"/>
          <w:sz w:val="24"/>
          <w:highlight w:val="none"/>
        </w:rPr>
      </w:pPr>
    </w:p>
    <w:p w14:paraId="0D5FFCF2">
      <w:pPr>
        <w:tabs>
          <w:tab w:val="left" w:pos="3600"/>
        </w:tabs>
        <w:adjustRightInd w:val="0"/>
        <w:snapToGrid w:val="0"/>
        <w:ind w:firstLine="493" w:firstLineChars="196"/>
        <w:rPr>
          <w:rFonts w:hint="eastAsia" w:ascii="宋体" w:hAnsi="宋体" w:cs="宋体"/>
          <w:bCs/>
          <w:color w:val="auto"/>
          <w:spacing w:val="6"/>
          <w:kern w:val="0"/>
          <w:sz w:val="24"/>
          <w:highlight w:val="none"/>
        </w:rPr>
      </w:pPr>
    </w:p>
    <w:p w14:paraId="4F999C37">
      <w:pPr>
        <w:tabs>
          <w:tab w:val="left" w:pos="3600"/>
        </w:tabs>
        <w:adjustRightInd w:val="0"/>
        <w:snapToGrid w:val="0"/>
        <w:ind w:firstLine="493" w:firstLineChars="196"/>
        <w:rPr>
          <w:rFonts w:hint="eastAsia" w:ascii="宋体" w:hAnsi="宋体" w:cs="宋体"/>
          <w:bCs/>
          <w:color w:val="auto"/>
          <w:spacing w:val="6"/>
          <w:kern w:val="0"/>
          <w:sz w:val="24"/>
          <w:highlight w:val="none"/>
        </w:rPr>
      </w:pPr>
    </w:p>
    <w:p w14:paraId="4FE56C4F">
      <w:pPr>
        <w:tabs>
          <w:tab w:val="left" w:pos="3600"/>
        </w:tabs>
        <w:adjustRightInd w:val="0"/>
        <w:snapToGrid w:val="0"/>
        <w:ind w:firstLine="493" w:firstLineChars="196"/>
        <w:rPr>
          <w:rFonts w:hint="eastAsia" w:ascii="宋体" w:hAnsi="宋体" w:cs="宋体"/>
          <w:bCs/>
          <w:color w:val="auto"/>
          <w:spacing w:val="6"/>
          <w:kern w:val="0"/>
          <w:sz w:val="24"/>
          <w:highlight w:val="none"/>
        </w:rPr>
      </w:pPr>
    </w:p>
    <w:p w14:paraId="230F8ADF">
      <w:pPr>
        <w:tabs>
          <w:tab w:val="left" w:pos="3600"/>
        </w:tabs>
        <w:adjustRightInd w:val="0"/>
        <w:snapToGrid w:val="0"/>
        <w:ind w:firstLine="493" w:firstLineChars="196"/>
        <w:rPr>
          <w:rFonts w:hint="eastAsia" w:ascii="宋体" w:hAnsi="宋体" w:cs="宋体"/>
          <w:bCs/>
          <w:color w:val="auto"/>
          <w:spacing w:val="6"/>
          <w:kern w:val="0"/>
          <w:sz w:val="24"/>
          <w:highlight w:val="none"/>
        </w:rPr>
      </w:pPr>
    </w:p>
    <w:p w14:paraId="1A7BAEE0">
      <w:pPr>
        <w:tabs>
          <w:tab w:val="left" w:pos="3600"/>
        </w:tabs>
        <w:adjustRightInd w:val="0"/>
        <w:snapToGrid w:val="0"/>
        <w:ind w:firstLine="493" w:firstLineChars="196"/>
        <w:rPr>
          <w:rFonts w:hint="eastAsia" w:ascii="宋体" w:hAnsi="宋体" w:cs="宋体"/>
          <w:bCs/>
          <w:color w:val="auto"/>
          <w:spacing w:val="6"/>
          <w:kern w:val="0"/>
          <w:sz w:val="24"/>
          <w:highlight w:val="none"/>
        </w:rPr>
      </w:pPr>
    </w:p>
    <w:p w14:paraId="0DE9DE00">
      <w:pPr>
        <w:tabs>
          <w:tab w:val="left" w:pos="3600"/>
        </w:tabs>
        <w:adjustRightInd w:val="0"/>
        <w:snapToGrid w:val="0"/>
        <w:ind w:firstLine="493" w:firstLineChars="196"/>
        <w:rPr>
          <w:rFonts w:hint="eastAsia" w:ascii="宋体" w:hAnsi="宋体" w:cs="宋体"/>
          <w:bCs/>
          <w:color w:val="auto"/>
          <w:spacing w:val="6"/>
          <w:kern w:val="0"/>
          <w:sz w:val="24"/>
          <w:highlight w:val="none"/>
        </w:rPr>
      </w:pPr>
    </w:p>
    <w:p w14:paraId="19F7D52D">
      <w:pPr>
        <w:tabs>
          <w:tab w:val="left" w:pos="3600"/>
        </w:tabs>
        <w:adjustRightInd w:val="0"/>
        <w:snapToGrid w:val="0"/>
        <w:ind w:firstLine="493" w:firstLineChars="196"/>
        <w:rPr>
          <w:rFonts w:hint="eastAsia" w:ascii="宋体" w:hAnsi="宋体" w:cs="宋体"/>
          <w:bCs/>
          <w:color w:val="auto"/>
          <w:spacing w:val="6"/>
          <w:kern w:val="0"/>
          <w:sz w:val="24"/>
          <w:highlight w:val="none"/>
        </w:rPr>
      </w:pPr>
    </w:p>
    <w:p w14:paraId="28B957A4">
      <w:pPr>
        <w:tabs>
          <w:tab w:val="left" w:pos="3600"/>
        </w:tabs>
        <w:adjustRightInd w:val="0"/>
        <w:snapToGrid w:val="0"/>
        <w:ind w:firstLine="493" w:firstLineChars="196"/>
        <w:rPr>
          <w:rFonts w:hint="eastAsia" w:ascii="宋体" w:hAnsi="宋体" w:cs="宋体"/>
          <w:bCs/>
          <w:color w:val="auto"/>
          <w:spacing w:val="6"/>
          <w:kern w:val="0"/>
          <w:sz w:val="24"/>
          <w:highlight w:val="none"/>
        </w:rPr>
      </w:pPr>
    </w:p>
    <w:p w14:paraId="3A7A9339">
      <w:pPr>
        <w:tabs>
          <w:tab w:val="left" w:pos="3600"/>
        </w:tabs>
        <w:adjustRightInd w:val="0"/>
        <w:snapToGrid w:val="0"/>
        <w:ind w:firstLine="493" w:firstLineChars="196"/>
        <w:rPr>
          <w:rFonts w:hint="eastAsia" w:ascii="宋体" w:hAnsi="宋体" w:cs="宋体"/>
          <w:bCs/>
          <w:color w:val="auto"/>
          <w:spacing w:val="6"/>
          <w:kern w:val="0"/>
          <w:sz w:val="24"/>
          <w:highlight w:val="none"/>
        </w:rPr>
      </w:pPr>
    </w:p>
    <w:p w14:paraId="26168D8C">
      <w:pPr>
        <w:tabs>
          <w:tab w:val="left" w:pos="3600"/>
        </w:tabs>
        <w:adjustRightInd w:val="0"/>
        <w:snapToGrid w:val="0"/>
        <w:ind w:firstLine="493" w:firstLineChars="196"/>
        <w:rPr>
          <w:rFonts w:hint="eastAsia" w:ascii="宋体" w:hAnsi="宋体" w:cs="宋体"/>
          <w:bCs/>
          <w:color w:val="auto"/>
          <w:spacing w:val="6"/>
          <w:kern w:val="0"/>
          <w:sz w:val="24"/>
          <w:highlight w:val="none"/>
        </w:rPr>
      </w:pPr>
    </w:p>
    <w:p w14:paraId="0A7F42F2">
      <w:pPr>
        <w:tabs>
          <w:tab w:val="left" w:pos="3600"/>
        </w:tabs>
        <w:adjustRightInd w:val="0"/>
        <w:snapToGrid w:val="0"/>
        <w:ind w:firstLine="493" w:firstLineChars="196"/>
        <w:rPr>
          <w:rFonts w:hint="eastAsia" w:ascii="宋体" w:hAnsi="宋体" w:cs="宋体"/>
          <w:bCs/>
          <w:color w:val="auto"/>
          <w:spacing w:val="6"/>
          <w:kern w:val="0"/>
          <w:sz w:val="24"/>
          <w:highlight w:val="none"/>
        </w:rPr>
      </w:pPr>
    </w:p>
    <w:p w14:paraId="3328F6FC">
      <w:pPr>
        <w:tabs>
          <w:tab w:val="left" w:pos="3600"/>
        </w:tabs>
        <w:adjustRightInd w:val="0"/>
        <w:snapToGrid w:val="0"/>
        <w:ind w:firstLine="493" w:firstLineChars="196"/>
        <w:rPr>
          <w:rFonts w:hint="eastAsia" w:ascii="宋体" w:hAnsi="宋体" w:cs="宋体"/>
          <w:bCs/>
          <w:color w:val="auto"/>
          <w:spacing w:val="6"/>
          <w:kern w:val="0"/>
          <w:sz w:val="24"/>
          <w:highlight w:val="none"/>
        </w:rPr>
      </w:pPr>
    </w:p>
    <w:p w14:paraId="4DC5EB5D">
      <w:pPr>
        <w:tabs>
          <w:tab w:val="left" w:pos="3600"/>
        </w:tabs>
        <w:adjustRightInd w:val="0"/>
        <w:snapToGrid w:val="0"/>
        <w:ind w:firstLine="493" w:firstLineChars="196"/>
        <w:rPr>
          <w:rFonts w:hint="eastAsia" w:ascii="宋体" w:hAnsi="宋体" w:cs="宋体"/>
          <w:bCs/>
          <w:color w:val="auto"/>
          <w:spacing w:val="6"/>
          <w:kern w:val="0"/>
          <w:sz w:val="24"/>
          <w:highlight w:val="none"/>
        </w:rPr>
      </w:pPr>
    </w:p>
    <w:p w14:paraId="6DD0137F">
      <w:pPr>
        <w:tabs>
          <w:tab w:val="left" w:pos="3600"/>
        </w:tabs>
        <w:adjustRightInd w:val="0"/>
        <w:snapToGrid w:val="0"/>
        <w:ind w:firstLine="493" w:firstLineChars="196"/>
        <w:rPr>
          <w:rFonts w:hint="eastAsia" w:ascii="宋体" w:hAnsi="宋体" w:cs="宋体"/>
          <w:bCs/>
          <w:color w:val="auto"/>
          <w:spacing w:val="6"/>
          <w:kern w:val="0"/>
          <w:sz w:val="24"/>
          <w:highlight w:val="none"/>
        </w:rPr>
      </w:pPr>
    </w:p>
    <w:p w14:paraId="42B02500">
      <w:pPr>
        <w:tabs>
          <w:tab w:val="left" w:pos="3600"/>
        </w:tabs>
        <w:adjustRightInd w:val="0"/>
        <w:snapToGrid w:val="0"/>
        <w:ind w:firstLine="493" w:firstLineChars="196"/>
        <w:rPr>
          <w:rFonts w:hint="eastAsia" w:ascii="宋体" w:hAnsi="宋体" w:cs="宋体"/>
          <w:bCs/>
          <w:color w:val="auto"/>
          <w:spacing w:val="6"/>
          <w:kern w:val="0"/>
          <w:sz w:val="24"/>
          <w:highlight w:val="none"/>
        </w:rPr>
      </w:pPr>
    </w:p>
    <w:p w14:paraId="5E88955F">
      <w:pPr>
        <w:tabs>
          <w:tab w:val="left" w:pos="3600"/>
        </w:tabs>
        <w:adjustRightInd w:val="0"/>
        <w:snapToGrid w:val="0"/>
        <w:ind w:firstLine="493" w:firstLineChars="196"/>
        <w:rPr>
          <w:rFonts w:hint="eastAsia" w:ascii="宋体" w:hAnsi="宋体" w:cs="宋体"/>
          <w:bCs/>
          <w:color w:val="auto"/>
          <w:spacing w:val="6"/>
          <w:kern w:val="0"/>
          <w:sz w:val="24"/>
          <w:highlight w:val="none"/>
        </w:rPr>
      </w:pPr>
    </w:p>
    <w:p w14:paraId="6C08E688">
      <w:pPr>
        <w:tabs>
          <w:tab w:val="left" w:pos="3600"/>
        </w:tabs>
        <w:adjustRightInd w:val="0"/>
        <w:snapToGrid w:val="0"/>
        <w:ind w:firstLine="493" w:firstLineChars="196"/>
        <w:rPr>
          <w:rFonts w:hint="eastAsia" w:ascii="宋体" w:hAnsi="宋体" w:cs="宋体"/>
          <w:bCs/>
          <w:color w:val="auto"/>
          <w:spacing w:val="6"/>
          <w:kern w:val="0"/>
          <w:sz w:val="24"/>
          <w:highlight w:val="none"/>
        </w:rPr>
      </w:pPr>
    </w:p>
    <w:p w14:paraId="1BD46A6D">
      <w:pPr>
        <w:tabs>
          <w:tab w:val="left" w:pos="3600"/>
        </w:tabs>
        <w:adjustRightInd w:val="0"/>
        <w:snapToGrid w:val="0"/>
        <w:ind w:firstLine="493" w:firstLineChars="196"/>
        <w:rPr>
          <w:rFonts w:hint="eastAsia" w:ascii="宋体" w:hAnsi="宋体" w:cs="宋体"/>
          <w:bCs/>
          <w:color w:val="auto"/>
          <w:spacing w:val="6"/>
          <w:kern w:val="0"/>
          <w:sz w:val="24"/>
          <w:highlight w:val="none"/>
        </w:rPr>
      </w:pPr>
    </w:p>
    <w:p w14:paraId="73C927AD">
      <w:pPr>
        <w:tabs>
          <w:tab w:val="left" w:pos="3600"/>
        </w:tabs>
        <w:adjustRightInd w:val="0"/>
        <w:snapToGrid w:val="0"/>
        <w:ind w:firstLine="493" w:firstLineChars="196"/>
        <w:rPr>
          <w:rFonts w:hint="eastAsia" w:ascii="宋体" w:hAnsi="宋体" w:cs="宋体"/>
          <w:bCs/>
          <w:color w:val="auto"/>
          <w:spacing w:val="6"/>
          <w:kern w:val="0"/>
          <w:sz w:val="24"/>
          <w:highlight w:val="none"/>
        </w:rPr>
      </w:pPr>
    </w:p>
    <w:p w14:paraId="1BA88046">
      <w:pPr>
        <w:tabs>
          <w:tab w:val="left" w:pos="3600"/>
        </w:tabs>
        <w:adjustRightInd w:val="0"/>
        <w:snapToGrid w:val="0"/>
        <w:ind w:firstLine="493" w:firstLineChars="196"/>
        <w:rPr>
          <w:rFonts w:hint="eastAsia" w:ascii="宋体" w:hAnsi="宋体" w:cs="宋体"/>
          <w:bCs/>
          <w:color w:val="auto"/>
          <w:spacing w:val="6"/>
          <w:kern w:val="0"/>
          <w:sz w:val="24"/>
          <w:highlight w:val="none"/>
        </w:rPr>
      </w:pPr>
    </w:p>
    <w:p w14:paraId="78DBA50C">
      <w:pPr>
        <w:tabs>
          <w:tab w:val="left" w:pos="3600"/>
        </w:tabs>
        <w:adjustRightInd w:val="0"/>
        <w:snapToGrid w:val="0"/>
        <w:ind w:firstLine="493" w:firstLineChars="196"/>
        <w:rPr>
          <w:rFonts w:hint="eastAsia" w:ascii="宋体" w:hAnsi="宋体" w:cs="宋体"/>
          <w:bCs/>
          <w:color w:val="auto"/>
          <w:spacing w:val="6"/>
          <w:kern w:val="0"/>
          <w:sz w:val="24"/>
          <w:highlight w:val="none"/>
        </w:rPr>
      </w:pPr>
    </w:p>
    <w:p w14:paraId="2A9BF457">
      <w:pPr>
        <w:tabs>
          <w:tab w:val="left" w:pos="3600"/>
        </w:tabs>
        <w:adjustRightInd w:val="0"/>
        <w:snapToGrid w:val="0"/>
        <w:ind w:firstLine="493" w:firstLineChars="196"/>
        <w:rPr>
          <w:rFonts w:hint="eastAsia" w:ascii="宋体" w:hAnsi="宋体" w:cs="宋体"/>
          <w:bCs/>
          <w:color w:val="auto"/>
          <w:spacing w:val="6"/>
          <w:kern w:val="0"/>
          <w:sz w:val="24"/>
          <w:highlight w:val="none"/>
        </w:rPr>
      </w:pPr>
    </w:p>
    <w:p w14:paraId="7996B894">
      <w:pPr>
        <w:tabs>
          <w:tab w:val="left" w:pos="3600"/>
        </w:tabs>
        <w:adjustRightInd w:val="0"/>
        <w:snapToGrid w:val="0"/>
        <w:ind w:firstLine="493" w:firstLineChars="196"/>
        <w:rPr>
          <w:rFonts w:hint="eastAsia" w:ascii="宋体" w:hAnsi="宋体" w:cs="宋体"/>
          <w:bCs/>
          <w:color w:val="auto"/>
          <w:spacing w:val="6"/>
          <w:kern w:val="0"/>
          <w:sz w:val="24"/>
          <w:highlight w:val="none"/>
        </w:rPr>
      </w:pPr>
    </w:p>
    <w:p w14:paraId="23BC13ED">
      <w:pPr>
        <w:tabs>
          <w:tab w:val="left" w:pos="3600"/>
        </w:tabs>
        <w:adjustRightInd w:val="0"/>
        <w:snapToGrid w:val="0"/>
        <w:ind w:firstLine="493" w:firstLineChars="196"/>
        <w:rPr>
          <w:rFonts w:hint="eastAsia" w:ascii="宋体" w:hAnsi="宋体" w:cs="宋体"/>
          <w:bCs/>
          <w:color w:val="auto"/>
          <w:spacing w:val="6"/>
          <w:kern w:val="0"/>
          <w:sz w:val="24"/>
          <w:highlight w:val="none"/>
        </w:rPr>
      </w:pPr>
    </w:p>
    <w:p w14:paraId="300E504D">
      <w:pPr>
        <w:tabs>
          <w:tab w:val="left" w:pos="3600"/>
        </w:tabs>
        <w:adjustRightInd w:val="0"/>
        <w:snapToGrid w:val="0"/>
        <w:ind w:firstLine="493" w:firstLineChars="196"/>
        <w:rPr>
          <w:rFonts w:hint="eastAsia" w:ascii="宋体" w:hAnsi="宋体" w:cs="宋体"/>
          <w:bCs/>
          <w:color w:val="auto"/>
          <w:spacing w:val="6"/>
          <w:kern w:val="0"/>
          <w:sz w:val="24"/>
          <w:highlight w:val="none"/>
        </w:rPr>
      </w:pPr>
    </w:p>
    <w:p w14:paraId="61C34FC8">
      <w:pPr>
        <w:tabs>
          <w:tab w:val="left" w:pos="3600"/>
        </w:tabs>
        <w:adjustRightInd w:val="0"/>
        <w:snapToGrid w:val="0"/>
        <w:ind w:firstLine="493" w:firstLineChars="196"/>
        <w:rPr>
          <w:rFonts w:hint="eastAsia" w:ascii="宋体" w:hAnsi="宋体" w:cs="宋体"/>
          <w:bCs/>
          <w:color w:val="auto"/>
          <w:spacing w:val="6"/>
          <w:kern w:val="0"/>
          <w:sz w:val="24"/>
          <w:highlight w:val="none"/>
        </w:rPr>
      </w:pPr>
    </w:p>
    <w:p w14:paraId="5B0BECAD">
      <w:pPr>
        <w:tabs>
          <w:tab w:val="left" w:pos="3600"/>
        </w:tabs>
        <w:adjustRightInd w:val="0"/>
        <w:snapToGrid w:val="0"/>
        <w:ind w:firstLine="493" w:firstLineChars="196"/>
        <w:rPr>
          <w:rFonts w:hint="eastAsia" w:ascii="宋体" w:hAnsi="宋体" w:cs="宋体"/>
          <w:bCs/>
          <w:color w:val="auto"/>
          <w:spacing w:val="6"/>
          <w:kern w:val="0"/>
          <w:sz w:val="24"/>
          <w:highlight w:val="none"/>
        </w:rPr>
      </w:pPr>
    </w:p>
    <w:p w14:paraId="49CB3C19">
      <w:pPr>
        <w:pStyle w:val="34"/>
        <w:ind w:firstLine="504"/>
        <w:rPr>
          <w:rFonts w:hint="eastAsia" w:ascii="宋体" w:hAnsi="宋体" w:cs="宋体"/>
          <w:bCs/>
          <w:color w:val="auto"/>
          <w:spacing w:val="6"/>
          <w:kern w:val="0"/>
          <w:sz w:val="24"/>
          <w:highlight w:val="none"/>
        </w:rPr>
      </w:pPr>
    </w:p>
    <w:p w14:paraId="7667B128">
      <w:pPr>
        <w:pStyle w:val="34"/>
        <w:ind w:firstLine="504"/>
        <w:rPr>
          <w:rFonts w:hint="eastAsia" w:ascii="宋体" w:hAnsi="宋体" w:cs="宋体"/>
          <w:bCs/>
          <w:color w:val="auto"/>
          <w:spacing w:val="6"/>
          <w:kern w:val="0"/>
          <w:sz w:val="24"/>
          <w:highlight w:val="none"/>
        </w:rPr>
      </w:pPr>
    </w:p>
    <w:p w14:paraId="14C7F145">
      <w:pPr>
        <w:tabs>
          <w:tab w:val="left" w:pos="3600"/>
        </w:tabs>
        <w:adjustRightInd w:val="0"/>
        <w:snapToGrid w:val="0"/>
        <w:rPr>
          <w:rFonts w:hint="eastAsia" w:ascii="仿宋_GB2312" w:hAnsi="宋体" w:eastAsia="仿宋_GB2312" w:cs="宋体"/>
          <w:bCs/>
          <w:color w:val="auto"/>
          <w:spacing w:val="6"/>
          <w:kern w:val="0"/>
          <w:szCs w:val="21"/>
          <w:highlight w:val="none"/>
        </w:rPr>
      </w:pPr>
    </w:p>
    <w:p w14:paraId="626816C7">
      <w:pPr>
        <w:pageBreakBefore/>
        <w:adjustRightInd w:val="0"/>
        <w:snapToGrid w:val="0"/>
        <w:spacing w:after="120" w:afterLines="50" w:line="360" w:lineRule="auto"/>
        <w:jc w:val="center"/>
        <w:outlineLvl w:val="1"/>
        <w:rPr>
          <w:rFonts w:hint="eastAsia" w:ascii="宋体" w:hAnsi="宋体"/>
          <w:b/>
          <w:bCs/>
          <w:color w:val="auto"/>
          <w:sz w:val="36"/>
          <w:szCs w:val="36"/>
          <w:highlight w:val="none"/>
        </w:rPr>
      </w:pPr>
      <w:bookmarkStart w:id="257" w:name="_Toc2932"/>
      <w:r>
        <w:rPr>
          <w:rFonts w:hint="eastAsia" w:ascii="宋体" w:hAnsi="宋体"/>
          <w:b/>
          <w:bCs/>
          <w:color w:val="auto"/>
          <w:sz w:val="36"/>
          <w:szCs w:val="36"/>
          <w:highlight w:val="none"/>
          <w:lang w:val="en-US" w:eastAsia="zh-CN"/>
        </w:rPr>
        <w:t>1</w:t>
      </w:r>
      <w:r>
        <w:rPr>
          <w:rFonts w:hint="eastAsia" w:ascii="宋体" w:hAnsi="宋体"/>
          <w:b/>
          <w:bCs/>
          <w:color w:val="auto"/>
          <w:sz w:val="36"/>
          <w:szCs w:val="36"/>
          <w:highlight w:val="none"/>
        </w:rPr>
        <w:t>.投标人完成的类似业绩证明材料</w:t>
      </w:r>
      <w:bookmarkEnd w:id="257"/>
    </w:p>
    <w:p w14:paraId="12E3B6DB">
      <w:pPr>
        <w:pStyle w:val="3"/>
        <w:spacing w:before="240" w:beforeLines="100" w:line="400" w:lineRule="exact"/>
        <w:jc w:val="center"/>
        <w:rPr>
          <w:rFonts w:hint="eastAsia" w:ascii="宋体" w:hAnsi="宋体" w:eastAsia="宋体" w:cs="Arial"/>
          <w:bCs/>
          <w:color w:val="auto"/>
          <w:sz w:val="36"/>
          <w:szCs w:val="36"/>
          <w:highlight w:val="none"/>
        </w:rPr>
      </w:pPr>
      <w:bookmarkStart w:id="258" w:name="_Toc24411"/>
      <w:r>
        <w:rPr>
          <w:rFonts w:hint="eastAsia" w:ascii="宋体" w:hAnsi="宋体" w:eastAsia="宋体" w:cs="Arial"/>
          <w:bCs/>
          <w:color w:val="auto"/>
          <w:sz w:val="36"/>
          <w:szCs w:val="36"/>
          <w:highlight w:val="none"/>
        </w:rPr>
        <w:t>类似项目业绩一览表</w:t>
      </w:r>
      <w:bookmarkEnd w:id="258"/>
    </w:p>
    <w:p w14:paraId="7EB30E03">
      <w:pPr>
        <w:pStyle w:val="3"/>
        <w:spacing w:after="120" w:line="400" w:lineRule="exact"/>
        <w:ind w:firstLine="210" w:firstLineChars="100"/>
        <w:rPr>
          <w:rFonts w:hint="eastAsia" w:ascii="宋体" w:hAnsi="宋体" w:eastAsia="宋体" w:cs="Arial"/>
          <w:b w:val="0"/>
          <w:bCs/>
          <w:color w:val="auto"/>
          <w:sz w:val="21"/>
          <w:szCs w:val="21"/>
          <w:highlight w:val="none"/>
        </w:rPr>
      </w:pPr>
      <w:bookmarkStart w:id="259" w:name="_Toc16705"/>
      <w:r>
        <w:rPr>
          <w:rFonts w:hint="eastAsia" w:ascii="宋体" w:hAnsi="宋体" w:eastAsia="宋体" w:cs="Arial"/>
          <w:b w:val="0"/>
          <w:bCs/>
          <w:color w:val="auto"/>
          <w:sz w:val="21"/>
          <w:szCs w:val="21"/>
          <w:highlight w:val="none"/>
        </w:rPr>
        <w:t>投标人名称：                                                  单位：万元</w:t>
      </w:r>
      <w:bookmarkEnd w:id="259"/>
    </w:p>
    <w:tbl>
      <w:tblPr>
        <w:tblStyle w:val="23"/>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900"/>
        <w:gridCol w:w="1620"/>
        <w:gridCol w:w="1596"/>
        <w:gridCol w:w="1288"/>
        <w:gridCol w:w="1259"/>
        <w:gridCol w:w="1701"/>
        <w:gridCol w:w="904"/>
      </w:tblGrid>
      <w:tr w14:paraId="00F7DB4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900" w:type="dxa"/>
            <w:noWrap w:val="0"/>
            <w:vAlign w:val="center"/>
          </w:tcPr>
          <w:p w14:paraId="7282CE93">
            <w:pPr>
              <w:pStyle w:val="4"/>
              <w:ind w:firstLine="0"/>
              <w:jc w:val="center"/>
              <w:rPr>
                <w:rFonts w:hint="eastAsia" w:ascii="宋体" w:hAnsi="宋体"/>
                <w:b/>
                <w:color w:val="auto"/>
                <w:szCs w:val="21"/>
                <w:highlight w:val="none"/>
              </w:rPr>
            </w:pPr>
            <w:r>
              <w:rPr>
                <w:rFonts w:hint="eastAsia" w:ascii="宋体" w:hAnsi="宋体"/>
                <w:b/>
                <w:color w:val="auto"/>
                <w:szCs w:val="21"/>
                <w:highlight w:val="none"/>
              </w:rPr>
              <w:t>年份</w:t>
            </w:r>
          </w:p>
        </w:tc>
        <w:tc>
          <w:tcPr>
            <w:tcW w:w="1620" w:type="dxa"/>
            <w:noWrap w:val="0"/>
            <w:vAlign w:val="center"/>
          </w:tcPr>
          <w:p w14:paraId="49B12778">
            <w:pPr>
              <w:pStyle w:val="4"/>
              <w:ind w:firstLine="0"/>
              <w:jc w:val="center"/>
              <w:rPr>
                <w:rFonts w:hint="eastAsia" w:ascii="宋体" w:hAnsi="宋体"/>
                <w:b/>
                <w:color w:val="auto"/>
                <w:szCs w:val="21"/>
                <w:highlight w:val="none"/>
              </w:rPr>
            </w:pPr>
            <w:r>
              <w:rPr>
                <w:rFonts w:hint="eastAsia" w:ascii="宋体" w:hAnsi="宋体"/>
                <w:b/>
                <w:color w:val="auto"/>
                <w:szCs w:val="21"/>
                <w:highlight w:val="none"/>
              </w:rPr>
              <w:t>用户名称</w:t>
            </w:r>
          </w:p>
        </w:tc>
        <w:tc>
          <w:tcPr>
            <w:tcW w:w="1596" w:type="dxa"/>
            <w:noWrap w:val="0"/>
            <w:vAlign w:val="center"/>
          </w:tcPr>
          <w:p w14:paraId="20FF7681">
            <w:pPr>
              <w:pStyle w:val="4"/>
              <w:ind w:firstLine="0"/>
              <w:jc w:val="center"/>
              <w:rPr>
                <w:rFonts w:hint="eastAsia" w:ascii="宋体" w:hAnsi="宋体"/>
                <w:b/>
                <w:color w:val="auto"/>
                <w:szCs w:val="21"/>
                <w:highlight w:val="none"/>
              </w:rPr>
            </w:pPr>
            <w:r>
              <w:rPr>
                <w:rFonts w:hint="eastAsia" w:ascii="宋体" w:hAnsi="宋体"/>
                <w:b/>
                <w:color w:val="auto"/>
                <w:szCs w:val="21"/>
                <w:highlight w:val="none"/>
              </w:rPr>
              <w:t>项目名称</w:t>
            </w:r>
          </w:p>
        </w:tc>
        <w:tc>
          <w:tcPr>
            <w:tcW w:w="1288" w:type="dxa"/>
            <w:noWrap w:val="0"/>
            <w:vAlign w:val="center"/>
          </w:tcPr>
          <w:p w14:paraId="27A14C89">
            <w:pPr>
              <w:pStyle w:val="4"/>
              <w:ind w:firstLine="0"/>
              <w:jc w:val="center"/>
              <w:rPr>
                <w:rFonts w:hint="eastAsia" w:ascii="宋体" w:hAnsi="宋体"/>
                <w:b/>
                <w:color w:val="auto"/>
                <w:szCs w:val="21"/>
                <w:highlight w:val="none"/>
              </w:rPr>
            </w:pPr>
            <w:r>
              <w:rPr>
                <w:rFonts w:hint="eastAsia" w:ascii="宋体" w:hAnsi="宋体"/>
                <w:b/>
                <w:color w:val="auto"/>
                <w:szCs w:val="21"/>
                <w:highlight w:val="none"/>
              </w:rPr>
              <w:t>合同金额</w:t>
            </w:r>
          </w:p>
        </w:tc>
        <w:tc>
          <w:tcPr>
            <w:tcW w:w="1259" w:type="dxa"/>
            <w:noWrap w:val="0"/>
            <w:vAlign w:val="center"/>
          </w:tcPr>
          <w:p w14:paraId="0500FF3A">
            <w:pPr>
              <w:pStyle w:val="4"/>
              <w:ind w:firstLine="0"/>
              <w:jc w:val="center"/>
              <w:rPr>
                <w:rFonts w:hint="eastAsia" w:ascii="宋体" w:hAnsi="宋体"/>
                <w:b/>
                <w:color w:val="auto"/>
                <w:szCs w:val="21"/>
                <w:highlight w:val="none"/>
              </w:rPr>
            </w:pPr>
            <w:r>
              <w:rPr>
                <w:rFonts w:hint="eastAsia" w:ascii="宋体" w:hAnsi="宋体"/>
                <w:b/>
                <w:color w:val="auto"/>
                <w:szCs w:val="21"/>
                <w:highlight w:val="none"/>
              </w:rPr>
              <w:t>完成时间</w:t>
            </w:r>
          </w:p>
        </w:tc>
        <w:tc>
          <w:tcPr>
            <w:tcW w:w="1701" w:type="dxa"/>
            <w:noWrap w:val="0"/>
            <w:vAlign w:val="center"/>
          </w:tcPr>
          <w:p w14:paraId="114EDBC1">
            <w:pPr>
              <w:pStyle w:val="4"/>
              <w:ind w:firstLine="0"/>
              <w:jc w:val="center"/>
              <w:rPr>
                <w:rFonts w:hint="eastAsia" w:ascii="宋体" w:hAnsi="宋体"/>
                <w:b/>
                <w:color w:val="auto"/>
                <w:szCs w:val="21"/>
                <w:highlight w:val="none"/>
              </w:rPr>
            </w:pPr>
            <w:r>
              <w:rPr>
                <w:rFonts w:hint="eastAsia" w:ascii="宋体" w:hAnsi="宋体"/>
                <w:b/>
                <w:color w:val="auto"/>
                <w:szCs w:val="21"/>
                <w:highlight w:val="none"/>
              </w:rPr>
              <w:t>是否通过验收</w:t>
            </w:r>
          </w:p>
        </w:tc>
        <w:tc>
          <w:tcPr>
            <w:tcW w:w="904" w:type="dxa"/>
            <w:noWrap w:val="0"/>
            <w:vAlign w:val="center"/>
          </w:tcPr>
          <w:p w14:paraId="539FBFAA">
            <w:pPr>
              <w:pStyle w:val="4"/>
              <w:ind w:firstLine="0"/>
              <w:jc w:val="center"/>
              <w:rPr>
                <w:rFonts w:hint="eastAsia" w:ascii="宋体" w:hAnsi="宋体"/>
                <w:b/>
                <w:color w:val="auto"/>
                <w:szCs w:val="21"/>
                <w:highlight w:val="none"/>
              </w:rPr>
            </w:pPr>
            <w:r>
              <w:rPr>
                <w:rFonts w:hint="eastAsia" w:ascii="宋体" w:hAnsi="宋体"/>
                <w:b/>
                <w:color w:val="auto"/>
                <w:szCs w:val="21"/>
                <w:highlight w:val="none"/>
              </w:rPr>
              <w:t>备注</w:t>
            </w:r>
          </w:p>
        </w:tc>
      </w:tr>
      <w:tr w14:paraId="5AFD5AE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val="0"/>
            <w:vAlign w:val="top"/>
          </w:tcPr>
          <w:p w14:paraId="7A72ABEA">
            <w:pPr>
              <w:pStyle w:val="4"/>
              <w:ind w:firstLine="0"/>
              <w:rPr>
                <w:rFonts w:hint="eastAsia"/>
                <w:color w:val="auto"/>
                <w:sz w:val="24"/>
                <w:szCs w:val="24"/>
                <w:highlight w:val="none"/>
              </w:rPr>
            </w:pPr>
          </w:p>
        </w:tc>
        <w:tc>
          <w:tcPr>
            <w:tcW w:w="1620" w:type="dxa"/>
            <w:noWrap w:val="0"/>
            <w:vAlign w:val="top"/>
          </w:tcPr>
          <w:p w14:paraId="0297E1CE">
            <w:pPr>
              <w:pStyle w:val="4"/>
              <w:ind w:firstLine="0"/>
              <w:rPr>
                <w:rFonts w:hint="eastAsia"/>
                <w:color w:val="auto"/>
                <w:sz w:val="24"/>
                <w:szCs w:val="24"/>
                <w:highlight w:val="none"/>
              </w:rPr>
            </w:pPr>
          </w:p>
        </w:tc>
        <w:tc>
          <w:tcPr>
            <w:tcW w:w="1596" w:type="dxa"/>
            <w:noWrap w:val="0"/>
            <w:vAlign w:val="top"/>
          </w:tcPr>
          <w:p w14:paraId="5FD545F6">
            <w:pPr>
              <w:pStyle w:val="4"/>
              <w:ind w:firstLine="0"/>
              <w:rPr>
                <w:rFonts w:hint="eastAsia"/>
                <w:color w:val="auto"/>
                <w:sz w:val="24"/>
                <w:szCs w:val="24"/>
                <w:highlight w:val="none"/>
              </w:rPr>
            </w:pPr>
          </w:p>
        </w:tc>
        <w:tc>
          <w:tcPr>
            <w:tcW w:w="1288" w:type="dxa"/>
            <w:noWrap w:val="0"/>
            <w:vAlign w:val="top"/>
          </w:tcPr>
          <w:p w14:paraId="22BDB8E6">
            <w:pPr>
              <w:pStyle w:val="4"/>
              <w:ind w:firstLine="0"/>
              <w:rPr>
                <w:rFonts w:hint="eastAsia"/>
                <w:color w:val="auto"/>
                <w:sz w:val="24"/>
                <w:szCs w:val="24"/>
                <w:highlight w:val="none"/>
              </w:rPr>
            </w:pPr>
          </w:p>
        </w:tc>
        <w:tc>
          <w:tcPr>
            <w:tcW w:w="1259" w:type="dxa"/>
            <w:noWrap w:val="0"/>
            <w:vAlign w:val="top"/>
          </w:tcPr>
          <w:p w14:paraId="0E6EF8A3">
            <w:pPr>
              <w:pStyle w:val="4"/>
              <w:ind w:firstLine="0"/>
              <w:rPr>
                <w:rFonts w:hint="eastAsia"/>
                <w:color w:val="auto"/>
                <w:sz w:val="24"/>
                <w:szCs w:val="24"/>
                <w:highlight w:val="none"/>
              </w:rPr>
            </w:pPr>
          </w:p>
        </w:tc>
        <w:tc>
          <w:tcPr>
            <w:tcW w:w="1701" w:type="dxa"/>
            <w:noWrap w:val="0"/>
            <w:vAlign w:val="top"/>
          </w:tcPr>
          <w:p w14:paraId="07F1AE30">
            <w:pPr>
              <w:pStyle w:val="4"/>
              <w:ind w:firstLine="0"/>
              <w:rPr>
                <w:rFonts w:hint="eastAsia"/>
                <w:color w:val="auto"/>
                <w:sz w:val="24"/>
                <w:szCs w:val="24"/>
                <w:highlight w:val="none"/>
              </w:rPr>
            </w:pPr>
          </w:p>
        </w:tc>
        <w:tc>
          <w:tcPr>
            <w:tcW w:w="904" w:type="dxa"/>
            <w:noWrap w:val="0"/>
            <w:vAlign w:val="top"/>
          </w:tcPr>
          <w:p w14:paraId="1B2EC545">
            <w:pPr>
              <w:pStyle w:val="4"/>
              <w:ind w:firstLine="0"/>
              <w:rPr>
                <w:rFonts w:hint="eastAsia"/>
                <w:color w:val="auto"/>
                <w:sz w:val="24"/>
                <w:szCs w:val="24"/>
                <w:highlight w:val="none"/>
              </w:rPr>
            </w:pPr>
          </w:p>
        </w:tc>
      </w:tr>
      <w:tr w14:paraId="676E832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val="0"/>
            <w:vAlign w:val="top"/>
          </w:tcPr>
          <w:p w14:paraId="648190BF">
            <w:pPr>
              <w:pStyle w:val="4"/>
              <w:ind w:firstLine="0"/>
              <w:rPr>
                <w:rFonts w:hint="eastAsia"/>
                <w:color w:val="auto"/>
                <w:sz w:val="24"/>
                <w:szCs w:val="24"/>
                <w:highlight w:val="none"/>
              </w:rPr>
            </w:pPr>
          </w:p>
        </w:tc>
        <w:tc>
          <w:tcPr>
            <w:tcW w:w="1620" w:type="dxa"/>
            <w:noWrap w:val="0"/>
            <w:vAlign w:val="top"/>
          </w:tcPr>
          <w:p w14:paraId="587CB8CF">
            <w:pPr>
              <w:pStyle w:val="4"/>
              <w:ind w:firstLine="0"/>
              <w:rPr>
                <w:rFonts w:hint="eastAsia"/>
                <w:color w:val="auto"/>
                <w:sz w:val="24"/>
                <w:szCs w:val="24"/>
                <w:highlight w:val="none"/>
              </w:rPr>
            </w:pPr>
          </w:p>
        </w:tc>
        <w:tc>
          <w:tcPr>
            <w:tcW w:w="1596" w:type="dxa"/>
            <w:noWrap w:val="0"/>
            <w:vAlign w:val="top"/>
          </w:tcPr>
          <w:p w14:paraId="4E6F7016">
            <w:pPr>
              <w:pStyle w:val="4"/>
              <w:ind w:firstLine="0"/>
              <w:rPr>
                <w:rFonts w:hint="eastAsia"/>
                <w:color w:val="auto"/>
                <w:sz w:val="24"/>
                <w:szCs w:val="24"/>
                <w:highlight w:val="none"/>
              </w:rPr>
            </w:pPr>
          </w:p>
        </w:tc>
        <w:tc>
          <w:tcPr>
            <w:tcW w:w="1288" w:type="dxa"/>
            <w:noWrap w:val="0"/>
            <w:vAlign w:val="top"/>
          </w:tcPr>
          <w:p w14:paraId="21557802">
            <w:pPr>
              <w:pStyle w:val="4"/>
              <w:ind w:firstLine="0"/>
              <w:rPr>
                <w:rFonts w:hint="eastAsia"/>
                <w:color w:val="auto"/>
                <w:sz w:val="24"/>
                <w:szCs w:val="24"/>
                <w:highlight w:val="none"/>
              </w:rPr>
            </w:pPr>
          </w:p>
        </w:tc>
        <w:tc>
          <w:tcPr>
            <w:tcW w:w="1259" w:type="dxa"/>
            <w:noWrap w:val="0"/>
            <w:vAlign w:val="top"/>
          </w:tcPr>
          <w:p w14:paraId="4D0AB002">
            <w:pPr>
              <w:pStyle w:val="4"/>
              <w:ind w:firstLine="0"/>
              <w:rPr>
                <w:rFonts w:hint="eastAsia"/>
                <w:color w:val="auto"/>
                <w:sz w:val="24"/>
                <w:szCs w:val="24"/>
                <w:highlight w:val="none"/>
              </w:rPr>
            </w:pPr>
          </w:p>
        </w:tc>
        <w:tc>
          <w:tcPr>
            <w:tcW w:w="1701" w:type="dxa"/>
            <w:noWrap w:val="0"/>
            <w:vAlign w:val="top"/>
          </w:tcPr>
          <w:p w14:paraId="2FC962B6">
            <w:pPr>
              <w:pStyle w:val="4"/>
              <w:ind w:firstLine="0"/>
              <w:rPr>
                <w:rFonts w:hint="eastAsia"/>
                <w:color w:val="auto"/>
                <w:sz w:val="24"/>
                <w:szCs w:val="24"/>
                <w:highlight w:val="none"/>
              </w:rPr>
            </w:pPr>
          </w:p>
        </w:tc>
        <w:tc>
          <w:tcPr>
            <w:tcW w:w="904" w:type="dxa"/>
            <w:noWrap w:val="0"/>
            <w:vAlign w:val="top"/>
          </w:tcPr>
          <w:p w14:paraId="7D368010">
            <w:pPr>
              <w:pStyle w:val="4"/>
              <w:ind w:firstLine="0"/>
              <w:rPr>
                <w:rFonts w:hint="eastAsia"/>
                <w:color w:val="auto"/>
                <w:sz w:val="24"/>
                <w:szCs w:val="24"/>
                <w:highlight w:val="none"/>
              </w:rPr>
            </w:pPr>
          </w:p>
        </w:tc>
      </w:tr>
      <w:tr w14:paraId="2CAA95D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900" w:type="dxa"/>
            <w:noWrap w:val="0"/>
            <w:vAlign w:val="top"/>
          </w:tcPr>
          <w:p w14:paraId="3C30EC31">
            <w:pPr>
              <w:pStyle w:val="4"/>
              <w:ind w:firstLine="0"/>
              <w:rPr>
                <w:rFonts w:hint="eastAsia"/>
                <w:color w:val="auto"/>
                <w:sz w:val="24"/>
                <w:szCs w:val="24"/>
                <w:highlight w:val="none"/>
              </w:rPr>
            </w:pPr>
          </w:p>
        </w:tc>
        <w:tc>
          <w:tcPr>
            <w:tcW w:w="1620" w:type="dxa"/>
            <w:noWrap w:val="0"/>
            <w:vAlign w:val="top"/>
          </w:tcPr>
          <w:p w14:paraId="0BDF8E80">
            <w:pPr>
              <w:pStyle w:val="4"/>
              <w:ind w:firstLine="0"/>
              <w:rPr>
                <w:rFonts w:hint="eastAsia"/>
                <w:color w:val="auto"/>
                <w:sz w:val="24"/>
                <w:szCs w:val="24"/>
                <w:highlight w:val="none"/>
              </w:rPr>
            </w:pPr>
          </w:p>
        </w:tc>
        <w:tc>
          <w:tcPr>
            <w:tcW w:w="1596" w:type="dxa"/>
            <w:noWrap w:val="0"/>
            <w:vAlign w:val="top"/>
          </w:tcPr>
          <w:p w14:paraId="7477A885">
            <w:pPr>
              <w:pStyle w:val="4"/>
              <w:ind w:firstLine="0"/>
              <w:rPr>
                <w:rFonts w:hint="eastAsia"/>
                <w:color w:val="auto"/>
                <w:sz w:val="24"/>
                <w:szCs w:val="24"/>
                <w:highlight w:val="none"/>
              </w:rPr>
            </w:pPr>
          </w:p>
        </w:tc>
        <w:tc>
          <w:tcPr>
            <w:tcW w:w="1288" w:type="dxa"/>
            <w:noWrap w:val="0"/>
            <w:vAlign w:val="top"/>
          </w:tcPr>
          <w:p w14:paraId="2CC2C452">
            <w:pPr>
              <w:pStyle w:val="4"/>
              <w:ind w:firstLine="0"/>
              <w:rPr>
                <w:rFonts w:hint="eastAsia"/>
                <w:color w:val="auto"/>
                <w:sz w:val="24"/>
                <w:szCs w:val="24"/>
                <w:highlight w:val="none"/>
              </w:rPr>
            </w:pPr>
          </w:p>
        </w:tc>
        <w:tc>
          <w:tcPr>
            <w:tcW w:w="1259" w:type="dxa"/>
            <w:noWrap w:val="0"/>
            <w:vAlign w:val="top"/>
          </w:tcPr>
          <w:p w14:paraId="0451DC68">
            <w:pPr>
              <w:pStyle w:val="4"/>
              <w:ind w:firstLine="0"/>
              <w:rPr>
                <w:rFonts w:hint="eastAsia"/>
                <w:color w:val="auto"/>
                <w:sz w:val="24"/>
                <w:szCs w:val="24"/>
                <w:highlight w:val="none"/>
              </w:rPr>
            </w:pPr>
          </w:p>
        </w:tc>
        <w:tc>
          <w:tcPr>
            <w:tcW w:w="1701" w:type="dxa"/>
            <w:noWrap w:val="0"/>
            <w:vAlign w:val="top"/>
          </w:tcPr>
          <w:p w14:paraId="7953CAC6">
            <w:pPr>
              <w:pStyle w:val="4"/>
              <w:ind w:firstLine="0"/>
              <w:rPr>
                <w:rFonts w:hint="eastAsia"/>
                <w:color w:val="auto"/>
                <w:sz w:val="24"/>
                <w:szCs w:val="24"/>
                <w:highlight w:val="none"/>
              </w:rPr>
            </w:pPr>
          </w:p>
        </w:tc>
        <w:tc>
          <w:tcPr>
            <w:tcW w:w="904" w:type="dxa"/>
            <w:noWrap w:val="0"/>
            <w:vAlign w:val="top"/>
          </w:tcPr>
          <w:p w14:paraId="600D9CEF">
            <w:pPr>
              <w:pStyle w:val="4"/>
              <w:ind w:firstLine="0"/>
              <w:rPr>
                <w:rFonts w:hint="eastAsia"/>
                <w:color w:val="auto"/>
                <w:sz w:val="24"/>
                <w:szCs w:val="24"/>
                <w:highlight w:val="none"/>
              </w:rPr>
            </w:pPr>
          </w:p>
        </w:tc>
      </w:tr>
      <w:tr w14:paraId="41CC291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val="0"/>
            <w:vAlign w:val="top"/>
          </w:tcPr>
          <w:p w14:paraId="3ACC602C">
            <w:pPr>
              <w:pStyle w:val="4"/>
              <w:ind w:firstLine="0"/>
              <w:rPr>
                <w:rFonts w:hint="eastAsia"/>
                <w:color w:val="auto"/>
                <w:sz w:val="24"/>
                <w:szCs w:val="24"/>
                <w:highlight w:val="none"/>
              </w:rPr>
            </w:pPr>
          </w:p>
        </w:tc>
        <w:tc>
          <w:tcPr>
            <w:tcW w:w="1620" w:type="dxa"/>
            <w:noWrap w:val="0"/>
            <w:vAlign w:val="top"/>
          </w:tcPr>
          <w:p w14:paraId="7BD731D5">
            <w:pPr>
              <w:pStyle w:val="4"/>
              <w:ind w:firstLine="0"/>
              <w:rPr>
                <w:rFonts w:hint="eastAsia"/>
                <w:color w:val="auto"/>
                <w:sz w:val="24"/>
                <w:szCs w:val="24"/>
                <w:highlight w:val="none"/>
              </w:rPr>
            </w:pPr>
          </w:p>
        </w:tc>
        <w:tc>
          <w:tcPr>
            <w:tcW w:w="1596" w:type="dxa"/>
            <w:noWrap w:val="0"/>
            <w:vAlign w:val="top"/>
          </w:tcPr>
          <w:p w14:paraId="0CF2ADD9">
            <w:pPr>
              <w:pStyle w:val="4"/>
              <w:ind w:firstLine="0"/>
              <w:rPr>
                <w:rFonts w:hint="eastAsia"/>
                <w:color w:val="auto"/>
                <w:sz w:val="24"/>
                <w:szCs w:val="24"/>
                <w:highlight w:val="none"/>
              </w:rPr>
            </w:pPr>
          </w:p>
        </w:tc>
        <w:tc>
          <w:tcPr>
            <w:tcW w:w="1288" w:type="dxa"/>
            <w:noWrap w:val="0"/>
            <w:vAlign w:val="top"/>
          </w:tcPr>
          <w:p w14:paraId="01848762">
            <w:pPr>
              <w:pStyle w:val="4"/>
              <w:ind w:firstLine="0"/>
              <w:rPr>
                <w:rFonts w:hint="eastAsia"/>
                <w:color w:val="auto"/>
                <w:sz w:val="24"/>
                <w:szCs w:val="24"/>
                <w:highlight w:val="none"/>
              </w:rPr>
            </w:pPr>
          </w:p>
        </w:tc>
        <w:tc>
          <w:tcPr>
            <w:tcW w:w="1259" w:type="dxa"/>
            <w:noWrap w:val="0"/>
            <w:vAlign w:val="top"/>
          </w:tcPr>
          <w:p w14:paraId="7E268787">
            <w:pPr>
              <w:pStyle w:val="4"/>
              <w:ind w:firstLine="0"/>
              <w:rPr>
                <w:rFonts w:hint="eastAsia"/>
                <w:color w:val="auto"/>
                <w:sz w:val="24"/>
                <w:szCs w:val="24"/>
                <w:highlight w:val="none"/>
              </w:rPr>
            </w:pPr>
          </w:p>
        </w:tc>
        <w:tc>
          <w:tcPr>
            <w:tcW w:w="1701" w:type="dxa"/>
            <w:noWrap w:val="0"/>
            <w:vAlign w:val="top"/>
          </w:tcPr>
          <w:p w14:paraId="2F25C71F">
            <w:pPr>
              <w:pStyle w:val="4"/>
              <w:ind w:firstLine="0"/>
              <w:rPr>
                <w:rFonts w:hint="eastAsia"/>
                <w:color w:val="auto"/>
                <w:sz w:val="24"/>
                <w:szCs w:val="24"/>
                <w:highlight w:val="none"/>
              </w:rPr>
            </w:pPr>
          </w:p>
        </w:tc>
        <w:tc>
          <w:tcPr>
            <w:tcW w:w="904" w:type="dxa"/>
            <w:noWrap w:val="0"/>
            <w:vAlign w:val="top"/>
          </w:tcPr>
          <w:p w14:paraId="1E73A616">
            <w:pPr>
              <w:pStyle w:val="4"/>
              <w:ind w:firstLine="0"/>
              <w:rPr>
                <w:rFonts w:hint="eastAsia"/>
                <w:color w:val="auto"/>
                <w:sz w:val="24"/>
                <w:szCs w:val="24"/>
                <w:highlight w:val="none"/>
              </w:rPr>
            </w:pPr>
          </w:p>
        </w:tc>
      </w:tr>
      <w:tr w14:paraId="19A4CBD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val="0"/>
            <w:vAlign w:val="top"/>
          </w:tcPr>
          <w:p w14:paraId="5426DDF3">
            <w:pPr>
              <w:pStyle w:val="4"/>
              <w:ind w:firstLine="0"/>
              <w:rPr>
                <w:rFonts w:hint="eastAsia"/>
                <w:color w:val="auto"/>
                <w:sz w:val="24"/>
                <w:szCs w:val="24"/>
                <w:highlight w:val="none"/>
              </w:rPr>
            </w:pPr>
          </w:p>
        </w:tc>
        <w:tc>
          <w:tcPr>
            <w:tcW w:w="1620" w:type="dxa"/>
            <w:noWrap w:val="0"/>
            <w:vAlign w:val="top"/>
          </w:tcPr>
          <w:p w14:paraId="34F6AB9B">
            <w:pPr>
              <w:pStyle w:val="4"/>
              <w:ind w:firstLine="0"/>
              <w:rPr>
                <w:rFonts w:hint="eastAsia"/>
                <w:color w:val="auto"/>
                <w:sz w:val="24"/>
                <w:szCs w:val="24"/>
                <w:highlight w:val="none"/>
              </w:rPr>
            </w:pPr>
          </w:p>
        </w:tc>
        <w:tc>
          <w:tcPr>
            <w:tcW w:w="1596" w:type="dxa"/>
            <w:noWrap w:val="0"/>
            <w:vAlign w:val="top"/>
          </w:tcPr>
          <w:p w14:paraId="4060E624">
            <w:pPr>
              <w:pStyle w:val="4"/>
              <w:ind w:firstLine="0"/>
              <w:rPr>
                <w:rFonts w:hint="eastAsia"/>
                <w:color w:val="auto"/>
                <w:sz w:val="24"/>
                <w:szCs w:val="24"/>
                <w:highlight w:val="none"/>
              </w:rPr>
            </w:pPr>
          </w:p>
        </w:tc>
        <w:tc>
          <w:tcPr>
            <w:tcW w:w="1288" w:type="dxa"/>
            <w:noWrap w:val="0"/>
            <w:vAlign w:val="top"/>
          </w:tcPr>
          <w:p w14:paraId="071BE90A">
            <w:pPr>
              <w:pStyle w:val="4"/>
              <w:ind w:firstLine="0"/>
              <w:rPr>
                <w:rFonts w:hint="eastAsia"/>
                <w:color w:val="auto"/>
                <w:sz w:val="24"/>
                <w:szCs w:val="24"/>
                <w:highlight w:val="none"/>
              </w:rPr>
            </w:pPr>
          </w:p>
        </w:tc>
        <w:tc>
          <w:tcPr>
            <w:tcW w:w="1259" w:type="dxa"/>
            <w:noWrap w:val="0"/>
            <w:vAlign w:val="top"/>
          </w:tcPr>
          <w:p w14:paraId="5DCE09D3">
            <w:pPr>
              <w:pStyle w:val="4"/>
              <w:ind w:firstLine="0"/>
              <w:rPr>
                <w:rFonts w:hint="eastAsia"/>
                <w:color w:val="auto"/>
                <w:sz w:val="24"/>
                <w:szCs w:val="24"/>
                <w:highlight w:val="none"/>
              </w:rPr>
            </w:pPr>
          </w:p>
        </w:tc>
        <w:tc>
          <w:tcPr>
            <w:tcW w:w="1701" w:type="dxa"/>
            <w:noWrap w:val="0"/>
            <w:vAlign w:val="top"/>
          </w:tcPr>
          <w:p w14:paraId="1B96C275">
            <w:pPr>
              <w:pStyle w:val="4"/>
              <w:ind w:firstLine="0"/>
              <w:rPr>
                <w:rFonts w:hint="eastAsia"/>
                <w:color w:val="auto"/>
                <w:sz w:val="24"/>
                <w:szCs w:val="24"/>
                <w:highlight w:val="none"/>
              </w:rPr>
            </w:pPr>
          </w:p>
        </w:tc>
        <w:tc>
          <w:tcPr>
            <w:tcW w:w="904" w:type="dxa"/>
            <w:noWrap w:val="0"/>
            <w:vAlign w:val="top"/>
          </w:tcPr>
          <w:p w14:paraId="7A304DF6">
            <w:pPr>
              <w:pStyle w:val="4"/>
              <w:ind w:firstLine="0"/>
              <w:rPr>
                <w:rFonts w:hint="eastAsia"/>
                <w:color w:val="auto"/>
                <w:sz w:val="24"/>
                <w:szCs w:val="24"/>
                <w:highlight w:val="none"/>
              </w:rPr>
            </w:pPr>
          </w:p>
        </w:tc>
      </w:tr>
      <w:tr w14:paraId="187B1D1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val="0"/>
            <w:vAlign w:val="top"/>
          </w:tcPr>
          <w:p w14:paraId="11E42575">
            <w:pPr>
              <w:pStyle w:val="4"/>
              <w:ind w:firstLine="0"/>
              <w:rPr>
                <w:rFonts w:hint="eastAsia"/>
                <w:color w:val="auto"/>
                <w:sz w:val="24"/>
                <w:szCs w:val="24"/>
                <w:highlight w:val="none"/>
              </w:rPr>
            </w:pPr>
          </w:p>
        </w:tc>
        <w:tc>
          <w:tcPr>
            <w:tcW w:w="1620" w:type="dxa"/>
            <w:noWrap w:val="0"/>
            <w:vAlign w:val="top"/>
          </w:tcPr>
          <w:p w14:paraId="25A4CBD8">
            <w:pPr>
              <w:pStyle w:val="4"/>
              <w:ind w:firstLine="0"/>
              <w:rPr>
                <w:rFonts w:hint="eastAsia"/>
                <w:color w:val="auto"/>
                <w:sz w:val="24"/>
                <w:szCs w:val="24"/>
                <w:highlight w:val="none"/>
              </w:rPr>
            </w:pPr>
          </w:p>
        </w:tc>
        <w:tc>
          <w:tcPr>
            <w:tcW w:w="1596" w:type="dxa"/>
            <w:noWrap w:val="0"/>
            <w:vAlign w:val="top"/>
          </w:tcPr>
          <w:p w14:paraId="3341B6F7">
            <w:pPr>
              <w:pStyle w:val="4"/>
              <w:ind w:firstLine="0"/>
              <w:rPr>
                <w:rFonts w:hint="eastAsia"/>
                <w:color w:val="auto"/>
                <w:sz w:val="24"/>
                <w:szCs w:val="24"/>
                <w:highlight w:val="none"/>
              </w:rPr>
            </w:pPr>
          </w:p>
        </w:tc>
        <w:tc>
          <w:tcPr>
            <w:tcW w:w="1288" w:type="dxa"/>
            <w:noWrap w:val="0"/>
            <w:vAlign w:val="top"/>
          </w:tcPr>
          <w:p w14:paraId="36780D84">
            <w:pPr>
              <w:pStyle w:val="4"/>
              <w:ind w:firstLine="0"/>
              <w:rPr>
                <w:rFonts w:hint="eastAsia"/>
                <w:color w:val="auto"/>
                <w:sz w:val="24"/>
                <w:szCs w:val="24"/>
                <w:highlight w:val="none"/>
              </w:rPr>
            </w:pPr>
          </w:p>
        </w:tc>
        <w:tc>
          <w:tcPr>
            <w:tcW w:w="1259" w:type="dxa"/>
            <w:noWrap w:val="0"/>
            <w:vAlign w:val="top"/>
          </w:tcPr>
          <w:p w14:paraId="2E984E11">
            <w:pPr>
              <w:pStyle w:val="4"/>
              <w:ind w:firstLine="0"/>
              <w:rPr>
                <w:rFonts w:hint="eastAsia"/>
                <w:color w:val="auto"/>
                <w:sz w:val="24"/>
                <w:szCs w:val="24"/>
                <w:highlight w:val="none"/>
              </w:rPr>
            </w:pPr>
          </w:p>
        </w:tc>
        <w:tc>
          <w:tcPr>
            <w:tcW w:w="1701" w:type="dxa"/>
            <w:noWrap w:val="0"/>
            <w:vAlign w:val="top"/>
          </w:tcPr>
          <w:p w14:paraId="4848E4DF">
            <w:pPr>
              <w:pStyle w:val="4"/>
              <w:ind w:firstLine="0"/>
              <w:rPr>
                <w:rFonts w:hint="eastAsia"/>
                <w:color w:val="auto"/>
                <w:sz w:val="24"/>
                <w:szCs w:val="24"/>
                <w:highlight w:val="none"/>
              </w:rPr>
            </w:pPr>
          </w:p>
        </w:tc>
        <w:tc>
          <w:tcPr>
            <w:tcW w:w="904" w:type="dxa"/>
            <w:noWrap w:val="0"/>
            <w:vAlign w:val="top"/>
          </w:tcPr>
          <w:p w14:paraId="08B80679">
            <w:pPr>
              <w:pStyle w:val="4"/>
              <w:ind w:firstLine="0"/>
              <w:rPr>
                <w:rFonts w:hint="eastAsia"/>
                <w:color w:val="auto"/>
                <w:sz w:val="24"/>
                <w:szCs w:val="24"/>
                <w:highlight w:val="none"/>
              </w:rPr>
            </w:pPr>
          </w:p>
        </w:tc>
      </w:tr>
      <w:tr w14:paraId="6B3E896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900" w:type="dxa"/>
            <w:noWrap w:val="0"/>
            <w:vAlign w:val="top"/>
          </w:tcPr>
          <w:p w14:paraId="356643FA">
            <w:pPr>
              <w:pStyle w:val="4"/>
              <w:ind w:firstLine="0"/>
              <w:rPr>
                <w:rFonts w:hint="eastAsia"/>
                <w:color w:val="auto"/>
                <w:sz w:val="24"/>
                <w:szCs w:val="24"/>
                <w:highlight w:val="none"/>
              </w:rPr>
            </w:pPr>
          </w:p>
        </w:tc>
        <w:tc>
          <w:tcPr>
            <w:tcW w:w="1620" w:type="dxa"/>
            <w:noWrap w:val="0"/>
            <w:vAlign w:val="top"/>
          </w:tcPr>
          <w:p w14:paraId="2E934043">
            <w:pPr>
              <w:pStyle w:val="4"/>
              <w:ind w:firstLine="0"/>
              <w:rPr>
                <w:rFonts w:hint="eastAsia"/>
                <w:color w:val="auto"/>
                <w:sz w:val="24"/>
                <w:szCs w:val="24"/>
                <w:highlight w:val="none"/>
              </w:rPr>
            </w:pPr>
          </w:p>
        </w:tc>
        <w:tc>
          <w:tcPr>
            <w:tcW w:w="1596" w:type="dxa"/>
            <w:noWrap w:val="0"/>
            <w:vAlign w:val="top"/>
          </w:tcPr>
          <w:p w14:paraId="610D565D">
            <w:pPr>
              <w:pStyle w:val="4"/>
              <w:ind w:firstLine="0"/>
              <w:rPr>
                <w:rFonts w:hint="eastAsia"/>
                <w:color w:val="auto"/>
                <w:sz w:val="24"/>
                <w:szCs w:val="24"/>
                <w:highlight w:val="none"/>
              </w:rPr>
            </w:pPr>
          </w:p>
        </w:tc>
        <w:tc>
          <w:tcPr>
            <w:tcW w:w="1288" w:type="dxa"/>
            <w:noWrap w:val="0"/>
            <w:vAlign w:val="top"/>
          </w:tcPr>
          <w:p w14:paraId="5D819FBD">
            <w:pPr>
              <w:pStyle w:val="4"/>
              <w:ind w:firstLine="0"/>
              <w:rPr>
                <w:rFonts w:hint="eastAsia"/>
                <w:color w:val="auto"/>
                <w:sz w:val="24"/>
                <w:szCs w:val="24"/>
                <w:highlight w:val="none"/>
              </w:rPr>
            </w:pPr>
          </w:p>
        </w:tc>
        <w:tc>
          <w:tcPr>
            <w:tcW w:w="1259" w:type="dxa"/>
            <w:noWrap w:val="0"/>
            <w:vAlign w:val="top"/>
          </w:tcPr>
          <w:p w14:paraId="69670BB7">
            <w:pPr>
              <w:pStyle w:val="4"/>
              <w:ind w:firstLine="0"/>
              <w:rPr>
                <w:rFonts w:hint="eastAsia"/>
                <w:color w:val="auto"/>
                <w:sz w:val="24"/>
                <w:szCs w:val="24"/>
                <w:highlight w:val="none"/>
              </w:rPr>
            </w:pPr>
          </w:p>
        </w:tc>
        <w:tc>
          <w:tcPr>
            <w:tcW w:w="1701" w:type="dxa"/>
            <w:noWrap w:val="0"/>
            <w:vAlign w:val="top"/>
          </w:tcPr>
          <w:p w14:paraId="26A85258">
            <w:pPr>
              <w:pStyle w:val="4"/>
              <w:ind w:firstLine="0"/>
              <w:rPr>
                <w:rFonts w:hint="eastAsia"/>
                <w:color w:val="auto"/>
                <w:sz w:val="24"/>
                <w:szCs w:val="24"/>
                <w:highlight w:val="none"/>
              </w:rPr>
            </w:pPr>
          </w:p>
        </w:tc>
        <w:tc>
          <w:tcPr>
            <w:tcW w:w="904" w:type="dxa"/>
            <w:noWrap w:val="0"/>
            <w:vAlign w:val="top"/>
          </w:tcPr>
          <w:p w14:paraId="22695E17">
            <w:pPr>
              <w:pStyle w:val="4"/>
              <w:ind w:firstLine="0"/>
              <w:rPr>
                <w:rFonts w:hint="eastAsia"/>
                <w:color w:val="auto"/>
                <w:sz w:val="24"/>
                <w:szCs w:val="24"/>
                <w:highlight w:val="none"/>
              </w:rPr>
            </w:pPr>
          </w:p>
        </w:tc>
      </w:tr>
      <w:tr w14:paraId="74BC3C1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val="0"/>
            <w:vAlign w:val="top"/>
          </w:tcPr>
          <w:p w14:paraId="32BB7F6D">
            <w:pPr>
              <w:pStyle w:val="4"/>
              <w:ind w:firstLine="0"/>
              <w:rPr>
                <w:rFonts w:hint="eastAsia"/>
                <w:color w:val="auto"/>
                <w:sz w:val="24"/>
                <w:szCs w:val="24"/>
                <w:highlight w:val="none"/>
              </w:rPr>
            </w:pPr>
          </w:p>
        </w:tc>
        <w:tc>
          <w:tcPr>
            <w:tcW w:w="1620" w:type="dxa"/>
            <w:noWrap w:val="0"/>
            <w:vAlign w:val="top"/>
          </w:tcPr>
          <w:p w14:paraId="7E739EF5">
            <w:pPr>
              <w:pStyle w:val="4"/>
              <w:ind w:firstLine="0"/>
              <w:rPr>
                <w:rFonts w:hint="eastAsia"/>
                <w:color w:val="auto"/>
                <w:sz w:val="24"/>
                <w:szCs w:val="24"/>
                <w:highlight w:val="none"/>
              </w:rPr>
            </w:pPr>
          </w:p>
        </w:tc>
        <w:tc>
          <w:tcPr>
            <w:tcW w:w="1596" w:type="dxa"/>
            <w:noWrap w:val="0"/>
            <w:vAlign w:val="top"/>
          </w:tcPr>
          <w:p w14:paraId="66DD669B">
            <w:pPr>
              <w:pStyle w:val="4"/>
              <w:ind w:firstLine="0"/>
              <w:rPr>
                <w:rFonts w:hint="eastAsia"/>
                <w:color w:val="auto"/>
                <w:sz w:val="24"/>
                <w:szCs w:val="24"/>
                <w:highlight w:val="none"/>
              </w:rPr>
            </w:pPr>
          </w:p>
        </w:tc>
        <w:tc>
          <w:tcPr>
            <w:tcW w:w="1288" w:type="dxa"/>
            <w:noWrap w:val="0"/>
            <w:vAlign w:val="top"/>
          </w:tcPr>
          <w:p w14:paraId="008CEDCD">
            <w:pPr>
              <w:pStyle w:val="4"/>
              <w:ind w:firstLine="0"/>
              <w:rPr>
                <w:rFonts w:hint="eastAsia"/>
                <w:color w:val="auto"/>
                <w:sz w:val="24"/>
                <w:szCs w:val="24"/>
                <w:highlight w:val="none"/>
              </w:rPr>
            </w:pPr>
          </w:p>
        </w:tc>
        <w:tc>
          <w:tcPr>
            <w:tcW w:w="1259" w:type="dxa"/>
            <w:noWrap w:val="0"/>
            <w:vAlign w:val="top"/>
          </w:tcPr>
          <w:p w14:paraId="7529CB0C">
            <w:pPr>
              <w:pStyle w:val="4"/>
              <w:ind w:firstLine="0"/>
              <w:rPr>
                <w:rFonts w:hint="eastAsia"/>
                <w:color w:val="auto"/>
                <w:sz w:val="24"/>
                <w:szCs w:val="24"/>
                <w:highlight w:val="none"/>
              </w:rPr>
            </w:pPr>
          </w:p>
        </w:tc>
        <w:tc>
          <w:tcPr>
            <w:tcW w:w="1701" w:type="dxa"/>
            <w:noWrap w:val="0"/>
            <w:vAlign w:val="top"/>
          </w:tcPr>
          <w:p w14:paraId="2E2DF360">
            <w:pPr>
              <w:pStyle w:val="4"/>
              <w:ind w:firstLine="0"/>
              <w:rPr>
                <w:rFonts w:hint="eastAsia"/>
                <w:color w:val="auto"/>
                <w:sz w:val="24"/>
                <w:szCs w:val="24"/>
                <w:highlight w:val="none"/>
              </w:rPr>
            </w:pPr>
          </w:p>
        </w:tc>
        <w:tc>
          <w:tcPr>
            <w:tcW w:w="904" w:type="dxa"/>
            <w:noWrap w:val="0"/>
            <w:vAlign w:val="top"/>
          </w:tcPr>
          <w:p w14:paraId="11E4D8AC">
            <w:pPr>
              <w:pStyle w:val="4"/>
              <w:ind w:firstLine="0"/>
              <w:rPr>
                <w:rFonts w:hint="eastAsia"/>
                <w:color w:val="auto"/>
                <w:sz w:val="24"/>
                <w:szCs w:val="24"/>
                <w:highlight w:val="none"/>
              </w:rPr>
            </w:pPr>
          </w:p>
        </w:tc>
      </w:tr>
      <w:tr w14:paraId="12539D0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val="0"/>
            <w:vAlign w:val="top"/>
          </w:tcPr>
          <w:p w14:paraId="329425FC">
            <w:pPr>
              <w:pStyle w:val="4"/>
              <w:ind w:firstLine="0"/>
              <w:rPr>
                <w:rFonts w:hint="eastAsia"/>
                <w:color w:val="auto"/>
                <w:sz w:val="24"/>
                <w:szCs w:val="24"/>
                <w:highlight w:val="none"/>
              </w:rPr>
            </w:pPr>
          </w:p>
        </w:tc>
        <w:tc>
          <w:tcPr>
            <w:tcW w:w="1620" w:type="dxa"/>
            <w:noWrap w:val="0"/>
            <w:vAlign w:val="top"/>
          </w:tcPr>
          <w:p w14:paraId="1AFCE18F">
            <w:pPr>
              <w:pStyle w:val="4"/>
              <w:ind w:firstLine="0"/>
              <w:rPr>
                <w:rFonts w:hint="eastAsia"/>
                <w:color w:val="auto"/>
                <w:sz w:val="24"/>
                <w:szCs w:val="24"/>
                <w:highlight w:val="none"/>
              </w:rPr>
            </w:pPr>
          </w:p>
        </w:tc>
        <w:tc>
          <w:tcPr>
            <w:tcW w:w="1596" w:type="dxa"/>
            <w:noWrap w:val="0"/>
            <w:vAlign w:val="top"/>
          </w:tcPr>
          <w:p w14:paraId="56F8BA25">
            <w:pPr>
              <w:pStyle w:val="4"/>
              <w:ind w:firstLine="0"/>
              <w:rPr>
                <w:rFonts w:hint="eastAsia"/>
                <w:color w:val="auto"/>
                <w:sz w:val="24"/>
                <w:szCs w:val="24"/>
                <w:highlight w:val="none"/>
              </w:rPr>
            </w:pPr>
          </w:p>
        </w:tc>
        <w:tc>
          <w:tcPr>
            <w:tcW w:w="1288" w:type="dxa"/>
            <w:noWrap w:val="0"/>
            <w:vAlign w:val="top"/>
          </w:tcPr>
          <w:p w14:paraId="6AF4FB05">
            <w:pPr>
              <w:pStyle w:val="4"/>
              <w:ind w:firstLine="0"/>
              <w:rPr>
                <w:rFonts w:hint="eastAsia"/>
                <w:color w:val="auto"/>
                <w:sz w:val="24"/>
                <w:szCs w:val="24"/>
                <w:highlight w:val="none"/>
              </w:rPr>
            </w:pPr>
          </w:p>
        </w:tc>
        <w:tc>
          <w:tcPr>
            <w:tcW w:w="1259" w:type="dxa"/>
            <w:noWrap w:val="0"/>
            <w:vAlign w:val="top"/>
          </w:tcPr>
          <w:p w14:paraId="45149353">
            <w:pPr>
              <w:pStyle w:val="4"/>
              <w:ind w:firstLine="0"/>
              <w:rPr>
                <w:rFonts w:hint="eastAsia"/>
                <w:color w:val="auto"/>
                <w:sz w:val="24"/>
                <w:szCs w:val="24"/>
                <w:highlight w:val="none"/>
              </w:rPr>
            </w:pPr>
          </w:p>
        </w:tc>
        <w:tc>
          <w:tcPr>
            <w:tcW w:w="1701" w:type="dxa"/>
            <w:noWrap w:val="0"/>
            <w:vAlign w:val="top"/>
          </w:tcPr>
          <w:p w14:paraId="7C597735">
            <w:pPr>
              <w:pStyle w:val="4"/>
              <w:ind w:firstLine="0"/>
              <w:rPr>
                <w:rFonts w:hint="eastAsia"/>
                <w:color w:val="auto"/>
                <w:sz w:val="24"/>
                <w:szCs w:val="24"/>
                <w:highlight w:val="none"/>
              </w:rPr>
            </w:pPr>
          </w:p>
        </w:tc>
        <w:tc>
          <w:tcPr>
            <w:tcW w:w="904" w:type="dxa"/>
            <w:noWrap w:val="0"/>
            <w:vAlign w:val="top"/>
          </w:tcPr>
          <w:p w14:paraId="5BB7C2FA">
            <w:pPr>
              <w:pStyle w:val="4"/>
              <w:ind w:firstLine="0"/>
              <w:rPr>
                <w:rFonts w:hint="eastAsia"/>
                <w:color w:val="auto"/>
                <w:sz w:val="24"/>
                <w:szCs w:val="24"/>
                <w:highlight w:val="none"/>
              </w:rPr>
            </w:pPr>
          </w:p>
        </w:tc>
      </w:tr>
      <w:tr w14:paraId="5523B20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val="0"/>
            <w:vAlign w:val="top"/>
          </w:tcPr>
          <w:p w14:paraId="3D4D125B">
            <w:pPr>
              <w:pStyle w:val="4"/>
              <w:ind w:firstLine="0"/>
              <w:rPr>
                <w:rFonts w:hint="eastAsia"/>
                <w:color w:val="auto"/>
                <w:sz w:val="24"/>
                <w:szCs w:val="24"/>
                <w:highlight w:val="none"/>
              </w:rPr>
            </w:pPr>
          </w:p>
        </w:tc>
        <w:tc>
          <w:tcPr>
            <w:tcW w:w="1620" w:type="dxa"/>
            <w:noWrap w:val="0"/>
            <w:vAlign w:val="top"/>
          </w:tcPr>
          <w:p w14:paraId="441FBAAE">
            <w:pPr>
              <w:pStyle w:val="4"/>
              <w:ind w:firstLine="0"/>
              <w:rPr>
                <w:rFonts w:hint="eastAsia"/>
                <w:color w:val="auto"/>
                <w:sz w:val="24"/>
                <w:szCs w:val="24"/>
                <w:highlight w:val="none"/>
              </w:rPr>
            </w:pPr>
          </w:p>
        </w:tc>
        <w:tc>
          <w:tcPr>
            <w:tcW w:w="1596" w:type="dxa"/>
            <w:noWrap w:val="0"/>
            <w:vAlign w:val="top"/>
          </w:tcPr>
          <w:p w14:paraId="7F9B888E">
            <w:pPr>
              <w:pStyle w:val="4"/>
              <w:ind w:firstLine="0"/>
              <w:rPr>
                <w:rFonts w:hint="eastAsia"/>
                <w:color w:val="auto"/>
                <w:sz w:val="24"/>
                <w:szCs w:val="24"/>
                <w:highlight w:val="none"/>
              </w:rPr>
            </w:pPr>
          </w:p>
        </w:tc>
        <w:tc>
          <w:tcPr>
            <w:tcW w:w="1288" w:type="dxa"/>
            <w:noWrap w:val="0"/>
            <w:vAlign w:val="top"/>
          </w:tcPr>
          <w:p w14:paraId="5761CA22">
            <w:pPr>
              <w:pStyle w:val="4"/>
              <w:ind w:firstLine="0"/>
              <w:rPr>
                <w:rFonts w:hint="eastAsia"/>
                <w:color w:val="auto"/>
                <w:sz w:val="24"/>
                <w:szCs w:val="24"/>
                <w:highlight w:val="none"/>
              </w:rPr>
            </w:pPr>
          </w:p>
        </w:tc>
        <w:tc>
          <w:tcPr>
            <w:tcW w:w="1259" w:type="dxa"/>
            <w:noWrap w:val="0"/>
            <w:vAlign w:val="top"/>
          </w:tcPr>
          <w:p w14:paraId="5757F4EF">
            <w:pPr>
              <w:pStyle w:val="4"/>
              <w:ind w:firstLine="0"/>
              <w:rPr>
                <w:rFonts w:hint="eastAsia"/>
                <w:color w:val="auto"/>
                <w:sz w:val="24"/>
                <w:szCs w:val="24"/>
                <w:highlight w:val="none"/>
              </w:rPr>
            </w:pPr>
          </w:p>
        </w:tc>
        <w:tc>
          <w:tcPr>
            <w:tcW w:w="1701" w:type="dxa"/>
            <w:noWrap w:val="0"/>
            <w:vAlign w:val="top"/>
          </w:tcPr>
          <w:p w14:paraId="261547B8">
            <w:pPr>
              <w:pStyle w:val="4"/>
              <w:ind w:firstLine="0"/>
              <w:rPr>
                <w:rFonts w:hint="eastAsia"/>
                <w:color w:val="auto"/>
                <w:sz w:val="24"/>
                <w:szCs w:val="24"/>
                <w:highlight w:val="none"/>
              </w:rPr>
            </w:pPr>
          </w:p>
        </w:tc>
        <w:tc>
          <w:tcPr>
            <w:tcW w:w="904" w:type="dxa"/>
            <w:noWrap w:val="0"/>
            <w:vAlign w:val="top"/>
          </w:tcPr>
          <w:p w14:paraId="4110CA37">
            <w:pPr>
              <w:pStyle w:val="4"/>
              <w:ind w:firstLine="0"/>
              <w:rPr>
                <w:rFonts w:hint="eastAsia"/>
                <w:color w:val="auto"/>
                <w:sz w:val="24"/>
                <w:szCs w:val="24"/>
                <w:highlight w:val="none"/>
              </w:rPr>
            </w:pPr>
          </w:p>
        </w:tc>
      </w:tr>
      <w:tr w14:paraId="6BF9BD7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900" w:type="dxa"/>
            <w:noWrap w:val="0"/>
            <w:vAlign w:val="top"/>
          </w:tcPr>
          <w:p w14:paraId="3918BDCD">
            <w:pPr>
              <w:pStyle w:val="4"/>
              <w:ind w:firstLine="0"/>
              <w:rPr>
                <w:rFonts w:hint="eastAsia"/>
                <w:color w:val="auto"/>
                <w:sz w:val="24"/>
                <w:szCs w:val="24"/>
                <w:highlight w:val="none"/>
              </w:rPr>
            </w:pPr>
          </w:p>
        </w:tc>
        <w:tc>
          <w:tcPr>
            <w:tcW w:w="1620" w:type="dxa"/>
            <w:noWrap w:val="0"/>
            <w:vAlign w:val="top"/>
          </w:tcPr>
          <w:p w14:paraId="32844497">
            <w:pPr>
              <w:pStyle w:val="4"/>
              <w:ind w:firstLine="0"/>
              <w:rPr>
                <w:rFonts w:hint="eastAsia"/>
                <w:color w:val="auto"/>
                <w:sz w:val="24"/>
                <w:szCs w:val="24"/>
                <w:highlight w:val="none"/>
              </w:rPr>
            </w:pPr>
          </w:p>
        </w:tc>
        <w:tc>
          <w:tcPr>
            <w:tcW w:w="1596" w:type="dxa"/>
            <w:noWrap w:val="0"/>
            <w:vAlign w:val="top"/>
          </w:tcPr>
          <w:p w14:paraId="01999ED5">
            <w:pPr>
              <w:pStyle w:val="4"/>
              <w:ind w:firstLine="0"/>
              <w:rPr>
                <w:rFonts w:hint="eastAsia"/>
                <w:color w:val="auto"/>
                <w:sz w:val="24"/>
                <w:szCs w:val="24"/>
                <w:highlight w:val="none"/>
              </w:rPr>
            </w:pPr>
          </w:p>
        </w:tc>
        <w:tc>
          <w:tcPr>
            <w:tcW w:w="1288" w:type="dxa"/>
            <w:noWrap w:val="0"/>
            <w:vAlign w:val="top"/>
          </w:tcPr>
          <w:p w14:paraId="0E1FFF88">
            <w:pPr>
              <w:pStyle w:val="4"/>
              <w:ind w:firstLine="0"/>
              <w:rPr>
                <w:rFonts w:hint="eastAsia"/>
                <w:color w:val="auto"/>
                <w:sz w:val="24"/>
                <w:szCs w:val="24"/>
                <w:highlight w:val="none"/>
              </w:rPr>
            </w:pPr>
          </w:p>
        </w:tc>
        <w:tc>
          <w:tcPr>
            <w:tcW w:w="1259" w:type="dxa"/>
            <w:noWrap w:val="0"/>
            <w:vAlign w:val="top"/>
          </w:tcPr>
          <w:p w14:paraId="57741688">
            <w:pPr>
              <w:pStyle w:val="4"/>
              <w:ind w:firstLine="0"/>
              <w:rPr>
                <w:rFonts w:hint="eastAsia"/>
                <w:color w:val="auto"/>
                <w:sz w:val="24"/>
                <w:szCs w:val="24"/>
                <w:highlight w:val="none"/>
              </w:rPr>
            </w:pPr>
          </w:p>
        </w:tc>
        <w:tc>
          <w:tcPr>
            <w:tcW w:w="1701" w:type="dxa"/>
            <w:noWrap w:val="0"/>
            <w:vAlign w:val="top"/>
          </w:tcPr>
          <w:p w14:paraId="3C32EC9A">
            <w:pPr>
              <w:pStyle w:val="4"/>
              <w:ind w:firstLine="0"/>
              <w:rPr>
                <w:rFonts w:hint="eastAsia"/>
                <w:color w:val="auto"/>
                <w:sz w:val="24"/>
                <w:szCs w:val="24"/>
                <w:highlight w:val="none"/>
              </w:rPr>
            </w:pPr>
          </w:p>
        </w:tc>
        <w:tc>
          <w:tcPr>
            <w:tcW w:w="904" w:type="dxa"/>
            <w:noWrap w:val="0"/>
            <w:vAlign w:val="top"/>
          </w:tcPr>
          <w:p w14:paraId="09C9019A">
            <w:pPr>
              <w:pStyle w:val="4"/>
              <w:ind w:firstLine="0"/>
              <w:rPr>
                <w:rFonts w:hint="eastAsia"/>
                <w:color w:val="auto"/>
                <w:sz w:val="24"/>
                <w:szCs w:val="24"/>
                <w:highlight w:val="none"/>
              </w:rPr>
            </w:pPr>
          </w:p>
        </w:tc>
      </w:tr>
      <w:tr w14:paraId="55C99D5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900" w:type="dxa"/>
            <w:noWrap w:val="0"/>
            <w:vAlign w:val="top"/>
          </w:tcPr>
          <w:p w14:paraId="1FD90E63">
            <w:pPr>
              <w:pStyle w:val="4"/>
              <w:ind w:firstLine="0"/>
              <w:rPr>
                <w:rFonts w:hint="eastAsia"/>
                <w:color w:val="auto"/>
                <w:sz w:val="24"/>
                <w:szCs w:val="24"/>
                <w:highlight w:val="none"/>
              </w:rPr>
            </w:pPr>
          </w:p>
        </w:tc>
        <w:tc>
          <w:tcPr>
            <w:tcW w:w="1620" w:type="dxa"/>
            <w:noWrap w:val="0"/>
            <w:vAlign w:val="top"/>
          </w:tcPr>
          <w:p w14:paraId="16F12A88">
            <w:pPr>
              <w:pStyle w:val="4"/>
              <w:ind w:firstLine="0"/>
              <w:rPr>
                <w:rFonts w:hint="eastAsia"/>
                <w:color w:val="auto"/>
                <w:sz w:val="24"/>
                <w:szCs w:val="24"/>
                <w:highlight w:val="none"/>
              </w:rPr>
            </w:pPr>
          </w:p>
        </w:tc>
        <w:tc>
          <w:tcPr>
            <w:tcW w:w="1596" w:type="dxa"/>
            <w:noWrap w:val="0"/>
            <w:vAlign w:val="top"/>
          </w:tcPr>
          <w:p w14:paraId="2D6B1496">
            <w:pPr>
              <w:pStyle w:val="4"/>
              <w:ind w:firstLine="0"/>
              <w:rPr>
                <w:rFonts w:hint="eastAsia"/>
                <w:color w:val="auto"/>
                <w:sz w:val="24"/>
                <w:szCs w:val="24"/>
                <w:highlight w:val="none"/>
              </w:rPr>
            </w:pPr>
          </w:p>
        </w:tc>
        <w:tc>
          <w:tcPr>
            <w:tcW w:w="1288" w:type="dxa"/>
            <w:noWrap w:val="0"/>
            <w:vAlign w:val="top"/>
          </w:tcPr>
          <w:p w14:paraId="560B5944">
            <w:pPr>
              <w:pStyle w:val="4"/>
              <w:ind w:firstLine="0"/>
              <w:rPr>
                <w:rFonts w:hint="eastAsia"/>
                <w:color w:val="auto"/>
                <w:sz w:val="24"/>
                <w:szCs w:val="24"/>
                <w:highlight w:val="none"/>
              </w:rPr>
            </w:pPr>
          </w:p>
        </w:tc>
        <w:tc>
          <w:tcPr>
            <w:tcW w:w="1259" w:type="dxa"/>
            <w:noWrap w:val="0"/>
            <w:vAlign w:val="top"/>
          </w:tcPr>
          <w:p w14:paraId="5F9C3375">
            <w:pPr>
              <w:pStyle w:val="4"/>
              <w:ind w:firstLine="0"/>
              <w:rPr>
                <w:rFonts w:hint="eastAsia"/>
                <w:color w:val="auto"/>
                <w:sz w:val="24"/>
                <w:szCs w:val="24"/>
                <w:highlight w:val="none"/>
              </w:rPr>
            </w:pPr>
          </w:p>
        </w:tc>
        <w:tc>
          <w:tcPr>
            <w:tcW w:w="1701" w:type="dxa"/>
            <w:noWrap w:val="0"/>
            <w:vAlign w:val="top"/>
          </w:tcPr>
          <w:p w14:paraId="525366E1">
            <w:pPr>
              <w:pStyle w:val="4"/>
              <w:ind w:firstLine="0"/>
              <w:rPr>
                <w:rFonts w:hint="eastAsia"/>
                <w:color w:val="auto"/>
                <w:sz w:val="24"/>
                <w:szCs w:val="24"/>
                <w:highlight w:val="none"/>
              </w:rPr>
            </w:pPr>
          </w:p>
        </w:tc>
        <w:tc>
          <w:tcPr>
            <w:tcW w:w="904" w:type="dxa"/>
            <w:noWrap w:val="0"/>
            <w:vAlign w:val="top"/>
          </w:tcPr>
          <w:p w14:paraId="193CFC95">
            <w:pPr>
              <w:pStyle w:val="4"/>
              <w:ind w:firstLine="0"/>
              <w:rPr>
                <w:rFonts w:hint="eastAsia"/>
                <w:color w:val="auto"/>
                <w:sz w:val="24"/>
                <w:szCs w:val="24"/>
                <w:highlight w:val="none"/>
              </w:rPr>
            </w:pPr>
          </w:p>
        </w:tc>
      </w:tr>
    </w:tbl>
    <w:p w14:paraId="5F855B07">
      <w:pPr>
        <w:pStyle w:val="4"/>
        <w:rPr>
          <w:rFonts w:hint="eastAsia"/>
          <w:color w:val="auto"/>
          <w:highlight w:val="none"/>
        </w:rPr>
      </w:pPr>
    </w:p>
    <w:p w14:paraId="7EC51267">
      <w:pPr>
        <w:autoSpaceDE w:val="0"/>
        <w:autoSpaceDN w:val="0"/>
        <w:spacing w:line="360" w:lineRule="auto"/>
        <w:rPr>
          <w:rFonts w:hint="eastAsia" w:ascii="宋体" w:hAnsi="宋体" w:eastAsia="宋体" w:cs="宋体"/>
          <w:bCs/>
          <w:color w:val="auto"/>
          <w:szCs w:val="21"/>
          <w:highlight w:val="none"/>
        </w:rPr>
      </w:pPr>
      <w:r>
        <w:rPr>
          <w:rFonts w:hint="eastAsia" w:ascii="宋体" w:hAnsi="宋体" w:eastAsia="宋体" w:cs="宋体"/>
          <w:color w:val="auto"/>
          <w:szCs w:val="21"/>
          <w:highlight w:val="none"/>
        </w:rPr>
        <w:t>说明：1.</w:t>
      </w:r>
      <w:r>
        <w:rPr>
          <w:rFonts w:hint="eastAsia" w:ascii="宋体" w:hAnsi="宋体" w:eastAsia="宋体" w:cs="宋体"/>
          <w:color w:val="auto"/>
          <w:kern w:val="0"/>
          <w:highlight w:val="none"/>
          <w:lang w:val="zh-CN"/>
        </w:rPr>
        <w:t>提供</w:t>
      </w:r>
      <w:r>
        <w:rPr>
          <w:rFonts w:hint="eastAsia" w:ascii="宋体" w:hAnsi="宋体" w:eastAsia="宋体" w:cs="宋体"/>
          <w:color w:val="auto"/>
          <w:kern w:val="0"/>
          <w:highlight w:val="none"/>
          <w:u w:val="single"/>
          <w:lang w:val="zh-CN"/>
        </w:rPr>
        <w:t>2021年1月1日至</w:t>
      </w:r>
      <w:r>
        <w:rPr>
          <w:rFonts w:hint="eastAsia" w:ascii="宋体" w:hAnsi="宋体" w:cs="宋体"/>
          <w:color w:val="auto"/>
          <w:kern w:val="0"/>
          <w:highlight w:val="none"/>
          <w:u w:val="single"/>
          <w:lang w:val="en-US" w:eastAsia="zh-CN"/>
        </w:rPr>
        <w:t>投标截止时间</w:t>
      </w:r>
      <w:r>
        <w:rPr>
          <w:rFonts w:hint="eastAsia" w:ascii="宋体" w:hAnsi="宋体" w:eastAsia="宋体" w:cs="宋体"/>
          <w:color w:val="auto"/>
          <w:kern w:val="0"/>
          <w:highlight w:val="none"/>
          <w:lang w:val="zh-CN"/>
        </w:rPr>
        <w:t>以来的类似业绩证明材料。类似业绩是指与采购项目在产品类型、使用功能等方面相同或相近的项目；</w:t>
      </w:r>
      <w:r>
        <w:rPr>
          <w:rFonts w:hint="eastAsia" w:ascii="宋体" w:hAnsi="宋体" w:eastAsia="宋体" w:cs="宋体"/>
          <w:color w:val="auto"/>
          <w:szCs w:val="21"/>
          <w:highlight w:val="none"/>
          <w:lang w:val="en-US" w:eastAsia="zh-CN"/>
        </w:rPr>
        <w:t>2</w:t>
      </w:r>
      <w:r>
        <w:rPr>
          <w:rFonts w:hint="eastAsia" w:ascii="宋体" w:hAnsi="宋体" w:eastAsia="宋体" w:cs="宋体"/>
          <w:color w:val="auto"/>
          <w:szCs w:val="21"/>
          <w:highlight w:val="none"/>
        </w:rPr>
        <w:t>.投标人</w:t>
      </w:r>
      <w:r>
        <w:rPr>
          <w:rFonts w:hint="eastAsia" w:ascii="宋体" w:hAnsi="宋体" w:eastAsia="宋体" w:cs="宋体"/>
          <w:bCs/>
          <w:color w:val="auto"/>
          <w:szCs w:val="21"/>
          <w:highlight w:val="none"/>
        </w:rPr>
        <w:t>未按上述要求提供、</w:t>
      </w:r>
      <w:r>
        <w:rPr>
          <w:rFonts w:hint="eastAsia" w:ascii="宋体" w:hAnsi="宋体" w:eastAsia="宋体" w:cs="宋体"/>
          <w:color w:val="auto"/>
          <w:szCs w:val="21"/>
          <w:highlight w:val="none"/>
        </w:rPr>
        <w:t>填写</w:t>
      </w:r>
      <w:r>
        <w:rPr>
          <w:rFonts w:hint="eastAsia" w:ascii="宋体" w:hAnsi="宋体" w:eastAsia="宋体" w:cs="宋体"/>
          <w:bCs/>
          <w:color w:val="auto"/>
          <w:szCs w:val="21"/>
          <w:highlight w:val="none"/>
        </w:rPr>
        <w:t>的，评标时不予加分。</w:t>
      </w:r>
    </w:p>
    <w:p w14:paraId="2532D793">
      <w:pPr>
        <w:adjustRightInd w:val="0"/>
        <w:spacing w:before="360" w:beforeLines="150" w:line="360" w:lineRule="auto"/>
        <w:ind w:firstLine="105" w:firstLineChars="50"/>
        <w:jc w:val="left"/>
        <w:rPr>
          <w:rFonts w:hint="eastAsia" w:ascii="宋体" w:hAnsi="宋体"/>
          <w:color w:val="auto"/>
          <w:szCs w:val="21"/>
          <w:highlight w:val="none"/>
        </w:rPr>
      </w:pPr>
      <w:r>
        <w:rPr>
          <w:rFonts w:hint="eastAsia" w:ascii="宋体" w:hAnsi="宋体"/>
          <w:color w:val="auto"/>
          <w:szCs w:val="21"/>
          <w:highlight w:val="none"/>
        </w:rPr>
        <w:t>投 标 人：</w:t>
      </w:r>
      <w:r>
        <w:rPr>
          <w:rFonts w:hint="eastAsia" w:ascii="宋体" w:hAnsi="宋体"/>
          <w:color w:val="auto"/>
          <w:szCs w:val="21"/>
          <w:highlight w:val="none"/>
          <w:u w:val="single"/>
        </w:rPr>
        <w:t xml:space="preserve">                              </w:t>
      </w:r>
      <w:r>
        <w:rPr>
          <w:rFonts w:hint="eastAsia" w:ascii="宋体" w:hAnsi="宋体"/>
          <w:color w:val="auto"/>
          <w:szCs w:val="21"/>
          <w:highlight w:val="none"/>
        </w:rPr>
        <w:t>（盖单位章）</w:t>
      </w:r>
    </w:p>
    <w:p w14:paraId="034CAEDA">
      <w:pPr>
        <w:pStyle w:val="39"/>
        <w:spacing w:before="360" w:beforeLines="150" w:line="360" w:lineRule="auto"/>
        <w:ind w:firstLine="105" w:firstLineChars="50"/>
        <w:rPr>
          <w:rFonts w:hint="eastAsia" w:ascii="宋体" w:hAnsi="宋体"/>
          <w:bCs/>
          <w:color w:val="auto"/>
          <w:highlight w:val="none"/>
        </w:rPr>
      </w:pPr>
      <w:r>
        <w:rPr>
          <w:rFonts w:hint="eastAsia" w:ascii="宋体" w:hAnsi="宋体"/>
          <w:color w:val="auto"/>
          <w:highlight w:val="none"/>
        </w:rPr>
        <w:t>法定代表人或委托代理人：</w:t>
      </w:r>
      <w:r>
        <w:rPr>
          <w:rFonts w:hint="eastAsia" w:ascii="宋体" w:hAnsi="宋体"/>
          <w:color w:val="auto"/>
          <w:highlight w:val="none"/>
          <w:u w:val="single"/>
        </w:rPr>
        <w:t xml:space="preserve">                </w:t>
      </w:r>
      <w:r>
        <w:rPr>
          <w:rFonts w:hint="eastAsia" w:ascii="宋体" w:hAnsi="宋体"/>
          <w:color w:val="auto"/>
          <w:highlight w:val="none"/>
        </w:rPr>
        <w:t>（签字）</w:t>
      </w:r>
    </w:p>
    <w:p w14:paraId="1A1CBAF7">
      <w:pPr>
        <w:pStyle w:val="39"/>
        <w:spacing w:before="360" w:beforeLines="150" w:line="360" w:lineRule="auto"/>
        <w:rPr>
          <w:rFonts w:hint="eastAsia" w:ascii="宋体" w:hAnsi="宋体"/>
          <w:b/>
          <w:bCs/>
          <w:color w:val="auto"/>
          <w:highlight w:val="none"/>
        </w:rPr>
      </w:pPr>
      <w:r>
        <w:rPr>
          <w:rFonts w:hint="eastAsia" w:ascii="宋体" w:hAnsi="宋体"/>
          <w:bCs/>
          <w:color w:val="auto"/>
          <w:highlight w:val="none"/>
        </w:rPr>
        <w:t xml:space="preserve"> 日    期:  20</w:t>
      </w:r>
      <w:r>
        <w:rPr>
          <w:rFonts w:hint="eastAsia" w:ascii="宋体" w:hAnsi="宋体"/>
          <w:bCs/>
          <w:color w:val="auto"/>
          <w:highlight w:val="none"/>
          <w:u w:val="single"/>
        </w:rPr>
        <w:t xml:space="preserve">  </w:t>
      </w:r>
      <w:r>
        <w:rPr>
          <w:rFonts w:hint="eastAsia" w:ascii="宋体" w:hAnsi="宋体"/>
          <w:bCs/>
          <w:color w:val="auto"/>
          <w:highlight w:val="none"/>
        </w:rPr>
        <w:t xml:space="preserve"> 年</w:t>
      </w:r>
      <w:r>
        <w:rPr>
          <w:rFonts w:hint="eastAsia" w:ascii="宋体" w:hAnsi="宋体"/>
          <w:bCs/>
          <w:color w:val="auto"/>
          <w:highlight w:val="none"/>
          <w:u w:val="single"/>
        </w:rPr>
        <w:t xml:space="preserve">  </w:t>
      </w:r>
      <w:r>
        <w:rPr>
          <w:rFonts w:hint="eastAsia" w:ascii="宋体" w:hAnsi="宋体"/>
          <w:bCs/>
          <w:color w:val="auto"/>
          <w:highlight w:val="none"/>
        </w:rPr>
        <w:t>月</w:t>
      </w:r>
      <w:r>
        <w:rPr>
          <w:rFonts w:hint="eastAsia" w:ascii="宋体" w:hAnsi="宋体"/>
          <w:bCs/>
          <w:color w:val="auto"/>
          <w:highlight w:val="none"/>
          <w:u w:val="single"/>
        </w:rPr>
        <w:t xml:space="preserve">  </w:t>
      </w:r>
      <w:r>
        <w:rPr>
          <w:rFonts w:hint="eastAsia" w:ascii="宋体" w:hAnsi="宋体"/>
          <w:bCs/>
          <w:color w:val="auto"/>
          <w:highlight w:val="none"/>
        </w:rPr>
        <w:t xml:space="preserve">日   </w:t>
      </w:r>
    </w:p>
    <w:p w14:paraId="035A7510">
      <w:pPr>
        <w:adjustRightInd w:val="0"/>
        <w:spacing w:after="480" w:afterLines="200" w:line="360" w:lineRule="auto"/>
        <w:jc w:val="center"/>
        <w:rPr>
          <w:rFonts w:hint="eastAsia" w:ascii="宋体" w:hAnsi="宋体"/>
          <w:b/>
          <w:bCs/>
          <w:color w:val="auto"/>
          <w:sz w:val="36"/>
          <w:szCs w:val="36"/>
          <w:highlight w:val="none"/>
        </w:rPr>
      </w:pPr>
    </w:p>
    <w:p w14:paraId="7838ADF7">
      <w:pPr>
        <w:pStyle w:val="3"/>
        <w:spacing w:before="0" w:after="480" w:afterLines="200" w:line="240" w:lineRule="auto"/>
        <w:jc w:val="center"/>
        <w:rPr>
          <w:rFonts w:hint="eastAsia" w:ascii="宋体" w:hAnsi="宋体" w:eastAsia="宋体"/>
          <w:bCs/>
          <w:color w:val="auto"/>
          <w:kern w:val="0"/>
          <w:sz w:val="36"/>
          <w:szCs w:val="36"/>
          <w:highlight w:val="none"/>
        </w:rPr>
      </w:pPr>
      <w:bookmarkStart w:id="260" w:name="_Toc5934"/>
      <w:r>
        <w:rPr>
          <w:rFonts w:hint="eastAsia" w:ascii="宋体" w:hAnsi="宋体" w:eastAsia="宋体"/>
          <w:bCs/>
          <w:color w:val="auto"/>
          <w:kern w:val="0"/>
          <w:sz w:val="36"/>
          <w:szCs w:val="36"/>
          <w:highlight w:val="none"/>
        </w:rPr>
        <w:t>十</w:t>
      </w:r>
      <w:r>
        <w:rPr>
          <w:rFonts w:hint="eastAsia" w:ascii="宋体" w:hAnsi="宋体" w:eastAsia="宋体"/>
          <w:bCs/>
          <w:color w:val="auto"/>
          <w:kern w:val="0"/>
          <w:sz w:val="36"/>
          <w:szCs w:val="36"/>
          <w:highlight w:val="none"/>
          <w:lang w:val="en-US" w:eastAsia="zh-CN"/>
        </w:rPr>
        <w:t>一</w:t>
      </w:r>
      <w:r>
        <w:rPr>
          <w:rFonts w:hint="eastAsia" w:ascii="宋体" w:hAnsi="宋体" w:eastAsia="宋体"/>
          <w:bCs/>
          <w:color w:val="auto"/>
          <w:kern w:val="0"/>
          <w:sz w:val="36"/>
          <w:szCs w:val="36"/>
          <w:highlight w:val="none"/>
        </w:rPr>
        <w:t>、</w:t>
      </w:r>
      <w:bookmarkEnd w:id="260"/>
      <w:r>
        <w:rPr>
          <w:rFonts w:hint="eastAsia" w:ascii="宋体" w:hAnsi="宋体" w:eastAsia="宋体"/>
          <w:bCs/>
          <w:color w:val="auto"/>
          <w:kern w:val="0"/>
          <w:sz w:val="36"/>
          <w:szCs w:val="36"/>
          <w:highlight w:val="none"/>
        </w:rPr>
        <w:t>技术规格偏离表</w:t>
      </w:r>
    </w:p>
    <w:p w14:paraId="0E23A8A1">
      <w:pPr>
        <w:pStyle w:val="4"/>
        <w:spacing w:before="120" w:beforeLines="50" w:after="120" w:afterLines="50"/>
        <w:ind w:firstLine="0"/>
        <w:rPr>
          <w:rFonts w:hint="eastAsia" w:ascii="宋体" w:hAnsi="宋体"/>
          <w:color w:val="auto"/>
          <w:highlight w:val="none"/>
        </w:rPr>
      </w:pPr>
      <w:r>
        <w:rPr>
          <w:rFonts w:hint="eastAsia" w:ascii="宋体" w:hAnsi="宋体"/>
          <w:color w:val="auto"/>
          <w:highlight w:val="none"/>
        </w:rPr>
        <w:t xml:space="preserve">投标人名称：                                  </w:t>
      </w:r>
      <w:r>
        <w:rPr>
          <w:rFonts w:hint="eastAsia" w:ascii="宋体" w:hAnsi="宋体"/>
          <w:color w:val="auto"/>
          <w:highlight w:val="none"/>
          <w:lang w:val="en-US" w:eastAsia="zh-CN"/>
        </w:rPr>
        <w:t xml:space="preserve">                     </w:t>
      </w:r>
      <w:r>
        <w:rPr>
          <w:rFonts w:hint="eastAsia" w:ascii="宋体" w:hAnsi="宋体"/>
          <w:color w:val="auto"/>
          <w:highlight w:val="none"/>
        </w:rPr>
        <w:t>项目编号：</w:t>
      </w:r>
    </w:p>
    <w:tbl>
      <w:tblPr>
        <w:tblStyle w:val="23"/>
        <w:tblW w:w="9906"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841"/>
        <w:gridCol w:w="1474"/>
        <w:gridCol w:w="1865"/>
        <w:gridCol w:w="2542"/>
        <w:gridCol w:w="841"/>
        <w:gridCol w:w="1684"/>
        <w:gridCol w:w="659"/>
      </w:tblGrid>
      <w:tr w14:paraId="5E59758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32" w:hRule="atLeast"/>
          <w:jc w:val="center"/>
        </w:trPr>
        <w:tc>
          <w:tcPr>
            <w:tcW w:w="841" w:type="dxa"/>
            <w:noWrap w:val="0"/>
            <w:vAlign w:val="center"/>
          </w:tcPr>
          <w:p w14:paraId="1BA262E8">
            <w:pPr>
              <w:adjustRightInd w:val="0"/>
              <w:snapToGrid w:val="0"/>
              <w:ind w:right="23"/>
              <w:jc w:val="center"/>
              <w:rPr>
                <w:rFonts w:hint="eastAsia" w:ascii="宋体" w:hAnsi="宋体"/>
                <w:b/>
                <w:bCs/>
                <w:color w:val="auto"/>
                <w:szCs w:val="21"/>
                <w:highlight w:val="none"/>
              </w:rPr>
            </w:pPr>
            <w:r>
              <w:rPr>
                <w:rFonts w:hint="eastAsia" w:ascii="宋体" w:hAnsi="宋体"/>
                <w:b/>
                <w:bCs/>
                <w:color w:val="auto"/>
                <w:szCs w:val="21"/>
                <w:highlight w:val="none"/>
              </w:rPr>
              <w:t>序号</w:t>
            </w:r>
          </w:p>
        </w:tc>
        <w:tc>
          <w:tcPr>
            <w:tcW w:w="1474" w:type="dxa"/>
            <w:noWrap w:val="0"/>
            <w:vAlign w:val="center"/>
          </w:tcPr>
          <w:p w14:paraId="1CA39C93">
            <w:pPr>
              <w:adjustRightInd w:val="0"/>
              <w:snapToGrid w:val="0"/>
              <w:ind w:right="23"/>
              <w:jc w:val="center"/>
              <w:rPr>
                <w:rFonts w:hint="eastAsia" w:ascii="宋体" w:hAnsi="宋体"/>
                <w:b/>
                <w:bCs/>
                <w:color w:val="auto"/>
                <w:szCs w:val="21"/>
                <w:highlight w:val="none"/>
              </w:rPr>
            </w:pPr>
            <w:r>
              <w:rPr>
                <w:rFonts w:hint="eastAsia" w:ascii="宋体" w:hAnsi="宋体"/>
                <w:b/>
                <w:bCs/>
                <w:color w:val="auto"/>
                <w:szCs w:val="21"/>
                <w:highlight w:val="none"/>
              </w:rPr>
              <w:t>文件条目号</w:t>
            </w:r>
          </w:p>
        </w:tc>
        <w:tc>
          <w:tcPr>
            <w:tcW w:w="1865" w:type="dxa"/>
            <w:noWrap w:val="0"/>
            <w:vAlign w:val="center"/>
          </w:tcPr>
          <w:p w14:paraId="5FC926A4">
            <w:pPr>
              <w:adjustRightInd w:val="0"/>
              <w:snapToGrid w:val="0"/>
              <w:ind w:right="23"/>
              <w:jc w:val="center"/>
              <w:rPr>
                <w:rFonts w:hint="eastAsia" w:ascii="宋体" w:hAnsi="宋体"/>
                <w:b/>
                <w:color w:val="auto"/>
                <w:szCs w:val="21"/>
                <w:highlight w:val="none"/>
              </w:rPr>
            </w:pPr>
            <w:r>
              <w:rPr>
                <w:rFonts w:hint="eastAsia" w:ascii="宋体" w:hAnsi="宋体"/>
                <w:b/>
                <w:color w:val="auto"/>
                <w:szCs w:val="21"/>
                <w:highlight w:val="none"/>
              </w:rPr>
              <w:t>采购规格及</w:t>
            </w:r>
          </w:p>
          <w:p w14:paraId="5632D686">
            <w:pPr>
              <w:adjustRightInd w:val="0"/>
              <w:snapToGrid w:val="0"/>
              <w:ind w:right="23"/>
              <w:jc w:val="center"/>
              <w:rPr>
                <w:rFonts w:hint="eastAsia" w:ascii="宋体" w:hAnsi="宋体"/>
                <w:b/>
                <w:bCs/>
                <w:color w:val="auto"/>
                <w:szCs w:val="21"/>
                <w:highlight w:val="none"/>
              </w:rPr>
            </w:pPr>
            <w:r>
              <w:rPr>
                <w:rFonts w:hint="eastAsia" w:ascii="宋体" w:hAnsi="宋体"/>
                <w:b/>
                <w:color w:val="auto"/>
                <w:szCs w:val="21"/>
                <w:highlight w:val="none"/>
              </w:rPr>
              <w:t>技术需求</w:t>
            </w:r>
          </w:p>
        </w:tc>
        <w:tc>
          <w:tcPr>
            <w:tcW w:w="2542" w:type="dxa"/>
            <w:noWrap w:val="0"/>
            <w:vAlign w:val="center"/>
          </w:tcPr>
          <w:p w14:paraId="1DDDC297">
            <w:pPr>
              <w:adjustRightInd w:val="0"/>
              <w:snapToGrid w:val="0"/>
              <w:ind w:right="23"/>
              <w:jc w:val="center"/>
              <w:rPr>
                <w:rFonts w:hint="eastAsia" w:ascii="宋体" w:hAnsi="宋体"/>
                <w:b/>
                <w:color w:val="auto"/>
                <w:szCs w:val="21"/>
                <w:highlight w:val="none"/>
              </w:rPr>
            </w:pPr>
            <w:r>
              <w:rPr>
                <w:rFonts w:hint="eastAsia" w:ascii="宋体" w:hAnsi="宋体"/>
                <w:b/>
                <w:color w:val="auto"/>
                <w:szCs w:val="21"/>
                <w:highlight w:val="none"/>
              </w:rPr>
              <w:t>投标文件规格及</w:t>
            </w:r>
          </w:p>
          <w:p w14:paraId="12FC5C2F">
            <w:pPr>
              <w:adjustRightInd w:val="0"/>
              <w:snapToGrid w:val="0"/>
              <w:ind w:right="23"/>
              <w:jc w:val="center"/>
              <w:rPr>
                <w:rFonts w:hint="eastAsia" w:ascii="宋体" w:hAnsi="宋体"/>
                <w:b/>
                <w:bCs/>
                <w:color w:val="auto"/>
                <w:szCs w:val="21"/>
                <w:highlight w:val="none"/>
              </w:rPr>
            </w:pPr>
            <w:r>
              <w:rPr>
                <w:rFonts w:hint="eastAsia" w:ascii="宋体" w:hAnsi="宋体"/>
                <w:b/>
                <w:color w:val="auto"/>
                <w:szCs w:val="21"/>
                <w:highlight w:val="none"/>
              </w:rPr>
              <w:t>技术参数</w:t>
            </w:r>
          </w:p>
        </w:tc>
        <w:tc>
          <w:tcPr>
            <w:tcW w:w="841" w:type="dxa"/>
            <w:noWrap w:val="0"/>
            <w:vAlign w:val="center"/>
          </w:tcPr>
          <w:p w14:paraId="7E5B3E34">
            <w:pPr>
              <w:adjustRightInd w:val="0"/>
              <w:snapToGrid w:val="0"/>
              <w:ind w:right="23"/>
              <w:jc w:val="center"/>
              <w:rPr>
                <w:rFonts w:hint="eastAsia" w:ascii="宋体" w:hAnsi="宋体"/>
                <w:b/>
                <w:bCs/>
                <w:color w:val="auto"/>
                <w:szCs w:val="21"/>
                <w:highlight w:val="none"/>
              </w:rPr>
            </w:pPr>
            <w:r>
              <w:rPr>
                <w:rFonts w:hint="eastAsia" w:ascii="宋体" w:hAnsi="宋体"/>
                <w:b/>
                <w:bCs/>
                <w:color w:val="auto"/>
                <w:szCs w:val="21"/>
                <w:highlight w:val="none"/>
              </w:rPr>
              <w:t>偏离</w:t>
            </w:r>
          </w:p>
        </w:tc>
        <w:tc>
          <w:tcPr>
            <w:tcW w:w="1684" w:type="dxa"/>
            <w:noWrap w:val="0"/>
            <w:vAlign w:val="center"/>
          </w:tcPr>
          <w:p w14:paraId="770C523A">
            <w:pPr>
              <w:adjustRightInd w:val="0"/>
              <w:snapToGrid w:val="0"/>
              <w:ind w:right="23"/>
              <w:jc w:val="center"/>
              <w:rPr>
                <w:rFonts w:hint="eastAsia" w:ascii="宋体" w:hAnsi="宋体"/>
                <w:b/>
                <w:bCs/>
                <w:color w:val="auto"/>
                <w:szCs w:val="21"/>
                <w:highlight w:val="none"/>
              </w:rPr>
            </w:pPr>
            <w:r>
              <w:rPr>
                <w:rFonts w:hint="eastAsia" w:ascii="宋体" w:hAnsi="宋体"/>
                <w:b/>
                <w:bCs/>
                <w:color w:val="auto"/>
                <w:szCs w:val="21"/>
                <w:highlight w:val="none"/>
              </w:rPr>
              <w:t>偏离及其影响</w:t>
            </w:r>
          </w:p>
        </w:tc>
        <w:tc>
          <w:tcPr>
            <w:tcW w:w="659" w:type="dxa"/>
            <w:noWrap w:val="0"/>
            <w:vAlign w:val="center"/>
          </w:tcPr>
          <w:p w14:paraId="42E1D2D9">
            <w:pPr>
              <w:adjustRightInd w:val="0"/>
              <w:snapToGrid w:val="0"/>
              <w:ind w:right="23"/>
              <w:jc w:val="center"/>
              <w:rPr>
                <w:rFonts w:hint="eastAsia" w:ascii="宋体" w:hAnsi="宋体"/>
                <w:b/>
                <w:bCs/>
                <w:color w:val="auto"/>
                <w:szCs w:val="21"/>
                <w:highlight w:val="none"/>
              </w:rPr>
            </w:pPr>
            <w:r>
              <w:rPr>
                <w:rFonts w:hint="eastAsia" w:ascii="宋体" w:hAnsi="宋体"/>
                <w:b/>
                <w:bCs/>
                <w:color w:val="auto"/>
                <w:szCs w:val="21"/>
                <w:highlight w:val="none"/>
                <w:lang w:val="en-US" w:eastAsia="zh-CN"/>
              </w:rPr>
              <w:t>备注</w:t>
            </w:r>
          </w:p>
        </w:tc>
      </w:tr>
      <w:tr w14:paraId="6CBD943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noWrap w:val="0"/>
            <w:vAlign w:val="top"/>
          </w:tcPr>
          <w:p w14:paraId="1BCEA0CC">
            <w:pPr>
              <w:adjustRightInd w:val="0"/>
              <w:snapToGrid w:val="0"/>
              <w:spacing w:line="360" w:lineRule="auto"/>
              <w:ind w:right="24"/>
              <w:rPr>
                <w:rFonts w:hint="eastAsia" w:ascii="宋体" w:hAnsi="宋体"/>
                <w:bCs/>
                <w:color w:val="auto"/>
                <w:sz w:val="24"/>
                <w:highlight w:val="none"/>
              </w:rPr>
            </w:pPr>
          </w:p>
        </w:tc>
        <w:tc>
          <w:tcPr>
            <w:tcW w:w="1474" w:type="dxa"/>
            <w:noWrap w:val="0"/>
            <w:vAlign w:val="top"/>
          </w:tcPr>
          <w:p w14:paraId="07B4E362">
            <w:pPr>
              <w:adjustRightInd w:val="0"/>
              <w:snapToGrid w:val="0"/>
              <w:spacing w:line="360" w:lineRule="auto"/>
              <w:ind w:right="24"/>
              <w:rPr>
                <w:rFonts w:hint="eastAsia" w:ascii="宋体" w:hAnsi="宋体"/>
                <w:bCs/>
                <w:color w:val="auto"/>
                <w:sz w:val="24"/>
                <w:highlight w:val="none"/>
              </w:rPr>
            </w:pPr>
          </w:p>
        </w:tc>
        <w:tc>
          <w:tcPr>
            <w:tcW w:w="1865" w:type="dxa"/>
            <w:noWrap w:val="0"/>
            <w:vAlign w:val="top"/>
          </w:tcPr>
          <w:p w14:paraId="6ECC34FF">
            <w:pPr>
              <w:adjustRightInd w:val="0"/>
              <w:snapToGrid w:val="0"/>
              <w:spacing w:line="360" w:lineRule="auto"/>
              <w:ind w:right="24"/>
              <w:rPr>
                <w:rFonts w:hint="eastAsia" w:ascii="宋体" w:hAnsi="宋体"/>
                <w:bCs/>
                <w:color w:val="auto"/>
                <w:sz w:val="24"/>
                <w:highlight w:val="none"/>
              </w:rPr>
            </w:pPr>
          </w:p>
        </w:tc>
        <w:tc>
          <w:tcPr>
            <w:tcW w:w="2542" w:type="dxa"/>
            <w:noWrap w:val="0"/>
            <w:vAlign w:val="top"/>
          </w:tcPr>
          <w:p w14:paraId="30544D98">
            <w:pPr>
              <w:adjustRightInd w:val="0"/>
              <w:snapToGrid w:val="0"/>
              <w:spacing w:line="360" w:lineRule="auto"/>
              <w:ind w:right="24"/>
              <w:rPr>
                <w:rFonts w:hint="eastAsia" w:ascii="宋体" w:hAnsi="宋体"/>
                <w:bCs/>
                <w:color w:val="auto"/>
                <w:sz w:val="24"/>
                <w:highlight w:val="none"/>
              </w:rPr>
            </w:pPr>
          </w:p>
        </w:tc>
        <w:tc>
          <w:tcPr>
            <w:tcW w:w="841" w:type="dxa"/>
            <w:noWrap w:val="0"/>
            <w:vAlign w:val="top"/>
          </w:tcPr>
          <w:p w14:paraId="2BCD9C00">
            <w:pPr>
              <w:adjustRightInd w:val="0"/>
              <w:snapToGrid w:val="0"/>
              <w:spacing w:line="360" w:lineRule="auto"/>
              <w:ind w:right="24"/>
              <w:rPr>
                <w:rFonts w:hint="eastAsia" w:ascii="宋体" w:hAnsi="宋体"/>
                <w:bCs/>
                <w:color w:val="auto"/>
                <w:sz w:val="24"/>
                <w:highlight w:val="none"/>
              </w:rPr>
            </w:pPr>
          </w:p>
        </w:tc>
        <w:tc>
          <w:tcPr>
            <w:tcW w:w="1684" w:type="dxa"/>
            <w:noWrap w:val="0"/>
            <w:vAlign w:val="top"/>
          </w:tcPr>
          <w:p w14:paraId="7229D94C">
            <w:pPr>
              <w:adjustRightInd w:val="0"/>
              <w:snapToGrid w:val="0"/>
              <w:spacing w:line="360" w:lineRule="auto"/>
              <w:ind w:right="24"/>
              <w:rPr>
                <w:rFonts w:hint="eastAsia" w:ascii="宋体" w:hAnsi="宋体"/>
                <w:bCs/>
                <w:color w:val="auto"/>
                <w:sz w:val="24"/>
                <w:highlight w:val="none"/>
              </w:rPr>
            </w:pPr>
          </w:p>
        </w:tc>
        <w:tc>
          <w:tcPr>
            <w:tcW w:w="659" w:type="dxa"/>
            <w:noWrap w:val="0"/>
            <w:vAlign w:val="top"/>
          </w:tcPr>
          <w:p w14:paraId="11627D00">
            <w:pPr>
              <w:adjustRightInd w:val="0"/>
              <w:snapToGrid w:val="0"/>
              <w:spacing w:line="360" w:lineRule="auto"/>
              <w:ind w:right="24"/>
              <w:rPr>
                <w:rFonts w:hint="eastAsia" w:ascii="宋体" w:hAnsi="宋体"/>
                <w:bCs/>
                <w:color w:val="auto"/>
                <w:sz w:val="24"/>
                <w:highlight w:val="none"/>
              </w:rPr>
            </w:pPr>
          </w:p>
        </w:tc>
      </w:tr>
      <w:tr w14:paraId="73C7F38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noWrap w:val="0"/>
            <w:vAlign w:val="top"/>
          </w:tcPr>
          <w:p w14:paraId="142851E1">
            <w:pPr>
              <w:adjustRightInd w:val="0"/>
              <w:snapToGrid w:val="0"/>
              <w:spacing w:line="360" w:lineRule="auto"/>
              <w:ind w:right="24"/>
              <w:rPr>
                <w:rFonts w:hint="eastAsia" w:ascii="宋体" w:hAnsi="宋体"/>
                <w:bCs/>
                <w:color w:val="auto"/>
                <w:sz w:val="24"/>
                <w:highlight w:val="none"/>
              </w:rPr>
            </w:pPr>
          </w:p>
        </w:tc>
        <w:tc>
          <w:tcPr>
            <w:tcW w:w="1474" w:type="dxa"/>
            <w:noWrap w:val="0"/>
            <w:vAlign w:val="top"/>
          </w:tcPr>
          <w:p w14:paraId="2AAC509F">
            <w:pPr>
              <w:adjustRightInd w:val="0"/>
              <w:snapToGrid w:val="0"/>
              <w:spacing w:line="360" w:lineRule="auto"/>
              <w:ind w:right="24"/>
              <w:rPr>
                <w:rFonts w:hint="eastAsia" w:ascii="宋体" w:hAnsi="宋体"/>
                <w:bCs/>
                <w:color w:val="auto"/>
                <w:sz w:val="24"/>
                <w:highlight w:val="none"/>
              </w:rPr>
            </w:pPr>
          </w:p>
        </w:tc>
        <w:tc>
          <w:tcPr>
            <w:tcW w:w="1865" w:type="dxa"/>
            <w:noWrap w:val="0"/>
            <w:vAlign w:val="top"/>
          </w:tcPr>
          <w:p w14:paraId="2BEB183D">
            <w:pPr>
              <w:adjustRightInd w:val="0"/>
              <w:snapToGrid w:val="0"/>
              <w:spacing w:line="360" w:lineRule="auto"/>
              <w:ind w:right="24"/>
              <w:rPr>
                <w:rFonts w:hint="eastAsia" w:ascii="宋体" w:hAnsi="宋体"/>
                <w:bCs/>
                <w:color w:val="auto"/>
                <w:sz w:val="24"/>
                <w:highlight w:val="none"/>
              </w:rPr>
            </w:pPr>
          </w:p>
        </w:tc>
        <w:tc>
          <w:tcPr>
            <w:tcW w:w="2542" w:type="dxa"/>
            <w:noWrap w:val="0"/>
            <w:vAlign w:val="top"/>
          </w:tcPr>
          <w:p w14:paraId="2E742F01">
            <w:pPr>
              <w:adjustRightInd w:val="0"/>
              <w:snapToGrid w:val="0"/>
              <w:spacing w:line="360" w:lineRule="auto"/>
              <w:ind w:right="24"/>
              <w:rPr>
                <w:rFonts w:hint="eastAsia" w:ascii="宋体" w:hAnsi="宋体"/>
                <w:bCs/>
                <w:color w:val="auto"/>
                <w:sz w:val="24"/>
                <w:highlight w:val="none"/>
              </w:rPr>
            </w:pPr>
          </w:p>
        </w:tc>
        <w:tc>
          <w:tcPr>
            <w:tcW w:w="841" w:type="dxa"/>
            <w:noWrap w:val="0"/>
            <w:vAlign w:val="top"/>
          </w:tcPr>
          <w:p w14:paraId="0321405B">
            <w:pPr>
              <w:adjustRightInd w:val="0"/>
              <w:snapToGrid w:val="0"/>
              <w:spacing w:line="360" w:lineRule="auto"/>
              <w:ind w:right="24"/>
              <w:rPr>
                <w:rFonts w:hint="eastAsia" w:ascii="宋体" w:hAnsi="宋体"/>
                <w:bCs/>
                <w:color w:val="auto"/>
                <w:sz w:val="24"/>
                <w:highlight w:val="none"/>
              </w:rPr>
            </w:pPr>
          </w:p>
        </w:tc>
        <w:tc>
          <w:tcPr>
            <w:tcW w:w="1684" w:type="dxa"/>
            <w:noWrap w:val="0"/>
            <w:vAlign w:val="top"/>
          </w:tcPr>
          <w:p w14:paraId="4995EE30">
            <w:pPr>
              <w:adjustRightInd w:val="0"/>
              <w:snapToGrid w:val="0"/>
              <w:spacing w:line="360" w:lineRule="auto"/>
              <w:ind w:right="24"/>
              <w:rPr>
                <w:rFonts w:hint="eastAsia" w:ascii="宋体" w:hAnsi="宋体"/>
                <w:bCs/>
                <w:color w:val="auto"/>
                <w:sz w:val="24"/>
                <w:highlight w:val="none"/>
              </w:rPr>
            </w:pPr>
          </w:p>
        </w:tc>
        <w:tc>
          <w:tcPr>
            <w:tcW w:w="659" w:type="dxa"/>
            <w:noWrap w:val="0"/>
            <w:vAlign w:val="top"/>
          </w:tcPr>
          <w:p w14:paraId="77A971E4">
            <w:pPr>
              <w:adjustRightInd w:val="0"/>
              <w:snapToGrid w:val="0"/>
              <w:spacing w:line="360" w:lineRule="auto"/>
              <w:ind w:right="24"/>
              <w:rPr>
                <w:rFonts w:hint="eastAsia" w:ascii="宋体" w:hAnsi="宋体"/>
                <w:bCs/>
                <w:color w:val="auto"/>
                <w:sz w:val="24"/>
                <w:highlight w:val="none"/>
              </w:rPr>
            </w:pPr>
          </w:p>
        </w:tc>
      </w:tr>
      <w:tr w14:paraId="785AD39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noWrap w:val="0"/>
            <w:vAlign w:val="top"/>
          </w:tcPr>
          <w:p w14:paraId="0CB6AF5B">
            <w:pPr>
              <w:adjustRightInd w:val="0"/>
              <w:snapToGrid w:val="0"/>
              <w:spacing w:line="360" w:lineRule="auto"/>
              <w:ind w:right="24"/>
              <w:rPr>
                <w:rFonts w:hint="eastAsia" w:ascii="宋体" w:hAnsi="宋体"/>
                <w:bCs/>
                <w:color w:val="auto"/>
                <w:sz w:val="24"/>
                <w:highlight w:val="none"/>
              </w:rPr>
            </w:pPr>
          </w:p>
        </w:tc>
        <w:tc>
          <w:tcPr>
            <w:tcW w:w="1474" w:type="dxa"/>
            <w:noWrap w:val="0"/>
            <w:vAlign w:val="top"/>
          </w:tcPr>
          <w:p w14:paraId="4B8C34B3">
            <w:pPr>
              <w:adjustRightInd w:val="0"/>
              <w:snapToGrid w:val="0"/>
              <w:spacing w:line="360" w:lineRule="auto"/>
              <w:ind w:right="24"/>
              <w:rPr>
                <w:rFonts w:hint="eastAsia" w:ascii="宋体" w:hAnsi="宋体"/>
                <w:bCs/>
                <w:color w:val="auto"/>
                <w:sz w:val="24"/>
                <w:highlight w:val="none"/>
              </w:rPr>
            </w:pPr>
          </w:p>
        </w:tc>
        <w:tc>
          <w:tcPr>
            <w:tcW w:w="1865" w:type="dxa"/>
            <w:noWrap w:val="0"/>
            <w:vAlign w:val="top"/>
          </w:tcPr>
          <w:p w14:paraId="0C41BA7B">
            <w:pPr>
              <w:adjustRightInd w:val="0"/>
              <w:snapToGrid w:val="0"/>
              <w:spacing w:line="360" w:lineRule="auto"/>
              <w:ind w:right="24"/>
              <w:rPr>
                <w:rFonts w:hint="eastAsia" w:ascii="宋体" w:hAnsi="宋体"/>
                <w:bCs/>
                <w:color w:val="auto"/>
                <w:sz w:val="24"/>
                <w:highlight w:val="none"/>
              </w:rPr>
            </w:pPr>
          </w:p>
        </w:tc>
        <w:tc>
          <w:tcPr>
            <w:tcW w:w="2542" w:type="dxa"/>
            <w:noWrap w:val="0"/>
            <w:vAlign w:val="top"/>
          </w:tcPr>
          <w:p w14:paraId="6B6BE46B">
            <w:pPr>
              <w:adjustRightInd w:val="0"/>
              <w:snapToGrid w:val="0"/>
              <w:spacing w:line="360" w:lineRule="auto"/>
              <w:ind w:right="24"/>
              <w:rPr>
                <w:rFonts w:hint="eastAsia" w:ascii="宋体" w:hAnsi="宋体"/>
                <w:bCs/>
                <w:color w:val="auto"/>
                <w:sz w:val="24"/>
                <w:highlight w:val="none"/>
              </w:rPr>
            </w:pPr>
          </w:p>
        </w:tc>
        <w:tc>
          <w:tcPr>
            <w:tcW w:w="841" w:type="dxa"/>
            <w:noWrap w:val="0"/>
            <w:vAlign w:val="top"/>
          </w:tcPr>
          <w:p w14:paraId="3EA9F11A">
            <w:pPr>
              <w:adjustRightInd w:val="0"/>
              <w:snapToGrid w:val="0"/>
              <w:spacing w:line="360" w:lineRule="auto"/>
              <w:ind w:right="24"/>
              <w:rPr>
                <w:rFonts w:hint="eastAsia" w:ascii="宋体" w:hAnsi="宋体"/>
                <w:bCs/>
                <w:color w:val="auto"/>
                <w:sz w:val="24"/>
                <w:highlight w:val="none"/>
              </w:rPr>
            </w:pPr>
          </w:p>
        </w:tc>
        <w:tc>
          <w:tcPr>
            <w:tcW w:w="1684" w:type="dxa"/>
            <w:noWrap w:val="0"/>
            <w:vAlign w:val="top"/>
          </w:tcPr>
          <w:p w14:paraId="364682ED">
            <w:pPr>
              <w:adjustRightInd w:val="0"/>
              <w:snapToGrid w:val="0"/>
              <w:spacing w:line="360" w:lineRule="auto"/>
              <w:ind w:right="24"/>
              <w:rPr>
                <w:rFonts w:hint="eastAsia" w:ascii="宋体" w:hAnsi="宋体"/>
                <w:bCs/>
                <w:color w:val="auto"/>
                <w:sz w:val="24"/>
                <w:highlight w:val="none"/>
              </w:rPr>
            </w:pPr>
          </w:p>
        </w:tc>
        <w:tc>
          <w:tcPr>
            <w:tcW w:w="659" w:type="dxa"/>
            <w:noWrap w:val="0"/>
            <w:vAlign w:val="top"/>
          </w:tcPr>
          <w:p w14:paraId="58C11EA3">
            <w:pPr>
              <w:adjustRightInd w:val="0"/>
              <w:snapToGrid w:val="0"/>
              <w:spacing w:line="360" w:lineRule="auto"/>
              <w:ind w:right="24"/>
              <w:rPr>
                <w:rFonts w:hint="eastAsia" w:ascii="宋体" w:hAnsi="宋体"/>
                <w:bCs/>
                <w:color w:val="auto"/>
                <w:sz w:val="24"/>
                <w:highlight w:val="none"/>
              </w:rPr>
            </w:pPr>
          </w:p>
        </w:tc>
      </w:tr>
      <w:tr w14:paraId="7290831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noWrap w:val="0"/>
            <w:vAlign w:val="top"/>
          </w:tcPr>
          <w:p w14:paraId="141B0094">
            <w:pPr>
              <w:adjustRightInd w:val="0"/>
              <w:snapToGrid w:val="0"/>
              <w:spacing w:line="360" w:lineRule="auto"/>
              <w:ind w:right="24"/>
              <w:rPr>
                <w:rFonts w:hint="eastAsia" w:ascii="宋体" w:hAnsi="宋体"/>
                <w:bCs/>
                <w:color w:val="auto"/>
                <w:sz w:val="24"/>
                <w:highlight w:val="none"/>
              </w:rPr>
            </w:pPr>
          </w:p>
        </w:tc>
        <w:tc>
          <w:tcPr>
            <w:tcW w:w="1474" w:type="dxa"/>
            <w:noWrap w:val="0"/>
            <w:vAlign w:val="top"/>
          </w:tcPr>
          <w:p w14:paraId="4FB53C85">
            <w:pPr>
              <w:adjustRightInd w:val="0"/>
              <w:snapToGrid w:val="0"/>
              <w:spacing w:line="360" w:lineRule="auto"/>
              <w:ind w:right="24"/>
              <w:rPr>
                <w:rFonts w:hint="eastAsia" w:ascii="宋体" w:hAnsi="宋体"/>
                <w:bCs/>
                <w:color w:val="auto"/>
                <w:sz w:val="24"/>
                <w:highlight w:val="none"/>
              </w:rPr>
            </w:pPr>
          </w:p>
        </w:tc>
        <w:tc>
          <w:tcPr>
            <w:tcW w:w="1865" w:type="dxa"/>
            <w:noWrap w:val="0"/>
            <w:vAlign w:val="top"/>
          </w:tcPr>
          <w:p w14:paraId="1D44D685">
            <w:pPr>
              <w:adjustRightInd w:val="0"/>
              <w:snapToGrid w:val="0"/>
              <w:spacing w:line="360" w:lineRule="auto"/>
              <w:ind w:right="24"/>
              <w:rPr>
                <w:rFonts w:hint="eastAsia" w:ascii="宋体" w:hAnsi="宋体"/>
                <w:bCs/>
                <w:color w:val="auto"/>
                <w:sz w:val="24"/>
                <w:highlight w:val="none"/>
              </w:rPr>
            </w:pPr>
          </w:p>
        </w:tc>
        <w:tc>
          <w:tcPr>
            <w:tcW w:w="2542" w:type="dxa"/>
            <w:noWrap w:val="0"/>
            <w:vAlign w:val="top"/>
          </w:tcPr>
          <w:p w14:paraId="5CAAD86F">
            <w:pPr>
              <w:adjustRightInd w:val="0"/>
              <w:snapToGrid w:val="0"/>
              <w:spacing w:line="360" w:lineRule="auto"/>
              <w:ind w:right="24"/>
              <w:rPr>
                <w:rFonts w:hint="eastAsia" w:ascii="宋体" w:hAnsi="宋体"/>
                <w:bCs/>
                <w:color w:val="auto"/>
                <w:sz w:val="24"/>
                <w:highlight w:val="none"/>
              </w:rPr>
            </w:pPr>
          </w:p>
        </w:tc>
        <w:tc>
          <w:tcPr>
            <w:tcW w:w="841" w:type="dxa"/>
            <w:noWrap w:val="0"/>
            <w:vAlign w:val="top"/>
          </w:tcPr>
          <w:p w14:paraId="54789FA5">
            <w:pPr>
              <w:adjustRightInd w:val="0"/>
              <w:snapToGrid w:val="0"/>
              <w:spacing w:line="360" w:lineRule="auto"/>
              <w:ind w:right="24"/>
              <w:rPr>
                <w:rFonts w:hint="eastAsia" w:ascii="宋体" w:hAnsi="宋体"/>
                <w:bCs/>
                <w:color w:val="auto"/>
                <w:sz w:val="24"/>
                <w:highlight w:val="none"/>
              </w:rPr>
            </w:pPr>
          </w:p>
        </w:tc>
        <w:tc>
          <w:tcPr>
            <w:tcW w:w="1684" w:type="dxa"/>
            <w:noWrap w:val="0"/>
            <w:vAlign w:val="top"/>
          </w:tcPr>
          <w:p w14:paraId="789A7645">
            <w:pPr>
              <w:adjustRightInd w:val="0"/>
              <w:snapToGrid w:val="0"/>
              <w:spacing w:line="360" w:lineRule="auto"/>
              <w:ind w:right="24"/>
              <w:rPr>
                <w:rFonts w:hint="eastAsia" w:ascii="宋体" w:hAnsi="宋体"/>
                <w:bCs/>
                <w:color w:val="auto"/>
                <w:sz w:val="24"/>
                <w:highlight w:val="none"/>
              </w:rPr>
            </w:pPr>
          </w:p>
        </w:tc>
        <w:tc>
          <w:tcPr>
            <w:tcW w:w="659" w:type="dxa"/>
            <w:noWrap w:val="0"/>
            <w:vAlign w:val="top"/>
          </w:tcPr>
          <w:p w14:paraId="157F4F09">
            <w:pPr>
              <w:adjustRightInd w:val="0"/>
              <w:snapToGrid w:val="0"/>
              <w:spacing w:line="360" w:lineRule="auto"/>
              <w:ind w:right="24"/>
              <w:rPr>
                <w:rFonts w:hint="eastAsia" w:ascii="宋体" w:hAnsi="宋体"/>
                <w:bCs/>
                <w:color w:val="auto"/>
                <w:sz w:val="24"/>
                <w:highlight w:val="none"/>
              </w:rPr>
            </w:pPr>
          </w:p>
        </w:tc>
      </w:tr>
      <w:tr w14:paraId="520A3C5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noWrap w:val="0"/>
            <w:vAlign w:val="top"/>
          </w:tcPr>
          <w:p w14:paraId="0E405258">
            <w:pPr>
              <w:adjustRightInd w:val="0"/>
              <w:snapToGrid w:val="0"/>
              <w:spacing w:line="360" w:lineRule="auto"/>
              <w:ind w:right="24"/>
              <w:rPr>
                <w:rFonts w:hint="eastAsia" w:ascii="宋体" w:hAnsi="宋体"/>
                <w:bCs/>
                <w:color w:val="auto"/>
                <w:sz w:val="24"/>
                <w:highlight w:val="none"/>
              </w:rPr>
            </w:pPr>
          </w:p>
        </w:tc>
        <w:tc>
          <w:tcPr>
            <w:tcW w:w="1474" w:type="dxa"/>
            <w:noWrap w:val="0"/>
            <w:vAlign w:val="top"/>
          </w:tcPr>
          <w:p w14:paraId="3CF035D1">
            <w:pPr>
              <w:adjustRightInd w:val="0"/>
              <w:snapToGrid w:val="0"/>
              <w:spacing w:line="360" w:lineRule="auto"/>
              <w:ind w:right="24"/>
              <w:rPr>
                <w:rFonts w:hint="eastAsia" w:ascii="宋体" w:hAnsi="宋体"/>
                <w:bCs/>
                <w:color w:val="auto"/>
                <w:sz w:val="24"/>
                <w:highlight w:val="none"/>
              </w:rPr>
            </w:pPr>
          </w:p>
        </w:tc>
        <w:tc>
          <w:tcPr>
            <w:tcW w:w="1865" w:type="dxa"/>
            <w:noWrap w:val="0"/>
            <w:vAlign w:val="top"/>
          </w:tcPr>
          <w:p w14:paraId="1D3153FF">
            <w:pPr>
              <w:adjustRightInd w:val="0"/>
              <w:snapToGrid w:val="0"/>
              <w:spacing w:line="360" w:lineRule="auto"/>
              <w:ind w:right="24"/>
              <w:rPr>
                <w:rFonts w:hint="eastAsia" w:ascii="宋体" w:hAnsi="宋体"/>
                <w:bCs/>
                <w:color w:val="auto"/>
                <w:sz w:val="24"/>
                <w:highlight w:val="none"/>
              </w:rPr>
            </w:pPr>
          </w:p>
        </w:tc>
        <w:tc>
          <w:tcPr>
            <w:tcW w:w="2542" w:type="dxa"/>
            <w:noWrap w:val="0"/>
            <w:vAlign w:val="top"/>
          </w:tcPr>
          <w:p w14:paraId="092BF4CD">
            <w:pPr>
              <w:adjustRightInd w:val="0"/>
              <w:snapToGrid w:val="0"/>
              <w:spacing w:line="360" w:lineRule="auto"/>
              <w:ind w:right="24"/>
              <w:rPr>
                <w:rFonts w:hint="eastAsia" w:ascii="宋体" w:hAnsi="宋体"/>
                <w:bCs/>
                <w:color w:val="auto"/>
                <w:sz w:val="24"/>
                <w:highlight w:val="none"/>
              </w:rPr>
            </w:pPr>
          </w:p>
        </w:tc>
        <w:tc>
          <w:tcPr>
            <w:tcW w:w="841" w:type="dxa"/>
            <w:noWrap w:val="0"/>
            <w:vAlign w:val="top"/>
          </w:tcPr>
          <w:p w14:paraId="6BE08AE2">
            <w:pPr>
              <w:adjustRightInd w:val="0"/>
              <w:snapToGrid w:val="0"/>
              <w:spacing w:line="360" w:lineRule="auto"/>
              <w:ind w:right="24"/>
              <w:rPr>
                <w:rFonts w:hint="eastAsia" w:ascii="宋体" w:hAnsi="宋体"/>
                <w:bCs/>
                <w:color w:val="auto"/>
                <w:sz w:val="24"/>
                <w:highlight w:val="none"/>
              </w:rPr>
            </w:pPr>
          </w:p>
        </w:tc>
        <w:tc>
          <w:tcPr>
            <w:tcW w:w="1684" w:type="dxa"/>
            <w:noWrap w:val="0"/>
            <w:vAlign w:val="top"/>
          </w:tcPr>
          <w:p w14:paraId="25FBB4F3">
            <w:pPr>
              <w:adjustRightInd w:val="0"/>
              <w:snapToGrid w:val="0"/>
              <w:spacing w:line="360" w:lineRule="auto"/>
              <w:ind w:right="24"/>
              <w:rPr>
                <w:rFonts w:hint="eastAsia" w:ascii="宋体" w:hAnsi="宋体"/>
                <w:bCs/>
                <w:color w:val="auto"/>
                <w:sz w:val="24"/>
                <w:highlight w:val="none"/>
              </w:rPr>
            </w:pPr>
          </w:p>
        </w:tc>
        <w:tc>
          <w:tcPr>
            <w:tcW w:w="659" w:type="dxa"/>
            <w:noWrap w:val="0"/>
            <w:vAlign w:val="top"/>
          </w:tcPr>
          <w:p w14:paraId="37C94391">
            <w:pPr>
              <w:adjustRightInd w:val="0"/>
              <w:snapToGrid w:val="0"/>
              <w:spacing w:line="360" w:lineRule="auto"/>
              <w:ind w:right="24"/>
              <w:rPr>
                <w:rFonts w:hint="eastAsia" w:ascii="宋体" w:hAnsi="宋体"/>
                <w:bCs/>
                <w:color w:val="auto"/>
                <w:sz w:val="24"/>
                <w:highlight w:val="none"/>
              </w:rPr>
            </w:pPr>
          </w:p>
        </w:tc>
      </w:tr>
      <w:tr w14:paraId="49AFEE2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noWrap w:val="0"/>
            <w:vAlign w:val="top"/>
          </w:tcPr>
          <w:p w14:paraId="185FD1EB">
            <w:pPr>
              <w:adjustRightInd w:val="0"/>
              <w:snapToGrid w:val="0"/>
              <w:spacing w:line="360" w:lineRule="auto"/>
              <w:ind w:right="24"/>
              <w:rPr>
                <w:rFonts w:hint="eastAsia" w:ascii="宋体" w:hAnsi="宋体"/>
                <w:bCs/>
                <w:color w:val="auto"/>
                <w:sz w:val="24"/>
                <w:highlight w:val="none"/>
              </w:rPr>
            </w:pPr>
          </w:p>
        </w:tc>
        <w:tc>
          <w:tcPr>
            <w:tcW w:w="1474" w:type="dxa"/>
            <w:noWrap w:val="0"/>
            <w:vAlign w:val="top"/>
          </w:tcPr>
          <w:p w14:paraId="7EE0BE47">
            <w:pPr>
              <w:adjustRightInd w:val="0"/>
              <w:snapToGrid w:val="0"/>
              <w:spacing w:line="360" w:lineRule="auto"/>
              <w:ind w:right="24"/>
              <w:rPr>
                <w:rFonts w:hint="eastAsia" w:ascii="宋体" w:hAnsi="宋体"/>
                <w:bCs/>
                <w:color w:val="auto"/>
                <w:sz w:val="24"/>
                <w:highlight w:val="none"/>
              </w:rPr>
            </w:pPr>
          </w:p>
        </w:tc>
        <w:tc>
          <w:tcPr>
            <w:tcW w:w="1865" w:type="dxa"/>
            <w:noWrap w:val="0"/>
            <w:vAlign w:val="top"/>
          </w:tcPr>
          <w:p w14:paraId="01CBEDED">
            <w:pPr>
              <w:adjustRightInd w:val="0"/>
              <w:snapToGrid w:val="0"/>
              <w:spacing w:line="360" w:lineRule="auto"/>
              <w:ind w:right="24"/>
              <w:rPr>
                <w:rFonts w:hint="eastAsia" w:ascii="宋体" w:hAnsi="宋体"/>
                <w:bCs/>
                <w:color w:val="auto"/>
                <w:sz w:val="24"/>
                <w:highlight w:val="none"/>
              </w:rPr>
            </w:pPr>
          </w:p>
        </w:tc>
        <w:tc>
          <w:tcPr>
            <w:tcW w:w="2542" w:type="dxa"/>
            <w:noWrap w:val="0"/>
            <w:vAlign w:val="top"/>
          </w:tcPr>
          <w:p w14:paraId="5A0BB1B4">
            <w:pPr>
              <w:adjustRightInd w:val="0"/>
              <w:snapToGrid w:val="0"/>
              <w:spacing w:line="360" w:lineRule="auto"/>
              <w:ind w:right="24"/>
              <w:rPr>
                <w:rFonts w:hint="eastAsia" w:ascii="宋体" w:hAnsi="宋体"/>
                <w:bCs/>
                <w:color w:val="auto"/>
                <w:sz w:val="24"/>
                <w:highlight w:val="none"/>
              </w:rPr>
            </w:pPr>
          </w:p>
        </w:tc>
        <w:tc>
          <w:tcPr>
            <w:tcW w:w="841" w:type="dxa"/>
            <w:noWrap w:val="0"/>
            <w:vAlign w:val="top"/>
          </w:tcPr>
          <w:p w14:paraId="3B59835C">
            <w:pPr>
              <w:adjustRightInd w:val="0"/>
              <w:snapToGrid w:val="0"/>
              <w:spacing w:line="360" w:lineRule="auto"/>
              <w:ind w:right="24"/>
              <w:rPr>
                <w:rFonts w:hint="eastAsia" w:ascii="宋体" w:hAnsi="宋体"/>
                <w:bCs/>
                <w:color w:val="auto"/>
                <w:sz w:val="24"/>
                <w:highlight w:val="none"/>
              </w:rPr>
            </w:pPr>
          </w:p>
        </w:tc>
        <w:tc>
          <w:tcPr>
            <w:tcW w:w="1684" w:type="dxa"/>
            <w:noWrap w:val="0"/>
            <w:vAlign w:val="top"/>
          </w:tcPr>
          <w:p w14:paraId="138E1FEE">
            <w:pPr>
              <w:adjustRightInd w:val="0"/>
              <w:snapToGrid w:val="0"/>
              <w:spacing w:line="360" w:lineRule="auto"/>
              <w:ind w:right="24"/>
              <w:rPr>
                <w:rFonts w:hint="eastAsia" w:ascii="宋体" w:hAnsi="宋体"/>
                <w:bCs/>
                <w:color w:val="auto"/>
                <w:sz w:val="24"/>
                <w:highlight w:val="none"/>
              </w:rPr>
            </w:pPr>
          </w:p>
        </w:tc>
        <w:tc>
          <w:tcPr>
            <w:tcW w:w="659" w:type="dxa"/>
            <w:noWrap w:val="0"/>
            <w:vAlign w:val="top"/>
          </w:tcPr>
          <w:p w14:paraId="18A85B19">
            <w:pPr>
              <w:adjustRightInd w:val="0"/>
              <w:snapToGrid w:val="0"/>
              <w:spacing w:line="360" w:lineRule="auto"/>
              <w:ind w:right="24"/>
              <w:rPr>
                <w:rFonts w:hint="eastAsia" w:ascii="宋体" w:hAnsi="宋体"/>
                <w:bCs/>
                <w:color w:val="auto"/>
                <w:sz w:val="24"/>
                <w:highlight w:val="none"/>
              </w:rPr>
            </w:pPr>
          </w:p>
        </w:tc>
      </w:tr>
      <w:tr w14:paraId="0EDD63B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noWrap w:val="0"/>
            <w:vAlign w:val="top"/>
          </w:tcPr>
          <w:p w14:paraId="60BA15C5">
            <w:pPr>
              <w:adjustRightInd w:val="0"/>
              <w:snapToGrid w:val="0"/>
              <w:spacing w:line="360" w:lineRule="auto"/>
              <w:ind w:right="24"/>
              <w:rPr>
                <w:rFonts w:hint="eastAsia" w:ascii="宋体" w:hAnsi="宋体"/>
                <w:bCs/>
                <w:color w:val="auto"/>
                <w:sz w:val="24"/>
                <w:highlight w:val="none"/>
              </w:rPr>
            </w:pPr>
          </w:p>
        </w:tc>
        <w:tc>
          <w:tcPr>
            <w:tcW w:w="1474" w:type="dxa"/>
            <w:noWrap w:val="0"/>
            <w:vAlign w:val="top"/>
          </w:tcPr>
          <w:p w14:paraId="200D1A91">
            <w:pPr>
              <w:adjustRightInd w:val="0"/>
              <w:snapToGrid w:val="0"/>
              <w:spacing w:line="360" w:lineRule="auto"/>
              <w:ind w:right="24"/>
              <w:rPr>
                <w:rFonts w:hint="eastAsia" w:ascii="宋体" w:hAnsi="宋体"/>
                <w:bCs/>
                <w:color w:val="auto"/>
                <w:sz w:val="24"/>
                <w:highlight w:val="none"/>
              </w:rPr>
            </w:pPr>
          </w:p>
        </w:tc>
        <w:tc>
          <w:tcPr>
            <w:tcW w:w="1865" w:type="dxa"/>
            <w:noWrap w:val="0"/>
            <w:vAlign w:val="top"/>
          </w:tcPr>
          <w:p w14:paraId="30AFD0B9">
            <w:pPr>
              <w:adjustRightInd w:val="0"/>
              <w:snapToGrid w:val="0"/>
              <w:spacing w:line="360" w:lineRule="auto"/>
              <w:ind w:right="24"/>
              <w:rPr>
                <w:rFonts w:hint="eastAsia" w:ascii="宋体" w:hAnsi="宋体"/>
                <w:bCs/>
                <w:color w:val="auto"/>
                <w:sz w:val="24"/>
                <w:highlight w:val="none"/>
              </w:rPr>
            </w:pPr>
          </w:p>
        </w:tc>
        <w:tc>
          <w:tcPr>
            <w:tcW w:w="2542" w:type="dxa"/>
            <w:noWrap w:val="0"/>
            <w:vAlign w:val="top"/>
          </w:tcPr>
          <w:p w14:paraId="072F8C83">
            <w:pPr>
              <w:adjustRightInd w:val="0"/>
              <w:snapToGrid w:val="0"/>
              <w:spacing w:line="360" w:lineRule="auto"/>
              <w:ind w:right="24"/>
              <w:rPr>
                <w:rFonts w:hint="eastAsia" w:ascii="宋体" w:hAnsi="宋体"/>
                <w:bCs/>
                <w:color w:val="auto"/>
                <w:sz w:val="24"/>
                <w:highlight w:val="none"/>
              </w:rPr>
            </w:pPr>
          </w:p>
        </w:tc>
        <w:tc>
          <w:tcPr>
            <w:tcW w:w="841" w:type="dxa"/>
            <w:noWrap w:val="0"/>
            <w:vAlign w:val="top"/>
          </w:tcPr>
          <w:p w14:paraId="526460BF">
            <w:pPr>
              <w:adjustRightInd w:val="0"/>
              <w:snapToGrid w:val="0"/>
              <w:spacing w:line="360" w:lineRule="auto"/>
              <w:ind w:right="24"/>
              <w:rPr>
                <w:rFonts w:hint="eastAsia" w:ascii="宋体" w:hAnsi="宋体"/>
                <w:bCs/>
                <w:color w:val="auto"/>
                <w:sz w:val="24"/>
                <w:highlight w:val="none"/>
              </w:rPr>
            </w:pPr>
          </w:p>
        </w:tc>
        <w:tc>
          <w:tcPr>
            <w:tcW w:w="1684" w:type="dxa"/>
            <w:noWrap w:val="0"/>
            <w:vAlign w:val="top"/>
          </w:tcPr>
          <w:p w14:paraId="35C7BB5F">
            <w:pPr>
              <w:adjustRightInd w:val="0"/>
              <w:snapToGrid w:val="0"/>
              <w:spacing w:line="360" w:lineRule="auto"/>
              <w:ind w:right="24"/>
              <w:rPr>
                <w:rFonts w:hint="eastAsia" w:ascii="宋体" w:hAnsi="宋体"/>
                <w:bCs/>
                <w:color w:val="auto"/>
                <w:sz w:val="24"/>
                <w:highlight w:val="none"/>
              </w:rPr>
            </w:pPr>
          </w:p>
        </w:tc>
        <w:tc>
          <w:tcPr>
            <w:tcW w:w="659" w:type="dxa"/>
            <w:noWrap w:val="0"/>
            <w:vAlign w:val="top"/>
          </w:tcPr>
          <w:p w14:paraId="5196D2EB">
            <w:pPr>
              <w:adjustRightInd w:val="0"/>
              <w:snapToGrid w:val="0"/>
              <w:spacing w:line="360" w:lineRule="auto"/>
              <w:ind w:right="24"/>
              <w:rPr>
                <w:rFonts w:hint="eastAsia" w:ascii="宋体" w:hAnsi="宋体"/>
                <w:bCs/>
                <w:color w:val="auto"/>
                <w:sz w:val="24"/>
                <w:highlight w:val="none"/>
              </w:rPr>
            </w:pPr>
          </w:p>
        </w:tc>
      </w:tr>
      <w:tr w14:paraId="2D36863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noWrap w:val="0"/>
            <w:vAlign w:val="top"/>
          </w:tcPr>
          <w:p w14:paraId="4D50706B">
            <w:pPr>
              <w:adjustRightInd w:val="0"/>
              <w:snapToGrid w:val="0"/>
              <w:spacing w:line="360" w:lineRule="auto"/>
              <w:ind w:right="24"/>
              <w:rPr>
                <w:rFonts w:hint="eastAsia" w:ascii="宋体" w:hAnsi="宋体"/>
                <w:bCs/>
                <w:color w:val="auto"/>
                <w:sz w:val="24"/>
                <w:highlight w:val="none"/>
              </w:rPr>
            </w:pPr>
          </w:p>
        </w:tc>
        <w:tc>
          <w:tcPr>
            <w:tcW w:w="1474" w:type="dxa"/>
            <w:noWrap w:val="0"/>
            <w:vAlign w:val="top"/>
          </w:tcPr>
          <w:p w14:paraId="17710B38">
            <w:pPr>
              <w:adjustRightInd w:val="0"/>
              <w:snapToGrid w:val="0"/>
              <w:spacing w:line="360" w:lineRule="auto"/>
              <w:ind w:right="24"/>
              <w:rPr>
                <w:rFonts w:hint="eastAsia" w:ascii="宋体" w:hAnsi="宋体"/>
                <w:bCs/>
                <w:color w:val="auto"/>
                <w:sz w:val="24"/>
                <w:highlight w:val="none"/>
              </w:rPr>
            </w:pPr>
          </w:p>
        </w:tc>
        <w:tc>
          <w:tcPr>
            <w:tcW w:w="1865" w:type="dxa"/>
            <w:noWrap w:val="0"/>
            <w:vAlign w:val="top"/>
          </w:tcPr>
          <w:p w14:paraId="202C9564">
            <w:pPr>
              <w:adjustRightInd w:val="0"/>
              <w:snapToGrid w:val="0"/>
              <w:spacing w:line="360" w:lineRule="auto"/>
              <w:ind w:right="24"/>
              <w:rPr>
                <w:rFonts w:hint="eastAsia" w:ascii="宋体" w:hAnsi="宋体"/>
                <w:bCs/>
                <w:color w:val="auto"/>
                <w:sz w:val="24"/>
                <w:highlight w:val="none"/>
              </w:rPr>
            </w:pPr>
          </w:p>
        </w:tc>
        <w:tc>
          <w:tcPr>
            <w:tcW w:w="2542" w:type="dxa"/>
            <w:noWrap w:val="0"/>
            <w:vAlign w:val="top"/>
          </w:tcPr>
          <w:p w14:paraId="408DFA21">
            <w:pPr>
              <w:adjustRightInd w:val="0"/>
              <w:snapToGrid w:val="0"/>
              <w:spacing w:line="360" w:lineRule="auto"/>
              <w:ind w:right="24"/>
              <w:rPr>
                <w:rFonts w:hint="eastAsia" w:ascii="宋体" w:hAnsi="宋体"/>
                <w:bCs/>
                <w:color w:val="auto"/>
                <w:sz w:val="24"/>
                <w:highlight w:val="none"/>
              </w:rPr>
            </w:pPr>
          </w:p>
        </w:tc>
        <w:tc>
          <w:tcPr>
            <w:tcW w:w="841" w:type="dxa"/>
            <w:noWrap w:val="0"/>
            <w:vAlign w:val="top"/>
          </w:tcPr>
          <w:p w14:paraId="543E0200">
            <w:pPr>
              <w:adjustRightInd w:val="0"/>
              <w:snapToGrid w:val="0"/>
              <w:spacing w:line="360" w:lineRule="auto"/>
              <w:ind w:right="24"/>
              <w:rPr>
                <w:rFonts w:hint="eastAsia" w:ascii="宋体" w:hAnsi="宋体"/>
                <w:bCs/>
                <w:color w:val="auto"/>
                <w:sz w:val="24"/>
                <w:highlight w:val="none"/>
              </w:rPr>
            </w:pPr>
          </w:p>
        </w:tc>
        <w:tc>
          <w:tcPr>
            <w:tcW w:w="1684" w:type="dxa"/>
            <w:noWrap w:val="0"/>
            <w:vAlign w:val="top"/>
          </w:tcPr>
          <w:p w14:paraId="557D2D8B">
            <w:pPr>
              <w:adjustRightInd w:val="0"/>
              <w:snapToGrid w:val="0"/>
              <w:spacing w:line="360" w:lineRule="auto"/>
              <w:ind w:right="24"/>
              <w:rPr>
                <w:rFonts w:hint="eastAsia" w:ascii="宋体" w:hAnsi="宋体"/>
                <w:bCs/>
                <w:color w:val="auto"/>
                <w:sz w:val="24"/>
                <w:highlight w:val="none"/>
              </w:rPr>
            </w:pPr>
          </w:p>
        </w:tc>
        <w:tc>
          <w:tcPr>
            <w:tcW w:w="659" w:type="dxa"/>
            <w:noWrap w:val="0"/>
            <w:vAlign w:val="top"/>
          </w:tcPr>
          <w:p w14:paraId="26C10B46">
            <w:pPr>
              <w:adjustRightInd w:val="0"/>
              <w:snapToGrid w:val="0"/>
              <w:spacing w:line="360" w:lineRule="auto"/>
              <w:ind w:right="24"/>
              <w:rPr>
                <w:rFonts w:hint="eastAsia" w:ascii="宋体" w:hAnsi="宋体"/>
                <w:bCs/>
                <w:color w:val="auto"/>
                <w:sz w:val="24"/>
                <w:highlight w:val="none"/>
              </w:rPr>
            </w:pPr>
          </w:p>
        </w:tc>
      </w:tr>
      <w:tr w14:paraId="710D41E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noWrap w:val="0"/>
            <w:vAlign w:val="top"/>
          </w:tcPr>
          <w:p w14:paraId="21C9DB54">
            <w:pPr>
              <w:adjustRightInd w:val="0"/>
              <w:snapToGrid w:val="0"/>
              <w:spacing w:line="360" w:lineRule="auto"/>
              <w:ind w:right="24"/>
              <w:rPr>
                <w:rFonts w:hint="eastAsia" w:ascii="宋体" w:hAnsi="宋体"/>
                <w:bCs/>
                <w:color w:val="auto"/>
                <w:sz w:val="24"/>
                <w:highlight w:val="none"/>
              </w:rPr>
            </w:pPr>
          </w:p>
        </w:tc>
        <w:tc>
          <w:tcPr>
            <w:tcW w:w="1474" w:type="dxa"/>
            <w:noWrap w:val="0"/>
            <w:vAlign w:val="top"/>
          </w:tcPr>
          <w:p w14:paraId="7960C708">
            <w:pPr>
              <w:adjustRightInd w:val="0"/>
              <w:snapToGrid w:val="0"/>
              <w:spacing w:line="360" w:lineRule="auto"/>
              <w:ind w:right="24"/>
              <w:rPr>
                <w:rFonts w:hint="eastAsia" w:ascii="宋体" w:hAnsi="宋体"/>
                <w:bCs/>
                <w:color w:val="auto"/>
                <w:sz w:val="24"/>
                <w:highlight w:val="none"/>
              </w:rPr>
            </w:pPr>
          </w:p>
        </w:tc>
        <w:tc>
          <w:tcPr>
            <w:tcW w:w="1865" w:type="dxa"/>
            <w:noWrap w:val="0"/>
            <w:vAlign w:val="top"/>
          </w:tcPr>
          <w:p w14:paraId="0B17270B">
            <w:pPr>
              <w:adjustRightInd w:val="0"/>
              <w:snapToGrid w:val="0"/>
              <w:spacing w:line="360" w:lineRule="auto"/>
              <w:ind w:right="24"/>
              <w:rPr>
                <w:rFonts w:hint="eastAsia" w:ascii="宋体" w:hAnsi="宋体"/>
                <w:bCs/>
                <w:color w:val="auto"/>
                <w:sz w:val="24"/>
                <w:highlight w:val="none"/>
              </w:rPr>
            </w:pPr>
          </w:p>
        </w:tc>
        <w:tc>
          <w:tcPr>
            <w:tcW w:w="2542" w:type="dxa"/>
            <w:noWrap w:val="0"/>
            <w:vAlign w:val="top"/>
          </w:tcPr>
          <w:p w14:paraId="4EEBF6FF">
            <w:pPr>
              <w:adjustRightInd w:val="0"/>
              <w:snapToGrid w:val="0"/>
              <w:spacing w:line="360" w:lineRule="auto"/>
              <w:ind w:right="24"/>
              <w:rPr>
                <w:rFonts w:hint="eastAsia" w:ascii="宋体" w:hAnsi="宋体"/>
                <w:bCs/>
                <w:color w:val="auto"/>
                <w:sz w:val="24"/>
                <w:highlight w:val="none"/>
              </w:rPr>
            </w:pPr>
          </w:p>
        </w:tc>
        <w:tc>
          <w:tcPr>
            <w:tcW w:w="841" w:type="dxa"/>
            <w:noWrap w:val="0"/>
            <w:vAlign w:val="top"/>
          </w:tcPr>
          <w:p w14:paraId="20339E4E">
            <w:pPr>
              <w:adjustRightInd w:val="0"/>
              <w:snapToGrid w:val="0"/>
              <w:spacing w:line="360" w:lineRule="auto"/>
              <w:ind w:right="24"/>
              <w:rPr>
                <w:rFonts w:hint="eastAsia" w:ascii="宋体" w:hAnsi="宋体"/>
                <w:bCs/>
                <w:color w:val="auto"/>
                <w:sz w:val="24"/>
                <w:highlight w:val="none"/>
              </w:rPr>
            </w:pPr>
          </w:p>
        </w:tc>
        <w:tc>
          <w:tcPr>
            <w:tcW w:w="1684" w:type="dxa"/>
            <w:noWrap w:val="0"/>
            <w:vAlign w:val="top"/>
          </w:tcPr>
          <w:p w14:paraId="0BD391BA">
            <w:pPr>
              <w:adjustRightInd w:val="0"/>
              <w:snapToGrid w:val="0"/>
              <w:spacing w:line="360" w:lineRule="auto"/>
              <w:ind w:right="24"/>
              <w:rPr>
                <w:rFonts w:hint="eastAsia" w:ascii="宋体" w:hAnsi="宋体"/>
                <w:bCs/>
                <w:color w:val="auto"/>
                <w:sz w:val="24"/>
                <w:highlight w:val="none"/>
              </w:rPr>
            </w:pPr>
          </w:p>
        </w:tc>
        <w:tc>
          <w:tcPr>
            <w:tcW w:w="659" w:type="dxa"/>
            <w:noWrap w:val="0"/>
            <w:vAlign w:val="top"/>
          </w:tcPr>
          <w:p w14:paraId="3EEFD304">
            <w:pPr>
              <w:adjustRightInd w:val="0"/>
              <w:snapToGrid w:val="0"/>
              <w:spacing w:line="360" w:lineRule="auto"/>
              <w:ind w:right="24"/>
              <w:rPr>
                <w:rFonts w:hint="eastAsia" w:ascii="宋体" w:hAnsi="宋体"/>
                <w:bCs/>
                <w:color w:val="auto"/>
                <w:sz w:val="24"/>
                <w:highlight w:val="none"/>
              </w:rPr>
            </w:pPr>
          </w:p>
        </w:tc>
      </w:tr>
      <w:tr w14:paraId="7428794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noWrap w:val="0"/>
            <w:vAlign w:val="top"/>
          </w:tcPr>
          <w:p w14:paraId="7470BC00">
            <w:pPr>
              <w:adjustRightInd w:val="0"/>
              <w:snapToGrid w:val="0"/>
              <w:spacing w:line="360" w:lineRule="auto"/>
              <w:ind w:right="24"/>
              <w:rPr>
                <w:rFonts w:hint="eastAsia" w:ascii="宋体" w:hAnsi="宋体"/>
                <w:bCs/>
                <w:color w:val="auto"/>
                <w:sz w:val="24"/>
                <w:highlight w:val="none"/>
              </w:rPr>
            </w:pPr>
          </w:p>
        </w:tc>
        <w:tc>
          <w:tcPr>
            <w:tcW w:w="1474" w:type="dxa"/>
            <w:noWrap w:val="0"/>
            <w:vAlign w:val="top"/>
          </w:tcPr>
          <w:p w14:paraId="03291F85">
            <w:pPr>
              <w:adjustRightInd w:val="0"/>
              <w:snapToGrid w:val="0"/>
              <w:spacing w:line="360" w:lineRule="auto"/>
              <w:ind w:right="24"/>
              <w:rPr>
                <w:rFonts w:hint="eastAsia" w:ascii="宋体" w:hAnsi="宋体"/>
                <w:bCs/>
                <w:color w:val="auto"/>
                <w:sz w:val="24"/>
                <w:highlight w:val="none"/>
              </w:rPr>
            </w:pPr>
          </w:p>
        </w:tc>
        <w:tc>
          <w:tcPr>
            <w:tcW w:w="1865" w:type="dxa"/>
            <w:noWrap w:val="0"/>
            <w:vAlign w:val="top"/>
          </w:tcPr>
          <w:p w14:paraId="35318E8C">
            <w:pPr>
              <w:adjustRightInd w:val="0"/>
              <w:snapToGrid w:val="0"/>
              <w:spacing w:line="360" w:lineRule="auto"/>
              <w:ind w:right="24"/>
              <w:rPr>
                <w:rFonts w:hint="eastAsia" w:ascii="宋体" w:hAnsi="宋体"/>
                <w:bCs/>
                <w:color w:val="auto"/>
                <w:sz w:val="24"/>
                <w:highlight w:val="none"/>
              </w:rPr>
            </w:pPr>
          </w:p>
        </w:tc>
        <w:tc>
          <w:tcPr>
            <w:tcW w:w="2542" w:type="dxa"/>
            <w:noWrap w:val="0"/>
            <w:vAlign w:val="top"/>
          </w:tcPr>
          <w:p w14:paraId="507802E4">
            <w:pPr>
              <w:adjustRightInd w:val="0"/>
              <w:snapToGrid w:val="0"/>
              <w:spacing w:line="360" w:lineRule="auto"/>
              <w:ind w:right="24"/>
              <w:rPr>
                <w:rFonts w:hint="eastAsia" w:ascii="宋体" w:hAnsi="宋体"/>
                <w:bCs/>
                <w:color w:val="auto"/>
                <w:sz w:val="24"/>
                <w:highlight w:val="none"/>
              </w:rPr>
            </w:pPr>
          </w:p>
        </w:tc>
        <w:tc>
          <w:tcPr>
            <w:tcW w:w="841" w:type="dxa"/>
            <w:noWrap w:val="0"/>
            <w:vAlign w:val="top"/>
          </w:tcPr>
          <w:p w14:paraId="01467F46">
            <w:pPr>
              <w:adjustRightInd w:val="0"/>
              <w:snapToGrid w:val="0"/>
              <w:spacing w:line="360" w:lineRule="auto"/>
              <w:ind w:right="24"/>
              <w:rPr>
                <w:rFonts w:hint="eastAsia" w:ascii="宋体" w:hAnsi="宋体"/>
                <w:bCs/>
                <w:color w:val="auto"/>
                <w:sz w:val="24"/>
                <w:highlight w:val="none"/>
              </w:rPr>
            </w:pPr>
          </w:p>
        </w:tc>
        <w:tc>
          <w:tcPr>
            <w:tcW w:w="1684" w:type="dxa"/>
            <w:noWrap w:val="0"/>
            <w:vAlign w:val="top"/>
          </w:tcPr>
          <w:p w14:paraId="7C6B4483">
            <w:pPr>
              <w:adjustRightInd w:val="0"/>
              <w:snapToGrid w:val="0"/>
              <w:spacing w:line="360" w:lineRule="auto"/>
              <w:ind w:right="24"/>
              <w:rPr>
                <w:rFonts w:hint="eastAsia" w:ascii="宋体" w:hAnsi="宋体"/>
                <w:bCs/>
                <w:color w:val="auto"/>
                <w:sz w:val="24"/>
                <w:highlight w:val="none"/>
              </w:rPr>
            </w:pPr>
          </w:p>
        </w:tc>
        <w:tc>
          <w:tcPr>
            <w:tcW w:w="659" w:type="dxa"/>
            <w:noWrap w:val="0"/>
            <w:vAlign w:val="top"/>
          </w:tcPr>
          <w:p w14:paraId="4F93204A">
            <w:pPr>
              <w:adjustRightInd w:val="0"/>
              <w:snapToGrid w:val="0"/>
              <w:spacing w:line="360" w:lineRule="auto"/>
              <w:ind w:right="24"/>
              <w:rPr>
                <w:rFonts w:hint="eastAsia" w:ascii="宋体" w:hAnsi="宋体"/>
                <w:bCs/>
                <w:color w:val="auto"/>
                <w:sz w:val="24"/>
                <w:highlight w:val="none"/>
              </w:rPr>
            </w:pPr>
          </w:p>
        </w:tc>
      </w:tr>
      <w:tr w14:paraId="7A61403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noWrap w:val="0"/>
            <w:vAlign w:val="top"/>
          </w:tcPr>
          <w:p w14:paraId="00B27D1C">
            <w:pPr>
              <w:adjustRightInd w:val="0"/>
              <w:snapToGrid w:val="0"/>
              <w:spacing w:line="360" w:lineRule="auto"/>
              <w:ind w:right="24"/>
              <w:rPr>
                <w:rFonts w:hint="eastAsia" w:ascii="宋体" w:hAnsi="宋体"/>
                <w:bCs/>
                <w:color w:val="auto"/>
                <w:sz w:val="24"/>
                <w:highlight w:val="none"/>
              </w:rPr>
            </w:pPr>
          </w:p>
        </w:tc>
        <w:tc>
          <w:tcPr>
            <w:tcW w:w="1474" w:type="dxa"/>
            <w:noWrap w:val="0"/>
            <w:vAlign w:val="top"/>
          </w:tcPr>
          <w:p w14:paraId="5B8A3569">
            <w:pPr>
              <w:adjustRightInd w:val="0"/>
              <w:snapToGrid w:val="0"/>
              <w:spacing w:line="360" w:lineRule="auto"/>
              <w:ind w:right="24"/>
              <w:rPr>
                <w:rFonts w:hint="eastAsia" w:ascii="宋体" w:hAnsi="宋体"/>
                <w:bCs/>
                <w:color w:val="auto"/>
                <w:sz w:val="24"/>
                <w:highlight w:val="none"/>
              </w:rPr>
            </w:pPr>
          </w:p>
        </w:tc>
        <w:tc>
          <w:tcPr>
            <w:tcW w:w="1865" w:type="dxa"/>
            <w:noWrap w:val="0"/>
            <w:vAlign w:val="top"/>
          </w:tcPr>
          <w:p w14:paraId="0B3A0F73">
            <w:pPr>
              <w:adjustRightInd w:val="0"/>
              <w:snapToGrid w:val="0"/>
              <w:spacing w:line="360" w:lineRule="auto"/>
              <w:ind w:right="24"/>
              <w:rPr>
                <w:rFonts w:hint="eastAsia" w:ascii="宋体" w:hAnsi="宋体"/>
                <w:bCs/>
                <w:color w:val="auto"/>
                <w:sz w:val="24"/>
                <w:highlight w:val="none"/>
              </w:rPr>
            </w:pPr>
          </w:p>
        </w:tc>
        <w:tc>
          <w:tcPr>
            <w:tcW w:w="2542" w:type="dxa"/>
            <w:noWrap w:val="0"/>
            <w:vAlign w:val="top"/>
          </w:tcPr>
          <w:p w14:paraId="10991158">
            <w:pPr>
              <w:adjustRightInd w:val="0"/>
              <w:snapToGrid w:val="0"/>
              <w:spacing w:line="360" w:lineRule="auto"/>
              <w:ind w:right="24"/>
              <w:rPr>
                <w:rFonts w:hint="eastAsia" w:ascii="宋体" w:hAnsi="宋体"/>
                <w:bCs/>
                <w:color w:val="auto"/>
                <w:sz w:val="24"/>
                <w:highlight w:val="none"/>
              </w:rPr>
            </w:pPr>
          </w:p>
        </w:tc>
        <w:tc>
          <w:tcPr>
            <w:tcW w:w="841" w:type="dxa"/>
            <w:noWrap w:val="0"/>
            <w:vAlign w:val="top"/>
          </w:tcPr>
          <w:p w14:paraId="5CFAC163">
            <w:pPr>
              <w:adjustRightInd w:val="0"/>
              <w:snapToGrid w:val="0"/>
              <w:spacing w:line="360" w:lineRule="auto"/>
              <w:ind w:right="24"/>
              <w:rPr>
                <w:rFonts w:hint="eastAsia" w:ascii="宋体" w:hAnsi="宋体"/>
                <w:bCs/>
                <w:color w:val="auto"/>
                <w:sz w:val="24"/>
                <w:highlight w:val="none"/>
              </w:rPr>
            </w:pPr>
          </w:p>
        </w:tc>
        <w:tc>
          <w:tcPr>
            <w:tcW w:w="1684" w:type="dxa"/>
            <w:noWrap w:val="0"/>
            <w:vAlign w:val="top"/>
          </w:tcPr>
          <w:p w14:paraId="7E373FA5">
            <w:pPr>
              <w:adjustRightInd w:val="0"/>
              <w:snapToGrid w:val="0"/>
              <w:spacing w:line="360" w:lineRule="auto"/>
              <w:ind w:right="24"/>
              <w:rPr>
                <w:rFonts w:hint="eastAsia" w:ascii="宋体" w:hAnsi="宋体"/>
                <w:bCs/>
                <w:color w:val="auto"/>
                <w:sz w:val="24"/>
                <w:highlight w:val="none"/>
              </w:rPr>
            </w:pPr>
          </w:p>
        </w:tc>
        <w:tc>
          <w:tcPr>
            <w:tcW w:w="659" w:type="dxa"/>
            <w:noWrap w:val="0"/>
            <w:vAlign w:val="top"/>
          </w:tcPr>
          <w:p w14:paraId="45952B17">
            <w:pPr>
              <w:adjustRightInd w:val="0"/>
              <w:snapToGrid w:val="0"/>
              <w:spacing w:line="360" w:lineRule="auto"/>
              <w:ind w:right="24"/>
              <w:rPr>
                <w:rFonts w:hint="eastAsia" w:ascii="宋体" w:hAnsi="宋体"/>
                <w:bCs/>
                <w:color w:val="auto"/>
                <w:sz w:val="24"/>
                <w:highlight w:val="none"/>
              </w:rPr>
            </w:pPr>
          </w:p>
        </w:tc>
      </w:tr>
      <w:tr w14:paraId="780866F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noWrap w:val="0"/>
            <w:vAlign w:val="top"/>
          </w:tcPr>
          <w:p w14:paraId="630389D2">
            <w:pPr>
              <w:adjustRightInd w:val="0"/>
              <w:snapToGrid w:val="0"/>
              <w:spacing w:line="360" w:lineRule="auto"/>
              <w:ind w:right="24"/>
              <w:rPr>
                <w:rFonts w:hint="eastAsia" w:ascii="宋体" w:hAnsi="宋体"/>
                <w:bCs/>
                <w:color w:val="auto"/>
                <w:sz w:val="24"/>
                <w:highlight w:val="none"/>
              </w:rPr>
            </w:pPr>
          </w:p>
        </w:tc>
        <w:tc>
          <w:tcPr>
            <w:tcW w:w="1474" w:type="dxa"/>
            <w:noWrap w:val="0"/>
            <w:vAlign w:val="top"/>
          </w:tcPr>
          <w:p w14:paraId="043D30DF">
            <w:pPr>
              <w:adjustRightInd w:val="0"/>
              <w:snapToGrid w:val="0"/>
              <w:spacing w:line="360" w:lineRule="auto"/>
              <w:ind w:right="24"/>
              <w:rPr>
                <w:rFonts w:hint="eastAsia" w:ascii="宋体" w:hAnsi="宋体"/>
                <w:bCs/>
                <w:color w:val="auto"/>
                <w:sz w:val="24"/>
                <w:highlight w:val="none"/>
              </w:rPr>
            </w:pPr>
          </w:p>
        </w:tc>
        <w:tc>
          <w:tcPr>
            <w:tcW w:w="1865" w:type="dxa"/>
            <w:noWrap w:val="0"/>
            <w:vAlign w:val="top"/>
          </w:tcPr>
          <w:p w14:paraId="75C40770">
            <w:pPr>
              <w:adjustRightInd w:val="0"/>
              <w:snapToGrid w:val="0"/>
              <w:spacing w:line="360" w:lineRule="auto"/>
              <w:ind w:right="24"/>
              <w:rPr>
                <w:rFonts w:hint="eastAsia" w:ascii="宋体" w:hAnsi="宋体"/>
                <w:bCs/>
                <w:color w:val="auto"/>
                <w:sz w:val="24"/>
                <w:highlight w:val="none"/>
              </w:rPr>
            </w:pPr>
          </w:p>
        </w:tc>
        <w:tc>
          <w:tcPr>
            <w:tcW w:w="2542" w:type="dxa"/>
            <w:noWrap w:val="0"/>
            <w:vAlign w:val="top"/>
          </w:tcPr>
          <w:p w14:paraId="7DAB5992">
            <w:pPr>
              <w:adjustRightInd w:val="0"/>
              <w:snapToGrid w:val="0"/>
              <w:spacing w:line="360" w:lineRule="auto"/>
              <w:ind w:right="24"/>
              <w:rPr>
                <w:rFonts w:hint="eastAsia" w:ascii="宋体" w:hAnsi="宋体"/>
                <w:bCs/>
                <w:color w:val="auto"/>
                <w:sz w:val="24"/>
                <w:highlight w:val="none"/>
              </w:rPr>
            </w:pPr>
          </w:p>
        </w:tc>
        <w:tc>
          <w:tcPr>
            <w:tcW w:w="841" w:type="dxa"/>
            <w:noWrap w:val="0"/>
            <w:vAlign w:val="top"/>
          </w:tcPr>
          <w:p w14:paraId="134C9049">
            <w:pPr>
              <w:adjustRightInd w:val="0"/>
              <w:snapToGrid w:val="0"/>
              <w:spacing w:line="360" w:lineRule="auto"/>
              <w:ind w:right="24"/>
              <w:rPr>
                <w:rFonts w:hint="eastAsia" w:ascii="宋体" w:hAnsi="宋体"/>
                <w:bCs/>
                <w:color w:val="auto"/>
                <w:sz w:val="24"/>
                <w:highlight w:val="none"/>
              </w:rPr>
            </w:pPr>
          </w:p>
        </w:tc>
        <w:tc>
          <w:tcPr>
            <w:tcW w:w="1684" w:type="dxa"/>
            <w:noWrap w:val="0"/>
            <w:vAlign w:val="top"/>
          </w:tcPr>
          <w:p w14:paraId="63DF2E7D">
            <w:pPr>
              <w:adjustRightInd w:val="0"/>
              <w:snapToGrid w:val="0"/>
              <w:spacing w:line="360" w:lineRule="auto"/>
              <w:ind w:right="24"/>
              <w:rPr>
                <w:rFonts w:hint="eastAsia" w:ascii="宋体" w:hAnsi="宋体"/>
                <w:bCs/>
                <w:color w:val="auto"/>
                <w:sz w:val="24"/>
                <w:highlight w:val="none"/>
              </w:rPr>
            </w:pPr>
          </w:p>
        </w:tc>
        <w:tc>
          <w:tcPr>
            <w:tcW w:w="659" w:type="dxa"/>
            <w:noWrap w:val="0"/>
            <w:vAlign w:val="top"/>
          </w:tcPr>
          <w:p w14:paraId="3EF7191B">
            <w:pPr>
              <w:adjustRightInd w:val="0"/>
              <w:snapToGrid w:val="0"/>
              <w:spacing w:line="360" w:lineRule="auto"/>
              <w:ind w:right="24"/>
              <w:rPr>
                <w:rFonts w:hint="eastAsia" w:ascii="宋体" w:hAnsi="宋体"/>
                <w:bCs/>
                <w:color w:val="auto"/>
                <w:sz w:val="24"/>
                <w:highlight w:val="none"/>
              </w:rPr>
            </w:pPr>
          </w:p>
        </w:tc>
      </w:tr>
      <w:tr w14:paraId="0DB9BF1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noWrap w:val="0"/>
            <w:vAlign w:val="top"/>
          </w:tcPr>
          <w:p w14:paraId="54842797">
            <w:pPr>
              <w:adjustRightInd w:val="0"/>
              <w:snapToGrid w:val="0"/>
              <w:spacing w:line="360" w:lineRule="auto"/>
              <w:ind w:right="24"/>
              <w:rPr>
                <w:rFonts w:hint="eastAsia" w:ascii="宋体" w:hAnsi="宋体"/>
                <w:bCs/>
                <w:color w:val="auto"/>
                <w:sz w:val="24"/>
                <w:highlight w:val="none"/>
              </w:rPr>
            </w:pPr>
          </w:p>
        </w:tc>
        <w:tc>
          <w:tcPr>
            <w:tcW w:w="1474" w:type="dxa"/>
            <w:noWrap w:val="0"/>
            <w:vAlign w:val="top"/>
          </w:tcPr>
          <w:p w14:paraId="542AF858">
            <w:pPr>
              <w:adjustRightInd w:val="0"/>
              <w:snapToGrid w:val="0"/>
              <w:spacing w:line="360" w:lineRule="auto"/>
              <w:ind w:right="24"/>
              <w:rPr>
                <w:rFonts w:hint="eastAsia" w:ascii="宋体" w:hAnsi="宋体"/>
                <w:bCs/>
                <w:color w:val="auto"/>
                <w:sz w:val="24"/>
                <w:highlight w:val="none"/>
              </w:rPr>
            </w:pPr>
          </w:p>
        </w:tc>
        <w:tc>
          <w:tcPr>
            <w:tcW w:w="1865" w:type="dxa"/>
            <w:noWrap w:val="0"/>
            <w:vAlign w:val="top"/>
          </w:tcPr>
          <w:p w14:paraId="730DE7BA">
            <w:pPr>
              <w:adjustRightInd w:val="0"/>
              <w:snapToGrid w:val="0"/>
              <w:spacing w:line="360" w:lineRule="auto"/>
              <w:ind w:right="24"/>
              <w:rPr>
                <w:rFonts w:hint="eastAsia" w:ascii="宋体" w:hAnsi="宋体"/>
                <w:bCs/>
                <w:color w:val="auto"/>
                <w:sz w:val="24"/>
                <w:highlight w:val="none"/>
              </w:rPr>
            </w:pPr>
          </w:p>
        </w:tc>
        <w:tc>
          <w:tcPr>
            <w:tcW w:w="2542" w:type="dxa"/>
            <w:noWrap w:val="0"/>
            <w:vAlign w:val="top"/>
          </w:tcPr>
          <w:p w14:paraId="5C97617D">
            <w:pPr>
              <w:adjustRightInd w:val="0"/>
              <w:snapToGrid w:val="0"/>
              <w:spacing w:line="360" w:lineRule="auto"/>
              <w:ind w:right="24"/>
              <w:rPr>
                <w:rFonts w:hint="eastAsia" w:ascii="宋体" w:hAnsi="宋体"/>
                <w:bCs/>
                <w:color w:val="auto"/>
                <w:sz w:val="24"/>
                <w:highlight w:val="none"/>
              </w:rPr>
            </w:pPr>
          </w:p>
        </w:tc>
        <w:tc>
          <w:tcPr>
            <w:tcW w:w="841" w:type="dxa"/>
            <w:noWrap w:val="0"/>
            <w:vAlign w:val="top"/>
          </w:tcPr>
          <w:p w14:paraId="58144140">
            <w:pPr>
              <w:adjustRightInd w:val="0"/>
              <w:snapToGrid w:val="0"/>
              <w:spacing w:line="360" w:lineRule="auto"/>
              <w:ind w:right="24"/>
              <w:rPr>
                <w:rFonts w:hint="eastAsia" w:ascii="宋体" w:hAnsi="宋体"/>
                <w:bCs/>
                <w:color w:val="auto"/>
                <w:sz w:val="24"/>
                <w:highlight w:val="none"/>
              </w:rPr>
            </w:pPr>
          </w:p>
        </w:tc>
        <w:tc>
          <w:tcPr>
            <w:tcW w:w="1684" w:type="dxa"/>
            <w:noWrap w:val="0"/>
            <w:vAlign w:val="top"/>
          </w:tcPr>
          <w:p w14:paraId="44CCDC25">
            <w:pPr>
              <w:adjustRightInd w:val="0"/>
              <w:snapToGrid w:val="0"/>
              <w:spacing w:line="360" w:lineRule="auto"/>
              <w:ind w:right="24"/>
              <w:rPr>
                <w:rFonts w:hint="eastAsia" w:ascii="宋体" w:hAnsi="宋体"/>
                <w:bCs/>
                <w:color w:val="auto"/>
                <w:sz w:val="24"/>
                <w:highlight w:val="none"/>
              </w:rPr>
            </w:pPr>
          </w:p>
        </w:tc>
        <w:tc>
          <w:tcPr>
            <w:tcW w:w="659" w:type="dxa"/>
            <w:noWrap w:val="0"/>
            <w:vAlign w:val="top"/>
          </w:tcPr>
          <w:p w14:paraId="6C96DD68">
            <w:pPr>
              <w:adjustRightInd w:val="0"/>
              <w:snapToGrid w:val="0"/>
              <w:spacing w:line="360" w:lineRule="auto"/>
              <w:ind w:right="24"/>
              <w:rPr>
                <w:rFonts w:hint="eastAsia" w:ascii="宋体" w:hAnsi="宋体"/>
                <w:bCs/>
                <w:color w:val="auto"/>
                <w:sz w:val="24"/>
                <w:highlight w:val="none"/>
              </w:rPr>
            </w:pPr>
          </w:p>
        </w:tc>
      </w:tr>
      <w:tr w14:paraId="6960076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noWrap w:val="0"/>
            <w:vAlign w:val="top"/>
          </w:tcPr>
          <w:p w14:paraId="0C1E0746">
            <w:pPr>
              <w:adjustRightInd w:val="0"/>
              <w:snapToGrid w:val="0"/>
              <w:spacing w:line="360" w:lineRule="auto"/>
              <w:ind w:right="24"/>
              <w:rPr>
                <w:rFonts w:hint="eastAsia" w:ascii="宋体" w:hAnsi="宋体"/>
                <w:bCs/>
                <w:color w:val="auto"/>
                <w:sz w:val="24"/>
                <w:highlight w:val="none"/>
              </w:rPr>
            </w:pPr>
          </w:p>
        </w:tc>
        <w:tc>
          <w:tcPr>
            <w:tcW w:w="1474" w:type="dxa"/>
            <w:noWrap w:val="0"/>
            <w:vAlign w:val="top"/>
          </w:tcPr>
          <w:p w14:paraId="32C3503C">
            <w:pPr>
              <w:adjustRightInd w:val="0"/>
              <w:snapToGrid w:val="0"/>
              <w:spacing w:line="360" w:lineRule="auto"/>
              <w:ind w:right="24"/>
              <w:rPr>
                <w:rFonts w:hint="eastAsia" w:ascii="宋体" w:hAnsi="宋体"/>
                <w:bCs/>
                <w:color w:val="auto"/>
                <w:sz w:val="24"/>
                <w:highlight w:val="none"/>
              </w:rPr>
            </w:pPr>
          </w:p>
        </w:tc>
        <w:tc>
          <w:tcPr>
            <w:tcW w:w="1865" w:type="dxa"/>
            <w:noWrap w:val="0"/>
            <w:vAlign w:val="top"/>
          </w:tcPr>
          <w:p w14:paraId="12C468AB">
            <w:pPr>
              <w:adjustRightInd w:val="0"/>
              <w:snapToGrid w:val="0"/>
              <w:spacing w:line="360" w:lineRule="auto"/>
              <w:ind w:right="24"/>
              <w:rPr>
                <w:rFonts w:hint="eastAsia" w:ascii="宋体" w:hAnsi="宋体"/>
                <w:bCs/>
                <w:color w:val="auto"/>
                <w:sz w:val="24"/>
                <w:highlight w:val="none"/>
              </w:rPr>
            </w:pPr>
          </w:p>
        </w:tc>
        <w:tc>
          <w:tcPr>
            <w:tcW w:w="2542" w:type="dxa"/>
            <w:noWrap w:val="0"/>
            <w:vAlign w:val="top"/>
          </w:tcPr>
          <w:p w14:paraId="5E77D221">
            <w:pPr>
              <w:adjustRightInd w:val="0"/>
              <w:snapToGrid w:val="0"/>
              <w:spacing w:line="360" w:lineRule="auto"/>
              <w:ind w:right="24"/>
              <w:rPr>
                <w:rFonts w:hint="eastAsia" w:ascii="宋体" w:hAnsi="宋体"/>
                <w:bCs/>
                <w:color w:val="auto"/>
                <w:sz w:val="24"/>
                <w:highlight w:val="none"/>
              </w:rPr>
            </w:pPr>
          </w:p>
        </w:tc>
        <w:tc>
          <w:tcPr>
            <w:tcW w:w="841" w:type="dxa"/>
            <w:noWrap w:val="0"/>
            <w:vAlign w:val="top"/>
          </w:tcPr>
          <w:p w14:paraId="75702E8C">
            <w:pPr>
              <w:adjustRightInd w:val="0"/>
              <w:snapToGrid w:val="0"/>
              <w:spacing w:line="360" w:lineRule="auto"/>
              <w:ind w:right="24"/>
              <w:rPr>
                <w:rFonts w:hint="eastAsia" w:ascii="宋体" w:hAnsi="宋体"/>
                <w:bCs/>
                <w:color w:val="auto"/>
                <w:sz w:val="24"/>
                <w:highlight w:val="none"/>
              </w:rPr>
            </w:pPr>
          </w:p>
        </w:tc>
        <w:tc>
          <w:tcPr>
            <w:tcW w:w="1684" w:type="dxa"/>
            <w:noWrap w:val="0"/>
            <w:vAlign w:val="top"/>
          </w:tcPr>
          <w:p w14:paraId="440107A6">
            <w:pPr>
              <w:adjustRightInd w:val="0"/>
              <w:snapToGrid w:val="0"/>
              <w:spacing w:line="360" w:lineRule="auto"/>
              <w:ind w:right="24"/>
              <w:rPr>
                <w:rFonts w:hint="eastAsia" w:ascii="宋体" w:hAnsi="宋体"/>
                <w:bCs/>
                <w:color w:val="auto"/>
                <w:sz w:val="24"/>
                <w:highlight w:val="none"/>
              </w:rPr>
            </w:pPr>
          </w:p>
        </w:tc>
        <w:tc>
          <w:tcPr>
            <w:tcW w:w="659" w:type="dxa"/>
            <w:noWrap w:val="0"/>
            <w:vAlign w:val="top"/>
          </w:tcPr>
          <w:p w14:paraId="69ADE51E">
            <w:pPr>
              <w:adjustRightInd w:val="0"/>
              <w:snapToGrid w:val="0"/>
              <w:spacing w:line="360" w:lineRule="auto"/>
              <w:ind w:right="24"/>
              <w:rPr>
                <w:rFonts w:hint="eastAsia" w:ascii="宋体" w:hAnsi="宋体"/>
                <w:bCs/>
                <w:color w:val="auto"/>
                <w:sz w:val="24"/>
                <w:highlight w:val="none"/>
              </w:rPr>
            </w:pPr>
          </w:p>
        </w:tc>
      </w:tr>
      <w:tr w14:paraId="71DE0A5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noWrap w:val="0"/>
            <w:vAlign w:val="top"/>
          </w:tcPr>
          <w:p w14:paraId="6F73B41C">
            <w:pPr>
              <w:adjustRightInd w:val="0"/>
              <w:snapToGrid w:val="0"/>
              <w:spacing w:line="360" w:lineRule="auto"/>
              <w:ind w:right="24"/>
              <w:rPr>
                <w:rFonts w:hint="eastAsia" w:ascii="宋体" w:hAnsi="宋体"/>
                <w:bCs/>
                <w:color w:val="auto"/>
                <w:sz w:val="24"/>
                <w:highlight w:val="none"/>
              </w:rPr>
            </w:pPr>
          </w:p>
        </w:tc>
        <w:tc>
          <w:tcPr>
            <w:tcW w:w="1474" w:type="dxa"/>
            <w:noWrap w:val="0"/>
            <w:vAlign w:val="top"/>
          </w:tcPr>
          <w:p w14:paraId="7AF5E9EA">
            <w:pPr>
              <w:adjustRightInd w:val="0"/>
              <w:snapToGrid w:val="0"/>
              <w:spacing w:line="360" w:lineRule="auto"/>
              <w:ind w:right="24"/>
              <w:rPr>
                <w:rFonts w:hint="eastAsia" w:ascii="宋体" w:hAnsi="宋体"/>
                <w:bCs/>
                <w:color w:val="auto"/>
                <w:sz w:val="24"/>
                <w:highlight w:val="none"/>
              </w:rPr>
            </w:pPr>
          </w:p>
        </w:tc>
        <w:tc>
          <w:tcPr>
            <w:tcW w:w="1865" w:type="dxa"/>
            <w:noWrap w:val="0"/>
            <w:vAlign w:val="top"/>
          </w:tcPr>
          <w:p w14:paraId="618022B1">
            <w:pPr>
              <w:adjustRightInd w:val="0"/>
              <w:snapToGrid w:val="0"/>
              <w:spacing w:line="360" w:lineRule="auto"/>
              <w:ind w:right="24"/>
              <w:rPr>
                <w:rFonts w:hint="eastAsia" w:ascii="宋体" w:hAnsi="宋体"/>
                <w:bCs/>
                <w:color w:val="auto"/>
                <w:sz w:val="24"/>
                <w:highlight w:val="none"/>
              </w:rPr>
            </w:pPr>
          </w:p>
        </w:tc>
        <w:tc>
          <w:tcPr>
            <w:tcW w:w="2542" w:type="dxa"/>
            <w:noWrap w:val="0"/>
            <w:vAlign w:val="top"/>
          </w:tcPr>
          <w:p w14:paraId="0E085F40">
            <w:pPr>
              <w:adjustRightInd w:val="0"/>
              <w:snapToGrid w:val="0"/>
              <w:spacing w:line="360" w:lineRule="auto"/>
              <w:ind w:right="24"/>
              <w:rPr>
                <w:rFonts w:hint="eastAsia" w:ascii="宋体" w:hAnsi="宋体"/>
                <w:bCs/>
                <w:color w:val="auto"/>
                <w:sz w:val="24"/>
                <w:highlight w:val="none"/>
              </w:rPr>
            </w:pPr>
          </w:p>
        </w:tc>
        <w:tc>
          <w:tcPr>
            <w:tcW w:w="841" w:type="dxa"/>
            <w:noWrap w:val="0"/>
            <w:vAlign w:val="top"/>
          </w:tcPr>
          <w:p w14:paraId="5BA9E508">
            <w:pPr>
              <w:adjustRightInd w:val="0"/>
              <w:snapToGrid w:val="0"/>
              <w:spacing w:line="360" w:lineRule="auto"/>
              <w:ind w:right="24"/>
              <w:rPr>
                <w:rFonts w:hint="eastAsia" w:ascii="宋体" w:hAnsi="宋体"/>
                <w:bCs/>
                <w:color w:val="auto"/>
                <w:sz w:val="24"/>
                <w:highlight w:val="none"/>
              </w:rPr>
            </w:pPr>
          </w:p>
        </w:tc>
        <w:tc>
          <w:tcPr>
            <w:tcW w:w="1684" w:type="dxa"/>
            <w:noWrap w:val="0"/>
            <w:vAlign w:val="top"/>
          </w:tcPr>
          <w:p w14:paraId="285CB504">
            <w:pPr>
              <w:adjustRightInd w:val="0"/>
              <w:snapToGrid w:val="0"/>
              <w:spacing w:line="360" w:lineRule="auto"/>
              <w:ind w:right="24"/>
              <w:rPr>
                <w:rFonts w:hint="eastAsia" w:ascii="宋体" w:hAnsi="宋体"/>
                <w:bCs/>
                <w:color w:val="auto"/>
                <w:sz w:val="24"/>
                <w:highlight w:val="none"/>
              </w:rPr>
            </w:pPr>
          </w:p>
        </w:tc>
        <w:tc>
          <w:tcPr>
            <w:tcW w:w="659" w:type="dxa"/>
            <w:noWrap w:val="0"/>
            <w:vAlign w:val="top"/>
          </w:tcPr>
          <w:p w14:paraId="1707690C">
            <w:pPr>
              <w:adjustRightInd w:val="0"/>
              <w:snapToGrid w:val="0"/>
              <w:spacing w:line="360" w:lineRule="auto"/>
              <w:ind w:right="24"/>
              <w:rPr>
                <w:rFonts w:hint="eastAsia" w:ascii="宋体" w:hAnsi="宋体"/>
                <w:bCs/>
                <w:color w:val="auto"/>
                <w:sz w:val="24"/>
                <w:highlight w:val="none"/>
              </w:rPr>
            </w:pPr>
          </w:p>
        </w:tc>
      </w:tr>
    </w:tbl>
    <w:p w14:paraId="6E06FD94">
      <w:pPr>
        <w:pStyle w:val="11"/>
        <w:tabs>
          <w:tab w:val="left" w:pos="600"/>
        </w:tabs>
        <w:spacing w:line="360" w:lineRule="auto"/>
        <w:ind w:firstLine="361" w:firstLineChars="200"/>
        <w:rPr>
          <w:rFonts w:hint="eastAsia" w:ascii="宋体" w:hAnsi="宋体"/>
          <w:b/>
          <w:bCs/>
          <w:color w:val="auto"/>
          <w:sz w:val="18"/>
          <w:szCs w:val="18"/>
          <w:highlight w:val="none"/>
        </w:rPr>
      </w:pPr>
      <w:r>
        <w:rPr>
          <w:rFonts w:hint="eastAsia" w:ascii="宋体" w:hAnsi="宋体"/>
          <w:b/>
          <w:bCs/>
          <w:color w:val="auto"/>
          <w:sz w:val="18"/>
          <w:szCs w:val="18"/>
          <w:highlight w:val="none"/>
        </w:rPr>
        <w:t>注：1、投标人在投标文件技术偏离表中必须对技术条款进行一一正面响应，若不响应、逃避响应或模糊混淆概念响应，按照重要指标负偏离处理，不能提供证明文件的不予认可</w:t>
      </w:r>
      <w:r>
        <w:rPr>
          <w:rFonts w:hint="eastAsia" w:ascii="宋体" w:hAnsi="宋体"/>
          <w:b/>
          <w:bCs/>
          <w:color w:val="auto"/>
          <w:sz w:val="18"/>
          <w:szCs w:val="18"/>
          <w:highlight w:val="none"/>
          <w:lang w:eastAsia="zh-CN"/>
        </w:rPr>
        <w:t>，给予扣分处理</w:t>
      </w:r>
      <w:r>
        <w:rPr>
          <w:rFonts w:hint="eastAsia" w:ascii="宋体" w:hAnsi="宋体"/>
          <w:b/>
          <w:bCs/>
          <w:color w:val="auto"/>
          <w:sz w:val="18"/>
          <w:szCs w:val="18"/>
          <w:highlight w:val="none"/>
        </w:rPr>
        <w:t>。通过篡改数据响应的按照无效标处理并追究法律责任。在交货后，发现部分不能实现，甲方有权退货并索取赔偿。</w:t>
      </w:r>
    </w:p>
    <w:p w14:paraId="74A09AF9">
      <w:pPr>
        <w:pStyle w:val="11"/>
        <w:tabs>
          <w:tab w:val="left" w:pos="600"/>
        </w:tabs>
        <w:spacing w:line="360" w:lineRule="auto"/>
        <w:ind w:firstLine="361" w:firstLineChars="200"/>
        <w:rPr>
          <w:rFonts w:hint="eastAsia" w:ascii="仿宋_GB2312" w:hAnsi="宋体" w:eastAsia="仿宋_GB2312"/>
          <w:bCs/>
          <w:color w:val="auto"/>
          <w:sz w:val="18"/>
          <w:szCs w:val="18"/>
          <w:highlight w:val="none"/>
        </w:rPr>
      </w:pPr>
      <w:r>
        <w:rPr>
          <w:rFonts w:hint="eastAsia" w:ascii="宋体" w:hAnsi="宋体"/>
          <w:b/>
          <w:bCs/>
          <w:color w:val="auto"/>
          <w:sz w:val="18"/>
          <w:szCs w:val="18"/>
          <w:highlight w:val="none"/>
        </w:rPr>
        <w:t>2、投标人必须据实填写，不得虚假响应，否则将取消其投标或中标资格，并按有关规定进行处罚。</w:t>
      </w:r>
    </w:p>
    <w:p w14:paraId="4B8DC575">
      <w:pPr>
        <w:adjustRightInd w:val="0"/>
        <w:spacing w:after="240" w:afterLines="100" w:line="400" w:lineRule="exact"/>
        <w:ind w:firstLine="367" w:firstLineChars="175"/>
        <w:jc w:val="left"/>
        <w:rPr>
          <w:rFonts w:hint="eastAsia" w:ascii="宋体" w:hAnsi="宋体"/>
          <w:bCs/>
          <w:color w:val="auto"/>
          <w:szCs w:val="21"/>
          <w:highlight w:val="none"/>
        </w:rPr>
      </w:pPr>
      <w:r>
        <w:rPr>
          <w:rFonts w:hint="eastAsia" w:ascii="宋体" w:hAnsi="宋体"/>
          <w:bCs/>
          <w:color w:val="auto"/>
          <w:szCs w:val="21"/>
          <w:highlight w:val="none"/>
        </w:rPr>
        <w:t>投 标 人：</w:t>
      </w:r>
      <w:r>
        <w:rPr>
          <w:rFonts w:hint="eastAsia" w:ascii="宋体" w:hAnsi="宋体"/>
          <w:bCs/>
          <w:color w:val="auto"/>
          <w:szCs w:val="21"/>
          <w:highlight w:val="none"/>
          <w:u w:val="single"/>
        </w:rPr>
        <w:t xml:space="preserve">                           </w:t>
      </w:r>
      <w:r>
        <w:rPr>
          <w:rFonts w:hint="eastAsia" w:ascii="宋体" w:hAnsi="宋体"/>
          <w:bCs/>
          <w:color w:val="auto"/>
          <w:szCs w:val="21"/>
          <w:highlight w:val="none"/>
        </w:rPr>
        <w:t>（盖单位章）</w:t>
      </w:r>
    </w:p>
    <w:p w14:paraId="33E34318">
      <w:pPr>
        <w:adjustRightInd w:val="0"/>
        <w:spacing w:before="360" w:beforeLines="150" w:line="360" w:lineRule="auto"/>
        <w:ind w:firstLine="367" w:firstLineChars="175"/>
        <w:jc w:val="left"/>
        <w:rPr>
          <w:rFonts w:hint="eastAsia" w:ascii="宋体" w:hAnsi="宋体"/>
          <w:bCs/>
          <w:color w:val="auto"/>
          <w:szCs w:val="21"/>
          <w:highlight w:val="none"/>
        </w:rPr>
      </w:pPr>
      <w:r>
        <w:rPr>
          <w:rFonts w:hint="eastAsia" w:ascii="宋体" w:hAnsi="宋体"/>
          <w:color w:val="auto"/>
          <w:szCs w:val="21"/>
          <w:highlight w:val="none"/>
        </w:rPr>
        <w:t>法定代表人或委托代理人：</w:t>
      </w:r>
      <w:r>
        <w:rPr>
          <w:rFonts w:hint="eastAsia" w:ascii="宋体" w:hAnsi="宋体"/>
          <w:color w:val="auto"/>
          <w:szCs w:val="21"/>
          <w:highlight w:val="none"/>
          <w:u w:val="single"/>
        </w:rPr>
        <w:t xml:space="preserve">             </w:t>
      </w:r>
      <w:r>
        <w:rPr>
          <w:rFonts w:hint="eastAsia" w:ascii="宋体" w:hAnsi="宋体"/>
          <w:color w:val="auto"/>
          <w:szCs w:val="21"/>
          <w:highlight w:val="none"/>
        </w:rPr>
        <w:t>（签字）</w:t>
      </w:r>
    </w:p>
    <w:p w14:paraId="007732E8">
      <w:pPr>
        <w:adjustRightInd w:val="0"/>
        <w:spacing w:before="360" w:beforeLines="150" w:line="360" w:lineRule="auto"/>
        <w:ind w:firstLine="367" w:firstLineChars="175"/>
        <w:jc w:val="left"/>
        <w:rPr>
          <w:rFonts w:hint="eastAsia" w:ascii="宋体" w:hAnsi="宋体"/>
          <w:bCs/>
          <w:color w:val="auto"/>
          <w:szCs w:val="21"/>
          <w:highlight w:val="none"/>
        </w:rPr>
      </w:pPr>
      <w:r>
        <w:rPr>
          <w:rFonts w:hint="eastAsia" w:ascii="宋体" w:hAnsi="宋体"/>
          <w:bCs/>
          <w:color w:val="auto"/>
          <w:szCs w:val="21"/>
          <w:highlight w:val="none"/>
        </w:rPr>
        <w:t>日    期:</w:t>
      </w:r>
      <w:bookmarkStart w:id="261" w:name="_Toc217446088"/>
      <w:r>
        <w:rPr>
          <w:rFonts w:hint="eastAsia" w:ascii="宋体" w:hAnsi="宋体"/>
          <w:bCs/>
          <w:color w:val="auto"/>
          <w:szCs w:val="21"/>
          <w:highlight w:val="none"/>
        </w:rPr>
        <w:t>20</w:t>
      </w:r>
      <w:r>
        <w:rPr>
          <w:rFonts w:hint="eastAsia" w:ascii="宋体" w:hAnsi="宋体"/>
          <w:bCs/>
          <w:color w:val="auto"/>
          <w:szCs w:val="21"/>
          <w:highlight w:val="none"/>
          <w:u w:val="single"/>
        </w:rPr>
        <w:t xml:space="preserve">  </w:t>
      </w:r>
      <w:r>
        <w:rPr>
          <w:rFonts w:hint="eastAsia" w:ascii="宋体" w:hAnsi="宋体"/>
          <w:bCs/>
          <w:color w:val="auto"/>
          <w:szCs w:val="21"/>
          <w:highlight w:val="none"/>
        </w:rPr>
        <w:t>年</w:t>
      </w:r>
      <w:r>
        <w:rPr>
          <w:rFonts w:hint="eastAsia" w:ascii="宋体" w:hAnsi="宋体"/>
          <w:bCs/>
          <w:color w:val="auto"/>
          <w:szCs w:val="21"/>
          <w:highlight w:val="none"/>
          <w:u w:val="single"/>
        </w:rPr>
        <w:t xml:space="preserve">  </w:t>
      </w:r>
      <w:r>
        <w:rPr>
          <w:rFonts w:hint="eastAsia" w:ascii="宋体" w:hAnsi="宋体"/>
          <w:bCs/>
          <w:color w:val="auto"/>
          <w:szCs w:val="21"/>
          <w:highlight w:val="none"/>
        </w:rPr>
        <w:t>月</w:t>
      </w:r>
      <w:r>
        <w:rPr>
          <w:rFonts w:hint="eastAsia" w:ascii="宋体" w:hAnsi="宋体"/>
          <w:bCs/>
          <w:color w:val="auto"/>
          <w:szCs w:val="21"/>
          <w:highlight w:val="none"/>
          <w:u w:val="single"/>
        </w:rPr>
        <w:t xml:space="preserve">  </w:t>
      </w:r>
      <w:r>
        <w:rPr>
          <w:rFonts w:hint="eastAsia" w:ascii="宋体" w:hAnsi="宋体"/>
          <w:bCs/>
          <w:color w:val="auto"/>
          <w:szCs w:val="21"/>
          <w:highlight w:val="none"/>
        </w:rPr>
        <w:t>日</w:t>
      </w:r>
    </w:p>
    <w:p w14:paraId="69D67483">
      <w:pPr>
        <w:pStyle w:val="34"/>
        <w:rPr>
          <w:rFonts w:hint="eastAsia" w:ascii="宋体" w:hAnsi="宋体"/>
          <w:bCs/>
          <w:color w:val="auto"/>
          <w:szCs w:val="21"/>
          <w:highlight w:val="none"/>
        </w:rPr>
      </w:pPr>
    </w:p>
    <w:p w14:paraId="527E6DD6">
      <w:pPr>
        <w:pStyle w:val="34"/>
        <w:rPr>
          <w:rFonts w:hint="eastAsia" w:ascii="宋体" w:hAnsi="宋体"/>
          <w:bCs/>
          <w:color w:val="auto"/>
          <w:szCs w:val="21"/>
          <w:highlight w:val="none"/>
        </w:rPr>
      </w:pPr>
    </w:p>
    <w:p w14:paraId="47C16E2A">
      <w:pPr>
        <w:pStyle w:val="34"/>
        <w:rPr>
          <w:rFonts w:hint="eastAsia" w:ascii="宋体" w:hAnsi="宋体"/>
          <w:bCs/>
          <w:color w:val="auto"/>
          <w:szCs w:val="21"/>
          <w:highlight w:val="none"/>
        </w:rPr>
      </w:pPr>
    </w:p>
    <w:p w14:paraId="4AF94FB2">
      <w:pPr>
        <w:pStyle w:val="34"/>
        <w:rPr>
          <w:rFonts w:hint="eastAsia" w:ascii="宋体" w:hAnsi="宋体"/>
          <w:bCs/>
          <w:color w:val="auto"/>
          <w:szCs w:val="21"/>
          <w:highlight w:val="none"/>
        </w:rPr>
      </w:pPr>
    </w:p>
    <w:bookmarkEnd w:id="261"/>
    <w:p w14:paraId="38DBC796">
      <w:pPr>
        <w:pStyle w:val="39"/>
        <w:spacing w:line="400" w:lineRule="exact"/>
        <w:jc w:val="center"/>
        <w:rPr>
          <w:rFonts w:hint="eastAsia" w:ascii="宋体" w:hAnsi="宋体"/>
          <w:b/>
          <w:color w:val="auto"/>
          <w:sz w:val="36"/>
          <w:szCs w:val="36"/>
          <w:highlight w:val="none"/>
        </w:rPr>
      </w:pPr>
      <w:r>
        <w:rPr>
          <w:rFonts w:hint="eastAsia" w:ascii="宋体" w:hAnsi="宋体"/>
          <w:b/>
          <w:color w:val="auto"/>
          <w:sz w:val="36"/>
          <w:szCs w:val="36"/>
          <w:highlight w:val="none"/>
        </w:rPr>
        <w:t>十</w:t>
      </w:r>
      <w:r>
        <w:rPr>
          <w:rFonts w:hint="eastAsia" w:ascii="宋体" w:hAnsi="宋体"/>
          <w:b/>
          <w:color w:val="auto"/>
          <w:sz w:val="36"/>
          <w:szCs w:val="36"/>
          <w:highlight w:val="none"/>
          <w:lang w:val="en-US" w:eastAsia="zh-CN"/>
        </w:rPr>
        <w:t>二</w:t>
      </w:r>
      <w:r>
        <w:rPr>
          <w:rFonts w:hint="eastAsia" w:ascii="宋体" w:hAnsi="宋体"/>
          <w:b/>
          <w:color w:val="auto"/>
          <w:sz w:val="36"/>
          <w:szCs w:val="36"/>
          <w:highlight w:val="none"/>
        </w:rPr>
        <w:t>、投标人认为有必要补充说明的事项</w:t>
      </w:r>
    </w:p>
    <w:p w14:paraId="2AD8DC60">
      <w:pPr>
        <w:pStyle w:val="39"/>
        <w:spacing w:line="400" w:lineRule="exact"/>
        <w:rPr>
          <w:rFonts w:hint="eastAsia" w:ascii="楷体" w:hAnsi="楷体" w:eastAsia="楷体"/>
          <w:color w:val="auto"/>
          <w:highlight w:val="none"/>
        </w:rPr>
      </w:pPr>
      <w:r>
        <w:rPr>
          <w:rFonts w:hint="eastAsia" w:ascii="楷体" w:hAnsi="楷体" w:eastAsia="楷体"/>
          <w:color w:val="auto"/>
          <w:highlight w:val="none"/>
        </w:rPr>
        <w:t>说明：</w:t>
      </w:r>
    </w:p>
    <w:p w14:paraId="6695A902">
      <w:pPr>
        <w:pStyle w:val="39"/>
        <w:spacing w:line="400" w:lineRule="exact"/>
        <w:rPr>
          <w:rFonts w:ascii="楷体" w:hAnsi="楷体" w:eastAsia="楷体"/>
          <w:color w:val="auto"/>
          <w:highlight w:val="none"/>
        </w:rPr>
      </w:pPr>
      <w:r>
        <w:rPr>
          <w:rFonts w:hint="eastAsia" w:ascii="楷体" w:hAnsi="楷体" w:eastAsia="楷体"/>
          <w:color w:val="auto"/>
          <w:highlight w:val="none"/>
        </w:rPr>
        <w:t xml:space="preserve">     格式自定。</w:t>
      </w:r>
    </w:p>
    <w:p w14:paraId="31C04E32">
      <w:pPr>
        <w:rPr>
          <w:color w:val="auto"/>
          <w:highlight w:val="none"/>
        </w:rPr>
      </w:pPr>
    </w:p>
    <w:p w14:paraId="0A09376C">
      <w:pPr>
        <w:rPr>
          <w:color w:val="auto"/>
          <w:highlight w:val="none"/>
        </w:rPr>
      </w:pPr>
    </w:p>
    <w:p w14:paraId="06AF8B33">
      <w:pPr>
        <w:rPr>
          <w:color w:val="auto"/>
          <w:highlight w:val="none"/>
        </w:rPr>
      </w:pPr>
    </w:p>
    <w:p w14:paraId="364179D4">
      <w:pPr>
        <w:rPr>
          <w:color w:val="auto"/>
          <w:highlight w:val="none"/>
        </w:rPr>
      </w:pPr>
    </w:p>
    <w:p w14:paraId="3A344B19">
      <w:pPr>
        <w:rPr>
          <w:color w:val="auto"/>
          <w:highlight w:val="none"/>
        </w:rPr>
      </w:pPr>
    </w:p>
    <w:p w14:paraId="74673D10">
      <w:pPr>
        <w:rPr>
          <w:color w:val="auto"/>
          <w:highlight w:val="none"/>
        </w:rPr>
      </w:pPr>
    </w:p>
    <w:p w14:paraId="52A47815">
      <w:pPr>
        <w:rPr>
          <w:color w:val="auto"/>
          <w:highlight w:val="none"/>
        </w:rPr>
      </w:pPr>
    </w:p>
    <w:p w14:paraId="518C7730">
      <w:pPr>
        <w:rPr>
          <w:color w:val="auto"/>
          <w:highlight w:val="none"/>
        </w:rPr>
      </w:pPr>
    </w:p>
    <w:p w14:paraId="38934620">
      <w:pPr>
        <w:rPr>
          <w:color w:val="auto"/>
          <w:highlight w:val="none"/>
        </w:rPr>
      </w:pPr>
    </w:p>
    <w:p w14:paraId="3494DB20">
      <w:pPr>
        <w:rPr>
          <w:color w:val="auto"/>
          <w:highlight w:val="none"/>
        </w:rPr>
      </w:pPr>
    </w:p>
    <w:p w14:paraId="58E5F879">
      <w:pPr>
        <w:rPr>
          <w:color w:val="auto"/>
          <w:highlight w:val="none"/>
        </w:rPr>
      </w:pPr>
    </w:p>
    <w:p w14:paraId="1E5BADC0">
      <w:pPr>
        <w:rPr>
          <w:color w:val="auto"/>
          <w:highlight w:val="none"/>
        </w:rPr>
      </w:pPr>
    </w:p>
    <w:p w14:paraId="5676F975">
      <w:pPr>
        <w:rPr>
          <w:color w:val="auto"/>
          <w:highlight w:val="none"/>
        </w:rPr>
      </w:pPr>
    </w:p>
    <w:p w14:paraId="107CD295">
      <w:pPr>
        <w:rPr>
          <w:color w:val="auto"/>
          <w:highlight w:val="none"/>
        </w:rPr>
      </w:pPr>
    </w:p>
    <w:p w14:paraId="743BFB5D">
      <w:pPr>
        <w:rPr>
          <w:color w:val="auto"/>
          <w:highlight w:val="none"/>
        </w:rPr>
      </w:pPr>
    </w:p>
    <w:p w14:paraId="47D43E0D">
      <w:pPr>
        <w:rPr>
          <w:color w:val="auto"/>
          <w:highlight w:val="none"/>
        </w:rPr>
      </w:pPr>
    </w:p>
    <w:p w14:paraId="43E377F5">
      <w:pPr>
        <w:rPr>
          <w:color w:val="auto"/>
          <w:highlight w:val="none"/>
        </w:rPr>
      </w:pPr>
    </w:p>
    <w:p w14:paraId="08FD5852">
      <w:pPr>
        <w:rPr>
          <w:color w:val="auto"/>
          <w:highlight w:val="none"/>
        </w:rPr>
      </w:pPr>
    </w:p>
    <w:p w14:paraId="70C9A844">
      <w:pPr>
        <w:rPr>
          <w:color w:val="auto"/>
          <w:highlight w:val="none"/>
        </w:rPr>
      </w:pPr>
    </w:p>
    <w:p w14:paraId="1F5784A3">
      <w:pPr>
        <w:rPr>
          <w:color w:val="auto"/>
          <w:highlight w:val="none"/>
        </w:rPr>
      </w:pPr>
    </w:p>
    <w:p w14:paraId="40E2D957">
      <w:pPr>
        <w:rPr>
          <w:color w:val="auto"/>
          <w:highlight w:val="none"/>
        </w:rPr>
      </w:pPr>
    </w:p>
    <w:p w14:paraId="2D1297D5">
      <w:pPr>
        <w:rPr>
          <w:color w:val="auto"/>
          <w:highlight w:val="none"/>
        </w:rPr>
      </w:pPr>
    </w:p>
    <w:p w14:paraId="63BA4078">
      <w:pPr>
        <w:rPr>
          <w:color w:val="auto"/>
          <w:highlight w:val="none"/>
        </w:rPr>
      </w:pPr>
    </w:p>
    <w:p w14:paraId="046F4251">
      <w:pPr>
        <w:rPr>
          <w:color w:val="auto"/>
          <w:highlight w:val="none"/>
        </w:rPr>
      </w:pPr>
    </w:p>
    <w:p w14:paraId="76BBC7A8">
      <w:pPr>
        <w:rPr>
          <w:color w:val="auto"/>
          <w:highlight w:val="none"/>
        </w:rPr>
      </w:pPr>
    </w:p>
    <w:p w14:paraId="3A74C761">
      <w:pPr>
        <w:rPr>
          <w:color w:val="auto"/>
          <w:highlight w:val="none"/>
        </w:rPr>
      </w:pPr>
    </w:p>
    <w:p w14:paraId="53413346">
      <w:pPr>
        <w:rPr>
          <w:color w:val="auto"/>
          <w:highlight w:val="none"/>
        </w:rPr>
      </w:pPr>
    </w:p>
    <w:p w14:paraId="15A2CD68">
      <w:pPr>
        <w:rPr>
          <w:color w:val="auto"/>
          <w:highlight w:val="none"/>
        </w:rPr>
      </w:pPr>
    </w:p>
    <w:p w14:paraId="540A2D04">
      <w:pPr>
        <w:rPr>
          <w:color w:val="auto"/>
          <w:highlight w:val="none"/>
        </w:rPr>
      </w:pPr>
    </w:p>
    <w:p w14:paraId="01441043">
      <w:pPr>
        <w:rPr>
          <w:color w:val="auto"/>
          <w:highlight w:val="none"/>
        </w:rPr>
      </w:pPr>
    </w:p>
    <w:p w14:paraId="2F1B73BD">
      <w:pPr>
        <w:rPr>
          <w:color w:val="auto"/>
          <w:highlight w:val="none"/>
        </w:rPr>
      </w:pPr>
    </w:p>
    <w:p w14:paraId="54249C94">
      <w:pPr>
        <w:rPr>
          <w:color w:val="auto"/>
          <w:highlight w:val="none"/>
        </w:rPr>
      </w:pPr>
    </w:p>
    <w:p w14:paraId="6E0A2678">
      <w:pPr>
        <w:rPr>
          <w:color w:val="auto"/>
          <w:highlight w:val="none"/>
        </w:rPr>
      </w:pPr>
    </w:p>
    <w:p w14:paraId="270D1937">
      <w:pPr>
        <w:rPr>
          <w:color w:val="auto"/>
          <w:highlight w:val="none"/>
        </w:rPr>
      </w:pPr>
    </w:p>
    <w:p w14:paraId="3291519C">
      <w:pPr>
        <w:rPr>
          <w:color w:val="auto"/>
          <w:highlight w:val="none"/>
        </w:rPr>
      </w:pPr>
    </w:p>
    <w:p w14:paraId="075B729D">
      <w:pPr>
        <w:rPr>
          <w:color w:val="auto"/>
          <w:highlight w:val="none"/>
        </w:rPr>
      </w:pPr>
    </w:p>
    <w:p w14:paraId="0CAA3BCB">
      <w:pPr>
        <w:rPr>
          <w:color w:val="auto"/>
          <w:highlight w:val="none"/>
        </w:rPr>
      </w:pPr>
    </w:p>
    <w:p w14:paraId="6EB95BD0">
      <w:pPr>
        <w:rPr>
          <w:color w:val="auto"/>
          <w:highlight w:val="none"/>
        </w:rPr>
      </w:pPr>
    </w:p>
    <w:p w14:paraId="07A041FD">
      <w:pPr>
        <w:rPr>
          <w:color w:val="auto"/>
          <w:highlight w:val="none"/>
        </w:rPr>
      </w:pPr>
    </w:p>
    <w:p w14:paraId="48081241">
      <w:pPr>
        <w:rPr>
          <w:color w:val="auto"/>
          <w:highlight w:val="none"/>
        </w:rPr>
      </w:pPr>
    </w:p>
    <w:p w14:paraId="70CFDC9A">
      <w:pPr>
        <w:rPr>
          <w:color w:val="auto"/>
          <w:highlight w:val="none"/>
        </w:rPr>
      </w:pPr>
    </w:p>
    <w:p w14:paraId="181ACBDB">
      <w:pPr>
        <w:rPr>
          <w:color w:val="auto"/>
          <w:highlight w:val="none"/>
        </w:rPr>
      </w:pPr>
    </w:p>
    <w:p w14:paraId="33239652">
      <w:pPr>
        <w:rPr>
          <w:color w:val="auto"/>
          <w:highlight w:val="none"/>
        </w:rPr>
      </w:pPr>
    </w:p>
    <w:p w14:paraId="2CFA06C6">
      <w:pPr>
        <w:rPr>
          <w:color w:val="auto"/>
          <w:highlight w:val="none"/>
        </w:rPr>
      </w:pPr>
    </w:p>
    <w:p w14:paraId="3042B851">
      <w:pPr>
        <w:rPr>
          <w:color w:val="auto"/>
          <w:highlight w:val="none"/>
        </w:rPr>
      </w:pPr>
    </w:p>
    <w:p w14:paraId="25B2D476">
      <w:pPr>
        <w:rPr>
          <w:color w:val="auto"/>
          <w:highlight w:val="none"/>
        </w:rPr>
      </w:pPr>
    </w:p>
    <w:p w14:paraId="5F37E682">
      <w:pPr>
        <w:rPr>
          <w:color w:val="auto"/>
          <w:highlight w:val="none"/>
        </w:rPr>
      </w:pPr>
    </w:p>
    <w:p w14:paraId="51549AF4">
      <w:pPr>
        <w:rPr>
          <w:color w:val="auto"/>
          <w:highlight w:val="none"/>
        </w:rPr>
      </w:pPr>
    </w:p>
    <w:p w14:paraId="544F0DC9">
      <w:pPr>
        <w:rPr>
          <w:color w:val="auto"/>
          <w:highlight w:val="none"/>
        </w:rPr>
      </w:pPr>
    </w:p>
    <w:p w14:paraId="0A36C9AF">
      <w:pPr>
        <w:rPr>
          <w:color w:val="auto"/>
          <w:highlight w:val="none"/>
        </w:rPr>
      </w:pPr>
    </w:p>
    <w:p w14:paraId="2604C12A">
      <w:pPr>
        <w:rPr>
          <w:color w:val="auto"/>
          <w:highlight w:val="none"/>
        </w:rPr>
      </w:pPr>
    </w:p>
    <w:sectPr>
      <w:pgSz w:w="11907" w:h="16840"/>
      <w:pgMar w:top="1440" w:right="1474" w:bottom="1440" w:left="1474" w:header="851" w:footer="992" w:gutter="0"/>
      <w:pgBorders>
        <w:top w:val="none" w:sz="0" w:space="0"/>
        <w:left w:val="none" w:sz="0" w:space="0"/>
        <w:bottom w:val="none" w:sz="0" w:space="0"/>
        <w:right w:val="none" w:sz="0" w:space="0"/>
      </w:pgBorders>
      <w:pgNumType w:fmt="decimal"/>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6B35D187-BCD4-4E0D-8202-E9005C34597B}"/>
  </w:font>
  <w:font w:name="黑体">
    <w:panose1 w:val="02010609060101010101"/>
    <w:charset w:val="86"/>
    <w:family w:val="auto"/>
    <w:pitch w:val="default"/>
    <w:sig w:usb0="800002BF" w:usb1="38CF7CFA" w:usb2="00000016" w:usb3="00000000" w:csb0="00040001" w:csb1="00000000"/>
    <w:embedRegular r:id="rId2" w:fontKey="{0B25C297-698A-4A7F-A230-B0B8629325B8}"/>
  </w:font>
  <w:font w:name="Courier New">
    <w:panose1 w:val="02070309020205020404"/>
    <w:charset w:val="01"/>
    <w:family w:val="modern"/>
    <w:pitch w:val="default"/>
    <w:sig w:usb0="E0002EFF" w:usb1="C0007843" w:usb2="00000009" w:usb3="00000000" w:csb0="400001FF" w:csb1="FFFF0000"/>
    <w:embedRegular r:id="rId3" w:fontKey="{382DD250-81B4-4031-A400-D195DA40C4EC}"/>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幼圆">
    <w:altName w:val="宋体"/>
    <w:panose1 w:val="02010509060101010101"/>
    <w:charset w:val="86"/>
    <w:family w:val="modern"/>
    <w:pitch w:val="default"/>
    <w:sig w:usb0="00000000" w:usb1="00000000" w:usb2="00000000" w:usb3="00000000" w:csb0="00040000" w:csb1="00000000"/>
  </w:font>
  <w:font w:name="Helvetica">
    <w:panose1 w:val="020B0604020202020204"/>
    <w:charset w:val="00"/>
    <w:family w:val="swiss"/>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embedRegular r:id="rId4" w:fontKey="{14F976CC-2AE6-4801-ACD0-70DFDC751F62}"/>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embedRegular r:id="rId5" w:fontKey="{A9DE709D-8747-4F26-AFFD-6D7C7D38EE46}"/>
  </w:font>
  <w:font w:name="仿宋_GB2312">
    <w:panose1 w:val="02010609030101010101"/>
    <w:charset w:val="86"/>
    <w:family w:val="modern"/>
    <w:pitch w:val="default"/>
    <w:sig w:usb0="00000001" w:usb1="080E0000" w:usb2="00000000" w:usb3="00000000" w:csb0="00040000" w:csb1="00000000"/>
    <w:embedRegular r:id="rId6" w:fontKey="{77904EFC-C2EB-4E3F-B939-FA1C443A47D4}"/>
  </w:font>
  <w:font w:name="华文中宋">
    <w:panose1 w:val="02010600040101010101"/>
    <w:charset w:val="86"/>
    <w:family w:val="auto"/>
    <w:pitch w:val="default"/>
    <w:sig w:usb0="00000287" w:usb1="080F0000" w:usb2="00000000" w:usb3="00000000" w:csb0="0004009F" w:csb1="DFD70000"/>
    <w:embedRegular r:id="rId7" w:fontKey="{88B62FE4-EFFF-44CE-A21E-829F101E74CC}"/>
  </w:font>
  <w:font w:name="Wingdings 2">
    <w:panose1 w:val="05020102010507070707"/>
    <w:charset w:val="02"/>
    <w:family w:val="decorative"/>
    <w:pitch w:val="default"/>
    <w:sig w:usb0="00000000" w:usb1="00000000" w:usb2="00000000" w:usb3="00000000" w:csb0="80000000" w:csb1="00000000"/>
    <w:embedRegular r:id="rId8" w:fontKey="{DC3AE580-D426-401B-B4EB-6D13BD80E3D6}"/>
  </w:font>
  <w:font w:name="楷体">
    <w:panose1 w:val="02010609060101010101"/>
    <w:charset w:val="86"/>
    <w:family w:val="auto"/>
    <w:pitch w:val="default"/>
    <w:sig w:usb0="800002BF" w:usb1="38CF7CFA" w:usb2="00000016" w:usb3="00000000" w:csb0="00040001" w:csb1="00000000"/>
    <w:embedRegular r:id="rId9" w:fontKey="{0BF1570D-CE42-4E71-A382-5F50E6C94982}"/>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FF5AF9">
    <w:pPr>
      <w:pStyle w:val="15"/>
      <w:ind w:right="720"/>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88" name="文本框 8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78EE268">
                          <w:pPr>
                            <w:pStyle w:val="1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pIAY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zlB3wzQqfvn+7fLj&#10;1+XnV4IzCFS7MEfcziEyNm9tg7YZzgMOE++m9Dp9wYjAD3nPV3lFEwlPl2bT2WwMF4dv2AA/e7zu&#10;fIjvhNUkGTn1qF8rKzttQ+xCh5CUzdiNVKqtoTKkzunN6zfj9sLVA3BlkCOR6B6brNjsm57Z3hZn&#10;EPO2643g+EYi+ZaF+MA8mgEPxrjEeyylskhie4uSyvov/zpP8agRvJTUaK6cGswSJeq9Qe0AGAfD&#10;D8Z+MMxR31l06wRj6Hhr4oKPajBLb/VnzNAq5YCLGY5MOY2DeRe7BscMcrFatUFH5+Wh6i6g8xyL&#10;W7NzPKVJQga3OkaI2WqcBOpU6XVD77VV6uckNfef+zbq8d+w/A1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j+kgBjICAABjBAAADgAAAAAAAAABACAAAAAfAQAAZHJzL2Uyb0RvYy54bWxQSwUG&#10;AAAAAAYABgBZAQAAwwUAAAAA&#10;">
              <v:fill on="f" focussize="0,0"/>
              <v:stroke on="f" weight="0.5pt"/>
              <v:imagedata o:title=""/>
              <o:lock v:ext="edit" aspectratio="f"/>
              <v:textbox inset="0mm,0mm,0mm,0mm" style="mso-fit-shape-to-text:t;">
                <w:txbxContent>
                  <w:p w14:paraId="178EE268">
                    <w:pPr>
                      <w:pStyle w:val="15"/>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B18C5B">
    <w:pPr>
      <w:pStyle w:val="15"/>
      <w:framePr w:wrap="around" w:vAnchor="text" w:hAnchor="margin" w:xAlign="center" w:y="1"/>
      <w:rPr>
        <w:rStyle w:val="27"/>
      </w:rPr>
    </w:pPr>
    <w:r>
      <w:fldChar w:fldCharType="begin"/>
    </w:r>
    <w:r>
      <w:rPr>
        <w:rStyle w:val="27"/>
      </w:rPr>
      <w:instrText xml:space="preserve">PAGE  </w:instrText>
    </w:r>
    <w:r>
      <w:fldChar w:fldCharType="end"/>
    </w:r>
  </w:p>
  <w:p w14:paraId="6DD753D2">
    <w:pPr>
      <w:pStyle w:val="15"/>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372F5E">
    <w:pPr>
      <w:pStyle w:val="10"/>
      <w:spacing w:line="14" w:lineRule="auto"/>
    </w:pPr>
    <w:r>
      <w:rPr>
        <w:sz w:val="20"/>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89" name="文本框 8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F3308AF">
                          <w:pPr>
                            <w:pStyle w:val="15"/>
                          </w:pPr>
                          <w:r>
                            <w:fldChar w:fldCharType="begin"/>
                          </w:r>
                          <w:r>
                            <w:instrText xml:space="preserve"> PAGE  \* MERGEFORMAT </w:instrText>
                          </w:r>
                          <w:r>
                            <w:fldChar w:fldCharType="separate"/>
                          </w:r>
                          <w:r>
                            <w:t>50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1Bt+kzAgAAYw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dPqWEsM0Kn768f30&#10;8+H06xvBGQRqXJgh7t4hMrbvbIu2Gc4DDhPvtvI6fcGIwA95jxd5RRsJT5emk+k0h4vDN2yAnz1e&#10;dz7E98JqkoyCetSvk5UdNiH2oUNIymbsWirV1VAZ0hT06vWbvLtw8QBcGeRIJPrHJiu22/bMbGvL&#10;I4h52/dGcHwtkXzDQrxjHs2AB2Nc4i2WSlkksWeLktr6r/86T/GoEbyUNGiughrMEiXqg0HtABgH&#10;ww/GdjDMXt9YdOsYY+h4Z+KCj2owK2/1F8zQMuWAixmOTAWNg3kT+wbHDHKxXHZBe+flru4voPMc&#10;ixtz73hKk4QMbrmPELPTOAnUq3LWDb3XVek8J6m5/9x3UY//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M1Bt+kzAgAAYwQAAA4AAAAAAAAAAQAgAAAAHwEAAGRycy9lMm9Eb2MueG1sUEsF&#10;BgAAAAAGAAYAWQEAAMQFAAAAAA==&#10;">
              <v:fill on="f" focussize="0,0"/>
              <v:stroke on="f" weight="0.5pt"/>
              <v:imagedata o:title=""/>
              <o:lock v:ext="edit" aspectratio="f"/>
              <v:textbox inset="0mm,0mm,0mm,0mm" style="mso-fit-shape-to-text:t;">
                <w:txbxContent>
                  <w:p w14:paraId="4F3308AF">
                    <w:pPr>
                      <w:pStyle w:val="15"/>
                    </w:pPr>
                    <w:r>
                      <w:fldChar w:fldCharType="begin"/>
                    </w:r>
                    <w:r>
                      <w:instrText xml:space="preserve"> PAGE  \* MERGEFORMAT </w:instrText>
                    </w:r>
                    <w:r>
                      <w:fldChar w:fldCharType="separate"/>
                    </w:r>
                    <w:r>
                      <w:t>50</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7FE4FB">
    <w:pPr>
      <w:pStyle w:val="15"/>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90" name="文本框 9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022E99D">
                          <w:pPr>
                            <w:pStyle w:val="1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8FZI8zAgAAYw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9C0kMUyj4qcf308/&#10;H06/vhGcQaDGhRni7h0iY/vOtmib4TzgMPFuK6/TF4wI/MA6XuQVbSQ8XZpOptMcLg7fsAF+9njd&#10;+RDfC6tJMgrqUb9OVnbYhNiHDiEpm7FrqVRXQ2VIU9Cr12/y7sLFA3BlkCOR6B+brNhu2zOzrS2P&#10;IOZt3xvB8bVE8g0L8Y55NAMejHGJt1gqZZHEni1Kauu//us8xaNG8FLSoLkKajBLlKgPBrUDYBwM&#10;PxjbwTB7fWPRrWOMoeOdiQs+qsGsvNVfMEPLlAMuZjgyFTQO5k3sGxwzyMVy2QXtnZe7ur+AznMs&#10;bsy94ylNEjK45T5CzE7jJFCvylk39F5XpfOcpOb+c99FPf4bFr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I8FZI8zAgAAYwQAAA4AAAAAAAAAAQAgAAAAHwEAAGRycy9lMm9Eb2MueG1sUEsF&#10;BgAAAAAGAAYAWQEAAMQFAAAAAA==&#10;">
              <v:fill on="f" focussize="0,0"/>
              <v:stroke on="f" weight="0.5pt"/>
              <v:imagedata o:title=""/>
              <o:lock v:ext="edit" aspectratio="f"/>
              <v:textbox inset="0mm,0mm,0mm,0mm" style="mso-fit-shape-to-text:t;">
                <w:txbxContent>
                  <w:p w14:paraId="5022E99D">
                    <w:pPr>
                      <w:pStyle w:val="15"/>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397101">
    <w:pPr>
      <w:pStyle w:val="15"/>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91" name="文本框 9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8AA1F00">
                          <w:pPr>
                            <w:pStyle w:val="1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2t82AzAgAAYwQAAA4AAABkcnMvZTJvRG9jLnhtbK1UzY7TMBC+I/EO&#10;lu80aRGrUjVdla2KkCp2pQVxdh2nseQ/2W6T8gDwBpy4cN/n6nPwOWm6aOGwBy7O2DP+Zr5vxplf&#10;t1qRg/BBWlPQ8SinRBhuS2l2Bf38af1qSkmIzJRMWSMKehSBXi9evpg3biYmtraqFJ4AxIRZ4wpa&#10;x+hmWRZ4LTQLI+uEgbOyXrOIrd9lpWcN0LXKJnl+lTXWl85bLkLA6ap30jOifw6grSrJxcryvRYm&#10;9qheKBZBKdTSBbroqq0qweNtVQURiSoomMZuRRLY27Rmizmb7TxzteTnEthzSnjCSTNpkPQCtWKR&#10;kb2Xf0Fpyb0NtoojbnXWE+kUAYtx/kSb+5o50XGB1MFdRA//D5Z/PNx5IsuCvh1TYphGx08/vp9+&#10;Ppx+fSM4g0CNCzPE3TtExvadbTE2w3nAYeLdVl6nLxgR+CHv8SKvaCPh6dJ0Mp3mcHH4hg3ws8fr&#10;zof4XlhNklFQj/51srLDJsQ+dAhJ2YxdS6W6HipDmoJevX6TdxcuHoArgxyJRF9ssmK7bc/MtrY8&#10;gpi3/WwEx9cSyTcsxDvmMQwoGM8l3mKplEUSe7Yoqa3/+q/zFI8ewUtJg+EqqMFbokR9MOgdAONg&#10;+MHYDobZ6xuLaUU7UEtn4oKPajArb/UXvKFlygEXMxyZChoH8yb2A443yMVy2QXtnZe7ur+AyXMs&#10;bsy94ylNEjK45T5CzE7jJFCvylk3zF7XpfM7ScP9576Levw3LH4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M2t82AzAgAAYwQAAA4AAAAAAAAAAQAgAAAAHwEAAGRycy9lMm9Eb2MueG1sUEsF&#10;BgAAAAAGAAYAWQEAAMQFAAAAAA==&#10;">
              <v:fill on="f" focussize="0,0"/>
              <v:stroke on="f" weight="0.5pt"/>
              <v:imagedata o:title=""/>
              <o:lock v:ext="edit" aspectratio="f"/>
              <v:textbox inset="0mm,0mm,0mm,0mm" style="mso-fit-shape-to-text:t;">
                <w:txbxContent>
                  <w:p w14:paraId="28AA1F00">
                    <w:pPr>
                      <w:pStyle w:val="15"/>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31CD0A">
    <w:pPr>
      <w:pStyle w:val="16"/>
      <w:pBdr>
        <w:bottom w:val="single" w:color="auto" w:sz="4" w:space="1"/>
      </w:pBdr>
      <w:jc w:val="both"/>
      <w:rPr>
        <w:rFonts w:hint="default"/>
        <w:sz w:val="18"/>
        <w:szCs w:val="20"/>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5C7334">
    <w:pPr>
      <w:pStyle w:val="16"/>
    </w:pPr>
    <w: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6119495" cy="6119495"/>
          <wp:effectExtent l="0" t="0" r="14605" b="14605"/>
          <wp:wrapNone/>
          <wp:docPr id="1" name="WordPictureWatermark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2"/>
                  <pic:cNvPicPr>
                    <a:picLocks noChangeAspect="1"/>
                  </pic:cNvPicPr>
                </pic:nvPicPr>
                <pic:blipFill>
                  <a:blip r:embed="rId1">
                    <a:lum bright="70001" contrast="-70000"/>
                  </a:blip>
                  <a:stretch>
                    <a:fillRect/>
                  </a:stretch>
                </pic:blipFill>
                <pic:spPr>
                  <a:xfrm>
                    <a:off x="0" y="0"/>
                    <a:ext cx="6119495" cy="6119495"/>
                  </a:xfrm>
                  <a:prstGeom prst="rect">
                    <a:avLst/>
                  </a:prstGeom>
                  <a:noFill/>
                  <a:ln>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3C4C6F">
    <w:pPr>
      <w:pStyle w:val="16"/>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ECB638">
    <w:pPr>
      <w:pStyle w:val="16"/>
      <w:jc w:val="both"/>
      <w:rPr>
        <w:rFonts w:hint="default"/>
        <w:lang w:val="en-US"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DCA9B01"/>
    <w:multiLevelType w:val="singleLevel"/>
    <w:tmpl w:val="BDCA9B01"/>
    <w:lvl w:ilvl="0" w:tentative="0">
      <w:start w:val="1"/>
      <w:numFmt w:val="chineseCounting"/>
      <w:suff w:val="nothing"/>
      <w:lvlText w:val="%1、"/>
      <w:lvlJc w:val="left"/>
      <w:rPr>
        <w:rFonts w:hint="eastAsia"/>
      </w:rPr>
    </w:lvl>
  </w:abstractNum>
  <w:abstractNum w:abstractNumId="1">
    <w:nsid w:val="028A6393"/>
    <w:multiLevelType w:val="singleLevel"/>
    <w:tmpl w:val="028A6393"/>
    <w:lvl w:ilvl="0" w:tentative="0">
      <w:start w:val="7"/>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JhZDVhOGU2N2VmMDhlYzQ1ZjQ1ZTVlMGUwNTMxY2IifQ=="/>
  </w:docVars>
  <w:rsids>
    <w:rsidRoot w:val="0BD46CE0"/>
    <w:rsid w:val="000C3DA7"/>
    <w:rsid w:val="000E54C6"/>
    <w:rsid w:val="001D4206"/>
    <w:rsid w:val="00305CE7"/>
    <w:rsid w:val="004E43BF"/>
    <w:rsid w:val="005A0FB6"/>
    <w:rsid w:val="005E0AA6"/>
    <w:rsid w:val="005F0D0D"/>
    <w:rsid w:val="00610597"/>
    <w:rsid w:val="007C2CDB"/>
    <w:rsid w:val="00846033"/>
    <w:rsid w:val="00874E29"/>
    <w:rsid w:val="00893649"/>
    <w:rsid w:val="008B3C54"/>
    <w:rsid w:val="008B5614"/>
    <w:rsid w:val="009C337D"/>
    <w:rsid w:val="00A0756A"/>
    <w:rsid w:val="00A2778E"/>
    <w:rsid w:val="00A641FB"/>
    <w:rsid w:val="00A81D22"/>
    <w:rsid w:val="00C36B5B"/>
    <w:rsid w:val="00C85F20"/>
    <w:rsid w:val="00CE72AE"/>
    <w:rsid w:val="00F211EF"/>
    <w:rsid w:val="00F52A8D"/>
    <w:rsid w:val="00F72CA9"/>
    <w:rsid w:val="010F737D"/>
    <w:rsid w:val="01213882"/>
    <w:rsid w:val="01284C10"/>
    <w:rsid w:val="012D0479"/>
    <w:rsid w:val="012D66CB"/>
    <w:rsid w:val="01401F5A"/>
    <w:rsid w:val="0156177E"/>
    <w:rsid w:val="01583748"/>
    <w:rsid w:val="018A1427"/>
    <w:rsid w:val="01981D96"/>
    <w:rsid w:val="01A41E1E"/>
    <w:rsid w:val="01BA61B0"/>
    <w:rsid w:val="01BB7833"/>
    <w:rsid w:val="01BF37C7"/>
    <w:rsid w:val="01C33475"/>
    <w:rsid w:val="01C81F50"/>
    <w:rsid w:val="01D46B46"/>
    <w:rsid w:val="01DD59FB"/>
    <w:rsid w:val="01E23011"/>
    <w:rsid w:val="01FA0599"/>
    <w:rsid w:val="02021905"/>
    <w:rsid w:val="02353A89"/>
    <w:rsid w:val="023A109F"/>
    <w:rsid w:val="02557C87"/>
    <w:rsid w:val="02624152"/>
    <w:rsid w:val="02674585"/>
    <w:rsid w:val="027F4D04"/>
    <w:rsid w:val="028B4F54"/>
    <w:rsid w:val="029F53A6"/>
    <w:rsid w:val="02BE4F7A"/>
    <w:rsid w:val="02CB7F49"/>
    <w:rsid w:val="02D05560"/>
    <w:rsid w:val="02ED6112"/>
    <w:rsid w:val="02F56D74"/>
    <w:rsid w:val="030E51FC"/>
    <w:rsid w:val="0321400D"/>
    <w:rsid w:val="0334789D"/>
    <w:rsid w:val="03483348"/>
    <w:rsid w:val="03525F75"/>
    <w:rsid w:val="035B751F"/>
    <w:rsid w:val="03766107"/>
    <w:rsid w:val="038274A1"/>
    <w:rsid w:val="038A570F"/>
    <w:rsid w:val="039447DF"/>
    <w:rsid w:val="03A72764"/>
    <w:rsid w:val="03B25314"/>
    <w:rsid w:val="03B64756"/>
    <w:rsid w:val="03C74BB5"/>
    <w:rsid w:val="03E07A24"/>
    <w:rsid w:val="03EC461B"/>
    <w:rsid w:val="040134DD"/>
    <w:rsid w:val="040B7160"/>
    <w:rsid w:val="04363AE8"/>
    <w:rsid w:val="04784101"/>
    <w:rsid w:val="047D34C5"/>
    <w:rsid w:val="04891E6A"/>
    <w:rsid w:val="048C54B6"/>
    <w:rsid w:val="048D2BD8"/>
    <w:rsid w:val="049251C3"/>
    <w:rsid w:val="04A42800"/>
    <w:rsid w:val="04A86794"/>
    <w:rsid w:val="04B8274F"/>
    <w:rsid w:val="04CE5ACF"/>
    <w:rsid w:val="04FD0A58"/>
    <w:rsid w:val="05025778"/>
    <w:rsid w:val="050B0AD1"/>
    <w:rsid w:val="05137986"/>
    <w:rsid w:val="051675BB"/>
    <w:rsid w:val="051E0804"/>
    <w:rsid w:val="051E6349"/>
    <w:rsid w:val="051E6A56"/>
    <w:rsid w:val="053D2709"/>
    <w:rsid w:val="054144F3"/>
    <w:rsid w:val="054B5371"/>
    <w:rsid w:val="056326BB"/>
    <w:rsid w:val="05654685"/>
    <w:rsid w:val="05687253"/>
    <w:rsid w:val="056C5B99"/>
    <w:rsid w:val="057C22D7"/>
    <w:rsid w:val="058E4B26"/>
    <w:rsid w:val="05962A91"/>
    <w:rsid w:val="05AA02EA"/>
    <w:rsid w:val="05BC1DCB"/>
    <w:rsid w:val="05D26E3A"/>
    <w:rsid w:val="05D45367"/>
    <w:rsid w:val="05D830A9"/>
    <w:rsid w:val="06071298"/>
    <w:rsid w:val="060A1DD1"/>
    <w:rsid w:val="060C1E02"/>
    <w:rsid w:val="062537E8"/>
    <w:rsid w:val="064918B1"/>
    <w:rsid w:val="064A387B"/>
    <w:rsid w:val="065D535C"/>
    <w:rsid w:val="066761DB"/>
    <w:rsid w:val="06734B80"/>
    <w:rsid w:val="068376C5"/>
    <w:rsid w:val="0686090F"/>
    <w:rsid w:val="068A3C77"/>
    <w:rsid w:val="06AE5BB8"/>
    <w:rsid w:val="06C07699"/>
    <w:rsid w:val="06C90C44"/>
    <w:rsid w:val="06F26EE0"/>
    <w:rsid w:val="06F53C79"/>
    <w:rsid w:val="06FC4AE5"/>
    <w:rsid w:val="06FD08ED"/>
    <w:rsid w:val="0701218C"/>
    <w:rsid w:val="070E5AAE"/>
    <w:rsid w:val="07131EBF"/>
    <w:rsid w:val="071E297C"/>
    <w:rsid w:val="0730481F"/>
    <w:rsid w:val="073065CD"/>
    <w:rsid w:val="074107DA"/>
    <w:rsid w:val="07487DBA"/>
    <w:rsid w:val="07697D31"/>
    <w:rsid w:val="07797F74"/>
    <w:rsid w:val="0781151E"/>
    <w:rsid w:val="07812C00"/>
    <w:rsid w:val="079E6452"/>
    <w:rsid w:val="07BA233A"/>
    <w:rsid w:val="07CD206E"/>
    <w:rsid w:val="07CE4824"/>
    <w:rsid w:val="07DB0C2F"/>
    <w:rsid w:val="07DB29DD"/>
    <w:rsid w:val="07E86EA8"/>
    <w:rsid w:val="080261BB"/>
    <w:rsid w:val="082C3238"/>
    <w:rsid w:val="08326375"/>
    <w:rsid w:val="083B791F"/>
    <w:rsid w:val="086B33F4"/>
    <w:rsid w:val="087D3A94"/>
    <w:rsid w:val="089A76B6"/>
    <w:rsid w:val="089B4494"/>
    <w:rsid w:val="08A90D2D"/>
    <w:rsid w:val="08B1373D"/>
    <w:rsid w:val="08B651F8"/>
    <w:rsid w:val="08BB4929"/>
    <w:rsid w:val="08DA426D"/>
    <w:rsid w:val="08E12275"/>
    <w:rsid w:val="08F33D56"/>
    <w:rsid w:val="08FE1A92"/>
    <w:rsid w:val="091343F8"/>
    <w:rsid w:val="09150170"/>
    <w:rsid w:val="092263E9"/>
    <w:rsid w:val="09287EA3"/>
    <w:rsid w:val="093C56FD"/>
    <w:rsid w:val="09410F65"/>
    <w:rsid w:val="09476079"/>
    <w:rsid w:val="094B1DE4"/>
    <w:rsid w:val="094E6E4D"/>
    <w:rsid w:val="097C1F9D"/>
    <w:rsid w:val="097E3F67"/>
    <w:rsid w:val="09B01C47"/>
    <w:rsid w:val="09B259BF"/>
    <w:rsid w:val="09D9119E"/>
    <w:rsid w:val="09ED0EE7"/>
    <w:rsid w:val="09F2225F"/>
    <w:rsid w:val="0A0E5ECB"/>
    <w:rsid w:val="0A116B8A"/>
    <w:rsid w:val="0A1C3158"/>
    <w:rsid w:val="0A246083"/>
    <w:rsid w:val="0A342878"/>
    <w:rsid w:val="0A546A76"/>
    <w:rsid w:val="0A5E78F5"/>
    <w:rsid w:val="0A70536D"/>
    <w:rsid w:val="0A8530D4"/>
    <w:rsid w:val="0A9D666F"/>
    <w:rsid w:val="0AA95014"/>
    <w:rsid w:val="0ABC5446"/>
    <w:rsid w:val="0AE0030A"/>
    <w:rsid w:val="0AEA2F37"/>
    <w:rsid w:val="0AEB1631"/>
    <w:rsid w:val="0AF52179"/>
    <w:rsid w:val="0B04224A"/>
    <w:rsid w:val="0B220922"/>
    <w:rsid w:val="0B297F03"/>
    <w:rsid w:val="0B416FFB"/>
    <w:rsid w:val="0B495EAF"/>
    <w:rsid w:val="0B4B7B42"/>
    <w:rsid w:val="0B705B32"/>
    <w:rsid w:val="0B725406"/>
    <w:rsid w:val="0B7A250D"/>
    <w:rsid w:val="0B884C29"/>
    <w:rsid w:val="0B995089"/>
    <w:rsid w:val="0BA13F3D"/>
    <w:rsid w:val="0BA63302"/>
    <w:rsid w:val="0BB7550F"/>
    <w:rsid w:val="0BD46CE0"/>
    <w:rsid w:val="0BD5582F"/>
    <w:rsid w:val="0BE67BA2"/>
    <w:rsid w:val="0BED1BBC"/>
    <w:rsid w:val="0BF24799"/>
    <w:rsid w:val="0C055274"/>
    <w:rsid w:val="0C0B13B7"/>
    <w:rsid w:val="0C104C1F"/>
    <w:rsid w:val="0C1163E6"/>
    <w:rsid w:val="0C2506CA"/>
    <w:rsid w:val="0C540FAF"/>
    <w:rsid w:val="0C6311F3"/>
    <w:rsid w:val="0C8A677F"/>
    <w:rsid w:val="0C8C21A0"/>
    <w:rsid w:val="0C8E44C1"/>
    <w:rsid w:val="0C937D2A"/>
    <w:rsid w:val="0C9615C8"/>
    <w:rsid w:val="0CA05FA3"/>
    <w:rsid w:val="0CB33F28"/>
    <w:rsid w:val="0CFD51A3"/>
    <w:rsid w:val="0CFF53BF"/>
    <w:rsid w:val="0D002EE5"/>
    <w:rsid w:val="0D062163"/>
    <w:rsid w:val="0D266886"/>
    <w:rsid w:val="0D2A3ABE"/>
    <w:rsid w:val="0D3F3A0E"/>
    <w:rsid w:val="0D442DD2"/>
    <w:rsid w:val="0D463BB0"/>
    <w:rsid w:val="0D49663A"/>
    <w:rsid w:val="0D7C3D12"/>
    <w:rsid w:val="0D7D0092"/>
    <w:rsid w:val="0D887163"/>
    <w:rsid w:val="0D8B27AF"/>
    <w:rsid w:val="0D921D8F"/>
    <w:rsid w:val="0D9A50E8"/>
    <w:rsid w:val="0DB55A7E"/>
    <w:rsid w:val="0DD979BE"/>
    <w:rsid w:val="0DDA54E4"/>
    <w:rsid w:val="0DDF67B7"/>
    <w:rsid w:val="0DF50570"/>
    <w:rsid w:val="0DF76096"/>
    <w:rsid w:val="0E16227B"/>
    <w:rsid w:val="0E232E17"/>
    <w:rsid w:val="0E2551CB"/>
    <w:rsid w:val="0E440BB0"/>
    <w:rsid w:val="0E462B7A"/>
    <w:rsid w:val="0E6179B4"/>
    <w:rsid w:val="0E664FCA"/>
    <w:rsid w:val="0E67321C"/>
    <w:rsid w:val="0E760C28"/>
    <w:rsid w:val="0E772D33"/>
    <w:rsid w:val="0E7B0A75"/>
    <w:rsid w:val="0E8D2557"/>
    <w:rsid w:val="0E913FA4"/>
    <w:rsid w:val="0E952516"/>
    <w:rsid w:val="0EA55AF2"/>
    <w:rsid w:val="0EAC6E81"/>
    <w:rsid w:val="0EB14497"/>
    <w:rsid w:val="0EB9159E"/>
    <w:rsid w:val="0EBB5316"/>
    <w:rsid w:val="0ED9579C"/>
    <w:rsid w:val="0EE859DF"/>
    <w:rsid w:val="0EEE56EB"/>
    <w:rsid w:val="0F1F58A5"/>
    <w:rsid w:val="0F234C69"/>
    <w:rsid w:val="0F2A5FF8"/>
    <w:rsid w:val="0F334030"/>
    <w:rsid w:val="0F3B6457"/>
    <w:rsid w:val="0F58691F"/>
    <w:rsid w:val="0F6A2898"/>
    <w:rsid w:val="0F7315BD"/>
    <w:rsid w:val="0FAD1102"/>
    <w:rsid w:val="0FBC7598"/>
    <w:rsid w:val="0FBF4992"/>
    <w:rsid w:val="0FDE1B16"/>
    <w:rsid w:val="0FEC42F3"/>
    <w:rsid w:val="0FFF7484"/>
    <w:rsid w:val="10066A65"/>
    <w:rsid w:val="100D1BA1"/>
    <w:rsid w:val="101271B8"/>
    <w:rsid w:val="1045133B"/>
    <w:rsid w:val="104F3F68"/>
    <w:rsid w:val="105552F6"/>
    <w:rsid w:val="10617F7A"/>
    <w:rsid w:val="106A6FF4"/>
    <w:rsid w:val="10741C20"/>
    <w:rsid w:val="1077526D"/>
    <w:rsid w:val="10914580"/>
    <w:rsid w:val="10A6525C"/>
    <w:rsid w:val="10AB3168"/>
    <w:rsid w:val="10B169D0"/>
    <w:rsid w:val="10BE10ED"/>
    <w:rsid w:val="10CC380A"/>
    <w:rsid w:val="10D10E21"/>
    <w:rsid w:val="10D206F5"/>
    <w:rsid w:val="10DB3A4D"/>
    <w:rsid w:val="10E36DA6"/>
    <w:rsid w:val="10E70644"/>
    <w:rsid w:val="10FD1C16"/>
    <w:rsid w:val="11050ACA"/>
    <w:rsid w:val="110C09D7"/>
    <w:rsid w:val="110E3E23"/>
    <w:rsid w:val="111C620F"/>
    <w:rsid w:val="112D2D43"/>
    <w:rsid w:val="11317B11"/>
    <w:rsid w:val="11494E5B"/>
    <w:rsid w:val="114D0915"/>
    <w:rsid w:val="11551A52"/>
    <w:rsid w:val="118447F4"/>
    <w:rsid w:val="11902A8A"/>
    <w:rsid w:val="119B4F8B"/>
    <w:rsid w:val="11A227BD"/>
    <w:rsid w:val="11A622AD"/>
    <w:rsid w:val="11AD363C"/>
    <w:rsid w:val="11B00A36"/>
    <w:rsid w:val="11D566EF"/>
    <w:rsid w:val="11D64215"/>
    <w:rsid w:val="11F73DAB"/>
    <w:rsid w:val="11FA43A7"/>
    <w:rsid w:val="11FF551A"/>
    <w:rsid w:val="12045226"/>
    <w:rsid w:val="122A544F"/>
    <w:rsid w:val="12617F82"/>
    <w:rsid w:val="12641821"/>
    <w:rsid w:val="12655CC4"/>
    <w:rsid w:val="126D730B"/>
    <w:rsid w:val="1279351E"/>
    <w:rsid w:val="127E6D86"/>
    <w:rsid w:val="12850115"/>
    <w:rsid w:val="12863E8D"/>
    <w:rsid w:val="12865C3B"/>
    <w:rsid w:val="128A572B"/>
    <w:rsid w:val="12BD67FA"/>
    <w:rsid w:val="12C329EB"/>
    <w:rsid w:val="12C5154A"/>
    <w:rsid w:val="12C624DB"/>
    <w:rsid w:val="12D44BF8"/>
    <w:rsid w:val="12DB7DFA"/>
    <w:rsid w:val="12FE7EC7"/>
    <w:rsid w:val="131D659F"/>
    <w:rsid w:val="131E5E73"/>
    <w:rsid w:val="13201BEB"/>
    <w:rsid w:val="133D09EF"/>
    <w:rsid w:val="133F2C34"/>
    <w:rsid w:val="13497394"/>
    <w:rsid w:val="135B70C7"/>
    <w:rsid w:val="13630E68"/>
    <w:rsid w:val="136A2E67"/>
    <w:rsid w:val="13763F01"/>
    <w:rsid w:val="1379754E"/>
    <w:rsid w:val="137D0DEC"/>
    <w:rsid w:val="137D2B9A"/>
    <w:rsid w:val="13A22600"/>
    <w:rsid w:val="13B862C8"/>
    <w:rsid w:val="13BB7B66"/>
    <w:rsid w:val="13F02553"/>
    <w:rsid w:val="13F51386"/>
    <w:rsid w:val="13F7291D"/>
    <w:rsid w:val="13FF7A53"/>
    <w:rsid w:val="14067033"/>
    <w:rsid w:val="14223741"/>
    <w:rsid w:val="14276FAA"/>
    <w:rsid w:val="143811B7"/>
    <w:rsid w:val="143F60A1"/>
    <w:rsid w:val="14435965"/>
    <w:rsid w:val="14506500"/>
    <w:rsid w:val="14524026"/>
    <w:rsid w:val="145558C5"/>
    <w:rsid w:val="145A6A37"/>
    <w:rsid w:val="145F6743"/>
    <w:rsid w:val="14694FC9"/>
    <w:rsid w:val="14753551"/>
    <w:rsid w:val="14C15977"/>
    <w:rsid w:val="14CE4563"/>
    <w:rsid w:val="14D013EF"/>
    <w:rsid w:val="14D42C8D"/>
    <w:rsid w:val="14D62EA9"/>
    <w:rsid w:val="14E8498B"/>
    <w:rsid w:val="14EA24B1"/>
    <w:rsid w:val="14F41582"/>
    <w:rsid w:val="14F90946"/>
    <w:rsid w:val="14FC3F92"/>
    <w:rsid w:val="150177FB"/>
    <w:rsid w:val="15080B89"/>
    <w:rsid w:val="150A4901"/>
    <w:rsid w:val="150C0679"/>
    <w:rsid w:val="1523710F"/>
    <w:rsid w:val="153656F6"/>
    <w:rsid w:val="154D0C92"/>
    <w:rsid w:val="15535BD1"/>
    <w:rsid w:val="155E4C4D"/>
    <w:rsid w:val="156F0C08"/>
    <w:rsid w:val="15836462"/>
    <w:rsid w:val="159E5049"/>
    <w:rsid w:val="15A72150"/>
    <w:rsid w:val="15A9411A"/>
    <w:rsid w:val="15CA4090"/>
    <w:rsid w:val="15D24141"/>
    <w:rsid w:val="15DB5C31"/>
    <w:rsid w:val="15E50ECA"/>
    <w:rsid w:val="15E81C52"/>
    <w:rsid w:val="15ED48A2"/>
    <w:rsid w:val="15EE09F8"/>
    <w:rsid w:val="15F01D49"/>
    <w:rsid w:val="1606331B"/>
    <w:rsid w:val="16111CBF"/>
    <w:rsid w:val="16160912"/>
    <w:rsid w:val="161769EB"/>
    <w:rsid w:val="161A0B74"/>
    <w:rsid w:val="16315EBE"/>
    <w:rsid w:val="163A54B3"/>
    <w:rsid w:val="16481B85"/>
    <w:rsid w:val="1651030E"/>
    <w:rsid w:val="16574F7E"/>
    <w:rsid w:val="16685D83"/>
    <w:rsid w:val="166938A9"/>
    <w:rsid w:val="167A5AB7"/>
    <w:rsid w:val="167C182F"/>
    <w:rsid w:val="168D5B19"/>
    <w:rsid w:val="168E50BE"/>
    <w:rsid w:val="1695469E"/>
    <w:rsid w:val="169721C5"/>
    <w:rsid w:val="16AD4C0B"/>
    <w:rsid w:val="16C3120C"/>
    <w:rsid w:val="16CE195E"/>
    <w:rsid w:val="16D221CA"/>
    <w:rsid w:val="16EC24BF"/>
    <w:rsid w:val="16F37AE0"/>
    <w:rsid w:val="16F5513D"/>
    <w:rsid w:val="16F75359"/>
    <w:rsid w:val="16F838BF"/>
    <w:rsid w:val="17125CEF"/>
    <w:rsid w:val="172F064F"/>
    <w:rsid w:val="173E0892"/>
    <w:rsid w:val="174A5489"/>
    <w:rsid w:val="174D6D27"/>
    <w:rsid w:val="17500FFF"/>
    <w:rsid w:val="17544559"/>
    <w:rsid w:val="17602EFE"/>
    <w:rsid w:val="1763479D"/>
    <w:rsid w:val="17832501"/>
    <w:rsid w:val="179E2135"/>
    <w:rsid w:val="179F7397"/>
    <w:rsid w:val="17B12AF2"/>
    <w:rsid w:val="17B44FF8"/>
    <w:rsid w:val="17C84600"/>
    <w:rsid w:val="18095344"/>
    <w:rsid w:val="1811244B"/>
    <w:rsid w:val="181F7A9C"/>
    <w:rsid w:val="18550589"/>
    <w:rsid w:val="185A5BA0"/>
    <w:rsid w:val="18602A8A"/>
    <w:rsid w:val="186802BC"/>
    <w:rsid w:val="18700F1F"/>
    <w:rsid w:val="18786026"/>
    <w:rsid w:val="188B7B07"/>
    <w:rsid w:val="189015C1"/>
    <w:rsid w:val="18B708FC"/>
    <w:rsid w:val="18BA03EC"/>
    <w:rsid w:val="18BD7EDC"/>
    <w:rsid w:val="18EE62E8"/>
    <w:rsid w:val="18FE29CF"/>
    <w:rsid w:val="1901426D"/>
    <w:rsid w:val="19120228"/>
    <w:rsid w:val="19353F17"/>
    <w:rsid w:val="193A52A0"/>
    <w:rsid w:val="194128BC"/>
    <w:rsid w:val="1945415A"/>
    <w:rsid w:val="194B7296"/>
    <w:rsid w:val="19595E57"/>
    <w:rsid w:val="19597C05"/>
    <w:rsid w:val="196B6430"/>
    <w:rsid w:val="196C5B8A"/>
    <w:rsid w:val="198A6011"/>
    <w:rsid w:val="199364A5"/>
    <w:rsid w:val="19A54BF8"/>
    <w:rsid w:val="19B94B48"/>
    <w:rsid w:val="19C15826"/>
    <w:rsid w:val="19D11E91"/>
    <w:rsid w:val="19D92AF4"/>
    <w:rsid w:val="19E531E6"/>
    <w:rsid w:val="19EC0A79"/>
    <w:rsid w:val="19F416DC"/>
    <w:rsid w:val="19F85670"/>
    <w:rsid w:val="19FE255B"/>
    <w:rsid w:val="1A1324AA"/>
    <w:rsid w:val="1A255D39"/>
    <w:rsid w:val="1A586B42"/>
    <w:rsid w:val="1A5F124B"/>
    <w:rsid w:val="1A8A0273"/>
    <w:rsid w:val="1A9C1E3E"/>
    <w:rsid w:val="1AA2738A"/>
    <w:rsid w:val="1ABC33D0"/>
    <w:rsid w:val="1ADF413A"/>
    <w:rsid w:val="1AF220BF"/>
    <w:rsid w:val="1B0B3181"/>
    <w:rsid w:val="1B0D0CA7"/>
    <w:rsid w:val="1B3A5814"/>
    <w:rsid w:val="1B5E7755"/>
    <w:rsid w:val="1B79458F"/>
    <w:rsid w:val="1B99078D"/>
    <w:rsid w:val="1BA64C58"/>
    <w:rsid w:val="1BBC447B"/>
    <w:rsid w:val="1BC3580A"/>
    <w:rsid w:val="1BD25A4D"/>
    <w:rsid w:val="1BE96A15"/>
    <w:rsid w:val="1BEA2D97"/>
    <w:rsid w:val="1BF400B9"/>
    <w:rsid w:val="1BF65BDF"/>
    <w:rsid w:val="1BFB4FA4"/>
    <w:rsid w:val="1C024584"/>
    <w:rsid w:val="1C0707B3"/>
    <w:rsid w:val="1C16002F"/>
    <w:rsid w:val="1C1645A5"/>
    <w:rsid w:val="1C285864"/>
    <w:rsid w:val="1C4050AC"/>
    <w:rsid w:val="1C5618EE"/>
    <w:rsid w:val="1C5B5A42"/>
    <w:rsid w:val="1C5D5C5E"/>
    <w:rsid w:val="1C6074FD"/>
    <w:rsid w:val="1C646FED"/>
    <w:rsid w:val="1C765C9F"/>
    <w:rsid w:val="1C7D6C93"/>
    <w:rsid w:val="1C7F7983"/>
    <w:rsid w:val="1C8F322B"/>
    <w:rsid w:val="1CC96E50"/>
    <w:rsid w:val="1CCC554A"/>
    <w:rsid w:val="1CD203FA"/>
    <w:rsid w:val="1CF71C0F"/>
    <w:rsid w:val="1D07488E"/>
    <w:rsid w:val="1D0B7468"/>
    <w:rsid w:val="1D17405F"/>
    <w:rsid w:val="1D184923"/>
    <w:rsid w:val="1D187DD7"/>
    <w:rsid w:val="1D1A76AB"/>
    <w:rsid w:val="1D1C1676"/>
    <w:rsid w:val="1D2F75FB"/>
    <w:rsid w:val="1D352737"/>
    <w:rsid w:val="1D41732E"/>
    <w:rsid w:val="1D497BBF"/>
    <w:rsid w:val="1D50131F"/>
    <w:rsid w:val="1D5A03F0"/>
    <w:rsid w:val="1D63299D"/>
    <w:rsid w:val="1D646B79"/>
    <w:rsid w:val="1D6848BB"/>
    <w:rsid w:val="1D686669"/>
    <w:rsid w:val="1D6F55A4"/>
    <w:rsid w:val="1D9531D6"/>
    <w:rsid w:val="1DA04055"/>
    <w:rsid w:val="1DAF4298"/>
    <w:rsid w:val="1DB25B36"/>
    <w:rsid w:val="1DB45D52"/>
    <w:rsid w:val="1DCF16F9"/>
    <w:rsid w:val="1DF0665E"/>
    <w:rsid w:val="1DF24184"/>
    <w:rsid w:val="1E1B7B7F"/>
    <w:rsid w:val="1E214A6A"/>
    <w:rsid w:val="1E285DF8"/>
    <w:rsid w:val="1E366767"/>
    <w:rsid w:val="1E3824DF"/>
    <w:rsid w:val="1E432792"/>
    <w:rsid w:val="1E4A0464"/>
    <w:rsid w:val="1E4C7D38"/>
    <w:rsid w:val="1E4E3AB1"/>
    <w:rsid w:val="1E58492F"/>
    <w:rsid w:val="1E65704C"/>
    <w:rsid w:val="1E6C03DB"/>
    <w:rsid w:val="1EA41923"/>
    <w:rsid w:val="1EB1403F"/>
    <w:rsid w:val="1EBF49AE"/>
    <w:rsid w:val="1EDA17E8"/>
    <w:rsid w:val="1EDA5344"/>
    <w:rsid w:val="1EDD6BE3"/>
    <w:rsid w:val="1EE937D9"/>
    <w:rsid w:val="1EF8106D"/>
    <w:rsid w:val="1F1617FC"/>
    <w:rsid w:val="1F212F73"/>
    <w:rsid w:val="1F2962CC"/>
    <w:rsid w:val="1F2B5BA0"/>
    <w:rsid w:val="1F2E5690"/>
    <w:rsid w:val="1F330EF8"/>
    <w:rsid w:val="1F346382"/>
    <w:rsid w:val="1F4B4494"/>
    <w:rsid w:val="1F4D05C8"/>
    <w:rsid w:val="1F7E4C34"/>
    <w:rsid w:val="1F8D685B"/>
    <w:rsid w:val="1F9C01BD"/>
    <w:rsid w:val="1FBF531F"/>
    <w:rsid w:val="1FC3402A"/>
    <w:rsid w:val="1FCB1E28"/>
    <w:rsid w:val="1FCF6E73"/>
    <w:rsid w:val="1FE305D3"/>
    <w:rsid w:val="1FF16DE9"/>
    <w:rsid w:val="1FF465B9"/>
    <w:rsid w:val="20032679"/>
    <w:rsid w:val="203B0065"/>
    <w:rsid w:val="204F1D62"/>
    <w:rsid w:val="205B24B5"/>
    <w:rsid w:val="2093051E"/>
    <w:rsid w:val="209D2ACD"/>
    <w:rsid w:val="20C718F8"/>
    <w:rsid w:val="20D12B0B"/>
    <w:rsid w:val="20E34258"/>
    <w:rsid w:val="20E64474"/>
    <w:rsid w:val="20F841A8"/>
    <w:rsid w:val="20F87D04"/>
    <w:rsid w:val="21025026"/>
    <w:rsid w:val="212C3E51"/>
    <w:rsid w:val="21334C4D"/>
    <w:rsid w:val="21475C82"/>
    <w:rsid w:val="215533A8"/>
    <w:rsid w:val="215C64E4"/>
    <w:rsid w:val="215F5FD5"/>
    <w:rsid w:val="2164183D"/>
    <w:rsid w:val="217D46AD"/>
    <w:rsid w:val="21983295"/>
    <w:rsid w:val="219F0AC7"/>
    <w:rsid w:val="219F4623"/>
    <w:rsid w:val="21B922AD"/>
    <w:rsid w:val="21C45D42"/>
    <w:rsid w:val="21DE5572"/>
    <w:rsid w:val="21E62252"/>
    <w:rsid w:val="21ED5A20"/>
    <w:rsid w:val="21F66939"/>
    <w:rsid w:val="2210004A"/>
    <w:rsid w:val="22123EBE"/>
    <w:rsid w:val="22196749"/>
    <w:rsid w:val="223676C5"/>
    <w:rsid w:val="22396826"/>
    <w:rsid w:val="225862E9"/>
    <w:rsid w:val="225B49EE"/>
    <w:rsid w:val="227351F1"/>
    <w:rsid w:val="22743D02"/>
    <w:rsid w:val="227635D6"/>
    <w:rsid w:val="227F19D3"/>
    <w:rsid w:val="228E4DC3"/>
    <w:rsid w:val="229323DA"/>
    <w:rsid w:val="22A77C33"/>
    <w:rsid w:val="22BF098E"/>
    <w:rsid w:val="22C049DD"/>
    <w:rsid w:val="22C95DFC"/>
    <w:rsid w:val="22E5250A"/>
    <w:rsid w:val="23164DB9"/>
    <w:rsid w:val="231D1CA3"/>
    <w:rsid w:val="23270D74"/>
    <w:rsid w:val="2335523F"/>
    <w:rsid w:val="23452FA8"/>
    <w:rsid w:val="234A05BF"/>
    <w:rsid w:val="235220FF"/>
    <w:rsid w:val="235229D8"/>
    <w:rsid w:val="23641680"/>
    <w:rsid w:val="236505DE"/>
    <w:rsid w:val="236E69A3"/>
    <w:rsid w:val="23757D31"/>
    <w:rsid w:val="23863CED"/>
    <w:rsid w:val="23887BB0"/>
    <w:rsid w:val="239A32F4"/>
    <w:rsid w:val="239C52BE"/>
    <w:rsid w:val="23A423C5"/>
    <w:rsid w:val="23B048C6"/>
    <w:rsid w:val="23CD5478"/>
    <w:rsid w:val="23D06603"/>
    <w:rsid w:val="23E10F23"/>
    <w:rsid w:val="240E507C"/>
    <w:rsid w:val="241A2687"/>
    <w:rsid w:val="241E0D30"/>
    <w:rsid w:val="244F40DF"/>
    <w:rsid w:val="245636BF"/>
    <w:rsid w:val="24600A59"/>
    <w:rsid w:val="24653902"/>
    <w:rsid w:val="2471674B"/>
    <w:rsid w:val="2492046F"/>
    <w:rsid w:val="249935AC"/>
    <w:rsid w:val="24B14D99"/>
    <w:rsid w:val="24B623B0"/>
    <w:rsid w:val="24C35A7A"/>
    <w:rsid w:val="24CD14A7"/>
    <w:rsid w:val="24E06E24"/>
    <w:rsid w:val="24E10731"/>
    <w:rsid w:val="24FD1D8D"/>
    <w:rsid w:val="253B262F"/>
    <w:rsid w:val="255F65A3"/>
    <w:rsid w:val="25781413"/>
    <w:rsid w:val="25A62424"/>
    <w:rsid w:val="25A641D2"/>
    <w:rsid w:val="25AB17E9"/>
    <w:rsid w:val="25B04DD3"/>
    <w:rsid w:val="25C91C6F"/>
    <w:rsid w:val="25CB3C39"/>
    <w:rsid w:val="25E02770"/>
    <w:rsid w:val="25E1345C"/>
    <w:rsid w:val="25E44CFA"/>
    <w:rsid w:val="2609650F"/>
    <w:rsid w:val="260B672B"/>
    <w:rsid w:val="260D5FFF"/>
    <w:rsid w:val="266F0A68"/>
    <w:rsid w:val="267C3185"/>
    <w:rsid w:val="2685028B"/>
    <w:rsid w:val="26AD77E2"/>
    <w:rsid w:val="26B7240F"/>
    <w:rsid w:val="26C54B2C"/>
    <w:rsid w:val="26DD00C8"/>
    <w:rsid w:val="26E15D4F"/>
    <w:rsid w:val="26E7357D"/>
    <w:rsid w:val="26FB22FC"/>
    <w:rsid w:val="271D04C4"/>
    <w:rsid w:val="272160C4"/>
    <w:rsid w:val="27337CE7"/>
    <w:rsid w:val="27381396"/>
    <w:rsid w:val="273B3040"/>
    <w:rsid w:val="275D4D64"/>
    <w:rsid w:val="276C31F9"/>
    <w:rsid w:val="276E51C4"/>
    <w:rsid w:val="27826579"/>
    <w:rsid w:val="2783567B"/>
    <w:rsid w:val="27897907"/>
    <w:rsid w:val="279B588D"/>
    <w:rsid w:val="279D33B3"/>
    <w:rsid w:val="27AC5CEC"/>
    <w:rsid w:val="27AF3540"/>
    <w:rsid w:val="27CC5A46"/>
    <w:rsid w:val="27E02036"/>
    <w:rsid w:val="27E1023C"/>
    <w:rsid w:val="280E605F"/>
    <w:rsid w:val="28153891"/>
    <w:rsid w:val="2826784C"/>
    <w:rsid w:val="282C4737"/>
    <w:rsid w:val="284303FE"/>
    <w:rsid w:val="288B5901"/>
    <w:rsid w:val="289742A6"/>
    <w:rsid w:val="28A54C15"/>
    <w:rsid w:val="28B210E0"/>
    <w:rsid w:val="28B92439"/>
    <w:rsid w:val="28F039B6"/>
    <w:rsid w:val="28F9286B"/>
    <w:rsid w:val="29257B04"/>
    <w:rsid w:val="294C32E2"/>
    <w:rsid w:val="295201CD"/>
    <w:rsid w:val="29567CBD"/>
    <w:rsid w:val="296543A4"/>
    <w:rsid w:val="29656152"/>
    <w:rsid w:val="29712D49"/>
    <w:rsid w:val="2976210D"/>
    <w:rsid w:val="29DD55F2"/>
    <w:rsid w:val="29EB78B2"/>
    <w:rsid w:val="29FA2D3E"/>
    <w:rsid w:val="2A005E7B"/>
    <w:rsid w:val="2A0911D4"/>
    <w:rsid w:val="2A1B4A63"/>
    <w:rsid w:val="2A3E70CF"/>
    <w:rsid w:val="2A65743E"/>
    <w:rsid w:val="2A7778D7"/>
    <w:rsid w:val="2A9A007E"/>
    <w:rsid w:val="2AA05B24"/>
    <w:rsid w:val="2AA16BB2"/>
    <w:rsid w:val="2AA3113F"/>
    <w:rsid w:val="2AD4533E"/>
    <w:rsid w:val="2AD87DA3"/>
    <w:rsid w:val="2AE412F9"/>
    <w:rsid w:val="2AF23A91"/>
    <w:rsid w:val="2AF36273"/>
    <w:rsid w:val="2AF4778E"/>
    <w:rsid w:val="2B083239"/>
    <w:rsid w:val="2B0F6376"/>
    <w:rsid w:val="2B223C5F"/>
    <w:rsid w:val="2B230A70"/>
    <w:rsid w:val="2B285689"/>
    <w:rsid w:val="2B2A31B0"/>
    <w:rsid w:val="2B3B360F"/>
    <w:rsid w:val="2B487ADA"/>
    <w:rsid w:val="2B4B016A"/>
    <w:rsid w:val="2B5621F6"/>
    <w:rsid w:val="2B717030"/>
    <w:rsid w:val="2B7900B3"/>
    <w:rsid w:val="2B7B7EAF"/>
    <w:rsid w:val="2B7C38CD"/>
    <w:rsid w:val="2B8C58B9"/>
    <w:rsid w:val="2B941E9C"/>
    <w:rsid w:val="2B966A97"/>
    <w:rsid w:val="2B9F3B9D"/>
    <w:rsid w:val="2BA2368E"/>
    <w:rsid w:val="2BFD08C4"/>
    <w:rsid w:val="2C025EDA"/>
    <w:rsid w:val="2C2916B9"/>
    <w:rsid w:val="2C365B84"/>
    <w:rsid w:val="2C3C4D7D"/>
    <w:rsid w:val="2C5030EA"/>
    <w:rsid w:val="2C5A1872"/>
    <w:rsid w:val="2C8608B9"/>
    <w:rsid w:val="2C954FA0"/>
    <w:rsid w:val="2C970D19"/>
    <w:rsid w:val="2CA80B9C"/>
    <w:rsid w:val="2CB74F17"/>
    <w:rsid w:val="2CC66F08"/>
    <w:rsid w:val="2D0A6526"/>
    <w:rsid w:val="2D0D4B37"/>
    <w:rsid w:val="2D144117"/>
    <w:rsid w:val="2D2F4203"/>
    <w:rsid w:val="2D2F478A"/>
    <w:rsid w:val="2D307DF6"/>
    <w:rsid w:val="2D4F33A1"/>
    <w:rsid w:val="2D510EC7"/>
    <w:rsid w:val="2D6A3D37"/>
    <w:rsid w:val="2D6D3827"/>
    <w:rsid w:val="2D7B7CF2"/>
    <w:rsid w:val="2D9F7247"/>
    <w:rsid w:val="2DA323B8"/>
    <w:rsid w:val="2DB17BB8"/>
    <w:rsid w:val="2DBE22D5"/>
    <w:rsid w:val="2DC21DC5"/>
    <w:rsid w:val="2DC773DC"/>
    <w:rsid w:val="2DCF6290"/>
    <w:rsid w:val="2DE955A4"/>
    <w:rsid w:val="2E24482E"/>
    <w:rsid w:val="2E262354"/>
    <w:rsid w:val="2E3005EA"/>
    <w:rsid w:val="2E3600BD"/>
    <w:rsid w:val="2E5D2296"/>
    <w:rsid w:val="2E6E3CFB"/>
    <w:rsid w:val="2E772BB0"/>
    <w:rsid w:val="2E7C6418"/>
    <w:rsid w:val="2E7D3F3E"/>
    <w:rsid w:val="2E89509B"/>
    <w:rsid w:val="2E98096C"/>
    <w:rsid w:val="2E9C71BB"/>
    <w:rsid w:val="2E9D013C"/>
    <w:rsid w:val="2EA17C2D"/>
    <w:rsid w:val="2EB2173C"/>
    <w:rsid w:val="2EB45BB2"/>
    <w:rsid w:val="2EBF6EA3"/>
    <w:rsid w:val="2ED8567D"/>
    <w:rsid w:val="2ED973C6"/>
    <w:rsid w:val="2EE61AE3"/>
    <w:rsid w:val="2EEC6EAE"/>
    <w:rsid w:val="2EFB597A"/>
    <w:rsid w:val="2F034443"/>
    <w:rsid w:val="2F1C3757"/>
    <w:rsid w:val="2F230642"/>
    <w:rsid w:val="2F2E6FE6"/>
    <w:rsid w:val="2F300FB0"/>
    <w:rsid w:val="2F4131BE"/>
    <w:rsid w:val="2F436F36"/>
    <w:rsid w:val="2F4D1B62"/>
    <w:rsid w:val="2F77098D"/>
    <w:rsid w:val="2F7B222C"/>
    <w:rsid w:val="2F81180C"/>
    <w:rsid w:val="2F866E22"/>
    <w:rsid w:val="2FBD4D02"/>
    <w:rsid w:val="2FCC0CD9"/>
    <w:rsid w:val="2FD87656"/>
    <w:rsid w:val="2FE204FD"/>
    <w:rsid w:val="2FEE60FC"/>
    <w:rsid w:val="2FF65D56"/>
    <w:rsid w:val="30006BD5"/>
    <w:rsid w:val="30087837"/>
    <w:rsid w:val="300A7BA6"/>
    <w:rsid w:val="30136908"/>
    <w:rsid w:val="301B756B"/>
    <w:rsid w:val="302F3016"/>
    <w:rsid w:val="30316D8E"/>
    <w:rsid w:val="30326874"/>
    <w:rsid w:val="303E7AE9"/>
    <w:rsid w:val="30454F7C"/>
    <w:rsid w:val="305A03B0"/>
    <w:rsid w:val="30760C45"/>
    <w:rsid w:val="308275EA"/>
    <w:rsid w:val="308C2216"/>
    <w:rsid w:val="30901D07"/>
    <w:rsid w:val="309F63EE"/>
    <w:rsid w:val="30B009C8"/>
    <w:rsid w:val="30C3032E"/>
    <w:rsid w:val="30D140CD"/>
    <w:rsid w:val="30DC319E"/>
    <w:rsid w:val="30E16A06"/>
    <w:rsid w:val="30EE4C7F"/>
    <w:rsid w:val="312C669A"/>
    <w:rsid w:val="31311FAB"/>
    <w:rsid w:val="313A7EC4"/>
    <w:rsid w:val="313C59EB"/>
    <w:rsid w:val="31615451"/>
    <w:rsid w:val="31662A49"/>
    <w:rsid w:val="31745184"/>
    <w:rsid w:val="317A29E0"/>
    <w:rsid w:val="317B67D5"/>
    <w:rsid w:val="317E24A7"/>
    <w:rsid w:val="318850D4"/>
    <w:rsid w:val="318A0E4C"/>
    <w:rsid w:val="31A737AC"/>
    <w:rsid w:val="31B22151"/>
    <w:rsid w:val="31B60FAE"/>
    <w:rsid w:val="31D245A1"/>
    <w:rsid w:val="31EF6F01"/>
    <w:rsid w:val="31FE5396"/>
    <w:rsid w:val="32004C6A"/>
    <w:rsid w:val="321B3DE3"/>
    <w:rsid w:val="32292413"/>
    <w:rsid w:val="322B1F07"/>
    <w:rsid w:val="323A2CC6"/>
    <w:rsid w:val="325356E2"/>
    <w:rsid w:val="32560D2E"/>
    <w:rsid w:val="327613D0"/>
    <w:rsid w:val="32786EF6"/>
    <w:rsid w:val="32A14FEC"/>
    <w:rsid w:val="32A221C5"/>
    <w:rsid w:val="32A93554"/>
    <w:rsid w:val="32B85545"/>
    <w:rsid w:val="32D83E39"/>
    <w:rsid w:val="330864CC"/>
    <w:rsid w:val="330C5891"/>
    <w:rsid w:val="330D4536"/>
    <w:rsid w:val="33323549"/>
    <w:rsid w:val="33631954"/>
    <w:rsid w:val="336B6A5B"/>
    <w:rsid w:val="337575FD"/>
    <w:rsid w:val="337B06B8"/>
    <w:rsid w:val="338C39A2"/>
    <w:rsid w:val="33994A92"/>
    <w:rsid w:val="33A31D51"/>
    <w:rsid w:val="33A3495C"/>
    <w:rsid w:val="33BC72B7"/>
    <w:rsid w:val="33BF6367"/>
    <w:rsid w:val="33DB773D"/>
    <w:rsid w:val="33EE588C"/>
    <w:rsid w:val="34076784"/>
    <w:rsid w:val="340C5B48"/>
    <w:rsid w:val="34190265"/>
    <w:rsid w:val="341B3FDD"/>
    <w:rsid w:val="342866FA"/>
    <w:rsid w:val="343C6B12"/>
    <w:rsid w:val="344572AC"/>
    <w:rsid w:val="3446549C"/>
    <w:rsid w:val="344A6670"/>
    <w:rsid w:val="34572776"/>
    <w:rsid w:val="345A1178"/>
    <w:rsid w:val="34627E5E"/>
    <w:rsid w:val="34670FD0"/>
    <w:rsid w:val="347831DE"/>
    <w:rsid w:val="347C757D"/>
    <w:rsid w:val="348736CE"/>
    <w:rsid w:val="3491429F"/>
    <w:rsid w:val="34943D90"/>
    <w:rsid w:val="34993154"/>
    <w:rsid w:val="34A30383"/>
    <w:rsid w:val="34B3484C"/>
    <w:rsid w:val="34BD6E42"/>
    <w:rsid w:val="34C04B85"/>
    <w:rsid w:val="34C208FD"/>
    <w:rsid w:val="34C77CC1"/>
    <w:rsid w:val="34CE1050"/>
    <w:rsid w:val="34CE2DFE"/>
    <w:rsid w:val="34D128EE"/>
    <w:rsid w:val="34D50630"/>
    <w:rsid w:val="34D923E8"/>
    <w:rsid w:val="34DA3A0B"/>
    <w:rsid w:val="34DB1C6D"/>
    <w:rsid w:val="34E6283D"/>
    <w:rsid w:val="34E72111"/>
    <w:rsid w:val="350E58F0"/>
    <w:rsid w:val="351729F7"/>
    <w:rsid w:val="35225BD7"/>
    <w:rsid w:val="35321C38"/>
    <w:rsid w:val="3538296D"/>
    <w:rsid w:val="35586B6B"/>
    <w:rsid w:val="356D0868"/>
    <w:rsid w:val="35727C2D"/>
    <w:rsid w:val="35843E04"/>
    <w:rsid w:val="359871BA"/>
    <w:rsid w:val="359A7184"/>
    <w:rsid w:val="35B244CD"/>
    <w:rsid w:val="35B93AAE"/>
    <w:rsid w:val="35BC22C3"/>
    <w:rsid w:val="35BC534C"/>
    <w:rsid w:val="35E36D7D"/>
    <w:rsid w:val="35E6061B"/>
    <w:rsid w:val="35EA0AC0"/>
    <w:rsid w:val="35FB2318"/>
    <w:rsid w:val="362353CB"/>
    <w:rsid w:val="36323860"/>
    <w:rsid w:val="36444283"/>
    <w:rsid w:val="36617CA1"/>
    <w:rsid w:val="366A1DF8"/>
    <w:rsid w:val="36743E79"/>
    <w:rsid w:val="368E4F3A"/>
    <w:rsid w:val="368F2A60"/>
    <w:rsid w:val="36940077"/>
    <w:rsid w:val="369E4A52"/>
    <w:rsid w:val="36C4455F"/>
    <w:rsid w:val="36D6243D"/>
    <w:rsid w:val="36D84407"/>
    <w:rsid w:val="36E27034"/>
    <w:rsid w:val="36E508D2"/>
    <w:rsid w:val="36F32FEF"/>
    <w:rsid w:val="372633C5"/>
    <w:rsid w:val="37647A49"/>
    <w:rsid w:val="37667C65"/>
    <w:rsid w:val="376712E7"/>
    <w:rsid w:val="376D2DA2"/>
    <w:rsid w:val="376E2676"/>
    <w:rsid w:val="37814AE6"/>
    <w:rsid w:val="378571E0"/>
    <w:rsid w:val="37873738"/>
    <w:rsid w:val="37901754"/>
    <w:rsid w:val="37985945"/>
    <w:rsid w:val="37A83DDA"/>
    <w:rsid w:val="37BF7375"/>
    <w:rsid w:val="37CD377C"/>
    <w:rsid w:val="37D921E5"/>
    <w:rsid w:val="37E42938"/>
    <w:rsid w:val="37FF59C4"/>
    <w:rsid w:val="38213B8C"/>
    <w:rsid w:val="3830210D"/>
    <w:rsid w:val="3832581C"/>
    <w:rsid w:val="383523CC"/>
    <w:rsid w:val="38507FCD"/>
    <w:rsid w:val="38555055"/>
    <w:rsid w:val="385B0C33"/>
    <w:rsid w:val="386046B4"/>
    <w:rsid w:val="389712B7"/>
    <w:rsid w:val="38991974"/>
    <w:rsid w:val="38AE3672"/>
    <w:rsid w:val="38B16CBE"/>
    <w:rsid w:val="38C369F1"/>
    <w:rsid w:val="38FB618B"/>
    <w:rsid w:val="39007C46"/>
    <w:rsid w:val="39072D82"/>
    <w:rsid w:val="390908A8"/>
    <w:rsid w:val="391C046E"/>
    <w:rsid w:val="394408E9"/>
    <w:rsid w:val="394F0285"/>
    <w:rsid w:val="39665CFB"/>
    <w:rsid w:val="396C0E37"/>
    <w:rsid w:val="399430B5"/>
    <w:rsid w:val="399C171C"/>
    <w:rsid w:val="39A46823"/>
    <w:rsid w:val="39A71043"/>
    <w:rsid w:val="39B12CEE"/>
    <w:rsid w:val="39B27192"/>
    <w:rsid w:val="39B76556"/>
    <w:rsid w:val="39C64C57"/>
    <w:rsid w:val="39CE38A0"/>
    <w:rsid w:val="39D0586A"/>
    <w:rsid w:val="39E41315"/>
    <w:rsid w:val="39EE59F7"/>
    <w:rsid w:val="39F5707E"/>
    <w:rsid w:val="3A105C66"/>
    <w:rsid w:val="3A1F234D"/>
    <w:rsid w:val="3A255BB6"/>
    <w:rsid w:val="3A267238"/>
    <w:rsid w:val="3A3C4CAD"/>
    <w:rsid w:val="3A3F1B1E"/>
    <w:rsid w:val="3A507D03"/>
    <w:rsid w:val="3A5244D1"/>
    <w:rsid w:val="3A541FF7"/>
    <w:rsid w:val="3A6366DE"/>
    <w:rsid w:val="3A647D60"/>
    <w:rsid w:val="3A687850"/>
    <w:rsid w:val="3A712BA9"/>
    <w:rsid w:val="3A79380C"/>
    <w:rsid w:val="3A7E72AC"/>
    <w:rsid w:val="3A816B64"/>
    <w:rsid w:val="3A86417A"/>
    <w:rsid w:val="3A897053"/>
    <w:rsid w:val="3A9B5E78"/>
    <w:rsid w:val="3AB72586"/>
    <w:rsid w:val="3AC058DE"/>
    <w:rsid w:val="3ACD3B57"/>
    <w:rsid w:val="3ADB44C6"/>
    <w:rsid w:val="3AE570F3"/>
    <w:rsid w:val="3AE8273F"/>
    <w:rsid w:val="3AF64E5C"/>
    <w:rsid w:val="3B00217F"/>
    <w:rsid w:val="3B031DF5"/>
    <w:rsid w:val="3B245E6D"/>
    <w:rsid w:val="3B4262F3"/>
    <w:rsid w:val="3B450DF0"/>
    <w:rsid w:val="3B4D36E8"/>
    <w:rsid w:val="3BAB4361"/>
    <w:rsid w:val="3BC62A80"/>
    <w:rsid w:val="3BE13D5E"/>
    <w:rsid w:val="3BE33DA9"/>
    <w:rsid w:val="3BF4646A"/>
    <w:rsid w:val="3C145EE2"/>
    <w:rsid w:val="3C291261"/>
    <w:rsid w:val="3C326368"/>
    <w:rsid w:val="3C6978B0"/>
    <w:rsid w:val="3C6D114E"/>
    <w:rsid w:val="3C6D55F2"/>
    <w:rsid w:val="3C7626F9"/>
    <w:rsid w:val="3C797AF3"/>
    <w:rsid w:val="3C9568F7"/>
    <w:rsid w:val="3C9963E7"/>
    <w:rsid w:val="3C9F07CB"/>
    <w:rsid w:val="3CB11983"/>
    <w:rsid w:val="3CB7061B"/>
    <w:rsid w:val="3CBE5E4E"/>
    <w:rsid w:val="3CFA5E7B"/>
    <w:rsid w:val="3D031AB2"/>
    <w:rsid w:val="3D073351"/>
    <w:rsid w:val="3D075683"/>
    <w:rsid w:val="3D202664"/>
    <w:rsid w:val="3D2C725B"/>
    <w:rsid w:val="3D31661F"/>
    <w:rsid w:val="3D3F6F8E"/>
    <w:rsid w:val="3D7E738B"/>
    <w:rsid w:val="3D7F57A8"/>
    <w:rsid w:val="3D8E75CE"/>
    <w:rsid w:val="3D9A6CBA"/>
    <w:rsid w:val="3DBF00CF"/>
    <w:rsid w:val="3DD75419"/>
    <w:rsid w:val="3E006048"/>
    <w:rsid w:val="3E067AAC"/>
    <w:rsid w:val="3E08692F"/>
    <w:rsid w:val="3E247F32"/>
    <w:rsid w:val="3E3A7756"/>
    <w:rsid w:val="3E3E7246"/>
    <w:rsid w:val="3E502AD5"/>
    <w:rsid w:val="3E595E2E"/>
    <w:rsid w:val="3E6E73FF"/>
    <w:rsid w:val="3E726EF0"/>
    <w:rsid w:val="3E86299B"/>
    <w:rsid w:val="3EC82FB3"/>
    <w:rsid w:val="3EC84D62"/>
    <w:rsid w:val="3EDC080D"/>
    <w:rsid w:val="3EE80F60"/>
    <w:rsid w:val="3EFB0C93"/>
    <w:rsid w:val="3EFB7BFF"/>
    <w:rsid w:val="3F033FEC"/>
    <w:rsid w:val="3F0D6C18"/>
    <w:rsid w:val="3F214472"/>
    <w:rsid w:val="3F450160"/>
    <w:rsid w:val="3F5D7BA0"/>
    <w:rsid w:val="3F6A406B"/>
    <w:rsid w:val="3F7722E4"/>
    <w:rsid w:val="3FB11C9A"/>
    <w:rsid w:val="3FC27A03"/>
    <w:rsid w:val="3FC95AB0"/>
    <w:rsid w:val="3FCF3ECE"/>
    <w:rsid w:val="3FD85478"/>
    <w:rsid w:val="3FE43E1D"/>
    <w:rsid w:val="3FF1653A"/>
    <w:rsid w:val="3FF81676"/>
    <w:rsid w:val="40460634"/>
    <w:rsid w:val="40493C80"/>
    <w:rsid w:val="4057639D"/>
    <w:rsid w:val="40664832"/>
    <w:rsid w:val="408A49C4"/>
    <w:rsid w:val="408E3D89"/>
    <w:rsid w:val="40AE7F87"/>
    <w:rsid w:val="40B01F51"/>
    <w:rsid w:val="40B7508E"/>
    <w:rsid w:val="40B824A1"/>
    <w:rsid w:val="40CA4C19"/>
    <w:rsid w:val="40D7128C"/>
    <w:rsid w:val="40DA0D7C"/>
    <w:rsid w:val="40DC2D46"/>
    <w:rsid w:val="410858E9"/>
    <w:rsid w:val="41123FC3"/>
    <w:rsid w:val="412B104C"/>
    <w:rsid w:val="413B5CBF"/>
    <w:rsid w:val="41452699"/>
    <w:rsid w:val="414F176A"/>
    <w:rsid w:val="41720FB5"/>
    <w:rsid w:val="4182569C"/>
    <w:rsid w:val="419158DF"/>
    <w:rsid w:val="419D0727"/>
    <w:rsid w:val="419E1DAA"/>
    <w:rsid w:val="41A575DC"/>
    <w:rsid w:val="41A90E7A"/>
    <w:rsid w:val="41DD61BA"/>
    <w:rsid w:val="41E7737C"/>
    <w:rsid w:val="41EC520B"/>
    <w:rsid w:val="41F47C4C"/>
    <w:rsid w:val="420267DC"/>
    <w:rsid w:val="420B38E3"/>
    <w:rsid w:val="420E7D4A"/>
    <w:rsid w:val="42137AE0"/>
    <w:rsid w:val="421B789E"/>
    <w:rsid w:val="422616C6"/>
    <w:rsid w:val="4258464E"/>
    <w:rsid w:val="4269685C"/>
    <w:rsid w:val="426E5C20"/>
    <w:rsid w:val="42725710"/>
    <w:rsid w:val="4283791D"/>
    <w:rsid w:val="42A70AE7"/>
    <w:rsid w:val="42B37AD7"/>
    <w:rsid w:val="42C02EB8"/>
    <w:rsid w:val="42C41CE4"/>
    <w:rsid w:val="42CA554C"/>
    <w:rsid w:val="42CA684D"/>
    <w:rsid w:val="42CB3072"/>
    <w:rsid w:val="42CB4E20"/>
    <w:rsid w:val="42D40179"/>
    <w:rsid w:val="42DA5063"/>
    <w:rsid w:val="42E47C90"/>
    <w:rsid w:val="42E63A08"/>
    <w:rsid w:val="42F06FB7"/>
    <w:rsid w:val="42F36125"/>
    <w:rsid w:val="430242C3"/>
    <w:rsid w:val="43170B42"/>
    <w:rsid w:val="434626F9"/>
    <w:rsid w:val="436C03B1"/>
    <w:rsid w:val="4374370A"/>
    <w:rsid w:val="43784FA8"/>
    <w:rsid w:val="437B18E6"/>
    <w:rsid w:val="439B47F3"/>
    <w:rsid w:val="43B835F7"/>
    <w:rsid w:val="43C71A8C"/>
    <w:rsid w:val="43CA794A"/>
    <w:rsid w:val="43E208A8"/>
    <w:rsid w:val="43E443EC"/>
    <w:rsid w:val="43F14D5A"/>
    <w:rsid w:val="43FF1225"/>
    <w:rsid w:val="440E76BA"/>
    <w:rsid w:val="441A7E0D"/>
    <w:rsid w:val="441D78FE"/>
    <w:rsid w:val="442073EE"/>
    <w:rsid w:val="4427077C"/>
    <w:rsid w:val="4433033C"/>
    <w:rsid w:val="44450C02"/>
    <w:rsid w:val="444C01E3"/>
    <w:rsid w:val="447357CF"/>
    <w:rsid w:val="447C0AC8"/>
    <w:rsid w:val="4484172B"/>
    <w:rsid w:val="44AE67A8"/>
    <w:rsid w:val="44B00772"/>
    <w:rsid w:val="44B02520"/>
    <w:rsid w:val="44BA514C"/>
    <w:rsid w:val="44BF2763"/>
    <w:rsid w:val="44D426B2"/>
    <w:rsid w:val="45097E82"/>
    <w:rsid w:val="451C7BB5"/>
    <w:rsid w:val="45246F22"/>
    <w:rsid w:val="452B1BA6"/>
    <w:rsid w:val="4537679D"/>
    <w:rsid w:val="453C3DB3"/>
    <w:rsid w:val="453D6DBA"/>
    <w:rsid w:val="45464C32"/>
    <w:rsid w:val="454964D0"/>
    <w:rsid w:val="455F0C25"/>
    <w:rsid w:val="456450B8"/>
    <w:rsid w:val="456B4699"/>
    <w:rsid w:val="4582210E"/>
    <w:rsid w:val="45877724"/>
    <w:rsid w:val="45905EAD"/>
    <w:rsid w:val="45941E41"/>
    <w:rsid w:val="45943BEF"/>
    <w:rsid w:val="45A007E6"/>
    <w:rsid w:val="45A81449"/>
    <w:rsid w:val="45AA3413"/>
    <w:rsid w:val="45B95404"/>
    <w:rsid w:val="45C83899"/>
    <w:rsid w:val="45CB3220"/>
    <w:rsid w:val="45D747E8"/>
    <w:rsid w:val="45D93CF8"/>
    <w:rsid w:val="45E36925"/>
    <w:rsid w:val="45E36C50"/>
    <w:rsid w:val="45E701C3"/>
    <w:rsid w:val="45EA7CB3"/>
    <w:rsid w:val="45F02A41"/>
    <w:rsid w:val="46020B59"/>
    <w:rsid w:val="46236D21"/>
    <w:rsid w:val="462555FD"/>
    <w:rsid w:val="46272ADF"/>
    <w:rsid w:val="463351B6"/>
    <w:rsid w:val="4642189D"/>
    <w:rsid w:val="46470C62"/>
    <w:rsid w:val="4654512D"/>
    <w:rsid w:val="467767AB"/>
    <w:rsid w:val="468054CC"/>
    <w:rsid w:val="46853538"/>
    <w:rsid w:val="468C5C3B"/>
    <w:rsid w:val="46933EA7"/>
    <w:rsid w:val="46965745"/>
    <w:rsid w:val="46A120C2"/>
    <w:rsid w:val="46C73B51"/>
    <w:rsid w:val="46D544C0"/>
    <w:rsid w:val="46DE1C38"/>
    <w:rsid w:val="46DF533E"/>
    <w:rsid w:val="46EB783F"/>
    <w:rsid w:val="46F37E04"/>
    <w:rsid w:val="46F81F5C"/>
    <w:rsid w:val="46FF778E"/>
    <w:rsid w:val="47095F17"/>
    <w:rsid w:val="471B4E1C"/>
    <w:rsid w:val="472E597E"/>
    <w:rsid w:val="4732546E"/>
    <w:rsid w:val="47694C08"/>
    <w:rsid w:val="47777325"/>
    <w:rsid w:val="477F442B"/>
    <w:rsid w:val="478163F5"/>
    <w:rsid w:val="478973D8"/>
    <w:rsid w:val="478B4B7E"/>
    <w:rsid w:val="478F21EB"/>
    <w:rsid w:val="47953C4F"/>
    <w:rsid w:val="47AF6ABF"/>
    <w:rsid w:val="480212E4"/>
    <w:rsid w:val="480A1F47"/>
    <w:rsid w:val="481C1C7A"/>
    <w:rsid w:val="481D611E"/>
    <w:rsid w:val="481E1BB0"/>
    <w:rsid w:val="4832149E"/>
    <w:rsid w:val="484635A3"/>
    <w:rsid w:val="48474F49"/>
    <w:rsid w:val="48574740"/>
    <w:rsid w:val="486A6E89"/>
    <w:rsid w:val="488717E9"/>
    <w:rsid w:val="48B60321"/>
    <w:rsid w:val="48B63E7D"/>
    <w:rsid w:val="48C7608A"/>
    <w:rsid w:val="48CB3DCC"/>
    <w:rsid w:val="48CC18F2"/>
    <w:rsid w:val="48D4294E"/>
    <w:rsid w:val="48D662CD"/>
    <w:rsid w:val="48DE33BE"/>
    <w:rsid w:val="48DF5182"/>
    <w:rsid w:val="48EC3D42"/>
    <w:rsid w:val="48FC21D7"/>
    <w:rsid w:val="49025F37"/>
    <w:rsid w:val="49117305"/>
    <w:rsid w:val="491237A9"/>
    <w:rsid w:val="49261002"/>
    <w:rsid w:val="49290AF3"/>
    <w:rsid w:val="49350B6D"/>
    <w:rsid w:val="493D6DA4"/>
    <w:rsid w:val="494B7380"/>
    <w:rsid w:val="495913D8"/>
    <w:rsid w:val="49647D7D"/>
    <w:rsid w:val="4972249A"/>
    <w:rsid w:val="49786131"/>
    <w:rsid w:val="499248EA"/>
    <w:rsid w:val="499F2B63"/>
    <w:rsid w:val="49A5461D"/>
    <w:rsid w:val="49A85EBB"/>
    <w:rsid w:val="49BB5BEF"/>
    <w:rsid w:val="49D4280C"/>
    <w:rsid w:val="49E50EBD"/>
    <w:rsid w:val="49F11610"/>
    <w:rsid w:val="49F64E79"/>
    <w:rsid w:val="4A01737A"/>
    <w:rsid w:val="4A064990"/>
    <w:rsid w:val="4A38723F"/>
    <w:rsid w:val="4A4C6847"/>
    <w:rsid w:val="4A577705"/>
    <w:rsid w:val="4A6C6EE9"/>
    <w:rsid w:val="4A835FE1"/>
    <w:rsid w:val="4A9D2AB4"/>
    <w:rsid w:val="4A9D3546"/>
    <w:rsid w:val="4ABA5EA6"/>
    <w:rsid w:val="4AC82401"/>
    <w:rsid w:val="4AD625B4"/>
    <w:rsid w:val="4AD827D0"/>
    <w:rsid w:val="4ADA6548"/>
    <w:rsid w:val="4AE271AB"/>
    <w:rsid w:val="4B1D6435"/>
    <w:rsid w:val="4B2B2811"/>
    <w:rsid w:val="4B4614E8"/>
    <w:rsid w:val="4B633F99"/>
    <w:rsid w:val="4B6B53F2"/>
    <w:rsid w:val="4B700C5B"/>
    <w:rsid w:val="4B810772"/>
    <w:rsid w:val="4B957D3E"/>
    <w:rsid w:val="4B9A1834"/>
    <w:rsid w:val="4B9D30D2"/>
    <w:rsid w:val="4BAD7C0A"/>
    <w:rsid w:val="4BB23021"/>
    <w:rsid w:val="4BB24DCF"/>
    <w:rsid w:val="4BB5666E"/>
    <w:rsid w:val="4BB723E6"/>
    <w:rsid w:val="4BE34F89"/>
    <w:rsid w:val="4BEB6533"/>
    <w:rsid w:val="4BF278C2"/>
    <w:rsid w:val="4BF97102"/>
    <w:rsid w:val="4BFA22D2"/>
    <w:rsid w:val="4C0513A3"/>
    <w:rsid w:val="4C0D2006"/>
    <w:rsid w:val="4C1F0990"/>
    <w:rsid w:val="4C215AB1"/>
    <w:rsid w:val="4C313A81"/>
    <w:rsid w:val="4C3B5A15"/>
    <w:rsid w:val="4C6205A3"/>
    <w:rsid w:val="4C6360CA"/>
    <w:rsid w:val="4C665CE7"/>
    <w:rsid w:val="4C687066"/>
    <w:rsid w:val="4C6B457A"/>
    <w:rsid w:val="4C854292"/>
    <w:rsid w:val="4C8F5111"/>
    <w:rsid w:val="4CA918DF"/>
    <w:rsid w:val="4CCA439B"/>
    <w:rsid w:val="4CDB65A8"/>
    <w:rsid w:val="4CDD4969"/>
    <w:rsid w:val="4CFB09F8"/>
    <w:rsid w:val="4D2158B2"/>
    <w:rsid w:val="4D41465D"/>
    <w:rsid w:val="4D532D26"/>
    <w:rsid w:val="4D6150D8"/>
    <w:rsid w:val="4D6C5536"/>
    <w:rsid w:val="4D6E2F78"/>
    <w:rsid w:val="4D8B58D8"/>
    <w:rsid w:val="4D90451E"/>
    <w:rsid w:val="4DB07878"/>
    <w:rsid w:val="4DB52955"/>
    <w:rsid w:val="4DCF5FFB"/>
    <w:rsid w:val="4DDB6E0B"/>
    <w:rsid w:val="4DF23BA9"/>
    <w:rsid w:val="4E142203"/>
    <w:rsid w:val="4E19112B"/>
    <w:rsid w:val="4E41068C"/>
    <w:rsid w:val="4E4F4B57"/>
    <w:rsid w:val="4E52289A"/>
    <w:rsid w:val="4E796078"/>
    <w:rsid w:val="4E821D07"/>
    <w:rsid w:val="4E916F1E"/>
    <w:rsid w:val="4E9F6CA2"/>
    <w:rsid w:val="4EDB463D"/>
    <w:rsid w:val="4EE71234"/>
    <w:rsid w:val="4F1418FD"/>
    <w:rsid w:val="4F302EBC"/>
    <w:rsid w:val="4F371AA6"/>
    <w:rsid w:val="4F3A5808"/>
    <w:rsid w:val="4F583EE0"/>
    <w:rsid w:val="4F652159"/>
    <w:rsid w:val="4F714FA1"/>
    <w:rsid w:val="4F960564"/>
    <w:rsid w:val="4F976877"/>
    <w:rsid w:val="4FAF62C8"/>
    <w:rsid w:val="4FCE7CFE"/>
    <w:rsid w:val="4FDC68BF"/>
    <w:rsid w:val="4FE45773"/>
    <w:rsid w:val="4FE53195"/>
    <w:rsid w:val="4FF84D7B"/>
    <w:rsid w:val="50047DE1"/>
    <w:rsid w:val="500E27F0"/>
    <w:rsid w:val="5019541D"/>
    <w:rsid w:val="501E0C85"/>
    <w:rsid w:val="502348A9"/>
    <w:rsid w:val="502838B2"/>
    <w:rsid w:val="502F2E92"/>
    <w:rsid w:val="50502E09"/>
    <w:rsid w:val="50697A27"/>
    <w:rsid w:val="50700DB5"/>
    <w:rsid w:val="507F03F4"/>
    <w:rsid w:val="508825A3"/>
    <w:rsid w:val="50901457"/>
    <w:rsid w:val="509176A9"/>
    <w:rsid w:val="5099655E"/>
    <w:rsid w:val="50B82E88"/>
    <w:rsid w:val="50DB3BE9"/>
    <w:rsid w:val="50DB42B0"/>
    <w:rsid w:val="50E33C7D"/>
    <w:rsid w:val="50E35A2B"/>
    <w:rsid w:val="50F10148"/>
    <w:rsid w:val="51112598"/>
    <w:rsid w:val="51114346"/>
    <w:rsid w:val="51142088"/>
    <w:rsid w:val="51164525"/>
    <w:rsid w:val="511E4CB5"/>
    <w:rsid w:val="513149E8"/>
    <w:rsid w:val="513314DF"/>
    <w:rsid w:val="513D439B"/>
    <w:rsid w:val="513E21AB"/>
    <w:rsid w:val="51453FF0"/>
    <w:rsid w:val="51491D32"/>
    <w:rsid w:val="518F170F"/>
    <w:rsid w:val="5196484B"/>
    <w:rsid w:val="51A4340C"/>
    <w:rsid w:val="51B55619"/>
    <w:rsid w:val="51B64EEE"/>
    <w:rsid w:val="51C27D36"/>
    <w:rsid w:val="51C94C21"/>
    <w:rsid w:val="51CB0999"/>
    <w:rsid w:val="51DF2696"/>
    <w:rsid w:val="51E43809"/>
    <w:rsid w:val="51EE4687"/>
    <w:rsid w:val="51F55A16"/>
    <w:rsid w:val="52043EAB"/>
    <w:rsid w:val="521A1920"/>
    <w:rsid w:val="52302EF2"/>
    <w:rsid w:val="524B404B"/>
    <w:rsid w:val="52592449"/>
    <w:rsid w:val="525E180D"/>
    <w:rsid w:val="52825B8E"/>
    <w:rsid w:val="528D5C4E"/>
    <w:rsid w:val="52A01D28"/>
    <w:rsid w:val="52C35B14"/>
    <w:rsid w:val="52F537F4"/>
    <w:rsid w:val="53071EA5"/>
    <w:rsid w:val="53163E96"/>
    <w:rsid w:val="53333878"/>
    <w:rsid w:val="5349426B"/>
    <w:rsid w:val="53547C35"/>
    <w:rsid w:val="535844AE"/>
    <w:rsid w:val="53634C01"/>
    <w:rsid w:val="53682217"/>
    <w:rsid w:val="536A0F08"/>
    <w:rsid w:val="539574B0"/>
    <w:rsid w:val="539A15FA"/>
    <w:rsid w:val="53AE2320"/>
    <w:rsid w:val="53B4545D"/>
    <w:rsid w:val="53BB2150"/>
    <w:rsid w:val="53BD2ACB"/>
    <w:rsid w:val="53CA5755"/>
    <w:rsid w:val="53DA7122"/>
    <w:rsid w:val="53F434F6"/>
    <w:rsid w:val="53F8359B"/>
    <w:rsid w:val="54177EC5"/>
    <w:rsid w:val="54210D44"/>
    <w:rsid w:val="546D5D37"/>
    <w:rsid w:val="546E1AAF"/>
    <w:rsid w:val="54770964"/>
    <w:rsid w:val="54817A35"/>
    <w:rsid w:val="54843081"/>
    <w:rsid w:val="54930741"/>
    <w:rsid w:val="54972DB4"/>
    <w:rsid w:val="54A84FC1"/>
    <w:rsid w:val="54A86D6F"/>
    <w:rsid w:val="54D20290"/>
    <w:rsid w:val="54DA0EF3"/>
    <w:rsid w:val="54DC2EBD"/>
    <w:rsid w:val="54E67898"/>
    <w:rsid w:val="54E83610"/>
    <w:rsid w:val="54F372B3"/>
    <w:rsid w:val="54F975CB"/>
    <w:rsid w:val="550D751A"/>
    <w:rsid w:val="553C597C"/>
    <w:rsid w:val="553E1482"/>
    <w:rsid w:val="55480552"/>
    <w:rsid w:val="554A7E27"/>
    <w:rsid w:val="55560EC1"/>
    <w:rsid w:val="555B0286"/>
    <w:rsid w:val="556A671B"/>
    <w:rsid w:val="5579695E"/>
    <w:rsid w:val="557E3F74"/>
    <w:rsid w:val="55A3500D"/>
    <w:rsid w:val="55B41BBF"/>
    <w:rsid w:val="55BD684B"/>
    <w:rsid w:val="55C0633B"/>
    <w:rsid w:val="55CE0A58"/>
    <w:rsid w:val="55F935FB"/>
    <w:rsid w:val="56004989"/>
    <w:rsid w:val="560C1580"/>
    <w:rsid w:val="56293878"/>
    <w:rsid w:val="562E599A"/>
    <w:rsid w:val="563546B0"/>
    <w:rsid w:val="563A7E9B"/>
    <w:rsid w:val="5648247B"/>
    <w:rsid w:val="56665134"/>
    <w:rsid w:val="56725887"/>
    <w:rsid w:val="568320A3"/>
    <w:rsid w:val="568D0913"/>
    <w:rsid w:val="569E667C"/>
    <w:rsid w:val="56CF0F2B"/>
    <w:rsid w:val="56DE116E"/>
    <w:rsid w:val="56DF0A43"/>
    <w:rsid w:val="56E570F0"/>
    <w:rsid w:val="572825E0"/>
    <w:rsid w:val="572D2370"/>
    <w:rsid w:val="5737087F"/>
    <w:rsid w:val="57517B92"/>
    <w:rsid w:val="575760F4"/>
    <w:rsid w:val="57633422"/>
    <w:rsid w:val="57790E97"/>
    <w:rsid w:val="57852DEC"/>
    <w:rsid w:val="578F4217"/>
    <w:rsid w:val="57945CD1"/>
    <w:rsid w:val="579B2BBB"/>
    <w:rsid w:val="57A35F14"/>
    <w:rsid w:val="57B1418D"/>
    <w:rsid w:val="57CB2959"/>
    <w:rsid w:val="57E04A72"/>
    <w:rsid w:val="57E207EA"/>
    <w:rsid w:val="57E26A3C"/>
    <w:rsid w:val="57E62B94"/>
    <w:rsid w:val="57FA1FD8"/>
    <w:rsid w:val="57FF46A2"/>
    <w:rsid w:val="580F7106"/>
    <w:rsid w:val="584414A5"/>
    <w:rsid w:val="585316E8"/>
    <w:rsid w:val="5853793A"/>
    <w:rsid w:val="58631DA6"/>
    <w:rsid w:val="58906498"/>
    <w:rsid w:val="58921AD3"/>
    <w:rsid w:val="589F492D"/>
    <w:rsid w:val="58A12453"/>
    <w:rsid w:val="58A53AD8"/>
    <w:rsid w:val="58B57CAD"/>
    <w:rsid w:val="58B77EC9"/>
    <w:rsid w:val="58B959EF"/>
    <w:rsid w:val="58C779E0"/>
    <w:rsid w:val="58E95BA9"/>
    <w:rsid w:val="58EB4BB9"/>
    <w:rsid w:val="58F9403E"/>
    <w:rsid w:val="58FF53CC"/>
    <w:rsid w:val="59232E69"/>
    <w:rsid w:val="59284923"/>
    <w:rsid w:val="593E4146"/>
    <w:rsid w:val="59407EBE"/>
    <w:rsid w:val="594A2AEB"/>
    <w:rsid w:val="59545718"/>
    <w:rsid w:val="5966544B"/>
    <w:rsid w:val="596671F9"/>
    <w:rsid w:val="598A124D"/>
    <w:rsid w:val="598A2EE8"/>
    <w:rsid w:val="59AE3BED"/>
    <w:rsid w:val="59C3464B"/>
    <w:rsid w:val="5A0C1770"/>
    <w:rsid w:val="5A113609"/>
    <w:rsid w:val="5A2E572C"/>
    <w:rsid w:val="5A2E7D17"/>
    <w:rsid w:val="5A32700A"/>
    <w:rsid w:val="5A3612C1"/>
    <w:rsid w:val="5A582FE6"/>
    <w:rsid w:val="5A625609"/>
    <w:rsid w:val="5A731BCE"/>
    <w:rsid w:val="5A90452E"/>
    <w:rsid w:val="5AA91A93"/>
    <w:rsid w:val="5AA93841"/>
    <w:rsid w:val="5AAC50E0"/>
    <w:rsid w:val="5AB3646E"/>
    <w:rsid w:val="5AD36B10"/>
    <w:rsid w:val="5AD51772"/>
    <w:rsid w:val="5AE605F2"/>
    <w:rsid w:val="5AFA7489"/>
    <w:rsid w:val="5B0171D9"/>
    <w:rsid w:val="5B0902CE"/>
    <w:rsid w:val="5B10566E"/>
    <w:rsid w:val="5B231846"/>
    <w:rsid w:val="5B24111A"/>
    <w:rsid w:val="5B340CC6"/>
    <w:rsid w:val="5B3550D5"/>
    <w:rsid w:val="5B3C2907"/>
    <w:rsid w:val="5B527F04"/>
    <w:rsid w:val="5B6559BA"/>
    <w:rsid w:val="5B841BB9"/>
    <w:rsid w:val="5B8A71CF"/>
    <w:rsid w:val="5B9C33A6"/>
    <w:rsid w:val="5BA71B9B"/>
    <w:rsid w:val="5BBB508A"/>
    <w:rsid w:val="5BC16969"/>
    <w:rsid w:val="5BD13050"/>
    <w:rsid w:val="5BD4669C"/>
    <w:rsid w:val="5BE10DB9"/>
    <w:rsid w:val="5BFB2626"/>
    <w:rsid w:val="5C052CF9"/>
    <w:rsid w:val="5C207B33"/>
    <w:rsid w:val="5C2E2250"/>
    <w:rsid w:val="5C384E7D"/>
    <w:rsid w:val="5C441A74"/>
    <w:rsid w:val="5C451348"/>
    <w:rsid w:val="5C5B500F"/>
    <w:rsid w:val="5C5E4709"/>
    <w:rsid w:val="5C6A7000"/>
    <w:rsid w:val="5C6C4B26"/>
    <w:rsid w:val="5C7165E1"/>
    <w:rsid w:val="5C746021"/>
    <w:rsid w:val="5C7D6D34"/>
    <w:rsid w:val="5C9A53A1"/>
    <w:rsid w:val="5CA532FD"/>
    <w:rsid w:val="5CAE15E3"/>
    <w:rsid w:val="5CB14C2F"/>
    <w:rsid w:val="5CBA1D36"/>
    <w:rsid w:val="5CBD1826"/>
    <w:rsid w:val="5CC44962"/>
    <w:rsid w:val="5CD16E8B"/>
    <w:rsid w:val="5CDD3C76"/>
    <w:rsid w:val="5CE72F5C"/>
    <w:rsid w:val="5CEC5C67"/>
    <w:rsid w:val="5CED4F23"/>
    <w:rsid w:val="5D1C479E"/>
    <w:rsid w:val="5D6879E4"/>
    <w:rsid w:val="5D9C768D"/>
    <w:rsid w:val="5DD15589"/>
    <w:rsid w:val="5DE057CC"/>
    <w:rsid w:val="5DF41277"/>
    <w:rsid w:val="5DF92ED0"/>
    <w:rsid w:val="5DFE5C52"/>
    <w:rsid w:val="5DFF2BC0"/>
    <w:rsid w:val="5E046458"/>
    <w:rsid w:val="5E2733FB"/>
    <w:rsid w:val="5E2A518D"/>
    <w:rsid w:val="5E404D1C"/>
    <w:rsid w:val="5E4E6BDA"/>
    <w:rsid w:val="5E7F4FE5"/>
    <w:rsid w:val="5E8425FB"/>
    <w:rsid w:val="5EB86749"/>
    <w:rsid w:val="5ECE307B"/>
    <w:rsid w:val="5EF64B7B"/>
    <w:rsid w:val="5EFC6636"/>
    <w:rsid w:val="5F1514A5"/>
    <w:rsid w:val="5F1A2F60"/>
    <w:rsid w:val="5F1F7677"/>
    <w:rsid w:val="5F2C4DCC"/>
    <w:rsid w:val="5F3857DB"/>
    <w:rsid w:val="5F3A53B0"/>
    <w:rsid w:val="5F4D5334"/>
    <w:rsid w:val="5F5A15AE"/>
    <w:rsid w:val="5F5F0972"/>
    <w:rsid w:val="5F814D8D"/>
    <w:rsid w:val="5F8E1258"/>
    <w:rsid w:val="5F8E3006"/>
    <w:rsid w:val="5FC92290"/>
    <w:rsid w:val="5FDC0F0C"/>
    <w:rsid w:val="5FEA2932"/>
    <w:rsid w:val="600339F4"/>
    <w:rsid w:val="6008036D"/>
    <w:rsid w:val="600A6B30"/>
    <w:rsid w:val="600B28A8"/>
    <w:rsid w:val="600E1119"/>
    <w:rsid w:val="601230BB"/>
    <w:rsid w:val="603C0CB4"/>
    <w:rsid w:val="60427D1F"/>
    <w:rsid w:val="604C5C3D"/>
    <w:rsid w:val="60624BBE"/>
    <w:rsid w:val="6065020A"/>
    <w:rsid w:val="607D37A6"/>
    <w:rsid w:val="607D5554"/>
    <w:rsid w:val="608A36C4"/>
    <w:rsid w:val="608C39E9"/>
    <w:rsid w:val="60A96349"/>
    <w:rsid w:val="60AA0313"/>
    <w:rsid w:val="60CC028A"/>
    <w:rsid w:val="60D07D7A"/>
    <w:rsid w:val="60D13AF2"/>
    <w:rsid w:val="60DF620F"/>
    <w:rsid w:val="60FA136D"/>
    <w:rsid w:val="60FD6695"/>
    <w:rsid w:val="61077514"/>
    <w:rsid w:val="61137C66"/>
    <w:rsid w:val="61204131"/>
    <w:rsid w:val="613300E3"/>
    <w:rsid w:val="613C71BD"/>
    <w:rsid w:val="614913F6"/>
    <w:rsid w:val="61581B1D"/>
    <w:rsid w:val="615E3269"/>
    <w:rsid w:val="617C0DC9"/>
    <w:rsid w:val="61811074"/>
    <w:rsid w:val="618E3791"/>
    <w:rsid w:val="61923281"/>
    <w:rsid w:val="61A51218"/>
    <w:rsid w:val="61AB4343"/>
    <w:rsid w:val="61C70F03"/>
    <w:rsid w:val="61C84EF5"/>
    <w:rsid w:val="61D218D0"/>
    <w:rsid w:val="61D75138"/>
    <w:rsid w:val="61F061FA"/>
    <w:rsid w:val="61FA2BD4"/>
    <w:rsid w:val="62173786"/>
    <w:rsid w:val="6223212B"/>
    <w:rsid w:val="62312A9A"/>
    <w:rsid w:val="62353C0D"/>
    <w:rsid w:val="625422E5"/>
    <w:rsid w:val="6271733B"/>
    <w:rsid w:val="6286270E"/>
    <w:rsid w:val="62A414BE"/>
    <w:rsid w:val="62C57339"/>
    <w:rsid w:val="62C76F5B"/>
    <w:rsid w:val="62CA6A4B"/>
    <w:rsid w:val="62D11B87"/>
    <w:rsid w:val="62E53885"/>
    <w:rsid w:val="62E94DF3"/>
    <w:rsid w:val="62F67840"/>
    <w:rsid w:val="62F835B8"/>
    <w:rsid w:val="62FB30A8"/>
    <w:rsid w:val="62FF4946"/>
    <w:rsid w:val="63141A74"/>
    <w:rsid w:val="63185216"/>
    <w:rsid w:val="63332842"/>
    <w:rsid w:val="634265E1"/>
    <w:rsid w:val="63585E05"/>
    <w:rsid w:val="635D2D54"/>
    <w:rsid w:val="637A5D7B"/>
    <w:rsid w:val="6384309D"/>
    <w:rsid w:val="638E5DB2"/>
    <w:rsid w:val="63911317"/>
    <w:rsid w:val="639D5F0D"/>
    <w:rsid w:val="63B53257"/>
    <w:rsid w:val="64081FD3"/>
    <w:rsid w:val="642342DE"/>
    <w:rsid w:val="642503DD"/>
    <w:rsid w:val="64370110"/>
    <w:rsid w:val="64371EBE"/>
    <w:rsid w:val="64813139"/>
    <w:rsid w:val="64A137DB"/>
    <w:rsid w:val="64AA2690"/>
    <w:rsid w:val="64AD7237"/>
    <w:rsid w:val="64B27B6D"/>
    <w:rsid w:val="64B74DAD"/>
    <w:rsid w:val="64C50F3C"/>
    <w:rsid w:val="64C86FBA"/>
    <w:rsid w:val="64E2007C"/>
    <w:rsid w:val="64E42046"/>
    <w:rsid w:val="64E831B8"/>
    <w:rsid w:val="64FE29DC"/>
    <w:rsid w:val="65075D34"/>
    <w:rsid w:val="65091AAC"/>
    <w:rsid w:val="650A1380"/>
    <w:rsid w:val="653528A1"/>
    <w:rsid w:val="65444892"/>
    <w:rsid w:val="65491EA9"/>
    <w:rsid w:val="65516FAF"/>
    <w:rsid w:val="65644F35"/>
    <w:rsid w:val="65717652"/>
    <w:rsid w:val="65744A4C"/>
    <w:rsid w:val="65766A16"/>
    <w:rsid w:val="657C227E"/>
    <w:rsid w:val="65877B96"/>
    <w:rsid w:val="659550EE"/>
    <w:rsid w:val="659770B8"/>
    <w:rsid w:val="65A74E21"/>
    <w:rsid w:val="65D53851"/>
    <w:rsid w:val="65EB7404"/>
    <w:rsid w:val="65EE2A50"/>
    <w:rsid w:val="65F31E15"/>
    <w:rsid w:val="65FA13F5"/>
    <w:rsid w:val="660B53B0"/>
    <w:rsid w:val="66171FA7"/>
    <w:rsid w:val="66214BD4"/>
    <w:rsid w:val="662D3578"/>
    <w:rsid w:val="663521C0"/>
    <w:rsid w:val="66410DD2"/>
    <w:rsid w:val="665E1984"/>
    <w:rsid w:val="66770A72"/>
    <w:rsid w:val="66772A46"/>
    <w:rsid w:val="66855163"/>
    <w:rsid w:val="668D04BB"/>
    <w:rsid w:val="6692787F"/>
    <w:rsid w:val="66BA2932"/>
    <w:rsid w:val="66CD08B8"/>
    <w:rsid w:val="66D63C10"/>
    <w:rsid w:val="66D71736"/>
    <w:rsid w:val="66DB0439"/>
    <w:rsid w:val="66E14363"/>
    <w:rsid w:val="66E225B5"/>
    <w:rsid w:val="66FD119D"/>
    <w:rsid w:val="67087B42"/>
    <w:rsid w:val="67185FD7"/>
    <w:rsid w:val="672229B1"/>
    <w:rsid w:val="672901E4"/>
    <w:rsid w:val="6739419F"/>
    <w:rsid w:val="674A63AC"/>
    <w:rsid w:val="67530DBD"/>
    <w:rsid w:val="675E7762"/>
    <w:rsid w:val="67705E13"/>
    <w:rsid w:val="6773320D"/>
    <w:rsid w:val="677D22DE"/>
    <w:rsid w:val="67801DCE"/>
    <w:rsid w:val="67825B46"/>
    <w:rsid w:val="679725B9"/>
    <w:rsid w:val="67A83914"/>
    <w:rsid w:val="67AC2BC3"/>
    <w:rsid w:val="67B210CD"/>
    <w:rsid w:val="67BC2E06"/>
    <w:rsid w:val="67C73559"/>
    <w:rsid w:val="67D85766"/>
    <w:rsid w:val="67E1461B"/>
    <w:rsid w:val="67F833D2"/>
    <w:rsid w:val="6813679E"/>
    <w:rsid w:val="68352BB8"/>
    <w:rsid w:val="683828A4"/>
    <w:rsid w:val="685C6397"/>
    <w:rsid w:val="68626ABD"/>
    <w:rsid w:val="68646FFA"/>
    <w:rsid w:val="687F0831"/>
    <w:rsid w:val="6880464C"/>
    <w:rsid w:val="688B0A2A"/>
    <w:rsid w:val="68996CA3"/>
    <w:rsid w:val="68BA7955"/>
    <w:rsid w:val="68C656C9"/>
    <w:rsid w:val="68D777CC"/>
    <w:rsid w:val="68D91796"/>
    <w:rsid w:val="69004F74"/>
    <w:rsid w:val="690F11B3"/>
    <w:rsid w:val="692D1AE1"/>
    <w:rsid w:val="692F7608"/>
    <w:rsid w:val="695E7EED"/>
    <w:rsid w:val="696B10A2"/>
    <w:rsid w:val="696D1EDE"/>
    <w:rsid w:val="699456BD"/>
    <w:rsid w:val="69AF24F6"/>
    <w:rsid w:val="69EB1FDC"/>
    <w:rsid w:val="6A2A361C"/>
    <w:rsid w:val="6A310A4A"/>
    <w:rsid w:val="6A333127"/>
    <w:rsid w:val="6A58493C"/>
    <w:rsid w:val="6A5C61DA"/>
    <w:rsid w:val="6A641533"/>
    <w:rsid w:val="6A72672B"/>
    <w:rsid w:val="6A7554EE"/>
    <w:rsid w:val="6A7D6CAF"/>
    <w:rsid w:val="6AB73D58"/>
    <w:rsid w:val="6ABE0C43"/>
    <w:rsid w:val="6AC00E5F"/>
    <w:rsid w:val="6ACD0E86"/>
    <w:rsid w:val="6AD404C6"/>
    <w:rsid w:val="6AF74155"/>
    <w:rsid w:val="6B091836"/>
    <w:rsid w:val="6B1271E1"/>
    <w:rsid w:val="6B1E3BA6"/>
    <w:rsid w:val="6B2A277C"/>
    <w:rsid w:val="6B3E3B32"/>
    <w:rsid w:val="6B7C1545"/>
    <w:rsid w:val="6B833C3B"/>
    <w:rsid w:val="6B8C0D41"/>
    <w:rsid w:val="6BA22313"/>
    <w:rsid w:val="6BA51E03"/>
    <w:rsid w:val="6BB838E4"/>
    <w:rsid w:val="6BDE45F3"/>
    <w:rsid w:val="6BEF307E"/>
    <w:rsid w:val="6BF6265F"/>
    <w:rsid w:val="6C12145F"/>
    <w:rsid w:val="6C1D408F"/>
    <w:rsid w:val="6C305B70"/>
    <w:rsid w:val="6C4258A4"/>
    <w:rsid w:val="6C6B6BA9"/>
    <w:rsid w:val="6C7F3644"/>
    <w:rsid w:val="6C81017A"/>
    <w:rsid w:val="6C944351"/>
    <w:rsid w:val="6CA43E69"/>
    <w:rsid w:val="6CAB51F7"/>
    <w:rsid w:val="6CB30550"/>
    <w:rsid w:val="6CBC7404"/>
    <w:rsid w:val="6CCD7863"/>
    <w:rsid w:val="6D1F7993"/>
    <w:rsid w:val="6D285B15"/>
    <w:rsid w:val="6D3715E9"/>
    <w:rsid w:val="6D437B25"/>
    <w:rsid w:val="6D486EEA"/>
    <w:rsid w:val="6D4A37E0"/>
    <w:rsid w:val="6D4D2752"/>
    <w:rsid w:val="6D68133A"/>
    <w:rsid w:val="6D6830E8"/>
    <w:rsid w:val="6D8819DC"/>
    <w:rsid w:val="6D9143ED"/>
    <w:rsid w:val="6DA50FAB"/>
    <w:rsid w:val="6DD53A5A"/>
    <w:rsid w:val="6DDA2238"/>
    <w:rsid w:val="6DEC3D19"/>
    <w:rsid w:val="6E1B63AC"/>
    <w:rsid w:val="6E1F5E9D"/>
    <w:rsid w:val="6E2434B3"/>
    <w:rsid w:val="6E331948"/>
    <w:rsid w:val="6E46167B"/>
    <w:rsid w:val="6E470F4F"/>
    <w:rsid w:val="6E5E1E16"/>
    <w:rsid w:val="6E625D89"/>
    <w:rsid w:val="6E6733A0"/>
    <w:rsid w:val="6E775CD9"/>
    <w:rsid w:val="6ED0363B"/>
    <w:rsid w:val="6EE13152"/>
    <w:rsid w:val="6EF23650"/>
    <w:rsid w:val="6F0937A0"/>
    <w:rsid w:val="6F0A08FB"/>
    <w:rsid w:val="6F125A01"/>
    <w:rsid w:val="6F1F1ECC"/>
    <w:rsid w:val="6F2F65B3"/>
    <w:rsid w:val="6F35524C"/>
    <w:rsid w:val="6F40256E"/>
    <w:rsid w:val="6F402D2D"/>
    <w:rsid w:val="6F411E43"/>
    <w:rsid w:val="6F481423"/>
    <w:rsid w:val="6F5002D8"/>
    <w:rsid w:val="6F573414"/>
    <w:rsid w:val="6F782DA8"/>
    <w:rsid w:val="6F966CC1"/>
    <w:rsid w:val="6FAC7C04"/>
    <w:rsid w:val="6FB40867"/>
    <w:rsid w:val="6FD902CD"/>
    <w:rsid w:val="6FDE6524"/>
    <w:rsid w:val="70001CFE"/>
    <w:rsid w:val="70011985"/>
    <w:rsid w:val="70083ED5"/>
    <w:rsid w:val="700A492A"/>
    <w:rsid w:val="702E6166"/>
    <w:rsid w:val="702F7EED"/>
    <w:rsid w:val="704C638F"/>
    <w:rsid w:val="705636CC"/>
    <w:rsid w:val="707D7D60"/>
    <w:rsid w:val="708A15C7"/>
    <w:rsid w:val="70904E30"/>
    <w:rsid w:val="70A24B63"/>
    <w:rsid w:val="70B30B1E"/>
    <w:rsid w:val="70B46DB2"/>
    <w:rsid w:val="70C66AA3"/>
    <w:rsid w:val="70D72A5F"/>
    <w:rsid w:val="70E00857"/>
    <w:rsid w:val="70E433CD"/>
    <w:rsid w:val="70EB475C"/>
    <w:rsid w:val="70F629BB"/>
    <w:rsid w:val="71155335"/>
    <w:rsid w:val="71234E99"/>
    <w:rsid w:val="712B4B58"/>
    <w:rsid w:val="71333A0D"/>
    <w:rsid w:val="71632544"/>
    <w:rsid w:val="717604C9"/>
    <w:rsid w:val="71775FF0"/>
    <w:rsid w:val="71946BA2"/>
    <w:rsid w:val="71A14E1B"/>
    <w:rsid w:val="71AB132F"/>
    <w:rsid w:val="71BE777B"/>
    <w:rsid w:val="71CF3E29"/>
    <w:rsid w:val="71E2790D"/>
    <w:rsid w:val="71E33685"/>
    <w:rsid w:val="71ED1E0E"/>
    <w:rsid w:val="71F15DA2"/>
    <w:rsid w:val="71F80EDE"/>
    <w:rsid w:val="71FA0D69"/>
    <w:rsid w:val="720F447A"/>
    <w:rsid w:val="721003C5"/>
    <w:rsid w:val="72111FA0"/>
    <w:rsid w:val="723C62EB"/>
    <w:rsid w:val="726E2F4F"/>
    <w:rsid w:val="727662A7"/>
    <w:rsid w:val="727918F3"/>
    <w:rsid w:val="72807126"/>
    <w:rsid w:val="729606F7"/>
    <w:rsid w:val="7298621E"/>
    <w:rsid w:val="72AC3A77"/>
    <w:rsid w:val="72B917BC"/>
    <w:rsid w:val="73191889"/>
    <w:rsid w:val="73214465"/>
    <w:rsid w:val="7329331A"/>
    <w:rsid w:val="732D2E0A"/>
    <w:rsid w:val="73334198"/>
    <w:rsid w:val="734168B5"/>
    <w:rsid w:val="7349576A"/>
    <w:rsid w:val="734B7734"/>
    <w:rsid w:val="73504D4A"/>
    <w:rsid w:val="735760D9"/>
    <w:rsid w:val="7359395E"/>
    <w:rsid w:val="735F0AE9"/>
    <w:rsid w:val="736A17B3"/>
    <w:rsid w:val="737722D7"/>
    <w:rsid w:val="739A5FC5"/>
    <w:rsid w:val="73A155A6"/>
    <w:rsid w:val="73A6496A"/>
    <w:rsid w:val="73A750C7"/>
    <w:rsid w:val="73D70FC8"/>
    <w:rsid w:val="73EC5B91"/>
    <w:rsid w:val="73EF1E6D"/>
    <w:rsid w:val="73F456D6"/>
    <w:rsid w:val="740A2536"/>
    <w:rsid w:val="74122000"/>
    <w:rsid w:val="741F0BD9"/>
    <w:rsid w:val="74597C2E"/>
    <w:rsid w:val="7460720F"/>
    <w:rsid w:val="747C102B"/>
    <w:rsid w:val="748051BB"/>
    <w:rsid w:val="74856C75"/>
    <w:rsid w:val="74860F70"/>
    <w:rsid w:val="7487654A"/>
    <w:rsid w:val="748A4CEE"/>
    <w:rsid w:val="749649DF"/>
    <w:rsid w:val="74B03CF2"/>
    <w:rsid w:val="74B310ED"/>
    <w:rsid w:val="74B45308"/>
    <w:rsid w:val="74C96B62"/>
    <w:rsid w:val="74EB4D2A"/>
    <w:rsid w:val="74F33BDF"/>
    <w:rsid w:val="74F55BA9"/>
    <w:rsid w:val="7507768A"/>
    <w:rsid w:val="750D6F2C"/>
    <w:rsid w:val="75181898"/>
    <w:rsid w:val="751A73BE"/>
    <w:rsid w:val="7523428C"/>
    <w:rsid w:val="75396AE8"/>
    <w:rsid w:val="754C32EF"/>
    <w:rsid w:val="755521A4"/>
    <w:rsid w:val="755A3C5E"/>
    <w:rsid w:val="755C1784"/>
    <w:rsid w:val="75622B13"/>
    <w:rsid w:val="75660855"/>
    <w:rsid w:val="756D1BE3"/>
    <w:rsid w:val="75722525"/>
    <w:rsid w:val="757840E4"/>
    <w:rsid w:val="758111EB"/>
    <w:rsid w:val="75834F63"/>
    <w:rsid w:val="758415D8"/>
    <w:rsid w:val="75B3511C"/>
    <w:rsid w:val="75DC4673"/>
    <w:rsid w:val="75EA3234"/>
    <w:rsid w:val="75F23E97"/>
    <w:rsid w:val="760342F6"/>
    <w:rsid w:val="760A11E0"/>
    <w:rsid w:val="760F2C9B"/>
    <w:rsid w:val="76143E0D"/>
    <w:rsid w:val="761F631C"/>
    <w:rsid w:val="76273BFB"/>
    <w:rsid w:val="762878B8"/>
    <w:rsid w:val="76342701"/>
    <w:rsid w:val="76377AFB"/>
    <w:rsid w:val="763C15B6"/>
    <w:rsid w:val="763E70DC"/>
    <w:rsid w:val="76516E0F"/>
    <w:rsid w:val="76522B87"/>
    <w:rsid w:val="765668DA"/>
    <w:rsid w:val="76635847"/>
    <w:rsid w:val="766537ED"/>
    <w:rsid w:val="768076F4"/>
    <w:rsid w:val="769C41AB"/>
    <w:rsid w:val="769D02A6"/>
    <w:rsid w:val="76AC2297"/>
    <w:rsid w:val="76B346EE"/>
    <w:rsid w:val="76D4359C"/>
    <w:rsid w:val="76F123A0"/>
    <w:rsid w:val="76F61765"/>
    <w:rsid w:val="77161E07"/>
    <w:rsid w:val="771805CB"/>
    <w:rsid w:val="771D024C"/>
    <w:rsid w:val="772269FE"/>
    <w:rsid w:val="774249AA"/>
    <w:rsid w:val="77444BC6"/>
    <w:rsid w:val="77460CC4"/>
    <w:rsid w:val="77471FC0"/>
    <w:rsid w:val="77590FDE"/>
    <w:rsid w:val="77642B72"/>
    <w:rsid w:val="776B2153"/>
    <w:rsid w:val="777C0FDE"/>
    <w:rsid w:val="777C7EBC"/>
    <w:rsid w:val="77813724"/>
    <w:rsid w:val="778356EE"/>
    <w:rsid w:val="77B533CE"/>
    <w:rsid w:val="77BE14A6"/>
    <w:rsid w:val="77BF424C"/>
    <w:rsid w:val="77D575CC"/>
    <w:rsid w:val="77DE32D5"/>
    <w:rsid w:val="77E3618D"/>
    <w:rsid w:val="77EB5041"/>
    <w:rsid w:val="781E71C5"/>
    <w:rsid w:val="782071AE"/>
    <w:rsid w:val="784D7AAA"/>
    <w:rsid w:val="787212BF"/>
    <w:rsid w:val="78811502"/>
    <w:rsid w:val="78874D6A"/>
    <w:rsid w:val="789B25C4"/>
    <w:rsid w:val="78AF2513"/>
    <w:rsid w:val="78CF04BF"/>
    <w:rsid w:val="78D930EC"/>
    <w:rsid w:val="78E8577B"/>
    <w:rsid w:val="78F341AE"/>
    <w:rsid w:val="790243F1"/>
    <w:rsid w:val="790740FD"/>
    <w:rsid w:val="792D2B46"/>
    <w:rsid w:val="79332946"/>
    <w:rsid w:val="793D7B1F"/>
    <w:rsid w:val="794157FA"/>
    <w:rsid w:val="79621333"/>
    <w:rsid w:val="796E7CD8"/>
    <w:rsid w:val="797352EE"/>
    <w:rsid w:val="79751067"/>
    <w:rsid w:val="797E5A8D"/>
    <w:rsid w:val="79815C5D"/>
    <w:rsid w:val="7987552E"/>
    <w:rsid w:val="799B65F3"/>
    <w:rsid w:val="79B9081F"/>
    <w:rsid w:val="79E24222"/>
    <w:rsid w:val="79FF0924"/>
    <w:rsid w:val="7A046449"/>
    <w:rsid w:val="7A2B5BC9"/>
    <w:rsid w:val="7A2E1215"/>
    <w:rsid w:val="7A3E58FC"/>
    <w:rsid w:val="7A590988"/>
    <w:rsid w:val="7A6B246A"/>
    <w:rsid w:val="7A715CD2"/>
    <w:rsid w:val="7A831561"/>
    <w:rsid w:val="7AAA2F92"/>
    <w:rsid w:val="7AB43E11"/>
    <w:rsid w:val="7AB4796D"/>
    <w:rsid w:val="7AC06311"/>
    <w:rsid w:val="7AD86AF4"/>
    <w:rsid w:val="7AD93877"/>
    <w:rsid w:val="7B206849"/>
    <w:rsid w:val="7B3867F0"/>
    <w:rsid w:val="7B590514"/>
    <w:rsid w:val="7B762E74"/>
    <w:rsid w:val="7B8D0065"/>
    <w:rsid w:val="7B9C6D7F"/>
    <w:rsid w:val="7BAE1B6F"/>
    <w:rsid w:val="7BB11B26"/>
    <w:rsid w:val="7BBB4D2B"/>
    <w:rsid w:val="7BCB7664"/>
    <w:rsid w:val="7BD52290"/>
    <w:rsid w:val="7BDE6A7E"/>
    <w:rsid w:val="7BDF4EBD"/>
    <w:rsid w:val="7BE91898"/>
    <w:rsid w:val="7BF045C5"/>
    <w:rsid w:val="7BF14C64"/>
    <w:rsid w:val="7BF85F7F"/>
    <w:rsid w:val="7C084414"/>
    <w:rsid w:val="7C091F3A"/>
    <w:rsid w:val="7C0B180E"/>
    <w:rsid w:val="7C15268D"/>
    <w:rsid w:val="7C336FB7"/>
    <w:rsid w:val="7C7C3487"/>
    <w:rsid w:val="7C9428A4"/>
    <w:rsid w:val="7C953391"/>
    <w:rsid w:val="7C9E08D4"/>
    <w:rsid w:val="7CC320E9"/>
    <w:rsid w:val="7CC3658D"/>
    <w:rsid w:val="7CC52305"/>
    <w:rsid w:val="7CC80851"/>
    <w:rsid w:val="7D07647A"/>
    <w:rsid w:val="7D27455C"/>
    <w:rsid w:val="7D384885"/>
    <w:rsid w:val="7D752E25"/>
    <w:rsid w:val="7D7F0706"/>
    <w:rsid w:val="7D7F24B4"/>
    <w:rsid w:val="7D913F95"/>
    <w:rsid w:val="7DBA3683"/>
    <w:rsid w:val="7DCC1471"/>
    <w:rsid w:val="7DCE51E9"/>
    <w:rsid w:val="7DDA3B8E"/>
    <w:rsid w:val="7DE8278A"/>
    <w:rsid w:val="7DF10ED8"/>
    <w:rsid w:val="7DF74740"/>
    <w:rsid w:val="7DF851BD"/>
    <w:rsid w:val="7E096221"/>
    <w:rsid w:val="7E1370A0"/>
    <w:rsid w:val="7E1846B6"/>
    <w:rsid w:val="7E1A3F8B"/>
    <w:rsid w:val="7E203B02"/>
    <w:rsid w:val="7E244E09"/>
    <w:rsid w:val="7E2E3EDA"/>
    <w:rsid w:val="7E3505E9"/>
    <w:rsid w:val="7E582D05"/>
    <w:rsid w:val="7E617E0B"/>
    <w:rsid w:val="7E6478FC"/>
    <w:rsid w:val="7E7062A0"/>
    <w:rsid w:val="7E8B30DA"/>
    <w:rsid w:val="7E8B4E88"/>
    <w:rsid w:val="7EA1645A"/>
    <w:rsid w:val="7EA63A70"/>
    <w:rsid w:val="7ECD724F"/>
    <w:rsid w:val="7EE33139"/>
    <w:rsid w:val="7EE50A3C"/>
    <w:rsid w:val="7EEA25C1"/>
    <w:rsid w:val="7F0215EE"/>
    <w:rsid w:val="7F1E7AAB"/>
    <w:rsid w:val="7F2350C1"/>
    <w:rsid w:val="7F48126D"/>
    <w:rsid w:val="7F54171E"/>
    <w:rsid w:val="7F671451"/>
    <w:rsid w:val="7F7678E7"/>
    <w:rsid w:val="7F875650"/>
    <w:rsid w:val="7FA77AA0"/>
    <w:rsid w:val="7FBF128D"/>
    <w:rsid w:val="7FE505C8"/>
    <w:rsid w:val="7FEA5BDF"/>
    <w:rsid w:val="7FF2196A"/>
    <w:rsid w:val="7FFF5B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qFormat="1" w:unhideWhenUsed="0"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qFormat="1"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link w:val="47"/>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autoRedefine/>
    <w:qFormat/>
    <w:uiPriority w:val="0"/>
    <w:pPr>
      <w:keepNext/>
      <w:keepLines/>
      <w:spacing w:before="340" w:after="330" w:line="576" w:lineRule="auto"/>
      <w:outlineLvl w:val="0"/>
    </w:pPr>
    <w:rPr>
      <w:b/>
      <w:kern w:val="44"/>
      <w:sz w:val="32"/>
      <w:szCs w:val="20"/>
    </w:rPr>
  </w:style>
  <w:style w:type="paragraph" w:styleId="3">
    <w:name w:val="heading 2"/>
    <w:basedOn w:val="1"/>
    <w:next w:val="4"/>
    <w:autoRedefine/>
    <w:qFormat/>
    <w:uiPriority w:val="0"/>
    <w:pPr>
      <w:keepNext/>
      <w:keepLines/>
      <w:spacing w:before="260" w:after="260" w:line="500" w:lineRule="exact"/>
      <w:outlineLvl w:val="1"/>
    </w:pPr>
    <w:rPr>
      <w:rFonts w:ascii="Arial" w:hAnsi="Arial" w:eastAsia="黑体"/>
      <w:b/>
      <w:sz w:val="28"/>
      <w:szCs w:val="20"/>
    </w:rPr>
  </w:style>
  <w:style w:type="paragraph" w:styleId="6">
    <w:name w:val="heading 3"/>
    <w:basedOn w:val="1"/>
    <w:next w:val="1"/>
    <w:autoRedefine/>
    <w:qFormat/>
    <w:uiPriority w:val="0"/>
    <w:pPr>
      <w:keepNext/>
      <w:keepLines/>
      <w:spacing w:before="260" w:after="260" w:line="412" w:lineRule="auto"/>
      <w:outlineLvl w:val="2"/>
    </w:pPr>
    <w:rPr>
      <w:b/>
      <w:sz w:val="32"/>
      <w:szCs w:val="20"/>
    </w:rPr>
  </w:style>
  <w:style w:type="paragraph" w:styleId="7">
    <w:name w:val="heading 4"/>
    <w:basedOn w:val="1"/>
    <w:next w:val="1"/>
    <w:autoRedefine/>
    <w:qFormat/>
    <w:uiPriority w:val="0"/>
    <w:pPr>
      <w:keepNext/>
      <w:keepLines/>
      <w:spacing w:before="280" w:after="290" w:line="376" w:lineRule="auto"/>
      <w:outlineLvl w:val="3"/>
    </w:pPr>
    <w:rPr>
      <w:rFonts w:ascii="Calibri Light" w:hAnsi="Calibri Light"/>
      <w:b/>
      <w:bCs/>
      <w:sz w:val="28"/>
      <w:szCs w:val="28"/>
    </w:rPr>
  </w:style>
  <w:style w:type="character" w:default="1" w:styleId="25">
    <w:name w:val="Default Paragraph Font"/>
    <w:autoRedefine/>
    <w:semiHidden/>
    <w:qFormat/>
    <w:uiPriority w:val="0"/>
  </w:style>
  <w:style w:type="table" w:default="1" w:styleId="23">
    <w:name w:val="Normal Table"/>
    <w:autoRedefine/>
    <w:semiHidden/>
    <w:qFormat/>
    <w:uiPriority w:val="0"/>
    <w:tblPr>
      <w:tblCellMar>
        <w:top w:w="0" w:type="dxa"/>
        <w:left w:w="108" w:type="dxa"/>
        <w:bottom w:w="0" w:type="dxa"/>
        <w:right w:w="108" w:type="dxa"/>
      </w:tblCellMar>
    </w:tblPr>
  </w:style>
  <w:style w:type="paragraph" w:styleId="4">
    <w:name w:val="Normal Indent"/>
    <w:basedOn w:val="1"/>
    <w:next w:val="5"/>
    <w:autoRedefine/>
    <w:qFormat/>
    <w:uiPriority w:val="0"/>
    <w:pPr>
      <w:ind w:firstLine="420"/>
    </w:pPr>
    <w:rPr>
      <w:szCs w:val="20"/>
    </w:rPr>
  </w:style>
  <w:style w:type="paragraph" w:styleId="5">
    <w:name w:val="toc 4"/>
    <w:basedOn w:val="1"/>
    <w:next w:val="1"/>
    <w:qFormat/>
    <w:uiPriority w:val="39"/>
    <w:pPr>
      <w:ind w:left="1260" w:leftChars="600"/>
    </w:pPr>
  </w:style>
  <w:style w:type="paragraph" w:styleId="8">
    <w:name w:val="table of authorities"/>
    <w:basedOn w:val="1"/>
    <w:next w:val="1"/>
    <w:autoRedefine/>
    <w:qFormat/>
    <w:uiPriority w:val="0"/>
    <w:pPr>
      <w:ind w:left="420" w:leftChars="200"/>
    </w:pPr>
  </w:style>
  <w:style w:type="paragraph" w:styleId="9">
    <w:name w:val="annotation text"/>
    <w:basedOn w:val="1"/>
    <w:autoRedefine/>
    <w:qFormat/>
    <w:uiPriority w:val="0"/>
    <w:pPr>
      <w:jc w:val="left"/>
    </w:pPr>
  </w:style>
  <w:style w:type="paragraph" w:styleId="10">
    <w:name w:val="Body Text"/>
    <w:basedOn w:val="1"/>
    <w:autoRedefine/>
    <w:semiHidden/>
    <w:qFormat/>
    <w:uiPriority w:val="0"/>
    <w:pPr>
      <w:spacing w:before="100" w:beforeAutospacing="1" w:after="100" w:afterAutospacing="1" w:line="600" w:lineRule="auto"/>
    </w:pPr>
    <w:rPr>
      <w:kern w:val="0"/>
      <w:sz w:val="20"/>
    </w:rPr>
  </w:style>
  <w:style w:type="paragraph" w:styleId="11">
    <w:name w:val="Body Text Indent"/>
    <w:basedOn w:val="1"/>
    <w:autoRedefine/>
    <w:qFormat/>
    <w:uiPriority w:val="0"/>
    <w:pPr>
      <w:ind w:firstLine="630"/>
    </w:pPr>
    <w:rPr>
      <w:sz w:val="32"/>
      <w:szCs w:val="20"/>
    </w:rPr>
  </w:style>
  <w:style w:type="paragraph" w:styleId="12">
    <w:name w:val="Plain Text"/>
    <w:basedOn w:val="1"/>
    <w:next w:val="1"/>
    <w:autoRedefine/>
    <w:qFormat/>
    <w:uiPriority w:val="0"/>
    <w:rPr>
      <w:rFonts w:ascii="宋体" w:hAnsi="Courier New" w:cs="Courier New"/>
      <w:szCs w:val="21"/>
    </w:rPr>
  </w:style>
  <w:style w:type="paragraph" w:styleId="13">
    <w:name w:val="Date"/>
    <w:basedOn w:val="1"/>
    <w:next w:val="1"/>
    <w:autoRedefine/>
    <w:qFormat/>
    <w:uiPriority w:val="0"/>
    <w:rPr>
      <w:color w:val="000000"/>
      <w:kern w:val="0"/>
      <w:sz w:val="30"/>
    </w:rPr>
  </w:style>
  <w:style w:type="paragraph" w:styleId="14">
    <w:name w:val="Body Text Indent 2"/>
    <w:basedOn w:val="1"/>
    <w:autoRedefine/>
    <w:qFormat/>
    <w:uiPriority w:val="0"/>
    <w:pPr>
      <w:ind w:firstLine="630"/>
    </w:pPr>
    <w:rPr>
      <w:sz w:val="32"/>
      <w:szCs w:val="20"/>
    </w:rPr>
  </w:style>
  <w:style w:type="paragraph" w:styleId="15">
    <w:name w:val="footer"/>
    <w:basedOn w:val="1"/>
    <w:autoRedefine/>
    <w:qFormat/>
    <w:uiPriority w:val="0"/>
    <w:pPr>
      <w:tabs>
        <w:tab w:val="center" w:pos="4153"/>
        <w:tab w:val="right" w:pos="8306"/>
      </w:tabs>
      <w:snapToGrid w:val="0"/>
      <w:jc w:val="left"/>
    </w:pPr>
    <w:rPr>
      <w:sz w:val="18"/>
      <w:szCs w:val="20"/>
    </w:rPr>
  </w:style>
  <w:style w:type="paragraph" w:styleId="16">
    <w:name w:val="header"/>
    <w:basedOn w:val="1"/>
    <w:autoRedefine/>
    <w:qFormat/>
    <w:uiPriority w:val="0"/>
    <w:pPr>
      <w:pBdr>
        <w:bottom w:val="single" w:color="auto" w:sz="6" w:space="1"/>
      </w:pBdr>
      <w:tabs>
        <w:tab w:val="center" w:pos="4153"/>
        <w:tab w:val="right" w:pos="8306"/>
      </w:tabs>
      <w:snapToGrid w:val="0"/>
      <w:jc w:val="center"/>
    </w:pPr>
    <w:rPr>
      <w:sz w:val="18"/>
      <w:szCs w:val="20"/>
    </w:rPr>
  </w:style>
  <w:style w:type="paragraph" w:styleId="17">
    <w:name w:val="toc 1"/>
    <w:basedOn w:val="1"/>
    <w:next w:val="1"/>
    <w:autoRedefine/>
    <w:qFormat/>
    <w:uiPriority w:val="0"/>
  </w:style>
  <w:style w:type="paragraph" w:styleId="18">
    <w:name w:val="Body Text Indent 3"/>
    <w:basedOn w:val="1"/>
    <w:autoRedefine/>
    <w:qFormat/>
    <w:uiPriority w:val="0"/>
    <w:pPr>
      <w:adjustRightInd w:val="0"/>
      <w:snapToGrid w:val="0"/>
      <w:spacing w:line="360" w:lineRule="auto"/>
      <w:ind w:firstLine="600" w:firstLineChars="200"/>
    </w:pPr>
    <w:rPr>
      <w:rFonts w:ascii="黑体" w:eastAsia="黑体"/>
      <w:sz w:val="30"/>
      <w:szCs w:val="28"/>
    </w:rPr>
  </w:style>
  <w:style w:type="paragraph" w:styleId="19">
    <w:name w:val="Body Text 2"/>
    <w:basedOn w:val="1"/>
    <w:autoRedefine/>
    <w:qFormat/>
    <w:uiPriority w:val="0"/>
    <w:pPr>
      <w:autoSpaceDE w:val="0"/>
      <w:autoSpaceDN w:val="0"/>
      <w:adjustRightInd w:val="0"/>
      <w:jc w:val="center"/>
    </w:pPr>
    <w:rPr>
      <w:rFonts w:ascii="幼圆" w:eastAsia="幼圆"/>
      <w:b/>
      <w:bCs/>
      <w:color w:val="000000"/>
      <w:kern w:val="0"/>
      <w:sz w:val="72"/>
      <w:szCs w:val="44"/>
    </w:rPr>
  </w:style>
  <w:style w:type="paragraph" w:styleId="20">
    <w:name w:val="Normal (Web)"/>
    <w:basedOn w:val="1"/>
    <w:autoRedefine/>
    <w:qFormat/>
    <w:uiPriority w:val="99"/>
    <w:pPr>
      <w:widowControl/>
      <w:spacing w:before="100" w:beforeAutospacing="1" w:after="100" w:afterAutospacing="1"/>
      <w:jc w:val="left"/>
    </w:pPr>
    <w:rPr>
      <w:rFonts w:ascii="宋体" w:hAnsi="宋体"/>
      <w:kern w:val="0"/>
      <w:sz w:val="18"/>
      <w:szCs w:val="18"/>
    </w:rPr>
  </w:style>
  <w:style w:type="paragraph" w:styleId="21">
    <w:name w:val="Body Text First Indent"/>
    <w:basedOn w:val="10"/>
    <w:next w:val="1"/>
    <w:qFormat/>
    <w:uiPriority w:val="0"/>
    <w:pPr>
      <w:tabs>
        <w:tab w:val="left" w:pos="567"/>
        <w:tab w:val="left" w:pos="630"/>
      </w:tabs>
      <w:spacing w:after="120" w:afterLines="0"/>
      <w:ind w:firstLine="100" w:firstLineChars="100"/>
      <w:jc w:val="both"/>
      <w:textAlignment w:val="auto"/>
    </w:pPr>
    <w:rPr>
      <w:rFonts w:ascii="Times New Roman"/>
      <w:sz w:val="21"/>
      <w:szCs w:val="24"/>
    </w:rPr>
  </w:style>
  <w:style w:type="paragraph" w:styleId="22">
    <w:name w:val="Body Text First Indent 2"/>
    <w:basedOn w:val="11"/>
    <w:qFormat/>
    <w:uiPriority w:val="0"/>
    <w:pPr>
      <w:ind w:firstLine="420" w:firstLineChars="200"/>
    </w:pPr>
    <w:rPr>
      <w:kern w:val="0"/>
      <w:sz w:val="20"/>
      <w:szCs w:val="24"/>
    </w:rPr>
  </w:style>
  <w:style w:type="table" w:styleId="24">
    <w:name w:val="Table Grid"/>
    <w:basedOn w:val="23"/>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6">
    <w:name w:val="Strong"/>
    <w:basedOn w:val="25"/>
    <w:qFormat/>
    <w:uiPriority w:val="0"/>
    <w:rPr>
      <w:b/>
    </w:rPr>
  </w:style>
  <w:style w:type="character" w:styleId="27">
    <w:name w:val="page number"/>
    <w:basedOn w:val="25"/>
    <w:autoRedefine/>
    <w:qFormat/>
    <w:uiPriority w:val="0"/>
  </w:style>
  <w:style w:type="character" w:styleId="28">
    <w:name w:val="Hyperlink"/>
    <w:autoRedefine/>
    <w:qFormat/>
    <w:uiPriority w:val="0"/>
    <w:rPr>
      <w:color w:val="136EC2"/>
      <w:u w:val="single"/>
    </w:rPr>
  </w:style>
  <w:style w:type="paragraph" w:customStyle="1" w:styleId="29">
    <w:name w:val="段"/>
    <w:next w:val="1"/>
    <w:qFormat/>
    <w:uiPriority w:val="99"/>
    <w:pPr>
      <w:autoSpaceDE w:val="0"/>
      <w:autoSpaceDN w:val="0"/>
      <w:ind w:firstLine="200" w:firstLineChars="200"/>
      <w:jc w:val="both"/>
    </w:pPr>
    <w:rPr>
      <w:rFonts w:ascii="宋体" w:hAnsi="Times New Roman" w:eastAsia="宋体" w:cs="Times New Roman"/>
      <w:kern w:val="0"/>
      <w:sz w:val="21"/>
      <w:szCs w:val="22"/>
      <w:lang w:val="en-US" w:eastAsia="zh-CN" w:bidi="ar-SA"/>
    </w:rPr>
  </w:style>
  <w:style w:type="paragraph" w:customStyle="1" w:styleId="30">
    <w:name w:val="章正文"/>
    <w:basedOn w:val="1"/>
    <w:qFormat/>
    <w:uiPriority w:val="0"/>
    <w:pPr>
      <w:spacing w:beforeLines="50" w:after="120" w:line="300" w:lineRule="auto"/>
      <w:ind w:firstLine="480"/>
    </w:pPr>
    <w:rPr>
      <w:rFonts w:ascii="Helvetica" w:hAnsi="Helvetica" w:eastAsia="宋体" w:cs="Times New Roman"/>
    </w:rPr>
  </w:style>
  <w:style w:type="paragraph" w:customStyle="1" w:styleId="31">
    <w:name w:val="Default"/>
    <w:next w:val="32"/>
    <w:autoRedefine/>
    <w:qFormat/>
    <w:uiPriority w:val="0"/>
    <w:pPr>
      <w:autoSpaceDE w:val="0"/>
      <w:autoSpaceDN w:val="0"/>
      <w:adjustRightInd w:val="0"/>
    </w:pPr>
    <w:rPr>
      <w:rFonts w:ascii="微软雅黑" w:eastAsia="微软雅黑" w:cs="微软雅黑" w:hAnsiTheme="minorHAnsi"/>
      <w:color w:val="000000"/>
      <w:sz w:val="24"/>
      <w:szCs w:val="24"/>
      <w:lang w:val="en-US" w:eastAsia="zh-CN" w:bidi="ar-SA"/>
    </w:rPr>
  </w:style>
  <w:style w:type="paragraph" w:customStyle="1" w:styleId="32">
    <w:name w:val="大标题"/>
    <w:basedOn w:val="1"/>
    <w:next w:val="22"/>
    <w:qFormat/>
    <w:uiPriority w:val="0"/>
    <w:pPr>
      <w:jc w:val="center"/>
    </w:pPr>
    <w:rPr>
      <w:rFonts w:ascii="Arial" w:hAnsi="Arial" w:eastAsia="宋体" w:cs="Times New Roman"/>
      <w:b/>
      <w:sz w:val="28"/>
      <w:szCs w:val="24"/>
    </w:rPr>
  </w:style>
  <w:style w:type="paragraph" w:customStyle="1" w:styleId="33">
    <w:name w:val="正文（缩进）"/>
    <w:basedOn w:val="1"/>
    <w:autoRedefine/>
    <w:qFormat/>
    <w:uiPriority w:val="0"/>
    <w:pPr>
      <w:spacing w:beforeLines="50" w:afterLines="50"/>
      <w:ind w:firstLine="480"/>
    </w:pPr>
    <w:rPr>
      <w:sz w:val="24"/>
    </w:rPr>
  </w:style>
  <w:style w:type="paragraph" w:customStyle="1" w:styleId="34">
    <w:name w:val="正文缩进1"/>
    <w:basedOn w:val="1"/>
    <w:autoRedefine/>
    <w:qFormat/>
    <w:uiPriority w:val="0"/>
    <w:pPr>
      <w:ind w:firstLine="420" w:firstLineChars="200"/>
    </w:pPr>
  </w:style>
  <w:style w:type="paragraph" w:customStyle="1" w:styleId="35">
    <w:name w:val="样式"/>
    <w:autoRedefine/>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36">
    <w:name w:val="Table Paragraph"/>
    <w:basedOn w:val="1"/>
    <w:autoRedefine/>
    <w:qFormat/>
    <w:uiPriority w:val="1"/>
    <w:rPr>
      <w:rFonts w:ascii="宋体" w:hAnsi="宋体" w:eastAsia="宋体" w:cs="宋体"/>
      <w:lang w:val="zh-CN" w:eastAsia="zh-CN" w:bidi="zh-CN"/>
    </w:rPr>
  </w:style>
  <w:style w:type="paragraph" w:customStyle="1" w:styleId="37">
    <w:name w:val="p0"/>
    <w:basedOn w:val="1"/>
    <w:autoRedefine/>
    <w:qFormat/>
    <w:uiPriority w:val="0"/>
    <w:pPr>
      <w:widowControl/>
    </w:pPr>
    <w:rPr>
      <w:kern w:val="0"/>
      <w:szCs w:val="21"/>
    </w:rPr>
  </w:style>
  <w:style w:type="paragraph" w:customStyle="1" w:styleId="38">
    <w:name w:val="样式 首行缩进:  2 字符"/>
    <w:basedOn w:val="1"/>
    <w:autoRedefine/>
    <w:qFormat/>
    <w:uiPriority w:val="0"/>
    <w:pPr>
      <w:spacing w:line="400" w:lineRule="exact"/>
      <w:ind w:firstLine="200" w:firstLineChars="200"/>
    </w:pPr>
    <w:rPr>
      <w:rFonts w:cs="宋体"/>
      <w:sz w:val="24"/>
    </w:rPr>
  </w:style>
  <w:style w:type="paragraph" w:customStyle="1" w:styleId="39">
    <w:name w:val="Char1"/>
    <w:basedOn w:val="1"/>
    <w:autoRedefine/>
    <w:qFormat/>
    <w:uiPriority w:val="0"/>
    <w:rPr>
      <w:szCs w:val="21"/>
    </w:rPr>
  </w:style>
  <w:style w:type="paragraph" w:styleId="40">
    <w:name w:val="List Paragraph"/>
    <w:basedOn w:val="1"/>
    <w:autoRedefine/>
    <w:qFormat/>
    <w:uiPriority w:val="34"/>
    <w:pPr>
      <w:ind w:firstLine="420" w:firstLineChars="200"/>
    </w:pPr>
  </w:style>
  <w:style w:type="paragraph" w:customStyle="1" w:styleId="41">
    <w:name w:val="Other|1"/>
    <w:basedOn w:val="1"/>
    <w:autoRedefine/>
    <w:qFormat/>
    <w:uiPriority w:val="0"/>
    <w:rPr>
      <w:rFonts w:ascii="宋体" w:hAnsi="宋体" w:eastAsia="宋体" w:cs="宋体"/>
      <w:sz w:val="17"/>
      <w:szCs w:val="17"/>
      <w:lang w:val="zh-CN" w:eastAsia="zh-CN" w:bidi="zh-CN"/>
    </w:rPr>
  </w:style>
  <w:style w:type="paragraph" w:customStyle="1" w:styleId="42">
    <w:name w:val="Body text|1"/>
    <w:basedOn w:val="1"/>
    <w:autoRedefine/>
    <w:qFormat/>
    <w:uiPriority w:val="0"/>
    <w:rPr>
      <w:rFonts w:ascii="宋体" w:hAnsi="宋体" w:eastAsia="宋体" w:cs="宋体"/>
      <w:sz w:val="19"/>
      <w:szCs w:val="19"/>
      <w:lang w:val="zh-CN" w:eastAsia="zh-CN" w:bidi="zh-CN"/>
    </w:rPr>
  </w:style>
  <w:style w:type="character" w:customStyle="1" w:styleId="43">
    <w:name w:val="font71"/>
    <w:basedOn w:val="25"/>
    <w:autoRedefine/>
    <w:qFormat/>
    <w:uiPriority w:val="0"/>
    <w:rPr>
      <w:rFonts w:hint="eastAsia" w:ascii="宋体" w:hAnsi="宋体" w:eastAsia="宋体" w:cs="宋体"/>
      <w:color w:val="000000"/>
      <w:sz w:val="21"/>
      <w:szCs w:val="21"/>
      <w:u w:val="none"/>
    </w:rPr>
  </w:style>
  <w:style w:type="character" w:customStyle="1" w:styleId="44">
    <w:name w:val="font61"/>
    <w:basedOn w:val="25"/>
    <w:autoRedefine/>
    <w:qFormat/>
    <w:uiPriority w:val="0"/>
    <w:rPr>
      <w:rFonts w:hint="default" w:ascii="Arial" w:hAnsi="Arial" w:cs="Arial"/>
      <w:color w:val="000000"/>
      <w:sz w:val="22"/>
      <w:szCs w:val="22"/>
      <w:u w:val="none"/>
    </w:rPr>
  </w:style>
  <w:style w:type="character" w:customStyle="1" w:styleId="45">
    <w:name w:val="font11"/>
    <w:basedOn w:val="25"/>
    <w:autoRedefine/>
    <w:qFormat/>
    <w:uiPriority w:val="0"/>
    <w:rPr>
      <w:rFonts w:hint="eastAsia" w:ascii="宋体" w:hAnsi="宋体" w:eastAsia="宋体" w:cs="宋体"/>
      <w:color w:val="000000"/>
      <w:sz w:val="22"/>
      <w:szCs w:val="22"/>
      <w:u w:val="none"/>
    </w:rPr>
  </w:style>
  <w:style w:type="paragraph" w:customStyle="1" w:styleId="46">
    <w:name w:val="UP正文"/>
    <w:basedOn w:val="1"/>
    <w:autoRedefine/>
    <w:qFormat/>
    <w:uiPriority w:val="0"/>
    <w:pPr>
      <w:spacing w:line="360" w:lineRule="auto"/>
      <w:ind w:left="420" w:leftChars="200" w:firstLine="420" w:firstLineChars="200"/>
    </w:pPr>
    <w:rPr>
      <w:rFonts w:ascii="Tahoma" w:hAnsi="Calibri"/>
      <w:szCs w:val="20"/>
    </w:rPr>
  </w:style>
  <w:style w:type="character" w:customStyle="1" w:styleId="47">
    <w:name w:val="NormalCharacter"/>
    <w:link w:val="1"/>
    <w:autoRedefine/>
    <w:semiHidden/>
    <w:qFormat/>
    <w:uiPriority w:val="0"/>
    <w:rPr>
      <w:rFonts w:ascii="Times New Roman" w:hAnsi="Times New Roman" w:eastAsia="宋体" w:cs="Times New Roman"/>
      <w:kern w:val="2"/>
      <w:sz w:val="21"/>
      <w:szCs w:val="24"/>
      <w:lang w:val="en-US" w:eastAsia="zh-CN" w:bidi="ar-SA"/>
    </w:rPr>
  </w:style>
  <w:style w:type="paragraph" w:customStyle="1" w:styleId="48">
    <w:name w:val="PlainText"/>
    <w:basedOn w:val="1"/>
    <w:autoRedefine/>
    <w:qFormat/>
    <w:uiPriority w:val="0"/>
    <w:pPr>
      <w:jc w:val="both"/>
      <w:textAlignment w:val="baseline"/>
    </w:pPr>
    <w:rPr>
      <w:rFonts w:ascii="宋体" w:hAnsi="Courier New"/>
      <w:kern w:val="2"/>
      <w:sz w:val="21"/>
      <w:szCs w:val="21"/>
      <w:lang w:val="en-US" w:eastAsia="zh-CN" w:bidi="ar-SA"/>
    </w:rPr>
  </w:style>
  <w:style w:type="character" w:customStyle="1" w:styleId="49">
    <w:name w:val="font51"/>
    <w:basedOn w:val="25"/>
    <w:autoRedefine/>
    <w:qFormat/>
    <w:uiPriority w:val="0"/>
    <w:rPr>
      <w:rFonts w:hint="eastAsia" w:ascii="宋体" w:hAnsi="宋体" w:eastAsia="宋体" w:cs="宋体"/>
      <w:color w:val="000000"/>
      <w:sz w:val="20"/>
      <w:szCs w:val="20"/>
      <w:u w:val="none"/>
    </w:rPr>
  </w:style>
  <w:style w:type="character" w:customStyle="1" w:styleId="50">
    <w:name w:val="font41"/>
    <w:basedOn w:val="25"/>
    <w:autoRedefine/>
    <w:qFormat/>
    <w:uiPriority w:val="0"/>
    <w:rPr>
      <w:rFonts w:hint="eastAsia" w:ascii="宋体" w:hAnsi="宋体" w:eastAsia="宋体" w:cs="宋体"/>
      <w:color w:val="000000"/>
      <w:sz w:val="20"/>
      <w:szCs w:val="20"/>
      <w:u w:val="none"/>
    </w:rPr>
  </w:style>
  <w:style w:type="character" w:customStyle="1" w:styleId="51">
    <w:name w:val="font31"/>
    <w:basedOn w:val="25"/>
    <w:autoRedefine/>
    <w:qFormat/>
    <w:uiPriority w:val="0"/>
    <w:rPr>
      <w:rFonts w:hint="eastAsia" w:ascii="宋体" w:hAnsi="宋体" w:eastAsia="宋体" w:cs="宋体"/>
      <w:color w:val="000000"/>
      <w:sz w:val="22"/>
      <w:szCs w:val="22"/>
      <w:u w:val="none"/>
    </w:rPr>
  </w:style>
  <w:style w:type="character" w:customStyle="1" w:styleId="52">
    <w:name w:val="font01"/>
    <w:basedOn w:val="25"/>
    <w:autoRedefine/>
    <w:qFormat/>
    <w:uiPriority w:val="0"/>
    <w:rPr>
      <w:rFonts w:hint="eastAsia" w:ascii="宋体" w:hAnsi="宋体" w:eastAsia="宋体" w:cs="宋体"/>
      <w:color w:val="000000"/>
      <w:sz w:val="21"/>
      <w:szCs w:val="21"/>
      <w:u w:val="none"/>
    </w:rPr>
  </w:style>
  <w:style w:type="paragraph" w:customStyle="1" w:styleId="53">
    <w:name w:val="Table Text"/>
    <w:basedOn w:val="1"/>
    <w:autoRedefine/>
    <w:semiHidden/>
    <w:qFormat/>
    <w:uiPriority w:val="0"/>
    <w:rPr>
      <w:rFonts w:ascii="宋体" w:hAnsi="宋体" w:eastAsia="宋体" w:cs="宋体"/>
      <w:sz w:val="24"/>
      <w:szCs w:val="24"/>
      <w:lang w:val="en-US" w:eastAsia="en-US" w:bidi="ar-SA"/>
    </w:rPr>
  </w:style>
  <w:style w:type="paragraph" w:customStyle="1" w:styleId="54">
    <w:name w:val="彩色列表1"/>
    <w:basedOn w:val="1"/>
    <w:autoRedefine/>
    <w:qFormat/>
    <w:uiPriority w:val="0"/>
    <w:pPr>
      <w:ind w:firstLine="420" w:firstLineChars="200"/>
    </w:pPr>
    <w:rPr>
      <w:rFonts w:ascii="Times New Roman" w:hAnsi="Times New Roman" w:eastAsia="宋体" w:cs="Times New Roman"/>
    </w:rPr>
  </w:style>
  <w:style w:type="character" w:customStyle="1" w:styleId="55">
    <w:name w:val="font21"/>
    <w:basedOn w:val="25"/>
    <w:autoRedefine/>
    <w:qFormat/>
    <w:uiPriority w:val="0"/>
    <w:rPr>
      <w:rFonts w:hint="eastAsia" w:ascii="仿宋" w:hAnsi="仿宋" w:eastAsia="仿宋" w:cs="仿宋"/>
      <w:color w:val="000000"/>
      <w:sz w:val="22"/>
      <w:szCs w:val="22"/>
      <w:u w:val="none"/>
    </w:rPr>
  </w:style>
  <w:style w:type="table" w:customStyle="1" w:styleId="56">
    <w:name w:val="Table Normal"/>
    <w:autoRedefine/>
    <w:semiHidden/>
    <w:unhideWhenUsed/>
    <w:qFormat/>
    <w:uiPriority w:val="0"/>
    <w:tblPr>
      <w:tblCellMar>
        <w:top w:w="0" w:type="dxa"/>
        <w:left w:w="0" w:type="dxa"/>
        <w:bottom w:w="0" w:type="dxa"/>
        <w:right w:w="0" w:type="dxa"/>
      </w:tblCellMar>
    </w:tblPr>
  </w:style>
  <w:style w:type="paragraph" w:customStyle="1" w:styleId="57">
    <w:name w:val="正文_0_0_0_0"/>
    <w:autoRedefine/>
    <w:qFormat/>
    <w:uiPriority w:val="0"/>
    <w:pPr>
      <w:widowControl w:val="0"/>
      <w:spacing w:line="360" w:lineRule="auto"/>
      <w:jc w:val="both"/>
    </w:pPr>
    <w:rPr>
      <w:rFonts w:ascii="Calibri" w:hAnsi="Calibri" w:eastAsia="仿宋_GB2312" w:cs="Times New Roman"/>
      <w:kern w:val="2"/>
      <w:sz w:val="24"/>
      <w:szCs w:val="22"/>
      <w:lang w:val="en-US" w:eastAsia="zh-CN" w:bidi="ar-SA"/>
    </w:rPr>
  </w:style>
  <w:style w:type="paragraph" w:customStyle="1" w:styleId="58">
    <w:name w:val="正文_1_1"/>
    <w:qFormat/>
    <w:uiPriority w:val="0"/>
    <w:pPr>
      <w:widowControl w:val="0"/>
      <w:jc w:val="both"/>
    </w:pPr>
    <w:rPr>
      <w:rFonts w:ascii="Calibri" w:hAnsi="Calibri" w:eastAsia="宋体" w:cs="Times New Roman"/>
      <w:kern w:val="2"/>
      <w:sz w:val="21"/>
      <w:szCs w:val="22"/>
      <w:lang w:val="en-US" w:eastAsia="zh-CN" w:bidi="ar-SA"/>
    </w:rPr>
  </w:style>
  <w:style w:type="character" w:customStyle="1" w:styleId="59">
    <w:name w:val="font81"/>
    <w:basedOn w:val="25"/>
    <w:qFormat/>
    <w:uiPriority w:val="0"/>
    <w:rPr>
      <w:rFonts w:hint="eastAsia" w:ascii="宋体" w:hAnsi="宋体" w:eastAsia="宋体" w:cs="宋体"/>
      <w:color w:val="FF0000"/>
      <w:sz w:val="20"/>
      <w:szCs w:val="20"/>
      <w:u w:val="none"/>
    </w:rPr>
  </w:style>
  <w:style w:type="paragraph" w:customStyle="1" w:styleId="60">
    <w:name w:val="WPSOffice手动目录 1"/>
    <w:qFormat/>
    <w:uiPriority w:val="0"/>
    <w:pPr>
      <w:ind w:leftChars="0"/>
    </w:pPr>
    <w:rPr>
      <w:rFonts w:ascii="Times New Roman" w:hAnsi="Times New Roman" w:eastAsia="宋体" w:cs="Times New Roman"/>
      <w:sz w:val="20"/>
      <w:szCs w:val="20"/>
    </w:rPr>
  </w:style>
  <w:style w:type="paragraph" w:customStyle="1" w:styleId="61">
    <w:name w:val="WPSOffice手动目录 2"/>
    <w:qFormat/>
    <w:uiPriority w:val="0"/>
    <w:pPr>
      <w:ind w:leftChars="200"/>
    </w:pPr>
    <w:rPr>
      <w:rFonts w:ascii="Times New Roman" w:hAnsi="Times New Roman" w:eastAsia="宋体" w:cs="Times New Roman"/>
      <w:sz w:val="20"/>
      <w:szCs w:val="20"/>
    </w:rPr>
  </w:style>
  <w:style w:type="paragraph" w:customStyle="1" w:styleId="62">
    <w:name w:val="Normal"/>
    <w:qFormat/>
    <w:uiPriority w:val="0"/>
    <w:rPr>
      <w:rFonts w:ascii="Times New Roman" w:hAnsi="Times New Roman" w:eastAsia="Times New Roman" w:cs="Times New Roman"/>
      <w:sz w:val="24"/>
      <w:szCs w:val="24"/>
      <w:lang w:val="en-US" w:eastAsia="zh-CN" w:bidi="ar-SA"/>
    </w:rPr>
  </w:style>
  <w:style w:type="character" w:customStyle="1" w:styleId="63">
    <w:name w:val="font181"/>
    <w:basedOn w:val="25"/>
    <w:qFormat/>
    <w:uiPriority w:val="0"/>
    <w:rPr>
      <w:rFonts w:hint="default" w:ascii="Times New Roman" w:hAnsi="Times New Roman" w:cs="Times New Roman"/>
      <w:color w:val="000000"/>
      <w:sz w:val="20"/>
      <w:szCs w:val="20"/>
      <w:u w:val="none"/>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131</Pages>
  <Words>28991</Words>
  <Characters>31234</Characters>
  <Lines>0</Lines>
  <Paragraphs>0</Paragraphs>
  <TotalTime>0</TotalTime>
  <ScaleCrop>false</ScaleCrop>
  <LinksUpToDate>false</LinksUpToDate>
  <CharactersWithSpaces>31580</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2020-12-22T10:25:00Z</dcterms:created>
  <dc:creator>吴涛</dc:creator>
  <cp:lastModifiedBy>*喵了个咪*</cp:lastModifiedBy>
  <cp:lastPrinted>2024-10-31T10:09:00Z</cp:lastPrinted>
  <dcterms:modified xsi:type="dcterms:W3CDTF">2024-11-24T11:13:29Z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EE4440D110C941E9BCB309F39464C4CD_13</vt:lpwstr>
  </property>
</Properties>
</file>