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9695A7">
      <w:pPr>
        <w:pStyle w:val="34"/>
        <w:rPr>
          <w:rFonts w:hint="eastAsia"/>
          <w:color w:val="auto"/>
          <w:highlight w:val="none"/>
        </w:rPr>
      </w:pPr>
      <w:bookmarkStart w:id="0" w:name="_Toc183682338"/>
      <w:bookmarkStart w:id="1" w:name="_Toc217446030"/>
    </w:p>
    <w:p w14:paraId="09BDD9AF">
      <w:pPr>
        <w:pStyle w:val="34"/>
        <w:rPr>
          <w:rFonts w:hint="eastAsia"/>
          <w:color w:val="auto"/>
          <w:highlight w:val="none"/>
        </w:rPr>
      </w:pPr>
    </w:p>
    <w:p w14:paraId="31ED0E5A">
      <w:pPr>
        <w:snapToGrid w:val="0"/>
        <w:spacing w:before="666" w:beforeLines="200" w:line="360" w:lineRule="auto"/>
        <w:jc w:val="center"/>
        <w:outlineLvl w:val="0"/>
        <w:rPr>
          <w:rFonts w:hint="eastAsia" w:ascii="宋体" w:hAnsi="宋体" w:eastAsia="宋体" w:cs="宋体"/>
          <w:color w:val="auto"/>
          <w:sz w:val="200"/>
          <w:szCs w:val="200"/>
          <w:highlight w:val="none"/>
          <w:lang w:eastAsia="zh-CN"/>
        </w:rPr>
      </w:pPr>
      <w:r>
        <w:rPr>
          <w:rFonts w:hint="eastAsia" w:ascii="宋体" w:hAnsi="宋体" w:cs="宋体"/>
          <w:b/>
          <w:bCs w:val="0"/>
          <w:color w:val="auto"/>
          <w:sz w:val="52"/>
          <w:szCs w:val="52"/>
          <w:highlight w:val="none"/>
          <w:lang w:val="en-US" w:eastAsia="zh-CN"/>
        </w:rPr>
        <w:t>伊宁县第六中学教学仪器设备采购项目（五标段）</w:t>
      </w:r>
    </w:p>
    <w:p w14:paraId="55383F06">
      <w:pPr>
        <w:pStyle w:val="12"/>
        <w:adjustRightInd w:val="0"/>
        <w:snapToGrid w:val="0"/>
        <w:spacing w:line="360" w:lineRule="auto"/>
        <w:jc w:val="center"/>
        <w:rPr>
          <w:rFonts w:hint="eastAsia" w:hAnsi="宋体"/>
          <w:b/>
          <w:color w:val="auto"/>
          <w:sz w:val="28"/>
          <w:szCs w:val="28"/>
          <w:highlight w:val="none"/>
        </w:rPr>
      </w:pPr>
    </w:p>
    <w:p w14:paraId="24BB9D73">
      <w:pPr>
        <w:pStyle w:val="12"/>
        <w:adjustRightInd w:val="0"/>
        <w:snapToGrid w:val="0"/>
        <w:spacing w:line="360" w:lineRule="auto"/>
        <w:jc w:val="center"/>
        <w:rPr>
          <w:rFonts w:hint="eastAsia" w:hAnsi="宋体"/>
          <w:b/>
          <w:color w:val="auto"/>
          <w:sz w:val="28"/>
          <w:szCs w:val="28"/>
          <w:highlight w:val="none"/>
        </w:rPr>
      </w:pPr>
    </w:p>
    <w:p w14:paraId="60CB01CC">
      <w:pPr>
        <w:pStyle w:val="12"/>
        <w:adjustRightInd w:val="0"/>
        <w:snapToGrid w:val="0"/>
        <w:spacing w:line="360" w:lineRule="auto"/>
        <w:jc w:val="center"/>
        <w:rPr>
          <w:rFonts w:hint="eastAsia" w:hAnsi="宋体"/>
          <w:b/>
          <w:color w:val="auto"/>
          <w:sz w:val="28"/>
          <w:szCs w:val="28"/>
          <w:highlight w:val="none"/>
        </w:rPr>
      </w:pPr>
    </w:p>
    <w:p w14:paraId="1B6A3814">
      <w:pPr>
        <w:pStyle w:val="12"/>
        <w:adjustRightInd w:val="0"/>
        <w:snapToGrid w:val="0"/>
        <w:spacing w:line="360" w:lineRule="auto"/>
        <w:rPr>
          <w:rFonts w:hint="eastAsia" w:hAnsi="宋体"/>
          <w:b/>
          <w:color w:val="auto"/>
          <w:sz w:val="28"/>
          <w:szCs w:val="28"/>
          <w:highlight w:val="none"/>
        </w:rPr>
      </w:pPr>
    </w:p>
    <w:p w14:paraId="59D9851F">
      <w:pPr>
        <w:pStyle w:val="12"/>
        <w:adjustRightInd w:val="0"/>
        <w:snapToGrid w:val="0"/>
        <w:spacing w:line="360" w:lineRule="auto"/>
        <w:jc w:val="center"/>
        <w:outlineLvl w:val="0"/>
        <w:rPr>
          <w:rFonts w:hint="eastAsia" w:ascii="微软雅黑" w:hAnsi="华文中宋" w:eastAsia="宋体"/>
          <w:color w:val="auto"/>
          <w:sz w:val="84"/>
          <w:szCs w:val="84"/>
          <w:highlight w:val="none"/>
          <w:lang w:val="en-US" w:eastAsia="zh-CN"/>
        </w:rPr>
      </w:pPr>
      <w:bookmarkStart w:id="2" w:name="_Toc28773"/>
      <w:r>
        <w:rPr>
          <w:rFonts w:hint="eastAsia" w:hAnsi="宋体"/>
          <w:b/>
          <w:color w:val="auto"/>
          <w:sz w:val="28"/>
          <w:szCs w:val="28"/>
          <w:highlight w:val="none"/>
        </w:rPr>
        <w:t>采购项目编号：</w:t>
      </w:r>
      <w:bookmarkEnd w:id="2"/>
      <w:r>
        <w:rPr>
          <w:rFonts w:hint="eastAsia" w:hAnsi="宋体"/>
          <w:b/>
          <w:color w:val="auto"/>
          <w:sz w:val="28"/>
          <w:szCs w:val="28"/>
          <w:highlight w:val="none"/>
          <w:lang w:eastAsia="zh-CN"/>
        </w:rPr>
        <w:t>YNXCG-GK2024003号</w:t>
      </w:r>
    </w:p>
    <w:p w14:paraId="293A4809">
      <w:pPr>
        <w:pStyle w:val="12"/>
        <w:adjustRightInd w:val="0"/>
        <w:snapToGrid w:val="0"/>
        <w:spacing w:line="360" w:lineRule="auto"/>
        <w:jc w:val="center"/>
        <w:rPr>
          <w:rFonts w:hint="eastAsia"/>
          <w:b/>
          <w:color w:val="auto"/>
          <w:sz w:val="32"/>
          <w:szCs w:val="32"/>
          <w:highlight w:val="none"/>
        </w:rPr>
      </w:pPr>
      <w:r>
        <w:rPr>
          <w:rFonts w:hint="eastAsia" w:ascii="微软雅黑" w:hAnsi="华文中宋" w:eastAsia="微软雅黑"/>
          <w:color w:val="auto"/>
          <w:sz w:val="84"/>
          <w:szCs w:val="84"/>
          <w:highlight w:val="none"/>
        </w:rPr>
        <w:t>招标文件</w:t>
      </w:r>
    </w:p>
    <w:p w14:paraId="709B9C25">
      <w:pPr>
        <w:pStyle w:val="12"/>
        <w:adjustRightInd w:val="0"/>
        <w:snapToGrid w:val="0"/>
        <w:spacing w:before="166" w:beforeLines="50" w:line="360" w:lineRule="auto"/>
        <w:rPr>
          <w:rFonts w:hint="eastAsia"/>
          <w:b/>
          <w:color w:val="auto"/>
          <w:sz w:val="32"/>
          <w:szCs w:val="32"/>
          <w:highlight w:val="none"/>
        </w:rPr>
      </w:pPr>
    </w:p>
    <w:p w14:paraId="24E7B3D0">
      <w:pPr>
        <w:pStyle w:val="12"/>
        <w:adjustRightInd w:val="0"/>
        <w:snapToGrid w:val="0"/>
        <w:spacing w:before="166" w:beforeLines="50" w:line="360" w:lineRule="auto"/>
        <w:rPr>
          <w:rFonts w:hint="eastAsia"/>
          <w:b/>
          <w:color w:val="auto"/>
          <w:sz w:val="32"/>
          <w:szCs w:val="32"/>
          <w:highlight w:val="none"/>
        </w:rPr>
      </w:pPr>
    </w:p>
    <w:p w14:paraId="2534C2F7">
      <w:pPr>
        <w:pStyle w:val="12"/>
        <w:adjustRightInd w:val="0"/>
        <w:snapToGrid w:val="0"/>
        <w:spacing w:before="166" w:beforeLines="50" w:line="360" w:lineRule="auto"/>
        <w:rPr>
          <w:rFonts w:hint="eastAsia"/>
          <w:b/>
          <w:color w:val="auto"/>
          <w:sz w:val="32"/>
          <w:szCs w:val="32"/>
          <w:highlight w:val="none"/>
        </w:rPr>
      </w:pPr>
    </w:p>
    <w:p w14:paraId="4A8356E3">
      <w:pPr>
        <w:autoSpaceDE w:val="0"/>
        <w:autoSpaceDN w:val="0"/>
        <w:spacing w:line="480" w:lineRule="auto"/>
        <w:ind w:firstLine="1181" w:firstLineChars="400"/>
        <w:jc w:val="both"/>
        <w:outlineLvl w:val="0"/>
        <w:rPr>
          <w:rFonts w:hint="eastAsia" w:asciiTheme="majorEastAsia" w:hAnsiTheme="majorEastAsia" w:eastAsiaTheme="majorEastAsia" w:cstheme="majorEastAsia"/>
          <w:b/>
          <w:bCs/>
          <w:color w:val="auto"/>
          <w:spacing w:val="-8"/>
          <w:sz w:val="31"/>
          <w:szCs w:val="31"/>
          <w:highlight w:val="none"/>
          <w:lang w:val="zh-CN"/>
        </w:rPr>
      </w:pPr>
      <w:bookmarkStart w:id="3" w:name="_Toc9021"/>
      <w:r>
        <w:rPr>
          <w:rFonts w:hint="eastAsia" w:asciiTheme="majorEastAsia" w:hAnsiTheme="majorEastAsia" w:eastAsiaTheme="majorEastAsia" w:cstheme="majorEastAsia"/>
          <w:b/>
          <w:bCs/>
          <w:color w:val="auto"/>
          <w:spacing w:val="-8"/>
          <w:sz w:val="31"/>
          <w:szCs w:val="31"/>
          <w:highlight w:val="none"/>
        </w:rPr>
        <w:t>采   购   人</w:t>
      </w:r>
      <w:r>
        <w:rPr>
          <w:rFonts w:hint="eastAsia" w:asciiTheme="majorEastAsia" w:hAnsiTheme="majorEastAsia" w:eastAsiaTheme="majorEastAsia" w:cstheme="majorEastAsia"/>
          <w:b/>
          <w:bCs/>
          <w:color w:val="auto"/>
          <w:spacing w:val="-8"/>
          <w:sz w:val="31"/>
          <w:szCs w:val="31"/>
          <w:highlight w:val="none"/>
          <w:lang w:val="zh-CN"/>
        </w:rPr>
        <w:t>：</w:t>
      </w:r>
      <w:bookmarkEnd w:id="3"/>
      <w:r>
        <w:rPr>
          <w:rFonts w:hint="eastAsia" w:asciiTheme="majorEastAsia" w:hAnsiTheme="majorEastAsia" w:eastAsiaTheme="majorEastAsia" w:cstheme="majorEastAsia"/>
          <w:b/>
          <w:bCs/>
          <w:color w:val="auto"/>
          <w:spacing w:val="-8"/>
          <w:sz w:val="31"/>
          <w:szCs w:val="31"/>
          <w:highlight w:val="none"/>
          <w:lang w:val="zh-CN"/>
        </w:rPr>
        <w:t>伊宁县教育局</w:t>
      </w:r>
    </w:p>
    <w:p w14:paraId="3C0E4189">
      <w:pPr>
        <w:autoSpaceDE w:val="0"/>
        <w:autoSpaceDN w:val="0"/>
        <w:spacing w:line="480" w:lineRule="auto"/>
        <w:ind w:firstLine="1181" w:firstLineChars="400"/>
        <w:jc w:val="both"/>
        <w:outlineLvl w:val="0"/>
        <w:rPr>
          <w:rFonts w:hint="eastAsia" w:asciiTheme="majorEastAsia" w:hAnsiTheme="majorEastAsia" w:eastAsiaTheme="majorEastAsia" w:cstheme="majorEastAsia"/>
          <w:color w:val="auto"/>
          <w:sz w:val="28"/>
          <w:szCs w:val="28"/>
          <w:highlight w:val="none"/>
        </w:rPr>
      </w:pPr>
      <w:bookmarkStart w:id="4" w:name="_Toc10654"/>
      <w:r>
        <w:rPr>
          <w:rFonts w:hint="eastAsia" w:asciiTheme="majorEastAsia" w:hAnsiTheme="majorEastAsia" w:eastAsiaTheme="majorEastAsia" w:cstheme="majorEastAsia"/>
          <w:b/>
          <w:bCs/>
          <w:color w:val="auto"/>
          <w:spacing w:val="-8"/>
          <w:sz w:val="31"/>
          <w:szCs w:val="31"/>
          <w:highlight w:val="none"/>
          <w:lang w:val="zh-CN"/>
        </w:rPr>
        <w:t>代理机构：</w:t>
      </w:r>
      <w:bookmarkEnd w:id="4"/>
      <w:r>
        <w:rPr>
          <w:rFonts w:hint="eastAsia" w:asciiTheme="majorEastAsia" w:hAnsiTheme="majorEastAsia" w:eastAsiaTheme="majorEastAsia" w:cstheme="majorEastAsia"/>
          <w:b/>
          <w:bCs/>
          <w:color w:val="auto"/>
          <w:spacing w:val="-8"/>
          <w:sz w:val="31"/>
          <w:szCs w:val="31"/>
          <w:highlight w:val="none"/>
          <w:lang w:val="zh-CN"/>
        </w:rPr>
        <w:t>伊宁县政府采购中心</w:t>
      </w:r>
    </w:p>
    <w:p w14:paraId="3E5E3510">
      <w:pPr>
        <w:autoSpaceDE w:val="0"/>
        <w:autoSpaceDN w:val="0"/>
        <w:spacing w:line="480" w:lineRule="auto"/>
        <w:ind w:firstLine="1181" w:firstLineChars="400"/>
        <w:jc w:val="both"/>
        <w:rPr>
          <w:rFonts w:hint="default" w:asciiTheme="majorEastAsia" w:hAnsiTheme="majorEastAsia" w:eastAsiaTheme="majorEastAsia" w:cstheme="majorEastAsia"/>
          <w:b/>
          <w:bCs/>
          <w:color w:val="auto"/>
          <w:spacing w:val="-8"/>
          <w:sz w:val="31"/>
          <w:szCs w:val="31"/>
          <w:highlight w:val="none"/>
          <w:lang w:val="en-US" w:eastAsia="zh-CN"/>
        </w:rPr>
      </w:pPr>
      <w:r>
        <w:rPr>
          <w:rFonts w:hint="eastAsia" w:asciiTheme="majorEastAsia" w:hAnsiTheme="majorEastAsia" w:eastAsiaTheme="majorEastAsia" w:cstheme="majorEastAsia"/>
          <w:b/>
          <w:bCs/>
          <w:color w:val="auto"/>
          <w:spacing w:val="-8"/>
          <w:sz w:val="31"/>
          <w:szCs w:val="31"/>
          <w:highlight w:val="none"/>
          <w:lang w:val="en-US" w:eastAsia="zh-CN"/>
        </w:rPr>
        <w:t>日期：</w:t>
      </w:r>
      <w:r>
        <w:rPr>
          <w:rFonts w:hint="eastAsia" w:asciiTheme="majorEastAsia" w:hAnsiTheme="majorEastAsia" w:eastAsiaTheme="majorEastAsia" w:cstheme="majorEastAsia"/>
          <w:b/>
          <w:bCs/>
          <w:color w:val="auto"/>
          <w:spacing w:val="-8"/>
          <w:sz w:val="31"/>
          <w:szCs w:val="31"/>
          <w:highlight w:val="none"/>
          <w:lang w:val="zh-CN"/>
        </w:rPr>
        <w:t>20</w:t>
      </w:r>
      <w:r>
        <w:rPr>
          <w:rFonts w:hint="eastAsia" w:asciiTheme="majorEastAsia" w:hAnsiTheme="majorEastAsia" w:eastAsiaTheme="majorEastAsia" w:cstheme="majorEastAsia"/>
          <w:b/>
          <w:bCs/>
          <w:color w:val="auto"/>
          <w:spacing w:val="-8"/>
          <w:sz w:val="31"/>
          <w:szCs w:val="31"/>
          <w:highlight w:val="none"/>
          <w:lang w:val="en-US" w:eastAsia="zh-CN"/>
        </w:rPr>
        <w:t>24</w:t>
      </w:r>
      <w:r>
        <w:rPr>
          <w:rFonts w:hint="eastAsia" w:asciiTheme="majorEastAsia" w:hAnsiTheme="majorEastAsia" w:eastAsiaTheme="majorEastAsia" w:cstheme="majorEastAsia"/>
          <w:b/>
          <w:bCs/>
          <w:color w:val="auto"/>
          <w:spacing w:val="-8"/>
          <w:sz w:val="31"/>
          <w:szCs w:val="31"/>
          <w:highlight w:val="none"/>
          <w:lang w:val="zh-CN"/>
        </w:rPr>
        <w:t>年</w:t>
      </w:r>
      <w:r>
        <w:rPr>
          <w:rFonts w:hint="eastAsia" w:asciiTheme="majorEastAsia" w:hAnsiTheme="majorEastAsia" w:eastAsiaTheme="majorEastAsia" w:cstheme="majorEastAsia"/>
          <w:b/>
          <w:bCs/>
          <w:color w:val="auto"/>
          <w:spacing w:val="-8"/>
          <w:sz w:val="31"/>
          <w:szCs w:val="31"/>
          <w:highlight w:val="none"/>
          <w:lang w:val="en-US" w:eastAsia="zh-CN"/>
        </w:rPr>
        <w:t>10</w:t>
      </w:r>
      <w:r>
        <w:rPr>
          <w:rFonts w:hint="eastAsia" w:asciiTheme="majorEastAsia" w:hAnsiTheme="majorEastAsia" w:eastAsiaTheme="majorEastAsia" w:cstheme="majorEastAsia"/>
          <w:b/>
          <w:bCs/>
          <w:color w:val="auto"/>
          <w:spacing w:val="-8"/>
          <w:sz w:val="31"/>
          <w:szCs w:val="31"/>
          <w:highlight w:val="none"/>
          <w:lang w:val="zh-CN"/>
        </w:rPr>
        <w:t>月</w:t>
      </w:r>
      <w:r>
        <w:rPr>
          <w:rFonts w:hint="eastAsia" w:asciiTheme="majorEastAsia" w:hAnsiTheme="majorEastAsia" w:eastAsiaTheme="majorEastAsia" w:cstheme="majorEastAsia"/>
          <w:b/>
          <w:bCs/>
          <w:color w:val="auto"/>
          <w:spacing w:val="-8"/>
          <w:sz w:val="31"/>
          <w:szCs w:val="31"/>
          <w:highlight w:val="none"/>
          <w:lang w:val="en-US" w:eastAsia="zh-CN"/>
        </w:rPr>
        <w:t>30日</w:t>
      </w:r>
    </w:p>
    <w:p w14:paraId="1A41F993">
      <w:pPr>
        <w:autoSpaceDE w:val="0"/>
        <w:autoSpaceDN w:val="0"/>
        <w:spacing w:line="480" w:lineRule="auto"/>
        <w:ind w:firstLine="590" w:firstLineChars="200"/>
        <w:jc w:val="center"/>
        <w:rPr>
          <w:rFonts w:hint="eastAsia"/>
          <w:b/>
          <w:bCs/>
          <w:color w:val="auto"/>
          <w:spacing w:val="-8"/>
          <w:sz w:val="31"/>
          <w:szCs w:val="31"/>
          <w:highlight w:val="none"/>
          <w:lang w:val="zh-CN"/>
        </w:rPr>
        <w:sectPr>
          <w:headerReference r:id="rId5" w:type="first"/>
          <w:headerReference r:id="rId3" w:type="default"/>
          <w:footerReference r:id="rId6" w:type="default"/>
          <w:headerReference r:id="rId4" w:type="even"/>
          <w:foot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33" w:charSpace="0"/>
        </w:sectPr>
      </w:pPr>
    </w:p>
    <w:p w14:paraId="02A23D29">
      <w:pPr>
        <w:pStyle w:val="3"/>
        <w:spacing w:line="480" w:lineRule="exact"/>
        <w:jc w:val="center"/>
        <w:outlineLvl w:val="0"/>
        <w:rPr>
          <w:rFonts w:hint="eastAsia" w:asciiTheme="minorEastAsia" w:hAnsiTheme="minorEastAsia" w:eastAsiaTheme="minorEastAsia" w:cstheme="minorEastAsia"/>
          <w:bCs/>
          <w:color w:val="auto"/>
          <w:sz w:val="36"/>
          <w:highlight w:val="none"/>
        </w:rPr>
      </w:pPr>
      <w:bookmarkStart w:id="5" w:name="_Toc7602"/>
      <w:r>
        <w:rPr>
          <w:rFonts w:hint="eastAsia" w:asciiTheme="minorEastAsia" w:hAnsiTheme="minorEastAsia" w:eastAsiaTheme="minorEastAsia" w:cstheme="minorEastAsia"/>
          <w:bCs/>
          <w:color w:val="auto"/>
          <w:sz w:val="36"/>
          <w:highlight w:val="none"/>
        </w:rPr>
        <w:t>目    录</w:t>
      </w:r>
      <w:bookmarkEnd w:id="5"/>
    </w:p>
    <w:sdt>
      <w:sdtPr>
        <w:rPr>
          <w:rFonts w:ascii="宋体" w:hAnsi="宋体" w:eastAsia="宋体" w:cs="Times New Roman"/>
          <w:color w:val="auto"/>
          <w:kern w:val="2"/>
          <w:sz w:val="21"/>
          <w:szCs w:val="24"/>
          <w:highlight w:val="none"/>
          <w:lang w:val="en-US" w:eastAsia="zh-CN" w:bidi="ar-SA"/>
        </w:rPr>
        <w:id w:val="147477137"/>
        <w15:color w:val="DBDBDB"/>
        <w:docPartObj>
          <w:docPartGallery w:val="Table of Contents"/>
          <w:docPartUnique/>
        </w:docPartObj>
      </w:sdtPr>
      <w:sdtEndPr>
        <w:rPr>
          <w:rFonts w:hint="eastAsia" w:ascii="宋体" w:hAnsi="宋体" w:eastAsia="宋体" w:cs="Times New Roman"/>
          <w:b/>
          <w:bCs/>
          <w:color w:val="auto"/>
          <w:kern w:val="2"/>
          <w:sz w:val="28"/>
          <w:szCs w:val="21"/>
          <w:highlight w:val="none"/>
          <w:lang w:val="en-US" w:eastAsia="zh-CN" w:bidi="ar-SA"/>
        </w:rPr>
      </w:sdtEndPr>
      <w:sdtContent>
        <w:p w14:paraId="480AFEBA">
          <w:pPr>
            <w:spacing w:before="0" w:beforeLines="0" w:after="0" w:afterLines="0" w:line="240" w:lineRule="auto"/>
            <w:ind w:left="0" w:leftChars="0" w:right="0" w:rightChars="0" w:firstLine="0" w:firstLineChars="0"/>
            <w:jc w:val="center"/>
            <w:rPr>
              <w:color w:val="auto"/>
              <w:highlight w:val="none"/>
            </w:rPr>
          </w:pPr>
        </w:p>
        <w:p w14:paraId="5CB61203">
          <w:pPr>
            <w:pStyle w:val="60"/>
            <w:tabs>
              <w:tab w:val="right" w:leader="dot" w:pos="9830"/>
            </w:tabs>
            <w:rPr>
              <w:b/>
              <w:color w:val="auto"/>
              <w:highlight w:val="none"/>
            </w:rPr>
          </w:pPr>
          <w:r>
            <w:rPr>
              <w:rFonts w:hint="eastAsia" w:ascii="宋体" w:hAnsi="宋体" w:eastAsia="宋体"/>
              <w:b w:val="0"/>
              <w:bCs/>
              <w:color w:val="auto"/>
              <w:sz w:val="21"/>
              <w:szCs w:val="21"/>
              <w:highlight w:val="none"/>
            </w:rPr>
            <w:fldChar w:fldCharType="begin"/>
          </w:r>
          <w:r>
            <w:rPr>
              <w:rFonts w:hint="eastAsia" w:ascii="宋体" w:hAnsi="宋体" w:eastAsia="宋体"/>
              <w:b w:val="0"/>
              <w:bCs/>
              <w:color w:val="auto"/>
              <w:sz w:val="21"/>
              <w:szCs w:val="21"/>
              <w:highlight w:val="none"/>
            </w:rPr>
            <w:instrText xml:space="preserve">TOC \o "1-2" \h \u </w:instrText>
          </w:r>
          <w:r>
            <w:rPr>
              <w:rFonts w:hint="eastAsia" w:ascii="宋体" w:hAnsi="宋体" w:eastAsia="宋体"/>
              <w:b w:val="0"/>
              <w:bCs/>
              <w:color w:val="auto"/>
              <w:sz w:val="21"/>
              <w:szCs w:val="21"/>
              <w:highlight w:val="none"/>
            </w:rPr>
            <w:fldChar w:fldCharType="separate"/>
          </w:r>
        </w:p>
        <w:p w14:paraId="2738FCBC">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_Toc16383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第一</w:t>
          </w:r>
          <w:r>
            <w:rPr>
              <w:rFonts w:hint="eastAsia" w:asciiTheme="minorEastAsia" w:hAnsiTheme="minorEastAsia" w:eastAsiaTheme="minorEastAsia" w:cstheme="minorEastAsia"/>
              <w:b/>
              <w:color w:val="auto"/>
              <w:sz w:val="21"/>
              <w:szCs w:val="21"/>
              <w:highlight w:val="none"/>
            </w:rPr>
            <w:t>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sz w:val="21"/>
              <w:szCs w:val="21"/>
              <w:highlight w:val="none"/>
            </w:rPr>
            <w:t>招标公告</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_Toc16383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4B36D19">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_Toc29688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第二章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投标人须知</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_Toc29688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5</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ECA19BF">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_Toc5672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第三章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评标办法</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_Toc5672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2FDBCB01">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_Toc24751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rPr>
            <w:t>第四章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lang w:val="en-US" w:eastAsia="zh-CN"/>
            </w:rPr>
            <w:t>采购内容及要求</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_Toc24751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47</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52BCB32">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_Toc15292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第五章 采购合同格式（仅供参考）</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_Toc15292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83</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BD2CA54">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_Toc18821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第六章 投标文件格式</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_Toc18821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93</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61E055D">
          <w:pPr>
            <w:pStyle w:val="61"/>
            <w:tabs>
              <w:tab w:val="right" w:leader="dot" w:pos="9830"/>
            </w:tabs>
            <w:rPr>
              <w:color w:val="auto"/>
              <w:highlight w:val="none"/>
            </w:rPr>
          </w:pPr>
        </w:p>
        <w:p w14:paraId="4E9C2139">
          <w:pPr>
            <w:pStyle w:val="3"/>
            <w:spacing w:before="0" w:after="0" w:line="360" w:lineRule="auto"/>
            <w:ind w:firstLine="1405" w:firstLineChars="500"/>
            <w:outlineLvl w:val="9"/>
            <w:rPr>
              <w:rFonts w:hint="eastAsia" w:ascii="宋体" w:hAnsi="宋体" w:eastAsia="宋体"/>
              <w:b w:val="0"/>
              <w:bCs/>
              <w:color w:val="auto"/>
              <w:sz w:val="21"/>
              <w:szCs w:val="21"/>
              <w:highlight w:val="none"/>
            </w:rPr>
          </w:pPr>
          <w:r>
            <w:rPr>
              <w:rFonts w:hint="eastAsia" w:ascii="宋体" w:hAnsi="宋体" w:eastAsia="宋体"/>
              <w:b/>
              <w:bCs/>
              <w:color w:val="auto"/>
              <w:szCs w:val="21"/>
              <w:highlight w:val="none"/>
            </w:rPr>
            <w:fldChar w:fldCharType="end"/>
          </w:r>
        </w:p>
      </w:sdtContent>
    </w:sdt>
    <w:p w14:paraId="6C3F4648">
      <w:pPr>
        <w:pStyle w:val="7"/>
        <w:rPr>
          <w:rFonts w:hint="eastAsia"/>
          <w:color w:val="auto"/>
          <w:szCs w:val="21"/>
          <w:highlight w:val="none"/>
        </w:rPr>
      </w:pPr>
    </w:p>
    <w:p w14:paraId="0A7A4BBE">
      <w:pPr>
        <w:pStyle w:val="7"/>
        <w:rPr>
          <w:rFonts w:hint="eastAsia"/>
          <w:color w:val="auto"/>
          <w:szCs w:val="21"/>
          <w:highlight w:val="none"/>
        </w:rPr>
      </w:pPr>
    </w:p>
    <w:p w14:paraId="39900894">
      <w:pPr>
        <w:pStyle w:val="7"/>
        <w:rPr>
          <w:rFonts w:hint="eastAsia"/>
          <w:color w:val="auto"/>
          <w:szCs w:val="21"/>
          <w:highlight w:val="none"/>
        </w:rPr>
      </w:pPr>
    </w:p>
    <w:p w14:paraId="63D037F8">
      <w:pPr>
        <w:pStyle w:val="7"/>
        <w:rPr>
          <w:rFonts w:hint="eastAsia"/>
          <w:color w:val="auto"/>
          <w:szCs w:val="21"/>
          <w:highlight w:val="none"/>
        </w:rPr>
      </w:pPr>
    </w:p>
    <w:p w14:paraId="64E6DABC">
      <w:pPr>
        <w:pStyle w:val="7"/>
        <w:rPr>
          <w:rFonts w:hint="eastAsia"/>
          <w:color w:val="auto"/>
          <w:szCs w:val="21"/>
          <w:highlight w:val="none"/>
        </w:rPr>
      </w:pPr>
    </w:p>
    <w:bookmarkEnd w:id="0"/>
    <w:bookmarkEnd w:id="1"/>
    <w:p w14:paraId="754919E2">
      <w:pPr>
        <w:pStyle w:val="7"/>
        <w:spacing w:before="120" w:beforeLines="50" w:after="360" w:afterLines="150"/>
        <w:ind w:firstLine="0"/>
        <w:jc w:val="center"/>
        <w:rPr>
          <w:rFonts w:hint="eastAsia" w:ascii="黑体" w:hAnsi="宋体" w:eastAsia="黑体"/>
          <w:b/>
          <w:color w:val="auto"/>
          <w:kern w:val="44"/>
          <w:sz w:val="44"/>
          <w:szCs w:val="44"/>
          <w:highlight w:val="none"/>
        </w:rPr>
        <w:sectPr>
          <w:footerReference r:id="rId8" w:type="default"/>
          <w:pgSz w:w="11910" w:h="16840"/>
          <w:pgMar w:top="1100" w:right="1000" w:bottom="1680" w:left="1080" w:header="873" w:footer="1485" w:gutter="0"/>
          <w:pgBorders>
            <w:top w:val="none" w:sz="0" w:space="0"/>
            <w:left w:val="none" w:sz="0" w:space="0"/>
            <w:bottom w:val="none" w:sz="0" w:space="0"/>
            <w:right w:val="none" w:sz="0" w:space="0"/>
          </w:pgBorders>
          <w:pgNumType w:fmt="decimal" w:start="50"/>
          <w:cols w:space="720" w:num="1"/>
        </w:sectPr>
      </w:pPr>
    </w:p>
    <w:p w14:paraId="085E65CD">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olor w:val="auto"/>
          <w:sz w:val="44"/>
          <w:szCs w:val="44"/>
          <w:highlight w:val="none"/>
        </w:rPr>
      </w:pPr>
      <w:bookmarkStart w:id="6" w:name="_Toc16383"/>
      <w:r>
        <w:rPr>
          <w:rFonts w:hint="eastAsia" w:ascii="黑体" w:hAnsi="宋体" w:eastAsia="黑体"/>
          <w:b/>
          <w:color w:val="auto"/>
          <w:kern w:val="44"/>
          <w:sz w:val="44"/>
          <w:szCs w:val="44"/>
          <w:highlight w:val="none"/>
        </w:rPr>
        <w:t>第一</w:t>
      </w:r>
      <w:r>
        <w:rPr>
          <w:rFonts w:hint="eastAsia" w:ascii="黑体" w:hAnsi="宋体" w:eastAsia="黑体"/>
          <w:b/>
          <w:color w:val="auto"/>
          <w:sz w:val="44"/>
          <w:szCs w:val="44"/>
          <w:highlight w:val="none"/>
        </w:rPr>
        <w:t>章</w:t>
      </w:r>
      <w:r>
        <w:rPr>
          <w:rFonts w:hint="eastAsia" w:ascii="黑体" w:hAnsi="宋体" w:eastAsia="黑体"/>
          <w:b/>
          <w:color w:val="auto"/>
          <w:sz w:val="44"/>
          <w:szCs w:val="44"/>
          <w:highlight w:val="none"/>
          <w:lang w:val="en-US" w:eastAsia="zh-CN"/>
        </w:rPr>
        <w:t xml:space="preserve"> </w:t>
      </w:r>
      <w:r>
        <w:rPr>
          <w:rFonts w:hint="eastAsia" w:ascii="黑体" w:hAnsi="宋体" w:eastAsia="黑体"/>
          <w:b/>
          <w:color w:val="auto"/>
          <w:sz w:val="44"/>
          <w:szCs w:val="44"/>
          <w:highlight w:val="none"/>
        </w:rPr>
        <w:t>招标公告</w:t>
      </w:r>
      <w:bookmarkEnd w:id="6"/>
    </w:p>
    <w:p w14:paraId="04C5E907">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val="0"/>
          <w:bCs/>
          <w:color w:val="auto"/>
          <w:sz w:val="36"/>
          <w:szCs w:val="36"/>
          <w:highlight w:val="none"/>
          <w:lang w:eastAsia="zh-CN"/>
        </w:rPr>
      </w:pPr>
      <w:bookmarkStart w:id="7" w:name="_Toc217446031"/>
      <w:bookmarkStart w:id="8" w:name="_Toc213396945"/>
      <w:bookmarkStart w:id="9" w:name="_Toc213396759"/>
      <w:bookmarkStart w:id="10" w:name="_Toc213397009"/>
      <w:bookmarkStart w:id="11" w:name="_Toc213496267"/>
      <w:bookmarkStart w:id="12" w:name="_Toc183682339"/>
      <w:bookmarkStart w:id="13" w:name="_Toc89075871"/>
      <w:bookmarkStart w:id="14" w:name="_Toc183582202"/>
      <w:bookmarkStart w:id="15" w:name="_Toc77400776"/>
      <w:r>
        <w:rPr>
          <w:rFonts w:hint="eastAsia" w:asciiTheme="minorEastAsia" w:hAnsiTheme="minorEastAsia" w:eastAsiaTheme="minorEastAsia" w:cstheme="minorEastAsia"/>
          <w:b/>
          <w:bCs w:val="0"/>
          <w:color w:val="auto"/>
          <w:sz w:val="36"/>
          <w:szCs w:val="36"/>
          <w:highlight w:val="none"/>
          <w:lang w:val="en-US" w:eastAsia="zh-CN"/>
        </w:rPr>
        <w:t>伊宁县第六中学教学仪器设备采购项目</w:t>
      </w:r>
      <w:bookmarkStart w:id="16" w:name="_Toc7266"/>
      <w:r>
        <w:rPr>
          <w:rFonts w:hint="eastAsia" w:asciiTheme="minorEastAsia" w:hAnsiTheme="minorEastAsia" w:eastAsiaTheme="minorEastAsia" w:cstheme="minorEastAsia"/>
          <w:b/>
          <w:bCs w:val="0"/>
          <w:color w:val="auto"/>
          <w:sz w:val="36"/>
          <w:szCs w:val="36"/>
          <w:highlight w:val="none"/>
          <w:lang w:val="en-US" w:eastAsia="zh-CN"/>
        </w:rPr>
        <w:t>公开招标公告</w:t>
      </w:r>
      <w:bookmarkEnd w:id="16"/>
    </w:p>
    <w:p w14:paraId="0CF0E8DF">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rPr>
        <w:t>项目概况</w:t>
      </w:r>
    </w:p>
    <w:p w14:paraId="116501E1">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left="0" w:firstLine="480" w:firstLineChars="200"/>
        <w:textAlignment w:val="auto"/>
        <w:rPr>
          <w:rFonts w:hint="eastAsia" w:ascii="宋体" w:hAnsi="宋体" w:eastAsia="宋体" w:cs="宋体"/>
          <w:b/>
          <w:bCs/>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single"/>
          <w:lang w:eastAsia="zh-CN"/>
        </w:rPr>
        <w:t>伊宁县第六中学教学仪器设备采购项目</w:t>
      </w:r>
      <w:r>
        <w:rPr>
          <w:rFonts w:hint="eastAsia" w:asciiTheme="minorEastAsia" w:hAnsiTheme="minorEastAsia" w:eastAsiaTheme="minorEastAsia" w:cstheme="minorEastAsia"/>
          <w:i w:val="0"/>
          <w:iCs w:val="0"/>
          <w:color w:val="auto"/>
          <w:sz w:val="24"/>
          <w:szCs w:val="24"/>
          <w:highlight w:val="none"/>
          <w:u w:val="none"/>
        </w:rPr>
        <w:t>的潜在</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应在政采云系统平台（https://www.zcygov.cn/）获取采购文件，</w:t>
      </w:r>
      <w:r>
        <w:rPr>
          <w:rFonts w:hint="eastAsia" w:asciiTheme="minorEastAsia" w:hAnsiTheme="minorEastAsia" w:eastAsiaTheme="minorEastAsia" w:cstheme="minorEastAsia"/>
          <w:b/>
          <w:bCs/>
          <w:i w:val="0"/>
          <w:iCs w:val="0"/>
          <w:color w:val="auto"/>
          <w:sz w:val="24"/>
          <w:szCs w:val="24"/>
          <w:highlight w:val="none"/>
          <w:u w:val="none"/>
        </w:rPr>
        <w:t>并于</w:t>
      </w:r>
      <w:r>
        <w:rPr>
          <w:rFonts w:hint="eastAsia" w:asciiTheme="minorEastAsia" w:hAnsiTheme="minorEastAsia" w:eastAsiaTheme="minorEastAsia" w:cstheme="minorEastAsia"/>
          <w:b/>
          <w:bCs/>
          <w:i w:val="0"/>
          <w:iCs w:val="0"/>
          <w:color w:val="auto"/>
          <w:sz w:val="24"/>
          <w:szCs w:val="24"/>
          <w:highlight w:val="none"/>
          <w:u w:val="single"/>
          <w:lang w:val="en-US" w:eastAsia="zh-CN"/>
        </w:rPr>
        <w:t>2024</w:t>
      </w:r>
      <w:r>
        <w:rPr>
          <w:rFonts w:hint="eastAsia" w:asciiTheme="minorEastAsia" w:hAnsiTheme="minorEastAsia" w:eastAsiaTheme="minorEastAsia" w:cstheme="minorEastAsia"/>
          <w:b/>
          <w:bCs/>
          <w:i w:val="0"/>
          <w:iCs w:val="0"/>
          <w:color w:val="auto"/>
          <w:sz w:val="24"/>
          <w:szCs w:val="24"/>
          <w:highlight w:val="none"/>
          <w:u w:val="single"/>
        </w:rPr>
        <w:t>年</w:t>
      </w:r>
      <w:r>
        <w:rPr>
          <w:rFonts w:hint="eastAsia" w:asciiTheme="minorEastAsia" w:hAnsiTheme="minorEastAsia" w:eastAsiaTheme="minorEastAsia" w:cstheme="minorEastAsia"/>
          <w:b/>
          <w:bCs/>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bCs/>
          <w:color w:val="auto"/>
          <w:kern w:val="2"/>
          <w:sz w:val="24"/>
          <w:szCs w:val="24"/>
          <w:highlight w:val="none"/>
          <w:u w:val="single"/>
          <w:lang w:val="en-US" w:eastAsia="zh-CN" w:bidi="ar-SA"/>
        </w:rPr>
        <w:t>10点</w:t>
      </w:r>
      <w:r>
        <w:rPr>
          <w:rFonts w:hint="eastAsia" w:asciiTheme="minorEastAsia" w:hAnsiTheme="minorEastAsia" w:eastAsiaTheme="minorEastAsia" w:cstheme="minorEastAsia"/>
          <w:b/>
          <w:bCs/>
          <w:i w:val="0"/>
          <w:iCs w:val="0"/>
          <w:color w:val="auto"/>
          <w:sz w:val="24"/>
          <w:szCs w:val="24"/>
          <w:highlight w:val="none"/>
          <w:u w:val="single"/>
          <w:lang w:val="en-US" w:eastAsia="zh-CN"/>
        </w:rPr>
        <w:t>3</w:t>
      </w:r>
      <w:r>
        <w:rPr>
          <w:rFonts w:hint="eastAsia" w:asciiTheme="minorEastAsia" w:hAnsiTheme="minorEastAsia" w:eastAsiaTheme="minorEastAsia" w:cstheme="minorEastAsia"/>
          <w:b/>
          <w:bCs/>
          <w:color w:val="auto"/>
          <w:kern w:val="2"/>
          <w:sz w:val="24"/>
          <w:szCs w:val="24"/>
          <w:highlight w:val="none"/>
          <w:u w:val="single"/>
          <w:lang w:val="en-US" w:eastAsia="zh-CN" w:bidi="ar-SA"/>
        </w:rPr>
        <w:t>0</w:t>
      </w:r>
      <w:r>
        <w:rPr>
          <w:rFonts w:hint="eastAsia" w:asciiTheme="minorEastAsia" w:hAnsiTheme="minorEastAsia" w:eastAsiaTheme="minorEastAsia" w:cstheme="minorEastAsia"/>
          <w:b/>
          <w:bCs/>
          <w:i w:val="0"/>
          <w:iCs w:val="0"/>
          <w:color w:val="auto"/>
          <w:sz w:val="24"/>
          <w:szCs w:val="24"/>
          <w:highlight w:val="none"/>
          <w:u w:val="single"/>
        </w:rPr>
        <w:t>分</w:t>
      </w:r>
      <w:r>
        <w:rPr>
          <w:rFonts w:hint="eastAsia" w:asciiTheme="minorEastAsia" w:hAnsiTheme="minorEastAsia" w:eastAsiaTheme="minorEastAsia" w:cstheme="minorEastAsia"/>
          <w:b/>
          <w:bCs/>
          <w:i w:val="0"/>
          <w:iCs w:val="0"/>
          <w:color w:val="auto"/>
          <w:sz w:val="24"/>
          <w:szCs w:val="24"/>
          <w:highlight w:val="none"/>
          <w:u w:val="none"/>
        </w:rPr>
        <w:t>（北京时间）前递交投标文件。</w:t>
      </w:r>
    </w:p>
    <w:p w14:paraId="27ED9363">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17" w:name="_Toc28359002"/>
      <w:bookmarkStart w:id="18" w:name="_Toc35393790"/>
      <w:bookmarkStart w:id="19" w:name="_Toc11836"/>
      <w:bookmarkStart w:id="20" w:name="_Toc35393621"/>
      <w:bookmarkStart w:id="21" w:name="_Toc28359079"/>
      <w:bookmarkStart w:id="22" w:name="_Hlk24379207"/>
      <w:r>
        <w:rPr>
          <w:rFonts w:hint="eastAsia" w:asciiTheme="minorEastAsia" w:hAnsiTheme="minorEastAsia" w:eastAsiaTheme="minorEastAsia" w:cstheme="minorEastAsia"/>
          <w:b/>
          <w:bCs w:val="0"/>
          <w:i w:val="0"/>
          <w:iCs w:val="0"/>
          <w:color w:val="auto"/>
          <w:sz w:val="24"/>
          <w:szCs w:val="24"/>
          <w:highlight w:val="none"/>
        </w:rPr>
        <w:t>一、项目基本情况</w:t>
      </w:r>
      <w:bookmarkEnd w:id="17"/>
      <w:bookmarkEnd w:id="18"/>
      <w:bookmarkEnd w:id="19"/>
      <w:bookmarkEnd w:id="20"/>
      <w:bookmarkEnd w:id="21"/>
    </w:p>
    <w:p w14:paraId="1F053F4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eastAsia="zh-CN"/>
        </w:rPr>
        <w:t>项目编号：</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YNXCG-GK2024003号</w:t>
      </w:r>
    </w:p>
    <w:p w14:paraId="70553E8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u w:val="none"/>
        </w:rPr>
        <w:t>项目名称：</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伊宁县第六中学教学仪器设备采购项目</w:t>
      </w:r>
    </w:p>
    <w:bookmarkEnd w:id="22"/>
    <w:p w14:paraId="2C605EB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lang w:val="en-US" w:eastAsia="zh-CN"/>
        </w:rPr>
        <w:t>采购方式：</w:t>
      </w:r>
      <w:r>
        <w:rPr>
          <w:rFonts w:hint="eastAsia" w:asciiTheme="minorEastAsia" w:hAnsiTheme="minorEastAsia" w:eastAsiaTheme="minorEastAsia" w:cstheme="minorEastAsia"/>
          <w:b w:val="0"/>
          <w:bCs w:val="0"/>
          <w:i w:val="0"/>
          <w:iCs w:val="0"/>
          <w:color w:val="auto"/>
          <w:sz w:val="24"/>
          <w:szCs w:val="24"/>
          <w:highlight w:val="none"/>
          <w:lang w:val="en-US" w:eastAsia="zh-CN"/>
        </w:rPr>
        <w:t>公开招标</w:t>
      </w:r>
    </w:p>
    <w:p w14:paraId="03CA943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bookmarkStart w:id="23" w:name="_Toc28359080"/>
      <w:bookmarkStart w:id="24" w:name="_Toc35393791"/>
      <w:bookmarkStart w:id="25" w:name="_Toc28359003"/>
      <w:bookmarkStart w:id="26" w:name="_Toc35393622"/>
      <w:r>
        <w:rPr>
          <w:rFonts w:hint="eastAsia" w:asciiTheme="minorEastAsia" w:hAnsiTheme="minorEastAsia" w:eastAsiaTheme="minorEastAsia" w:cstheme="minorEastAsia"/>
          <w:b/>
          <w:bCs/>
          <w:i w:val="0"/>
          <w:iCs w:val="0"/>
          <w:color w:val="auto"/>
          <w:sz w:val="24"/>
          <w:szCs w:val="24"/>
          <w:highlight w:val="none"/>
          <w:lang w:val="en-US" w:eastAsia="zh-CN"/>
        </w:rPr>
        <w:t>总预算金额：4000万元</w:t>
      </w:r>
    </w:p>
    <w:p w14:paraId="00ED305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700CC57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6AAEE34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37EE385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732149B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49F1C4A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3AEB0BF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5672C7B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004F180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rPr>
        <w:t>最高限价：</w:t>
      </w:r>
      <w:r>
        <w:rPr>
          <w:rFonts w:hint="eastAsia" w:asciiTheme="minorEastAsia" w:hAnsiTheme="minorEastAsia" w:eastAsiaTheme="minorEastAsia" w:cstheme="minorEastAsia"/>
          <w:b/>
          <w:bCs/>
          <w:i w:val="0"/>
          <w:iCs w:val="0"/>
          <w:color w:val="auto"/>
          <w:sz w:val="24"/>
          <w:szCs w:val="24"/>
          <w:highlight w:val="none"/>
          <w:lang w:val="en-US" w:eastAsia="zh-CN"/>
        </w:rPr>
        <w:t>4000万元</w:t>
      </w:r>
    </w:p>
    <w:p w14:paraId="06454A2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44F2F5D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2962E99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6262CD8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4C34EED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390079D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57BCF1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48111188">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1F12D46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采购需求：</w:t>
      </w:r>
    </w:p>
    <w:p w14:paraId="053285E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一标段：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智慧黑板及精品录播系统设备采购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F8A9D6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二标段：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云终端教室及音视频系统设备采购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60FF85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三标段：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校园广播、安防及标考系统设备采购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411A95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四标段：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纸质图书及图书馆设备采购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38262D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五标段：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后勤及配套设施设备采购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382C382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六标段：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办公设备及教学配套设施采购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4BC8A9B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七标段：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实验室设施设备采购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7DE43C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八标段：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校园文化建设采购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2197C2A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合同履行期限：</w:t>
      </w:r>
    </w:p>
    <w:p w14:paraId="1080A50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一标段至七标段</w:t>
      </w: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p w14:paraId="4E282AD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八标段：合同签订后3个月内完成所有设备的供货及验收。</w:t>
      </w:r>
    </w:p>
    <w:p w14:paraId="77F1A916">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rPr>
        <w:t>本项目</w:t>
      </w:r>
      <w:r>
        <w:rPr>
          <w:rFonts w:hint="eastAsia" w:asciiTheme="minorEastAsia" w:hAnsiTheme="minorEastAsia" w:eastAsiaTheme="minorEastAsia" w:cstheme="minorEastAsia"/>
          <w:b w:val="0"/>
          <w:bCs w:val="0"/>
          <w:i w:val="0"/>
          <w:iCs w:val="0"/>
          <w:color w:val="auto"/>
          <w:sz w:val="24"/>
          <w:szCs w:val="24"/>
          <w:highlight w:val="none"/>
          <w:lang w:val="en-US" w:eastAsia="zh-CN"/>
        </w:rPr>
        <w:t>不</w:t>
      </w:r>
      <w:r>
        <w:rPr>
          <w:rFonts w:hint="eastAsia" w:asciiTheme="minorEastAsia" w:hAnsiTheme="minorEastAsia" w:eastAsiaTheme="minorEastAsia" w:cstheme="minorEastAsia"/>
          <w:b w:val="0"/>
          <w:bCs w:val="0"/>
          <w:i w:val="0"/>
          <w:iCs w:val="0"/>
          <w:color w:val="auto"/>
          <w:sz w:val="24"/>
          <w:szCs w:val="24"/>
          <w:highlight w:val="none"/>
        </w:rPr>
        <w:t>接受联合体。</w:t>
      </w:r>
    </w:p>
    <w:p w14:paraId="093BCB0C">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27" w:name="_Toc3873"/>
      <w:r>
        <w:rPr>
          <w:rFonts w:hint="eastAsia" w:asciiTheme="minorEastAsia" w:hAnsiTheme="minorEastAsia" w:eastAsiaTheme="minorEastAsia" w:cstheme="minorEastAsia"/>
          <w:b/>
          <w:bCs w:val="0"/>
          <w:i w:val="0"/>
          <w:iCs w:val="0"/>
          <w:color w:val="auto"/>
          <w:sz w:val="24"/>
          <w:szCs w:val="24"/>
          <w:highlight w:val="none"/>
        </w:rPr>
        <w:t>二、申请人的资格要求：</w:t>
      </w:r>
      <w:bookmarkEnd w:id="23"/>
      <w:bookmarkEnd w:id="24"/>
      <w:bookmarkEnd w:id="25"/>
      <w:bookmarkEnd w:id="26"/>
      <w:bookmarkEnd w:id="27"/>
    </w:p>
    <w:p w14:paraId="3D0C3509">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bookmarkStart w:id="28" w:name="_Toc28359081"/>
      <w:bookmarkStart w:id="29" w:name="_Toc28359004"/>
      <w:r>
        <w:rPr>
          <w:rFonts w:hint="eastAsia" w:asciiTheme="minorEastAsia" w:hAnsiTheme="minorEastAsia" w:eastAsiaTheme="minorEastAsia" w:cstheme="minorEastAsia"/>
          <w:b/>
          <w:bCs/>
          <w:i w:val="0"/>
          <w:iCs w:val="0"/>
          <w:color w:val="auto"/>
          <w:sz w:val="24"/>
          <w:szCs w:val="24"/>
          <w:highlight w:val="none"/>
          <w:u w:val="none"/>
        </w:rPr>
        <w:t>1.满足《中华人民共和国政府采购法》第二十二条规定；</w:t>
      </w:r>
    </w:p>
    <w:p w14:paraId="4D72CAE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rPr>
        <w:t>2.落实政府采购政策需满足的资格要求</w:t>
      </w:r>
      <w:r>
        <w:rPr>
          <w:rFonts w:hint="eastAsia" w:asciiTheme="minorEastAsia" w:hAnsiTheme="minorEastAsia" w:eastAsiaTheme="minorEastAsia" w:cstheme="minorEastAsia"/>
          <w:b/>
          <w:bCs/>
          <w:i w:val="0"/>
          <w:iCs w:val="0"/>
          <w:color w:val="auto"/>
          <w:sz w:val="24"/>
          <w:szCs w:val="24"/>
          <w:highlight w:val="none"/>
          <w:u w:val="none"/>
          <w:lang w:eastAsia="zh-CN"/>
        </w:rPr>
        <w:t>：</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4BB705A2">
      <w:pPr>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b/>
          <w:bCs/>
          <w:i w:val="0"/>
          <w:iCs w:val="0"/>
          <w:color w:val="auto"/>
          <w:sz w:val="24"/>
          <w:szCs w:val="24"/>
          <w:highlight w:val="none"/>
          <w:u w:val="none"/>
        </w:rPr>
        <w:t>3.本项目的特定资格要求：</w:t>
      </w:r>
    </w:p>
    <w:p w14:paraId="36700D6B">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一标段、二标段、三标段、五标段、六标段、七标段、八标段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5ABEA16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2CBBF19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0772B79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四标段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5381EEE7">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44BFE47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78FA8A05">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（3）投标人须具备有效的《出版物经营许可证》或《中华人民共和国出版物经营许可证》或《中华人民共和国出版物发行许可证》。</w:t>
      </w:r>
    </w:p>
    <w:p w14:paraId="67248DED">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0" w:name="_Toc35393792"/>
      <w:bookmarkStart w:id="31" w:name="_Toc16265"/>
      <w:bookmarkStart w:id="32" w:name="_Toc35393623"/>
      <w:r>
        <w:rPr>
          <w:rFonts w:hint="eastAsia" w:asciiTheme="minorEastAsia" w:hAnsiTheme="minorEastAsia" w:eastAsiaTheme="minorEastAsia" w:cstheme="minorEastAsia"/>
          <w:b/>
          <w:bCs w:val="0"/>
          <w:i w:val="0"/>
          <w:iCs w:val="0"/>
          <w:color w:val="auto"/>
          <w:sz w:val="24"/>
          <w:szCs w:val="24"/>
          <w:highlight w:val="none"/>
        </w:rPr>
        <w:t>三、获取招标文件</w:t>
      </w:r>
      <w:bookmarkEnd w:id="28"/>
      <w:bookmarkEnd w:id="29"/>
      <w:bookmarkEnd w:id="30"/>
      <w:bookmarkEnd w:id="31"/>
      <w:bookmarkEnd w:id="32"/>
    </w:p>
    <w:p w14:paraId="2B8EB78B">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5FFF6A7E">
      <w:pPr>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u w:val="single"/>
          <w:lang w:val="en-US" w:eastAsia="zh-CN"/>
        </w:rPr>
      </w:pPr>
      <w:bookmarkStart w:id="33" w:name="_Toc28359082"/>
      <w:bookmarkStart w:id="34" w:name="_Toc28359005"/>
      <w:bookmarkStart w:id="35" w:name="_Toc35393793"/>
      <w:bookmarkStart w:id="36" w:name="_Toc35393624"/>
      <w:r>
        <w:rPr>
          <w:rFonts w:hint="eastAsia" w:asciiTheme="minorEastAsia" w:hAnsiTheme="minorEastAsia" w:eastAsiaTheme="minorEastAsia" w:cstheme="minorEastAsia"/>
          <w:b/>
          <w:bCs/>
          <w:i w:val="0"/>
          <w:iCs w:val="0"/>
          <w:color w:val="auto"/>
          <w:sz w:val="24"/>
          <w:szCs w:val="24"/>
          <w:highlight w:val="none"/>
        </w:rPr>
        <w:t>地点：</w:t>
      </w:r>
      <w:r>
        <w:rPr>
          <w:rFonts w:hint="eastAsia" w:asciiTheme="minorEastAsia" w:hAnsiTheme="minorEastAsia" w:eastAsiaTheme="minorEastAsia" w:cstheme="minorEastAsia"/>
          <w:b w:val="0"/>
          <w:bCs w:val="0"/>
          <w:i w:val="0"/>
          <w:iCs w:val="0"/>
          <w:color w:val="auto"/>
          <w:sz w:val="24"/>
          <w:szCs w:val="24"/>
          <w:highlight w:val="none"/>
        </w:rPr>
        <w:t>政采云系统平台（https://www.zcygov.cn/）</w:t>
      </w:r>
    </w:p>
    <w:p w14:paraId="75E4FB20">
      <w:pPr>
        <w:keepNext w:val="0"/>
        <w:keepLines w:val="0"/>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rPr>
        <w:t>方式</w:t>
      </w:r>
      <w:r>
        <w:rPr>
          <w:rFonts w:hint="eastAsia" w:asciiTheme="minorEastAsia" w:hAnsiTheme="minorEastAsia" w:eastAsiaTheme="minorEastAsia" w:cstheme="minorEastAsia"/>
          <w:b w:val="0"/>
          <w:bCs w:val="0"/>
          <w:i w:val="0"/>
          <w:iCs w:val="0"/>
          <w:color w:val="auto"/>
          <w:sz w:val="24"/>
          <w:szCs w:val="24"/>
          <w:highlight w:val="none"/>
        </w:rPr>
        <w:t>：</w:t>
      </w:r>
      <w:r>
        <w:rPr>
          <w:rFonts w:hint="eastAsia" w:asciiTheme="minorEastAsia" w:hAnsiTheme="minorEastAsia" w:eastAsiaTheme="minorEastAsia" w:cstheme="minorEastAsia"/>
          <w:b w:val="0"/>
          <w:bCs w:val="0"/>
          <w:i w:val="0"/>
          <w:iCs w:val="0"/>
          <w:color w:val="auto"/>
          <w:sz w:val="24"/>
          <w:szCs w:val="24"/>
          <w:highlight w:val="none"/>
          <w:lang w:eastAsia="zh-CN"/>
        </w:rPr>
        <w:t>投标人</w:t>
      </w:r>
      <w:r>
        <w:rPr>
          <w:rFonts w:hint="eastAsia" w:asciiTheme="minorEastAsia" w:hAnsiTheme="minorEastAsia" w:eastAsiaTheme="minorEastAsia" w:cstheme="minorEastAsia"/>
          <w:b w:val="0"/>
          <w:bCs w:val="0"/>
          <w:i w:val="0"/>
          <w:iCs w:val="0"/>
          <w:color w:val="auto"/>
          <w:sz w:val="24"/>
          <w:szCs w:val="24"/>
          <w:highlight w:val="none"/>
        </w:rPr>
        <w:t>登陆政采云系统平台（https://www.zcygov.cn/）进入“项目采购”栏目，在获取采购文件菜单中选择所要获取采购文件的项目，申请获取采购文件。</w:t>
      </w:r>
    </w:p>
    <w:p w14:paraId="451E40C8">
      <w:pPr>
        <w:pStyle w:val="34"/>
        <w:pageBreakBefore w:val="0"/>
        <w:widowControl w:val="0"/>
        <w:kinsoku/>
        <w:wordWrap/>
        <w:overflowPunct/>
        <w:topLinePunct w:val="0"/>
        <w:autoSpaceDE/>
        <w:autoSpaceDN/>
        <w:bidi w:val="0"/>
        <w:adjustRightInd/>
        <w:snapToGrid/>
        <w:spacing w:line="480" w:lineRule="exact"/>
        <w:ind w:left="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售价：</w:t>
      </w:r>
      <w:r>
        <w:rPr>
          <w:rFonts w:hint="eastAsia" w:asciiTheme="minorEastAsia" w:hAnsiTheme="minorEastAsia" w:eastAsiaTheme="minorEastAsia" w:cstheme="minorEastAsia"/>
          <w:i w:val="0"/>
          <w:iCs w:val="0"/>
          <w:color w:val="auto"/>
          <w:sz w:val="24"/>
          <w:szCs w:val="24"/>
          <w:highlight w:val="none"/>
        </w:rPr>
        <w:t>0元</w:t>
      </w:r>
    </w:p>
    <w:p w14:paraId="62226CDB">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7" w:name="_Toc12731"/>
      <w:r>
        <w:rPr>
          <w:rFonts w:hint="eastAsia" w:asciiTheme="minorEastAsia" w:hAnsiTheme="minorEastAsia" w:eastAsiaTheme="minorEastAsia" w:cstheme="minorEastAsia"/>
          <w:b/>
          <w:bCs w:val="0"/>
          <w:i w:val="0"/>
          <w:iCs w:val="0"/>
          <w:color w:val="auto"/>
          <w:sz w:val="24"/>
          <w:szCs w:val="24"/>
          <w:highlight w:val="none"/>
        </w:rPr>
        <w:t>四、提交投标文件</w:t>
      </w:r>
      <w:bookmarkEnd w:id="33"/>
      <w:bookmarkEnd w:id="34"/>
      <w:r>
        <w:rPr>
          <w:rFonts w:hint="eastAsia" w:asciiTheme="minorEastAsia" w:hAnsiTheme="minorEastAsia" w:eastAsiaTheme="minorEastAsia" w:cstheme="minorEastAsia"/>
          <w:b/>
          <w:bCs w:val="0"/>
          <w:i w:val="0"/>
          <w:iCs w:val="0"/>
          <w:color w:val="auto"/>
          <w:sz w:val="24"/>
          <w:szCs w:val="24"/>
          <w:highlight w:val="none"/>
        </w:rPr>
        <w:t>截止时间、开标时间和地点</w:t>
      </w:r>
      <w:bookmarkEnd w:id="35"/>
      <w:bookmarkEnd w:id="36"/>
      <w:bookmarkEnd w:id="37"/>
    </w:p>
    <w:p w14:paraId="674B78E1">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提交投标文件截止时间：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2024年12月05日10点30分（北京时间）</w:t>
      </w:r>
    </w:p>
    <w:p w14:paraId="53471F7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投标地点：请登录政采云投标客户端，在截止时间前将加密的电子响应文件（.jmbs）上传到新疆政府采购网对应的位置（逾期上传或者未上传指定地点的响应文件，采购人不予受理）。</w:t>
      </w:r>
    </w:p>
    <w:p w14:paraId="4BFB9D09">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2024年12月05日10点30分（北京时间）</w:t>
      </w:r>
    </w:p>
    <w:p w14:paraId="32303EB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开标地点：政采云电子开标大厅</w:t>
      </w:r>
    </w:p>
    <w:p w14:paraId="495DB36A">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8" w:name="_Toc35393794"/>
      <w:bookmarkStart w:id="39" w:name="_Toc6872"/>
      <w:bookmarkStart w:id="40" w:name="_Toc28359084"/>
      <w:bookmarkStart w:id="41" w:name="_Toc28359007"/>
      <w:bookmarkStart w:id="42" w:name="_Toc35393625"/>
      <w:r>
        <w:rPr>
          <w:rFonts w:hint="eastAsia" w:asciiTheme="minorEastAsia" w:hAnsiTheme="minorEastAsia" w:eastAsiaTheme="minorEastAsia" w:cstheme="minorEastAsia"/>
          <w:b/>
          <w:bCs w:val="0"/>
          <w:i w:val="0"/>
          <w:iCs w:val="0"/>
          <w:color w:val="auto"/>
          <w:sz w:val="24"/>
          <w:szCs w:val="24"/>
          <w:highlight w:val="none"/>
        </w:rPr>
        <w:t>五、公告期限</w:t>
      </w:r>
      <w:bookmarkEnd w:id="38"/>
      <w:bookmarkEnd w:id="39"/>
      <w:bookmarkEnd w:id="40"/>
      <w:bookmarkEnd w:id="41"/>
      <w:bookmarkEnd w:id="42"/>
    </w:p>
    <w:p w14:paraId="10017C1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自本公告发布之日起5个工作日。</w:t>
      </w:r>
    </w:p>
    <w:p w14:paraId="525F3385">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43" w:name="_Toc664"/>
      <w:bookmarkStart w:id="44" w:name="_Toc35393626"/>
      <w:bookmarkStart w:id="45" w:name="_Toc35393795"/>
      <w:r>
        <w:rPr>
          <w:rFonts w:hint="eastAsia" w:asciiTheme="minorEastAsia" w:hAnsiTheme="minorEastAsia" w:eastAsiaTheme="minorEastAsia" w:cstheme="minorEastAsia"/>
          <w:b/>
          <w:bCs w:val="0"/>
          <w:i w:val="0"/>
          <w:iCs w:val="0"/>
          <w:color w:val="auto"/>
          <w:sz w:val="24"/>
          <w:szCs w:val="24"/>
          <w:highlight w:val="none"/>
        </w:rPr>
        <w:t>六、其他补充事宜</w:t>
      </w:r>
      <w:bookmarkEnd w:id="43"/>
      <w:bookmarkEnd w:id="44"/>
      <w:bookmarkEnd w:id="45"/>
    </w:p>
    <w:p w14:paraId="5FAB3DB5">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bookmarkStart w:id="46" w:name="_Toc28359008"/>
      <w:bookmarkStart w:id="47" w:name="_Toc28359085"/>
      <w:bookmarkStart w:id="48" w:name="_Toc35393627"/>
      <w:bookmarkStart w:id="49" w:name="_Toc35393796"/>
      <w:r>
        <w:rPr>
          <w:rFonts w:hint="eastAsia" w:asciiTheme="minorEastAsia" w:hAnsiTheme="minorEastAsia" w:eastAsiaTheme="minorEastAsia" w:cstheme="minorEastAsia"/>
          <w:i w:val="0"/>
          <w:iCs w:val="0"/>
          <w:color w:val="auto"/>
          <w:kern w:val="0"/>
          <w:sz w:val="24"/>
          <w:szCs w:val="24"/>
          <w:highlight w:val="none"/>
        </w:rPr>
        <w:t>1、本项目实行网上投标，采用电子投标文件</w:t>
      </w:r>
      <w:r>
        <w:rPr>
          <w:rFonts w:hint="eastAsia" w:asciiTheme="minorEastAsia" w:hAnsiTheme="minorEastAsia" w:eastAsiaTheme="minorEastAsia" w:cstheme="minorEastAsia"/>
          <w:i w:val="0"/>
          <w:iCs w:val="0"/>
          <w:color w:val="auto"/>
          <w:kern w:val="0"/>
          <w:sz w:val="24"/>
          <w:szCs w:val="24"/>
          <w:highlight w:val="none"/>
          <w:lang w:eastAsia="zh-CN"/>
        </w:rPr>
        <w:t>。</w:t>
      </w:r>
    </w:p>
    <w:p w14:paraId="0923C117">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r>
        <w:rPr>
          <w:rFonts w:hint="eastAsia" w:asciiTheme="minorEastAsia" w:hAnsiTheme="minorEastAsia" w:eastAsiaTheme="minorEastAsia" w:cstheme="minorEastAsia"/>
          <w:i w:val="0"/>
          <w:iCs w:val="0"/>
          <w:color w:val="auto"/>
          <w:kern w:val="0"/>
          <w:sz w:val="24"/>
          <w:szCs w:val="24"/>
          <w:highlight w:val="none"/>
        </w:rPr>
        <w:t>2、各投标人应在开标前应确保成为政采云平台</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，并完成CA数字证书（符合国密标准）申领。因未注册入库、未办理CA数字证书等原因造成无法投标或投标失败等后果由投标人自行承担。有意向参与区域电子开评标的</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，可访问新疆数字证书认证中心官方网站（https://www.xjca.com.cn/）或下载“新疆政务通”APP自行进行申领。如需咨询，请联系新疆CA服务热线0991-2819290</w:t>
      </w:r>
      <w:r>
        <w:rPr>
          <w:rFonts w:hint="eastAsia" w:asciiTheme="minorEastAsia" w:hAnsiTheme="minorEastAsia" w:eastAsiaTheme="minorEastAsia" w:cstheme="minorEastAsia"/>
          <w:i w:val="0"/>
          <w:iCs w:val="0"/>
          <w:color w:val="auto"/>
          <w:kern w:val="0"/>
          <w:sz w:val="24"/>
          <w:szCs w:val="24"/>
          <w:highlight w:val="none"/>
          <w:lang w:eastAsia="zh-CN"/>
        </w:rPr>
        <w:t>。</w:t>
      </w:r>
    </w:p>
    <w:p w14:paraId="113CDD0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rPr>
        <w:t>3、</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将政采云电子交易客户端下载、安装完成后，可通过账号密码或CA登录客户端进行投标文件的制作。在使用政采云投标客户端时，建议使用WIN7（64位）及以上操作系统。客户端请至</w:t>
      </w:r>
      <w:r>
        <w:rPr>
          <w:rFonts w:hint="eastAsia" w:asciiTheme="minorEastAsia" w:hAnsiTheme="minorEastAsia" w:eastAsiaTheme="minorEastAsia" w:cstheme="minorEastAsia"/>
          <w:i w:val="0"/>
          <w:iCs w:val="0"/>
          <w:color w:val="auto"/>
          <w:kern w:val="0"/>
          <w:sz w:val="24"/>
          <w:szCs w:val="24"/>
          <w:highlight w:val="none"/>
          <w:lang w:val="en-US" w:eastAsia="zh-CN"/>
        </w:rPr>
        <w:t>新疆</w:t>
      </w:r>
      <w:r>
        <w:rPr>
          <w:rFonts w:hint="eastAsia" w:asciiTheme="minorEastAsia" w:hAnsiTheme="minorEastAsia" w:eastAsiaTheme="minorEastAsia" w:cstheme="minorEastAsia"/>
          <w:i w:val="0"/>
          <w:iCs w:val="0"/>
          <w:color w:val="auto"/>
          <w:kern w:val="0"/>
          <w:sz w:val="24"/>
          <w:szCs w:val="24"/>
          <w:highlight w:val="none"/>
        </w:rPr>
        <w:t>政府采购网（http://ccgp-bingtuan.gov.cn/）下载专区查看，如有问题可拨打政采云客户服务热线400-881-7190进行咨询。如因</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自身原因导致在规定时间内无法正常解密的（如：浏览器故障、未安装相关驱动、网络故障、加密CA与解密CA不一致等），采购中心/代理机构不予异常处理，视为</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自动弃标。</w:t>
      </w:r>
    </w:p>
    <w:p w14:paraId="2B2167DA">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50" w:name="_Toc31618"/>
      <w:r>
        <w:rPr>
          <w:rFonts w:hint="eastAsia" w:asciiTheme="minorEastAsia" w:hAnsiTheme="minorEastAsia" w:eastAsiaTheme="minorEastAsia" w:cstheme="minorEastAsia"/>
          <w:b/>
          <w:bCs w:val="0"/>
          <w:i w:val="0"/>
          <w:iCs w:val="0"/>
          <w:color w:val="auto"/>
          <w:sz w:val="24"/>
          <w:szCs w:val="24"/>
          <w:highlight w:val="none"/>
        </w:rPr>
        <w:t>七、对本次招标提出询问，请按以下方式联系</w:t>
      </w:r>
      <w:bookmarkEnd w:id="46"/>
      <w:bookmarkEnd w:id="47"/>
      <w:bookmarkEnd w:id="48"/>
      <w:bookmarkEnd w:id="49"/>
      <w:bookmarkEnd w:id="50"/>
    </w:p>
    <w:p w14:paraId="066C1CE5">
      <w:pPr>
        <w:keepNext w:val="0"/>
        <w:keepLines w:val="0"/>
        <w:pageBreakBefore w:val="0"/>
        <w:widowControl/>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1.采购人信息</w:t>
      </w:r>
    </w:p>
    <w:p w14:paraId="4010E103">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名 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0FB8D17E">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rPr>
      </w:pPr>
      <w:r>
        <w:rPr>
          <w:rFonts w:hint="eastAsia" w:asciiTheme="minorEastAsia" w:hAnsiTheme="minorEastAsia" w:eastAsiaTheme="minorEastAsia" w:cstheme="minorEastAsia"/>
          <w:i w:val="0"/>
          <w:iCs w:val="0"/>
          <w:color w:val="auto"/>
          <w:sz w:val="24"/>
          <w:szCs w:val="24"/>
          <w:highlight w:val="none"/>
          <w:u w:val="none"/>
        </w:rPr>
        <w:t>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 </w:t>
      </w:r>
      <w:r>
        <w:rPr>
          <w:rFonts w:hint="eastAsia" w:asciiTheme="minorEastAsia" w:hAnsiTheme="minorEastAsia" w:eastAsiaTheme="minorEastAsia" w:cstheme="minorEastAsia"/>
          <w:i w:val="0"/>
          <w:iCs w:val="0"/>
          <w:color w:val="auto"/>
          <w:sz w:val="24"/>
          <w:szCs w:val="24"/>
          <w:highlight w:val="none"/>
          <w:u w:val="none"/>
        </w:rPr>
        <w:t>址：</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1586DE23">
      <w:pPr>
        <w:pStyle w:val="12"/>
        <w:keepNext w:val="0"/>
        <w:keepLines w:val="0"/>
        <w:pageBreakBefore w:val="0"/>
        <w:kinsoku/>
        <w:wordWrap/>
        <w:overflowPunct/>
        <w:topLinePunct w:val="0"/>
        <w:bidi w:val="0"/>
        <w:snapToGrid/>
        <w:spacing w:line="390" w:lineRule="exact"/>
        <w:ind w:right="0" w:rightChars="0" w:firstLine="480" w:firstLineChars="200"/>
        <w:textAlignment w:val="auto"/>
        <w:rPr>
          <w:rFonts w:hint="default" w:asciiTheme="minorEastAsia" w:hAnsiTheme="minorEastAsia" w:eastAsiaTheme="minorEastAsia" w:cstheme="minorEastAsia"/>
          <w:i w:val="0"/>
          <w:iCs w:val="0"/>
          <w:color w:val="auto"/>
          <w:kern w:val="2"/>
          <w:sz w:val="24"/>
          <w:szCs w:val="24"/>
          <w:highlight w:val="none"/>
          <w:u w:val="none"/>
          <w:lang w:val="en-US" w:eastAsia="zh-CN" w:bidi="ar-SA"/>
        </w:rPr>
      </w:pPr>
      <w:bookmarkStart w:id="51" w:name="_Toc28359086"/>
      <w:bookmarkStart w:id="52" w:name="_Toc28359009"/>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联系人：</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樊老师</w:t>
      </w:r>
    </w:p>
    <w:p w14:paraId="464E4D90">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kern w:val="2"/>
          <w:sz w:val="24"/>
          <w:szCs w:val="24"/>
          <w:highlight w:val="none"/>
          <w:u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联系方式：</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15999261962</w:t>
      </w:r>
    </w:p>
    <w:p w14:paraId="08D65B8F">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2.代理机构信息</w:t>
      </w:r>
      <w:bookmarkEnd w:id="51"/>
      <w:bookmarkEnd w:id="52"/>
    </w:p>
    <w:p w14:paraId="4663B7D2">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名 称：伊宁县政府采购中心</w:t>
      </w:r>
    </w:p>
    <w:p w14:paraId="526F5E12">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地 址：伊宁县人民政府</w:t>
      </w:r>
    </w:p>
    <w:p w14:paraId="6877E253">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项目联系人：古丽老师</w:t>
      </w:r>
    </w:p>
    <w:p w14:paraId="3CA167DD">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项目联系方式：18097887808</w:t>
      </w:r>
    </w:p>
    <w:p w14:paraId="79AA28EF">
      <w:pPr>
        <w:pageBreakBefore w:val="0"/>
        <w:kinsoku/>
        <w:wordWrap/>
        <w:overflowPunct/>
        <w:topLinePunct w:val="0"/>
        <w:autoSpaceDE/>
        <w:autoSpaceDN/>
        <w:bidi w:val="0"/>
        <w:adjustRightInd/>
        <w:spacing w:line="480" w:lineRule="exact"/>
        <w:textAlignment w:val="auto"/>
        <w:rPr>
          <w:rFonts w:hint="eastAsia" w:asciiTheme="minorEastAsia" w:hAnsiTheme="minorEastAsia" w:eastAsiaTheme="minorEastAsia" w:cstheme="minorEastAsia"/>
          <w:b/>
          <w:color w:val="auto"/>
          <w:kern w:val="44"/>
          <w:sz w:val="24"/>
          <w:szCs w:val="24"/>
          <w:highlight w:val="none"/>
        </w:rPr>
      </w:pPr>
      <w:r>
        <w:rPr>
          <w:rFonts w:hint="eastAsia" w:asciiTheme="minorEastAsia" w:hAnsiTheme="minorEastAsia" w:eastAsiaTheme="minorEastAsia" w:cstheme="minorEastAsia"/>
          <w:b/>
          <w:color w:val="auto"/>
          <w:kern w:val="44"/>
          <w:sz w:val="24"/>
          <w:szCs w:val="24"/>
          <w:highlight w:val="none"/>
        </w:rPr>
        <w:br w:type="page"/>
      </w:r>
    </w:p>
    <w:p w14:paraId="2D7119AD">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rPr>
      </w:pPr>
      <w:bookmarkStart w:id="53" w:name="_Toc29688"/>
      <w:r>
        <w:rPr>
          <w:rFonts w:hint="eastAsia" w:ascii="黑体" w:hAnsi="宋体" w:eastAsia="黑体" w:cs="Times New Roman"/>
          <w:b/>
          <w:color w:val="auto"/>
          <w:kern w:val="44"/>
          <w:sz w:val="44"/>
          <w:szCs w:val="44"/>
          <w:highlight w:val="none"/>
        </w:rPr>
        <w:t>第二章</w:t>
      </w:r>
      <w:r>
        <w:rPr>
          <w:rFonts w:hint="eastAsia" w:ascii="黑体" w:hAnsi="宋体" w:eastAsia="黑体" w:cs="Times New Roman"/>
          <w:b/>
          <w:color w:val="auto"/>
          <w:kern w:val="44"/>
          <w:sz w:val="44"/>
          <w:szCs w:val="44"/>
          <w:highlight w:val="none"/>
          <w:lang w:val="en-US" w:eastAsia="zh-CN"/>
        </w:rPr>
        <w:t xml:space="preserve"> </w:t>
      </w:r>
      <w:r>
        <w:rPr>
          <w:rFonts w:hint="eastAsia" w:ascii="黑体" w:hAnsi="宋体" w:eastAsia="黑体" w:cs="Times New Roman"/>
          <w:b/>
          <w:color w:val="auto"/>
          <w:kern w:val="44"/>
          <w:sz w:val="44"/>
          <w:szCs w:val="44"/>
          <w:highlight w:val="none"/>
        </w:rPr>
        <w:t>投标人须知</w:t>
      </w:r>
      <w:bookmarkEnd w:id="7"/>
      <w:bookmarkEnd w:id="8"/>
      <w:bookmarkEnd w:id="9"/>
      <w:bookmarkEnd w:id="10"/>
      <w:bookmarkEnd w:id="11"/>
      <w:bookmarkEnd w:id="53"/>
      <w:bookmarkStart w:id="54" w:name="_Toc189727030"/>
      <w:bookmarkStart w:id="55" w:name="_Toc184274915"/>
      <w:bookmarkStart w:id="56" w:name="_Toc213396946"/>
      <w:bookmarkStart w:id="57" w:name="_Toc213397010"/>
      <w:bookmarkStart w:id="58" w:name="_Toc213396760"/>
      <w:bookmarkStart w:id="59" w:name="_Toc213496268"/>
      <w:bookmarkStart w:id="60" w:name="_Toc217446032"/>
      <w:bookmarkStart w:id="61" w:name="_Toc184283909"/>
    </w:p>
    <w:p w14:paraId="29DF48D1">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bCs w:val="0"/>
          <w:color w:val="auto"/>
          <w:sz w:val="36"/>
          <w:szCs w:val="36"/>
          <w:highlight w:val="none"/>
          <w:lang w:val="en-US" w:eastAsia="zh-CN"/>
        </w:rPr>
      </w:pPr>
      <w:bookmarkStart w:id="62" w:name="_Toc17895"/>
      <w:r>
        <w:rPr>
          <w:rFonts w:hint="eastAsia" w:asciiTheme="minorEastAsia" w:hAnsiTheme="minorEastAsia" w:eastAsiaTheme="minorEastAsia" w:cstheme="minorEastAsia"/>
          <w:b/>
          <w:bCs w:val="0"/>
          <w:color w:val="auto"/>
          <w:sz w:val="36"/>
          <w:szCs w:val="36"/>
          <w:highlight w:val="none"/>
          <w:lang w:val="en-US" w:eastAsia="zh-CN"/>
        </w:rPr>
        <w:t>投标人须知前附表</w:t>
      </w:r>
      <w:bookmarkEnd w:id="54"/>
      <w:bookmarkEnd w:id="55"/>
      <w:bookmarkEnd w:id="56"/>
      <w:bookmarkEnd w:id="57"/>
      <w:bookmarkEnd w:id="58"/>
      <w:bookmarkEnd w:id="59"/>
      <w:bookmarkEnd w:id="60"/>
      <w:bookmarkEnd w:id="61"/>
      <w:bookmarkEnd w:id="62"/>
    </w:p>
    <w:tbl>
      <w:tblPr>
        <w:tblStyle w:val="23"/>
        <w:tblW w:w="9501"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0" w:type="dxa"/>
          <w:bottom w:w="0" w:type="dxa"/>
          <w:right w:w="0" w:type="dxa"/>
        </w:tblCellMar>
      </w:tblPr>
      <w:tblGrid>
        <w:gridCol w:w="811"/>
        <w:gridCol w:w="2160"/>
        <w:gridCol w:w="6530"/>
      </w:tblGrid>
      <w:tr w14:paraId="50BC971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tblHeader/>
          <w:jc w:val="center"/>
        </w:trPr>
        <w:tc>
          <w:tcPr>
            <w:tcW w:w="811" w:type="dxa"/>
            <w:tcBorders>
              <w:bottom w:val="single" w:color="auto" w:sz="8" w:space="0"/>
              <w:right w:val="single" w:color="auto" w:sz="8" w:space="0"/>
            </w:tcBorders>
            <w:noWrap w:val="0"/>
            <w:vAlign w:val="center"/>
          </w:tcPr>
          <w:p w14:paraId="2C12F48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序号 </w:t>
            </w:r>
          </w:p>
        </w:tc>
        <w:tc>
          <w:tcPr>
            <w:tcW w:w="2160" w:type="dxa"/>
            <w:tcBorders>
              <w:left w:val="single" w:color="auto" w:sz="8" w:space="0"/>
              <w:bottom w:val="single" w:color="auto" w:sz="8" w:space="0"/>
              <w:right w:val="single" w:color="auto" w:sz="8" w:space="0"/>
            </w:tcBorders>
            <w:noWrap w:val="0"/>
            <w:vAlign w:val="center"/>
          </w:tcPr>
          <w:p w14:paraId="12D94C8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内容</w:t>
            </w:r>
          </w:p>
        </w:tc>
        <w:tc>
          <w:tcPr>
            <w:tcW w:w="6530" w:type="dxa"/>
            <w:tcBorders>
              <w:left w:val="single" w:color="auto" w:sz="8" w:space="0"/>
              <w:bottom w:val="single" w:color="auto" w:sz="8" w:space="0"/>
            </w:tcBorders>
            <w:noWrap w:val="0"/>
            <w:vAlign w:val="center"/>
          </w:tcPr>
          <w:p w14:paraId="7458F2F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说明和要求</w:t>
            </w:r>
          </w:p>
        </w:tc>
      </w:tr>
      <w:tr w14:paraId="7A6A280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154" w:hRule="atLeast"/>
          <w:jc w:val="center"/>
        </w:trPr>
        <w:tc>
          <w:tcPr>
            <w:tcW w:w="811" w:type="dxa"/>
            <w:tcBorders>
              <w:top w:val="single" w:color="auto" w:sz="8" w:space="0"/>
              <w:bottom w:val="single" w:color="auto" w:sz="8" w:space="0"/>
              <w:right w:val="single" w:color="auto" w:sz="8" w:space="0"/>
            </w:tcBorders>
            <w:noWrap w:val="0"/>
            <w:vAlign w:val="center"/>
          </w:tcPr>
          <w:p w14:paraId="002605F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D3788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采购人</w:t>
            </w:r>
          </w:p>
        </w:tc>
        <w:tc>
          <w:tcPr>
            <w:tcW w:w="6530" w:type="dxa"/>
            <w:tcBorders>
              <w:top w:val="single" w:color="auto" w:sz="8" w:space="0"/>
              <w:left w:val="single" w:color="auto" w:sz="8" w:space="0"/>
              <w:bottom w:val="single" w:color="auto" w:sz="8" w:space="0"/>
            </w:tcBorders>
            <w:noWrap w:val="0"/>
            <w:vAlign w:val="center"/>
          </w:tcPr>
          <w:p w14:paraId="1F156C5E">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名 称：伊宁县教育局 </w:t>
            </w:r>
          </w:p>
          <w:p w14:paraId="46164411">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地 址：伊宁县教育局 </w:t>
            </w:r>
          </w:p>
          <w:p w14:paraId="183AB59F">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联系人：</w:t>
            </w:r>
            <w:r>
              <w:rPr>
                <w:rFonts w:hint="eastAsia" w:asciiTheme="minorEastAsia" w:hAnsiTheme="minorEastAsia" w:eastAsiaTheme="minorEastAsia" w:cstheme="minorEastAsia"/>
                <w:color w:val="auto"/>
                <w:sz w:val="24"/>
                <w:szCs w:val="24"/>
                <w:highlight w:val="none"/>
                <w:lang w:val="en-US" w:eastAsia="zh-CN"/>
              </w:rPr>
              <w:t>樊老师</w:t>
            </w:r>
          </w:p>
          <w:p w14:paraId="4901EF4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联系方式：</w:t>
            </w:r>
            <w:r>
              <w:rPr>
                <w:rFonts w:hint="eastAsia" w:asciiTheme="minorEastAsia" w:hAnsiTheme="minorEastAsia" w:eastAsiaTheme="minorEastAsia" w:cstheme="minorEastAsia"/>
                <w:color w:val="auto"/>
                <w:sz w:val="24"/>
                <w:szCs w:val="24"/>
                <w:highlight w:val="none"/>
                <w:lang w:val="en-US" w:eastAsia="zh-CN"/>
              </w:rPr>
              <w:t>15999261962</w:t>
            </w:r>
          </w:p>
        </w:tc>
      </w:tr>
      <w:tr w14:paraId="41A0501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9" w:hRule="atLeast"/>
          <w:jc w:val="center"/>
        </w:trPr>
        <w:tc>
          <w:tcPr>
            <w:tcW w:w="811" w:type="dxa"/>
            <w:tcBorders>
              <w:top w:val="single" w:color="auto" w:sz="8" w:space="0"/>
              <w:bottom w:val="single" w:color="auto" w:sz="8" w:space="0"/>
              <w:right w:val="single" w:color="auto" w:sz="8" w:space="0"/>
            </w:tcBorders>
            <w:noWrap w:val="0"/>
            <w:vAlign w:val="center"/>
          </w:tcPr>
          <w:p w14:paraId="1E085F8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0B4040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代理机构</w:t>
            </w:r>
          </w:p>
        </w:tc>
        <w:tc>
          <w:tcPr>
            <w:tcW w:w="6530" w:type="dxa"/>
            <w:tcBorders>
              <w:top w:val="single" w:color="auto" w:sz="8" w:space="0"/>
              <w:left w:val="single" w:color="auto" w:sz="8" w:space="0"/>
              <w:bottom w:val="single" w:color="auto" w:sz="8" w:space="0"/>
            </w:tcBorders>
            <w:noWrap w:val="0"/>
            <w:vAlign w:val="center"/>
          </w:tcPr>
          <w:p w14:paraId="28C30943">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名 称：</w:t>
            </w:r>
            <w:r>
              <w:rPr>
                <w:rFonts w:hint="eastAsia" w:asciiTheme="minorEastAsia" w:hAnsiTheme="minorEastAsia" w:eastAsiaTheme="minorEastAsia" w:cstheme="minorEastAsia"/>
                <w:color w:val="auto"/>
                <w:sz w:val="24"/>
                <w:szCs w:val="24"/>
                <w:highlight w:val="none"/>
                <w:lang w:eastAsia="zh-CN"/>
              </w:rPr>
              <w:t>伊宁县政府采购中心</w:t>
            </w:r>
          </w:p>
          <w:p w14:paraId="64482A0C">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地 址：</w:t>
            </w:r>
            <w:r>
              <w:rPr>
                <w:rFonts w:hint="eastAsia" w:asciiTheme="minorEastAsia" w:hAnsiTheme="minorEastAsia" w:eastAsiaTheme="minorEastAsia" w:cstheme="minorEastAsia"/>
                <w:color w:val="auto"/>
                <w:sz w:val="24"/>
                <w:szCs w:val="24"/>
                <w:highlight w:val="none"/>
                <w:lang w:eastAsia="zh-CN"/>
              </w:rPr>
              <w:t>伊宁县人民政府</w:t>
            </w:r>
          </w:p>
          <w:p w14:paraId="351E7991">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szCs w:val="24"/>
                <w:highlight w:val="none"/>
                <w:lang w:val="en-US" w:eastAsia="zh-CN"/>
              </w:rPr>
              <w:t>古丽老师</w:t>
            </w:r>
          </w:p>
          <w:p w14:paraId="6494A227">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项目联系方式：</w:t>
            </w:r>
            <w:r>
              <w:rPr>
                <w:rFonts w:hint="eastAsia" w:asciiTheme="minorEastAsia" w:hAnsiTheme="minorEastAsia" w:eastAsiaTheme="minorEastAsia" w:cstheme="minorEastAsia"/>
                <w:color w:val="auto"/>
                <w:sz w:val="24"/>
                <w:szCs w:val="24"/>
                <w:highlight w:val="none"/>
                <w:lang w:val="en-US" w:eastAsia="zh-CN"/>
              </w:rPr>
              <w:t>18097887808</w:t>
            </w:r>
          </w:p>
        </w:tc>
      </w:tr>
      <w:tr w14:paraId="282F311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3" w:hRule="exact"/>
          <w:jc w:val="center"/>
        </w:trPr>
        <w:tc>
          <w:tcPr>
            <w:tcW w:w="811" w:type="dxa"/>
            <w:tcBorders>
              <w:top w:val="single" w:color="auto" w:sz="8" w:space="0"/>
              <w:bottom w:val="single" w:color="auto" w:sz="8" w:space="0"/>
              <w:right w:val="single" w:color="auto" w:sz="8" w:space="0"/>
            </w:tcBorders>
            <w:noWrap w:val="0"/>
            <w:vAlign w:val="center"/>
          </w:tcPr>
          <w:p w14:paraId="255DD7F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88509D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采购项目名称</w:t>
            </w:r>
          </w:p>
        </w:tc>
        <w:tc>
          <w:tcPr>
            <w:tcW w:w="6530" w:type="dxa"/>
            <w:tcBorders>
              <w:top w:val="single" w:color="auto" w:sz="8" w:space="0"/>
              <w:left w:val="single" w:color="auto" w:sz="8" w:space="0"/>
              <w:bottom w:val="single" w:color="auto" w:sz="8" w:space="0"/>
            </w:tcBorders>
            <w:noWrap w:val="0"/>
            <w:vAlign w:val="center"/>
          </w:tcPr>
          <w:p w14:paraId="0741D69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eastAsia="zh-CN"/>
              </w:rPr>
              <w:t>伊宁县第六中学教学仪器设备采购项目（五标段）</w:t>
            </w:r>
          </w:p>
        </w:tc>
      </w:tr>
      <w:tr w14:paraId="745C1B4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jc w:val="center"/>
        </w:trPr>
        <w:tc>
          <w:tcPr>
            <w:tcW w:w="811" w:type="dxa"/>
            <w:tcBorders>
              <w:top w:val="single" w:color="auto" w:sz="8" w:space="0"/>
              <w:bottom w:val="single" w:color="auto" w:sz="8" w:space="0"/>
              <w:right w:val="single" w:color="auto" w:sz="8" w:space="0"/>
            </w:tcBorders>
            <w:noWrap w:val="0"/>
            <w:vAlign w:val="center"/>
          </w:tcPr>
          <w:p w14:paraId="7B539C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5FA389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采购项目编号</w:t>
            </w:r>
          </w:p>
        </w:tc>
        <w:tc>
          <w:tcPr>
            <w:tcW w:w="6530" w:type="dxa"/>
            <w:tcBorders>
              <w:top w:val="single" w:color="auto" w:sz="8" w:space="0"/>
              <w:left w:val="single" w:color="auto" w:sz="8" w:space="0"/>
              <w:bottom w:val="single" w:color="auto" w:sz="8" w:space="0"/>
            </w:tcBorders>
            <w:noWrap w:val="0"/>
            <w:vAlign w:val="center"/>
          </w:tcPr>
          <w:p w14:paraId="7936896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YNXCG-GK2024003号</w:t>
            </w:r>
          </w:p>
        </w:tc>
      </w:tr>
      <w:tr w14:paraId="417D75A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71" w:hRule="exact"/>
          <w:jc w:val="center"/>
        </w:trPr>
        <w:tc>
          <w:tcPr>
            <w:tcW w:w="811" w:type="dxa"/>
            <w:tcBorders>
              <w:top w:val="single" w:color="auto" w:sz="8" w:space="0"/>
              <w:bottom w:val="single" w:color="auto" w:sz="8" w:space="0"/>
              <w:right w:val="single" w:color="auto" w:sz="8" w:space="0"/>
            </w:tcBorders>
            <w:noWrap w:val="0"/>
            <w:vAlign w:val="center"/>
          </w:tcPr>
          <w:p w14:paraId="1455CD7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C06B72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资金来源</w:t>
            </w:r>
          </w:p>
        </w:tc>
        <w:tc>
          <w:tcPr>
            <w:tcW w:w="6530" w:type="dxa"/>
            <w:tcBorders>
              <w:top w:val="single" w:color="auto" w:sz="8" w:space="0"/>
              <w:left w:val="single" w:color="auto" w:sz="8" w:space="0"/>
              <w:bottom w:val="single" w:color="auto" w:sz="8" w:space="0"/>
            </w:tcBorders>
            <w:noWrap w:val="0"/>
            <w:vAlign w:val="center"/>
          </w:tcPr>
          <w:p w14:paraId="45F34CFA">
            <w:pPr>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债券资金</w:t>
            </w:r>
          </w:p>
        </w:tc>
      </w:tr>
      <w:tr w14:paraId="431942E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47" w:hRule="exact"/>
          <w:jc w:val="center"/>
        </w:trPr>
        <w:tc>
          <w:tcPr>
            <w:tcW w:w="811" w:type="dxa"/>
            <w:vMerge w:val="restart"/>
            <w:tcBorders>
              <w:top w:val="single" w:color="auto" w:sz="8" w:space="0"/>
              <w:right w:val="single" w:color="auto" w:sz="8" w:space="0"/>
            </w:tcBorders>
            <w:noWrap w:val="0"/>
            <w:vAlign w:val="center"/>
          </w:tcPr>
          <w:p w14:paraId="4AED17D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74C36C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预算金额</w:t>
            </w:r>
          </w:p>
        </w:tc>
        <w:tc>
          <w:tcPr>
            <w:tcW w:w="6530" w:type="dxa"/>
            <w:tcBorders>
              <w:top w:val="single" w:color="auto" w:sz="8" w:space="0"/>
              <w:left w:val="single" w:color="auto" w:sz="8" w:space="0"/>
              <w:bottom w:val="single" w:color="auto" w:sz="8" w:space="0"/>
            </w:tcBorders>
            <w:noWrap w:val="0"/>
            <w:vAlign w:val="center"/>
          </w:tcPr>
          <w:p w14:paraId="5C05B04B">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预算金额：300万元</w:t>
            </w:r>
          </w:p>
          <w:p w14:paraId="3B5A6EB0">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投标人投标报价超出预算金额的，作为不实质性响应投标文件，按无效响应文件处理</w:t>
            </w:r>
          </w:p>
        </w:tc>
      </w:tr>
      <w:tr w14:paraId="3A0255D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413" w:hRule="exact"/>
          <w:jc w:val="center"/>
        </w:trPr>
        <w:tc>
          <w:tcPr>
            <w:tcW w:w="811" w:type="dxa"/>
            <w:vMerge w:val="continue"/>
            <w:tcBorders>
              <w:bottom w:val="single" w:color="auto" w:sz="8" w:space="0"/>
              <w:right w:val="single" w:color="auto" w:sz="8" w:space="0"/>
            </w:tcBorders>
            <w:noWrap w:val="0"/>
            <w:vAlign w:val="center"/>
          </w:tcPr>
          <w:p w14:paraId="14D8E2D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4A5992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最高限价</w:t>
            </w:r>
          </w:p>
        </w:tc>
        <w:tc>
          <w:tcPr>
            <w:tcW w:w="6530" w:type="dxa"/>
            <w:tcBorders>
              <w:top w:val="single" w:color="auto" w:sz="8" w:space="0"/>
              <w:left w:val="single" w:color="auto" w:sz="8" w:space="0"/>
              <w:bottom w:val="single" w:color="auto" w:sz="8" w:space="0"/>
            </w:tcBorders>
            <w:noWrap w:val="0"/>
            <w:vAlign w:val="center"/>
          </w:tcPr>
          <w:p w14:paraId="12CB9B0D">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最高限价：300万元</w:t>
            </w:r>
          </w:p>
          <w:p w14:paraId="11F9E31B">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投标人投标报价超出最高限价的，作为不实质性响应投标文件，按无效响应文件处理</w:t>
            </w:r>
          </w:p>
        </w:tc>
      </w:tr>
      <w:tr w14:paraId="51FD891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1" w:hRule="exact"/>
          <w:jc w:val="center"/>
        </w:trPr>
        <w:tc>
          <w:tcPr>
            <w:tcW w:w="811" w:type="dxa"/>
            <w:tcBorders>
              <w:top w:val="single" w:color="auto" w:sz="8" w:space="0"/>
              <w:bottom w:val="single" w:color="auto" w:sz="8" w:space="0"/>
              <w:right w:val="single" w:color="auto" w:sz="8" w:space="0"/>
            </w:tcBorders>
            <w:noWrap w:val="0"/>
            <w:vAlign w:val="center"/>
          </w:tcPr>
          <w:p w14:paraId="2C118E0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CD068D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采购方式</w:t>
            </w:r>
          </w:p>
        </w:tc>
        <w:tc>
          <w:tcPr>
            <w:tcW w:w="6530" w:type="dxa"/>
            <w:tcBorders>
              <w:top w:val="single" w:color="auto" w:sz="8" w:space="0"/>
              <w:left w:val="single" w:color="auto" w:sz="8" w:space="0"/>
              <w:bottom w:val="single" w:color="auto" w:sz="8" w:space="0"/>
            </w:tcBorders>
            <w:noWrap w:val="0"/>
            <w:vAlign w:val="center"/>
          </w:tcPr>
          <w:p w14:paraId="1C456BF5">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公开招标</w:t>
            </w:r>
          </w:p>
        </w:tc>
      </w:tr>
      <w:tr w14:paraId="6E853A4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5" w:hRule="exact"/>
          <w:jc w:val="center"/>
        </w:trPr>
        <w:tc>
          <w:tcPr>
            <w:tcW w:w="811" w:type="dxa"/>
            <w:tcBorders>
              <w:top w:val="single" w:color="auto" w:sz="8" w:space="0"/>
              <w:bottom w:val="single" w:color="auto" w:sz="8" w:space="0"/>
              <w:right w:val="single" w:color="auto" w:sz="8" w:space="0"/>
            </w:tcBorders>
            <w:noWrap w:val="0"/>
            <w:vAlign w:val="center"/>
          </w:tcPr>
          <w:p w14:paraId="375A2E9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C0A987E">
            <w:pPr>
              <w:pStyle w:val="35"/>
              <w:keepNext w:val="0"/>
              <w:keepLines w:val="0"/>
              <w:pageBreakBefore w:val="0"/>
              <w:widowControl w:val="0"/>
              <w:kinsoku/>
              <w:wordWrap/>
              <w:overflowPunct/>
              <w:topLinePunct w:val="0"/>
              <w:bidi w:val="0"/>
              <w:snapToGrid/>
              <w:spacing w:line="440" w:lineRule="exact"/>
              <w:ind w:left="38"/>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是否专门面向中小</w:t>
            </w:r>
          </w:p>
          <w:p w14:paraId="707145DD">
            <w:pPr>
              <w:pStyle w:val="35"/>
              <w:keepNext w:val="0"/>
              <w:keepLines w:val="0"/>
              <w:pageBreakBefore w:val="0"/>
              <w:widowControl w:val="0"/>
              <w:kinsoku/>
              <w:wordWrap/>
              <w:overflowPunct/>
              <w:topLinePunct w:val="0"/>
              <w:bidi w:val="0"/>
              <w:snapToGrid/>
              <w:spacing w:line="440" w:lineRule="exact"/>
              <w:ind w:left="38" w:left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企业采购</w:t>
            </w:r>
          </w:p>
        </w:tc>
        <w:tc>
          <w:tcPr>
            <w:tcW w:w="6530" w:type="dxa"/>
            <w:tcBorders>
              <w:top w:val="single" w:color="auto" w:sz="8" w:space="0"/>
              <w:left w:val="single" w:color="auto" w:sz="8" w:space="0"/>
              <w:bottom w:val="single" w:color="auto" w:sz="8" w:space="0"/>
            </w:tcBorders>
            <w:noWrap w:val="0"/>
            <w:vAlign w:val="center"/>
          </w:tcPr>
          <w:p w14:paraId="0E5BCE1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 xml:space="preserve">否 </w:t>
            </w:r>
          </w:p>
          <w:p w14:paraId="0587A6FB">
            <w:pPr>
              <w:pStyle w:val="35"/>
              <w:keepNext w:val="0"/>
              <w:keepLines w:val="0"/>
              <w:pageBreakBefore w:val="0"/>
              <w:widowControl w:val="0"/>
              <w:kinsoku/>
              <w:wordWrap/>
              <w:overflowPunct/>
              <w:topLinePunct w:val="0"/>
              <w:autoSpaceDE w:val="0"/>
              <w:autoSpaceDN w:val="0"/>
              <w:bidi w:val="0"/>
              <w:adjustRightInd w:val="0"/>
              <w:snapToGrid/>
              <w:spacing w:line="440" w:lineRule="exact"/>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□是，非中小微企业、监狱企业或者残疾人福利性单位的投标人，其</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lang w:val="zh-CN"/>
              </w:rPr>
              <w:t>文件无效</w:t>
            </w:r>
          </w:p>
        </w:tc>
      </w:tr>
      <w:tr w14:paraId="44204D4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7" w:hRule="exact"/>
          <w:jc w:val="center"/>
        </w:trPr>
        <w:tc>
          <w:tcPr>
            <w:tcW w:w="811" w:type="dxa"/>
            <w:tcBorders>
              <w:top w:val="single" w:color="auto" w:sz="8" w:space="0"/>
              <w:bottom w:val="single" w:color="auto" w:sz="8" w:space="0"/>
              <w:right w:val="single" w:color="auto" w:sz="8" w:space="0"/>
            </w:tcBorders>
            <w:noWrap w:val="0"/>
            <w:vAlign w:val="center"/>
          </w:tcPr>
          <w:p w14:paraId="4C66A89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B4CCD1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采购内容</w:t>
            </w:r>
          </w:p>
        </w:tc>
        <w:tc>
          <w:tcPr>
            <w:tcW w:w="6530" w:type="dxa"/>
            <w:tcBorders>
              <w:top w:val="single" w:color="auto" w:sz="8" w:space="0"/>
              <w:left w:val="single" w:color="auto" w:sz="8" w:space="0"/>
              <w:bottom w:val="single" w:color="auto" w:sz="8" w:space="0"/>
            </w:tcBorders>
            <w:noWrap w:val="0"/>
            <w:vAlign w:val="center"/>
          </w:tcPr>
          <w:p w14:paraId="4A76D5BD">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详见第四章</w:t>
            </w:r>
          </w:p>
        </w:tc>
      </w:tr>
      <w:tr w14:paraId="7703D48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811" w:type="dxa"/>
            <w:tcBorders>
              <w:top w:val="single" w:color="auto" w:sz="8" w:space="0"/>
              <w:bottom w:val="single" w:color="auto" w:sz="8" w:space="0"/>
              <w:right w:val="single" w:color="auto" w:sz="8" w:space="0"/>
            </w:tcBorders>
            <w:noWrap w:val="0"/>
            <w:vAlign w:val="center"/>
          </w:tcPr>
          <w:p w14:paraId="22865F3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9BE07D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合同履行期限</w:t>
            </w:r>
          </w:p>
        </w:tc>
        <w:tc>
          <w:tcPr>
            <w:tcW w:w="6530" w:type="dxa"/>
            <w:tcBorders>
              <w:top w:val="single" w:color="auto" w:sz="8" w:space="0"/>
              <w:left w:val="single" w:color="auto" w:sz="8" w:space="0"/>
              <w:bottom w:val="single" w:color="auto" w:sz="8" w:space="0"/>
            </w:tcBorders>
            <w:noWrap w:val="0"/>
            <w:vAlign w:val="center"/>
          </w:tcPr>
          <w:p w14:paraId="7ECEBEB3">
            <w:pPr>
              <w:pageBreakBefore w:val="0"/>
              <w:widowControl w:val="0"/>
              <w:kinsoku/>
              <w:wordWrap/>
              <w:overflowPunct/>
              <w:topLinePunct w:val="0"/>
              <w:autoSpaceDE/>
              <w:autoSpaceDN/>
              <w:bidi w:val="0"/>
              <w:adjustRightInd/>
              <w:snapToGrid w:val="0"/>
              <w:spacing w:beforeAutospacing="0" w:afterAutospacing="0" w:line="480" w:lineRule="exact"/>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tc>
      </w:tr>
      <w:tr w14:paraId="68911B1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atLeast"/>
          <w:jc w:val="center"/>
        </w:trPr>
        <w:tc>
          <w:tcPr>
            <w:tcW w:w="811" w:type="dxa"/>
            <w:tcBorders>
              <w:top w:val="single" w:color="auto" w:sz="8" w:space="0"/>
              <w:bottom w:val="single" w:color="auto" w:sz="8" w:space="0"/>
              <w:right w:val="single" w:color="auto" w:sz="8" w:space="0"/>
            </w:tcBorders>
            <w:noWrap w:val="0"/>
            <w:vAlign w:val="center"/>
          </w:tcPr>
          <w:p w14:paraId="7D2FE6B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AD8CA2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交货地点</w:t>
            </w:r>
          </w:p>
        </w:tc>
        <w:tc>
          <w:tcPr>
            <w:tcW w:w="6530" w:type="dxa"/>
            <w:tcBorders>
              <w:top w:val="single" w:color="auto" w:sz="8" w:space="0"/>
              <w:left w:val="single" w:color="auto" w:sz="8" w:space="0"/>
              <w:bottom w:val="single" w:color="auto" w:sz="8" w:space="0"/>
            </w:tcBorders>
            <w:noWrap w:val="0"/>
            <w:vAlign w:val="center"/>
          </w:tcPr>
          <w:p w14:paraId="00C640E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采购人指定地点</w:t>
            </w:r>
          </w:p>
        </w:tc>
      </w:tr>
      <w:tr w14:paraId="7ADCE29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88" w:hRule="exact"/>
          <w:jc w:val="center"/>
        </w:trPr>
        <w:tc>
          <w:tcPr>
            <w:tcW w:w="811" w:type="dxa"/>
            <w:tcBorders>
              <w:top w:val="single" w:color="auto" w:sz="8" w:space="0"/>
              <w:bottom w:val="single" w:color="auto" w:sz="8" w:space="0"/>
              <w:right w:val="single" w:color="auto" w:sz="8" w:space="0"/>
            </w:tcBorders>
            <w:noWrap w:val="0"/>
            <w:vAlign w:val="center"/>
          </w:tcPr>
          <w:p w14:paraId="4E186C1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CF6419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质量要求、验收标准</w:t>
            </w:r>
          </w:p>
        </w:tc>
        <w:tc>
          <w:tcPr>
            <w:tcW w:w="6530" w:type="dxa"/>
            <w:tcBorders>
              <w:top w:val="single" w:color="auto" w:sz="8" w:space="0"/>
              <w:left w:val="single" w:color="auto" w:sz="8" w:space="0"/>
              <w:bottom w:val="single" w:color="auto" w:sz="8" w:space="0"/>
            </w:tcBorders>
            <w:noWrap w:val="0"/>
            <w:vAlign w:val="center"/>
          </w:tcPr>
          <w:p w14:paraId="6F13A9F6">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质保期：</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自货物验收合格之日起计算</w:t>
            </w:r>
            <w:r>
              <w:rPr>
                <w:rFonts w:hint="eastAsia" w:asciiTheme="minorEastAsia" w:hAnsiTheme="minorEastAsia" w:eastAsiaTheme="minorEastAsia" w:cstheme="minorEastAsia"/>
                <w:color w:val="auto"/>
                <w:sz w:val="24"/>
                <w:szCs w:val="24"/>
                <w:highlight w:val="none"/>
                <w:lang w:eastAsia="zh-CN"/>
              </w:rPr>
              <w:t>）。</w:t>
            </w:r>
          </w:p>
          <w:p w14:paraId="57CFD39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详见第四章</w:t>
            </w:r>
          </w:p>
        </w:tc>
      </w:tr>
      <w:tr w14:paraId="3C853F6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 w:hRule="atLeast"/>
          <w:jc w:val="center"/>
        </w:trPr>
        <w:tc>
          <w:tcPr>
            <w:tcW w:w="811" w:type="dxa"/>
            <w:tcBorders>
              <w:top w:val="single" w:color="auto" w:sz="8" w:space="0"/>
              <w:bottom w:val="single" w:color="auto" w:sz="8" w:space="0"/>
              <w:right w:val="single" w:color="auto" w:sz="8" w:space="0"/>
            </w:tcBorders>
            <w:noWrap w:val="0"/>
            <w:vAlign w:val="center"/>
          </w:tcPr>
          <w:p w14:paraId="7D48F5B5">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B9EA4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是否采购进口产品</w:t>
            </w:r>
          </w:p>
        </w:tc>
        <w:tc>
          <w:tcPr>
            <w:tcW w:w="6530" w:type="dxa"/>
            <w:tcBorders>
              <w:top w:val="single" w:color="auto" w:sz="8" w:space="0"/>
              <w:left w:val="single" w:color="auto" w:sz="8" w:space="0"/>
              <w:bottom w:val="single" w:color="auto" w:sz="8" w:space="0"/>
            </w:tcBorders>
            <w:noWrap w:val="0"/>
            <w:vAlign w:val="center"/>
          </w:tcPr>
          <w:p w14:paraId="0D201AC4">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本项目拒绝进口产品参加</w:t>
            </w:r>
            <w:r>
              <w:rPr>
                <w:rFonts w:hint="eastAsia" w:asciiTheme="minorEastAsia" w:hAnsiTheme="minorEastAsia" w:eastAsiaTheme="minorEastAsia" w:cstheme="minorEastAsia"/>
                <w:color w:val="auto"/>
                <w:sz w:val="24"/>
                <w:szCs w:val="24"/>
                <w:highlight w:val="none"/>
                <w:lang w:val="en-US" w:eastAsia="zh-CN"/>
              </w:rPr>
              <w:t>投标</w:t>
            </w:r>
          </w:p>
        </w:tc>
      </w:tr>
      <w:tr w14:paraId="5B17D59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60" w:hRule="atLeast"/>
          <w:jc w:val="center"/>
        </w:trPr>
        <w:tc>
          <w:tcPr>
            <w:tcW w:w="811" w:type="dxa"/>
            <w:tcBorders>
              <w:top w:val="single" w:color="auto" w:sz="8" w:space="0"/>
              <w:bottom w:val="single" w:color="auto" w:sz="8" w:space="0"/>
              <w:right w:val="single" w:color="auto" w:sz="8" w:space="0"/>
            </w:tcBorders>
            <w:noWrap w:val="0"/>
            <w:vAlign w:val="center"/>
          </w:tcPr>
          <w:p w14:paraId="76F5809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62F08D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联合体投标</w:t>
            </w:r>
          </w:p>
        </w:tc>
        <w:tc>
          <w:tcPr>
            <w:tcW w:w="6530" w:type="dxa"/>
            <w:tcBorders>
              <w:top w:val="single" w:color="auto" w:sz="8" w:space="0"/>
              <w:left w:val="single" w:color="auto" w:sz="8" w:space="0"/>
              <w:bottom w:val="single" w:color="auto" w:sz="8" w:space="0"/>
            </w:tcBorders>
            <w:noWrap w:val="0"/>
            <w:vAlign w:val="top"/>
          </w:tcPr>
          <w:p w14:paraId="76753217">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不接受</w:t>
            </w:r>
          </w:p>
          <w:p w14:paraId="70E5397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□接受，详见投标人须知第3.3条款</w:t>
            </w:r>
          </w:p>
        </w:tc>
      </w:tr>
      <w:tr w14:paraId="118E67D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3280C62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F3E436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招标文件发售</w:t>
            </w:r>
          </w:p>
        </w:tc>
        <w:tc>
          <w:tcPr>
            <w:tcW w:w="6530" w:type="dxa"/>
            <w:tcBorders>
              <w:top w:val="single" w:color="auto" w:sz="8" w:space="0"/>
              <w:left w:val="single" w:color="auto" w:sz="8" w:space="0"/>
              <w:bottom w:val="single" w:color="auto" w:sz="8" w:space="0"/>
            </w:tcBorders>
            <w:noWrap w:val="0"/>
            <w:vAlign w:val="center"/>
          </w:tcPr>
          <w:p w14:paraId="2D29A099">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u w:val="single"/>
              </w:rPr>
            </w:pPr>
            <w:r>
              <w:rPr>
                <w:rFonts w:hint="eastAsia" w:asciiTheme="minorEastAsia" w:hAnsiTheme="minorEastAsia" w:eastAsiaTheme="minorEastAsia" w:cstheme="minorEastAsia"/>
                <w:color w:val="auto"/>
                <w:sz w:val="24"/>
                <w:szCs w:val="24"/>
                <w:highlight w:val="none"/>
                <w:u w:val="singl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08559C10">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地点：</w:t>
            </w:r>
            <w:r>
              <w:rPr>
                <w:rFonts w:hint="eastAsia" w:asciiTheme="minorEastAsia" w:hAnsiTheme="minorEastAsia" w:eastAsiaTheme="minorEastAsia" w:cstheme="minorEastAsia"/>
                <w:color w:val="auto"/>
                <w:sz w:val="24"/>
                <w:szCs w:val="24"/>
                <w:highlight w:val="none"/>
                <w:u w:val="single"/>
              </w:rPr>
              <w:t>政采云系统平台（https://www.zcygov.cn/）</w:t>
            </w:r>
          </w:p>
        </w:tc>
      </w:tr>
      <w:tr w14:paraId="212096A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4CA091D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F0E13D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考察现场、标前答疑会</w:t>
            </w:r>
          </w:p>
        </w:tc>
        <w:tc>
          <w:tcPr>
            <w:tcW w:w="6530" w:type="dxa"/>
            <w:tcBorders>
              <w:top w:val="single" w:color="auto" w:sz="8" w:space="0"/>
              <w:left w:val="single" w:color="auto" w:sz="8" w:space="0"/>
              <w:bottom w:val="single" w:color="auto" w:sz="8" w:space="0"/>
            </w:tcBorders>
            <w:noWrap w:val="0"/>
            <w:vAlign w:val="center"/>
          </w:tcPr>
          <w:p w14:paraId="318AA7A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不组织</w:t>
            </w:r>
          </w:p>
          <w:p w14:paraId="0CE8EE63">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□组织，时间、地点另行书面通知</w:t>
            </w:r>
          </w:p>
        </w:tc>
      </w:tr>
      <w:tr w14:paraId="13733E3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4D049F2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B088D2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转包与分包履</w:t>
            </w:r>
            <w:r>
              <w:rPr>
                <w:rFonts w:hint="eastAsia" w:asciiTheme="minorEastAsia" w:hAnsiTheme="minorEastAsia" w:eastAsiaTheme="minorEastAsia" w:cstheme="minorEastAsia"/>
                <w:color w:val="auto"/>
                <w:sz w:val="24"/>
                <w:szCs w:val="24"/>
                <w:highlight w:val="none"/>
                <w:lang w:val="en-US" w:eastAsia="zh-CN"/>
              </w:rPr>
              <w:t>约</w:t>
            </w:r>
          </w:p>
        </w:tc>
        <w:tc>
          <w:tcPr>
            <w:tcW w:w="6530" w:type="dxa"/>
            <w:tcBorders>
              <w:top w:val="single" w:color="auto" w:sz="8" w:space="0"/>
              <w:left w:val="single" w:color="auto" w:sz="8" w:space="0"/>
              <w:bottom w:val="single" w:color="auto" w:sz="8" w:space="0"/>
            </w:tcBorders>
            <w:noWrap w:val="0"/>
            <w:vAlign w:val="center"/>
          </w:tcPr>
          <w:p w14:paraId="29FE3C2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不得转包。不允许分包。</w:t>
            </w:r>
          </w:p>
        </w:tc>
      </w:tr>
      <w:tr w14:paraId="57F0897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6F4BACD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E670EF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付款方式</w:t>
            </w:r>
          </w:p>
        </w:tc>
        <w:tc>
          <w:tcPr>
            <w:tcW w:w="6530" w:type="dxa"/>
            <w:tcBorders>
              <w:top w:val="single" w:color="auto" w:sz="8" w:space="0"/>
              <w:left w:val="single" w:color="auto" w:sz="8" w:space="0"/>
              <w:bottom w:val="single" w:color="auto" w:sz="8" w:space="0"/>
            </w:tcBorders>
            <w:noWrap w:val="0"/>
            <w:vAlign w:val="center"/>
          </w:tcPr>
          <w:p w14:paraId="680B664E">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签订合同后支付合同总价的30%，</w:t>
            </w:r>
            <w:r>
              <w:rPr>
                <w:rFonts w:hint="eastAsia" w:asciiTheme="minorEastAsia" w:hAnsiTheme="minorEastAsia" w:eastAsiaTheme="minorEastAsia" w:cstheme="minorEastAsia"/>
                <w:color w:val="auto"/>
                <w:sz w:val="24"/>
                <w:szCs w:val="24"/>
                <w:highlight w:val="none"/>
                <w:lang w:val="zh-CN" w:eastAsia="zh-CN"/>
              </w:rPr>
              <w:t>产品</w:t>
            </w:r>
            <w:r>
              <w:rPr>
                <w:rFonts w:hint="eastAsia" w:asciiTheme="minorEastAsia" w:hAnsiTheme="minorEastAsia" w:eastAsiaTheme="minorEastAsia" w:cstheme="minorEastAsia"/>
                <w:color w:val="auto"/>
                <w:sz w:val="24"/>
                <w:szCs w:val="24"/>
                <w:highlight w:val="none"/>
                <w:lang w:val="en-US" w:eastAsia="zh-CN"/>
              </w:rPr>
              <w:t>到货甲方初验合格后支付同总价的40%，货物终验验收</w:t>
            </w:r>
            <w:r>
              <w:rPr>
                <w:rFonts w:hint="eastAsia" w:asciiTheme="minorEastAsia" w:hAnsiTheme="minorEastAsia" w:eastAsiaTheme="minorEastAsia" w:cstheme="minorEastAsia"/>
                <w:color w:val="auto"/>
                <w:sz w:val="24"/>
                <w:szCs w:val="24"/>
                <w:highlight w:val="none"/>
                <w:lang w:val="zh-CN" w:eastAsia="zh-CN"/>
              </w:rPr>
              <w:t>合格后支付</w:t>
            </w:r>
            <w:r>
              <w:rPr>
                <w:rFonts w:hint="eastAsia" w:asciiTheme="minorEastAsia" w:hAnsiTheme="minorEastAsia" w:eastAsiaTheme="minorEastAsia" w:cstheme="minorEastAsia"/>
                <w:color w:val="auto"/>
                <w:sz w:val="24"/>
                <w:szCs w:val="24"/>
                <w:highlight w:val="none"/>
                <w:lang w:val="en-US" w:eastAsia="zh-CN"/>
              </w:rPr>
              <w:t>合同总价的30</w:t>
            </w:r>
            <w:r>
              <w:rPr>
                <w:rFonts w:hint="eastAsia" w:asciiTheme="minorEastAsia" w:hAnsiTheme="minorEastAsia" w:eastAsiaTheme="minorEastAsia" w:cstheme="minorEastAsia"/>
                <w:color w:val="auto"/>
                <w:sz w:val="24"/>
                <w:szCs w:val="24"/>
                <w:highlight w:val="none"/>
                <w:lang w:val="zh-CN" w:eastAsia="zh-CN"/>
              </w:rPr>
              <w:t>％。（具体与甲方签订为准）</w:t>
            </w:r>
          </w:p>
        </w:tc>
      </w:tr>
      <w:tr w14:paraId="2AED3BF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0049DC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37FB8A8">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招标文件澄清</w:t>
            </w:r>
          </w:p>
          <w:p w14:paraId="23A8C961">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或修改时间、形式</w:t>
            </w:r>
          </w:p>
        </w:tc>
        <w:tc>
          <w:tcPr>
            <w:tcW w:w="6530" w:type="dxa"/>
            <w:tcBorders>
              <w:top w:val="single" w:color="auto" w:sz="8" w:space="0"/>
              <w:left w:val="single" w:color="auto" w:sz="8" w:space="0"/>
              <w:bottom w:val="single" w:color="auto" w:sz="8" w:space="0"/>
            </w:tcBorders>
            <w:noWrap w:val="0"/>
            <w:vAlign w:val="center"/>
          </w:tcPr>
          <w:p w14:paraId="3F57508C">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时间：</w:t>
            </w:r>
            <w:r>
              <w:rPr>
                <w:rFonts w:hint="eastAsia" w:asciiTheme="minorEastAsia" w:hAnsiTheme="minorEastAsia" w:eastAsiaTheme="minorEastAsia" w:cstheme="minorEastAsia"/>
                <w:color w:val="auto"/>
                <w:sz w:val="24"/>
                <w:szCs w:val="24"/>
                <w:highlight w:val="none"/>
              </w:rPr>
              <w:t>递交投标文件</w:t>
            </w:r>
            <w:r>
              <w:rPr>
                <w:rFonts w:hint="eastAsia" w:asciiTheme="minorEastAsia" w:hAnsiTheme="minorEastAsia" w:eastAsiaTheme="minorEastAsia" w:cstheme="minorEastAsia"/>
                <w:color w:val="auto"/>
                <w:sz w:val="24"/>
                <w:szCs w:val="24"/>
                <w:highlight w:val="none"/>
                <w:lang w:eastAsia="zh-CN"/>
              </w:rPr>
              <w:t>截止</w:t>
            </w:r>
            <w:r>
              <w:rPr>
                <w:rFonts w:hint="eastAsia" w:asciiTheme="minorEastAsia" w:hAnsiTheme="minorEastAsia" w:eastAsiaTheme="minorEastAsia" w:cstheme="minorEastAsia"/>
                <w:color w:val="auto"/>
                <w:sz w:val="24"/>
                <w:szCs w:val="24"/>
                <w:highlight w:val="none"/>
              </w:rPr>
              <w:t>时间15日前</w:t>
            </w:r>
          </w:p>
          <w:p w14:paraId="3DF810C2">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形式：</w:t>
            </w:r>
            <w:r>
              <w:rPr>
                <w:rFonts w:hint="eastAsia" w:asciiTheme="minorEastAsia" w:hAnsiTheme="minorEastAsia" w:eastAsiaTheme="minorEastAsia" w:cstheme="minorEastAsia"/>
                <w:color w:val="auto"/>
                <w:sz w:val="24"/>
                <w:szCs w:val="24"/>
                <w:highlight w:val="none"/>
                <w:lang w:eastAsia="zh-CN"/>
              </w:rPr>
              <w:t>政采云平</w:t>
            </w:r>
            <w:r>
              <w:rPr>
                <w:rFonts w:hint="eastAsia" w:asciiTheme="minorEastAsia" w:hAnsiTheme="minorEastAsia" w:eastAsiaTheme="minorEastAsia" w:cstheme="minorEastAsia"/>
                <w:color w:val="auto"/>
                <w:sz w:val="24"/>
                <w:szCs w:val="24"/>
                <w:highlight w:val="none"/>
                <w:lang w:val="en-US" w:eastAsia="zh-CN"/>
              </w:rPr>
              <w:t>台发布更正澄清公告</w:t>
            </w:r>
          </w:p>
        </w:tc>
      </w:tr>
      <w:tr w14:paraId="3A8F39D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6FC98EB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B0403A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构成招标文件的</w:t>
            </w:r>
          </w:p>
          <w:p w14:paraId="4FE72A9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其他文件</w:t>
            </w:r>
          </w:p>
        </w:tc>
        <w:tc>
          <w:tcPr>
            <w:tcW w:w="6530" w:type="dxa"/>
            <w:tcBorders>
              <w:top w:val="single" w:color="auto" w:sz="8" w:space="0"/>
              <w:left w:val="single" w:color="auto" w:sz="8" w:space="0"/>
              <w:bottom w:val="single" w:color="auto" w:sz="8" w:space="0"/>
            </w:tcBorders>
            <w:noWrap w:val="0"/>
            <w:vAlign w:val="center"/>
          </w:tcPr>
          <w:p w14:paraId="63731CA2">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招标文件的澄清</w:t>
            </w:r>
            <w:r>
              <w:rPr>
                <w:rFonts w:hint="eastAsia" w:asciiTheme="minorEastAsia" w:hAnsiTheme="minorEastAsia" w:eastAsiaTheme="minorEastAsia" w:cstheme="minorEastAsia"/>
                <w:color w:val="auto"/>
                <w:sz w:val="24"/>
                <w:szCs w:val="24"/>
                <w:highlight w:val="none"/>
              </w:rPr>
              <w:t>、修改书及有关补充通知为招标文件的有效组成部分</w:t>
            </w:r>
          </w:p>
        </w:tc>
      </w:tr>
      <w:tr w14:paraId="2A5D083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atLeast"/>
          <w:jc w:val="center"/>
        </w:trPr>
        <w:tc>
          <w:tcPr>
            <w:tcW w:w="811" w:type="dxa"/>
            <w:tcBorders>
              <w:top w:val="single" w:color="auto" w:sz="8" w:space="0"/>
              <w:bottom w:val="single" w:color="auto" w:sz="8" w:space="0"/>
              <w:right w:val="single" w:color="auto" w:sz="8" w:space="0"/>
            </w:tcBorders>
            <w:noWrap w:val="0"/>
            <w:vAlign w:val="center"/>
          </w:tcPr>
          <w:p w14:paraId="4DAC472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897C95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投标人对招标文件</w:t>
            </w:r>
          </w:p>
          <w:p w14:paraId="6C100C5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提出质疑的时间、形式</w:t>
            </w:r>
          </w:p>
        </w:tc>
        <w:tc>
          <w:tcPr>
            <w:tcW w:w="6530" w:type="dxa"/>
            <w:tcBorders>
              <w:top w:val="single" w:color="auto" w:sz="8" w:space="0"/>
              <w:left w:val="single" w:color="auto" w:sz="8" w:space="0"/>
              <w:bottom w:val="single" w:color="auto" w:sz="8" w:space="0"/>
            </w:tcBorders>
            <w:noWrap w:val="0"/>
            <w:vAlign w:val="center"/>
          </w:tcPr>
          <w:p w14:paraId="104F0061">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时间：自投标人收到招标文件之日起7个工作日内，超过期限的采购人或采购代理机构不再受理</w:t>
            </w:r>
          </w:p>
          <w:p w14:paraId="1676EA98">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形式：书面形式（详见</w:t>
            </w:r>
            <w:r>
              <w:rPr>
                <w:rFonts w:hint="eastAsia" w:asciiTheme="minorEastAsia" w:hAnsiTheme="minorEastAsia" w:eastAsiaTheme="minorEastAsia" w:cstheme="minorEastAsia"/>
                <w:color w:val="auto"/>
                <w:sz w:val="24"/>
                <w:szCs w:val="24"/>
                <w:highlight w:val="none"/>
              </w:rPr>
              <w:t>投标人须知第13.1.2条款</w:t>
            </w:r>
            <w:r>
              <w:rPr>
                <w:rFonts w:hint="eastAsia" w:asciiTheme="minorEastAsia" w:hAnsiTheme="minorEastAsia" w:eastAsiaTheme="minorEastAsia" w:cstheme="minorEastAsia"/>
                <w:color w:val="auto"/>
                <w:sz w:val="24"/>
                <w:szCs w:val="24"/>
                <w:highlight w:val="none"/>
                <w:lang w:val="zh-CN"/>
              </w:rPr>
              <w:t>）</w:t>
            </w:r>
          </w:p>
        </w:tc>
      </w:tr>
      <w:tr w14:paraId="66BADC3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16" w:hRule="exact"/>
          <w:jc w:val="center"/>
        </w:trPr>
        <w:tc>
          <w:tcPr>
            <w:tcW w:w="811" w:type="dxa"/>
            <w:tcBorders>
              <w:top w:val="single" w:color="auto" w:sz="8" w:space="0"/>
              <w:bottom w:val="single" w:color="auto" w:sz="8" w:space="0"/>
              <w:right w:val="single" w:color="auto" w:sz="8" w:space="0"/>
            </w:tcBorders>
            <w:noWrap w:val="0"/>
            <w:vAlign w:val="center"/>
          </w:tcPr>
          <w:p w14:paraId="31BC240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580653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对投标人提出质疑</w:t>
            </w:r>
          </w:p>
          <w:p w14:paraId="5546498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答复时间、形式</w:t>
            </w:r>
          </w:p>
        </w:tc>
        <w:tc>
          <w:tcPr>
            <w:tcW w:w="6530" w:type="dxa"/>
            <w:tcBorders>
              <w:top w:val="single" w:color="auto" w:sz="8" w:space="0"/>
              <w:left w:val="single" w:color="auto" w:sz="8" w:space="0"/>
              <w:bottom w:val="single" w:color="auto" w:sz="8" w:space="0"/>
            </w:tcBorders>
            <w:noWrap w:val="0"/>
            <w:vAlign w:val="center"/>
          </w:tcPr>
          <w:p w14:paraId="41C29BF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时间：自收到投标人质疑函之日起7个工作日内</w:t>
            </w:r>
          </w:p>
          <w:p w14:paraId="71FFB96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形式：书面形式</w:t>
            </w:r>
          </w:p>
        </w:tc>
      </w:tr>
      <w:tr w14:paraId="2308F7B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exact"/>
          <w:jc w:val="center"/>
        </w:trPr>
        <w:tc>
          <w:tcPr>
            <w:tcW w:w="811" w:type="dxa"/>
            <w:tcBorders>
              <w:top w:val="single" w:color="auto" w:sz="8" w:space="0"/>
              <w:bottom w:val="single" w:color="auto" w:sz="8" w:space="0"/>
              <w:right w:val="single" w:color="auto" w:sz="8" w:space="0"/>
            </w:tcBorders>
            <w:noWrap w:val="0"/>
            <w:vAlign w:val="center"/>
          </w:tcPr>
          <w:p w14:paraId="5C7DB79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9A2CF4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投标有效期</w:t>
            </w:r>
          </w:p>
        </w:tc>
        <w:tc>
          <w:tcPr>
            <w:tcW w:w="6530" w:type="dxa"/>
            <w:tcBorders>
              <w:top w:val="single" w:color="auto" w:sz="8" w:space="0"/>
              <w:left w:val="single" w:color="auto" w:sz="8" w:space="0"/>
              <w:bottom w:val="single" w:color="auto" w:sz="8" w:space="0"/>
            </w:tcBorders>
            <w:noWrap w:val="0"/>
            <w:vAlign w:val="center"/>
          </w:tcPr>
          <w:p w14:paraId="24CBC372">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从投标截止日起90</w:t>
            </w:r>
            <w:r>
              <w:rPr>
                <w:rFonts w:hint="eastAsia" w:asciiTheme="minorEastAsia" w:hAnsiTheme="minorEastAsia" w:eastAsiaTheme="minorEastAsia" w:cstheme="minorEastAsia"/>
                <w:color w:val="auto"/>
                <w:sz w:val="24"/>
                <w:szCs w:val="24"/>
                <w:highlight w:val="none"/>
              </w:rPr>
              <w:t>日历</w:t>
            </w:r>
            <w:r>
              <w:rPr>
                <w:rFonts w:hint="eastAsia" w:asciiTheme="minorEastAsia" w:hAnsiTheme="minorEastAsia" w:eastAsiaTheme="minorEastAsia" w:cstheme="minorEastAsia"/>
                <w:color w:val="auto"/>
                <w:sz w:val="24"/>
                <w:szCs w:val="24"/>
                <w:highlight w:val="none"/>
                <w:lang w:val="zh-CN"/>
              </w:rPr>
              <w:t>日</w:t>
            </w:r>
          </w:p>
        </w:tc>
      </w:tr>
      <w:tr w14:paraId="25183C3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6" w:hRule="exact"/>
          <w:jc w:val="center"/>
        </w:trPr>
        <w:tc>
          <w:tcPr>
            <w:tcW w:w="811" w:type="dxa"/>
            <w:tcBorders>
              <w:top w:val="single" w:color="auto" w:sz="8" w:space="0"/>
              <w:bottom w:val="single" w:color="auto" w:sz="8" w:space="0"/>
              <w:right w:val="single" w:color="auto" w:sz="8" w:space="0"/>
            </w:tcBorders>
            <w:noWrap w:val="0"/>
            <w:vAlign w:val="center"/>
          </w:tcPr>
          <w:p w14:paraId="55F99E4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E7A538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是否允许递交多个</w:t>
            </w:r>
          </w:p>
          <w:p w14:paraId="4B041DF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备选投标方案</w:t>
            </w:r>
          </w:p>
        </w:tc>
        <w:tc>
          <w:tcPr>
            <w:tcW w:w="6530" w:type="dxa"/>
            <w:tcBorders>
              <w:top w:val="single" w:color="auto" w:sz="8" w:space="0"/>
              <w:left w:val="single" w:color="auto" w:sz="8" w:space="0"/>
              <w:bottom w:val="single" w:color="auto" w:sz="8" w:space="0"/>
            </w:tcBorders>
            <w:noWrap w:val="0"/>
            <w:vAlign w:val="center"/>
          </w:tcPr>
          <w:p w14:paraId="37E039E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不允许</w:t>
            </w:r>
          </w:p>
        </w:tc>
      </w:tr>
      <w:tr w14:paraId="14D3CE1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4" w:hRule="atLeast"/>
          <w:jc w:val="center"/>
        </w:trPr>
        <w:tc>
          <w:tcPr>
            <w:tcW w:w="811" w:type="dxa"/>
            <w:tcBorders>
              <w:top w:val="single" w:color="auto" w:sz="8" w:space="0"/>
              <w:bottom w:val="single" w:color="auto" w:sz="8" w:space="0"/>
              <w:right w:val="single" w:color="auto" w:sz="8" w:space="0"/>
            </w:tcBorders>
            <w:noWrap w:val="0"/>
            <w:vAlign w:val="center"/>
          </w:tcPr>
          <w:p w14:paraId="5774CCB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61B343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投标保证金</w:t>
            </w:r>
          </w:p>
        </w:tc>
        <w:tc>
          <w:tcPr>
            <w:tcW w:w="6530" w:type="dxa"/>
            <w:tcBorders>
              <w:top w:val="single" w:color="auto" w:sz="8" w:space="0"/>
              <w:left w:val="single" w:color="auto" w:sz="8" w:space="0"/>
              <w:bottom w:val="single" w:color="auto" w:sz="8" w:space="0"/>
            </w:tcBorders>
            <w:noWrap w:val="0"/>
            <w:vAlign w:val="center"/>
          </w:tcPr>
          <w:p w14:paraId="7BB3F4B0">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是否要求投标人递交投标保证金：要求</w:t>
            </w:r>
          </w:p>
          <w:p w14:paraId="7D3659D8">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保证金数额（按照预算金额2%以内的整数计算）：</w:t>
            </w:r>
            <w:r>
              <w:rPr>
                <w:rFonts w:hint="eastAsia" w:asciiTheme="minorEastAsia" w:hAnsiTheme="minorEastAsia" w:eastAsiaTheme="minorEastAsia" w:cstheme="minorEastAsia"/>
                <w:color w:val="auto"/>
                <w:sz w:val="24"/>
                <w:szCs w:val="24"/>
                <w:highlight w:val="none"/>
                <w:lang w:val="en-US" w:eastAsia="zh-CN"/>
              </w:rPr>
              <w:t>五标段：60000元</w:t>
            </w:r>
          </w:p>
          <w:p w14:paraId="0EAEA1E4">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交款方式：投标保证金应使用人民币，以银行转账或者金融机构、担保机构出具的保函等非现金形式提交。银行转账可以采取支票、电汇、网银、汇票、本票等方式，均应从基本账户转出。</w:t>
            </w:r>
          </w:p>
          <w:p w14:paraId="15060F87">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单位名称：伊宁县政府采购中心</w:t>
            </w:r>
          </w:p>
          <w:p w14:paraId="5E2560EA">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开户银行：新疆伊宁农村商业银行股份有限公司吉里于孜支行</w:t>
            </w:r>
          </w:p>
          <w:p w14:paraId="4E5B67C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 xml:space="preserve">账    号：813010012010101187070 </w:t>
            </w:r>
          </w:p>
          <w:p w14:paraId="346B942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行    号：402899200012</w:t>
            </w:r>
          </w:p>
          <w:p w14:paraId="0BABA5B1">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在递交的投标保证金转账单附注说明中写清：项目名称（有标段号的需注明标段号）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投标保证金递交截止时间：</w:t>
            </w:r>
            <w:r>
              <w:rPr>
                <w:rFonts w:hint="eastAsia" w:asciiTheme="minorEastAsia" w:hAnsiTheme="minorEastAsia" w:eastAsiaTheme="minorEastAsia" w:cstheme="minorEastAsia"/>
                <w:b/>
                <w:bCs/>
                <w:color w:val="auto"/>
                <w:sz w:val="24"/>
                <w:szCs w:val="24"/>
                <w:highlight w:val="none"/>
              </w:rPr>
              <w:t>同提交响应文件截止时间</w:t>
            </w:r>
            <w:r>
              <w:rPr>
                <w:rFonts w:hint="eastAsia" w:asciiTheme="minorEastAsia" w:hAnsiTheme="minorEastAsia" w:eastAsiaTheme="minorEastAsia" w:cstheme="minorEastAsia"/>
                <w:color w:val="auto"/>
                <w:sz w:val="24"/>
                <w:szCs w:val="24"/>
                <w:highlight w:val="none"/>
              </w:rPr>
              <w:t>（以银行到账时间为准），逾期未交或逾期到账视为放弃投标</w:t>
            </w:r>
            <w:r>
              <w:rPr>
                <w:rFonts w:hint="eastAsia" w:asciiTheme="minorEastAsia" w:hAnsiTheme="minorEastAsia" w:eastAsiaTheme="minorEastAsia" w:cstheme="minorEastAsia"/>
                <w:color w:val="auto"/>
                <w:sz w:val="24"/>
                <w:szCs w:val="24"/>
                <w:highlight w:val="none"/>
                <w:lang w:eastAsia="zh-CN"/>
              </w:rPr>
              <w:t>。</w:t>
            </w:r>
          </w:p>
          <w:p w14:paraId="52BB5CA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新疆政府采购电子保函操作流程：登录新疆政府采购网,进入“政采贷/电子保函”模块，即可在线完成电子保函的申请。若有任何问题，可以联系政采云金融服务专属客服，电话：400-903-9583。</w:t>
            </w:r>
          </w:p>
          <w:p w14:paraId="74EF6DB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潜在供应商可以自主选择以上任一种递交方式提交保证金。</w:t>
            </w:r>
          </w:p>
        </w:tc>
      </w:tr>
      <w:tr w14:paraId="67B7D55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7" w:hRule="exact"/>
          <w:jc w:val="center"/>
        </w:trPr>
        <w:tc>
          <w:tcPr>
            <w:tcW w:w="811" w:type="dxa"/>
            <w:tcBorders>
              <w:top w:val="single" w:color="auto" w:sz="8" w:space="0"/>
              <w:bottom w:val="single" w:color="auto" w:sz="8" w:space="0"/>
              <w:right w:val="single" w:color="auto" w:sz="8" w:space="0"/>
            </w:tcBorders>
            <w:noWrap w:val="0"/>
            <w:vAlign w:val="center"/>
          </w:tcPr>
          <w:p w14:paraId="65F706B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6E4848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不予退还投标</w:t>
            </w:r>
          </w:p>
          <w:p w14:paraId="45D9C74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保证金的情形</w:t>
            </w:r>
          </w:p>
        </w:tc>
        <w:tc>
          <w:tcPr>
            <w:tcW w:w="6530" w:type="dxa"/>
            <w:tcBorders>
              <w:top w:val="single" w:color="auto" w:sz="8" w:space="0"/>
              <w:left w:val="single" w:color="auto" w:sz="8" w:space="0"/>
              <w:bottom w:val="single" w:color="auto" w:sz="8" w:space="0"/>
            </w:tcBorders>
            <w:noWrap w:val="0"/>
            <w:vAlign w:val="center"/>
          </w:tcPr>
          <w:p w14:paraId="24D85F2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w:t>
            </w:r>
            <w:r>
              <w:rPr>
                <w:rFonts w:hint="eastAsia" w:asciiTheme="minorEastAsia" w:hAnsiTheme="minorEastAsia" w:eastAsiaTheme="minorEastAsia" w:cstheme="minorEastAsia"/>
                <w:color w:val="auto"/>
                <w:sz w:val="24"/>
                <w:szCs w:val="24"/>
                <w:highlight w:val="none"/>
              </w:rPr>
              <w:t>投标人须知第4.5.2.2条款</w:t>
            </w:r>
          </w:p>
        </w:tc>
      </w:tr>
      <w:tr w14:paraId="1C3578A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81" w:hRule="exact"/>
          <w:jc w:val="center"/>
        </w:trPr>
        <w:tc>
          <w:tcPr>
            <w:tcW w:w="811" w:type="dxa"/>
            <w:tcBorders>
              <w:top w:val="single" w:color="auto" w:sz="8" w:space="0"/>
              <w:bottom w:val="single" w:color="auto" w:sz="8" w:space="0"/>
              <w:right w:val="single" w:color="auto" w:sz="8" w:space="0"/>
            </w:tcBorders>
            <w:noWrap w:val="0"/>
            <w:vAlign w:val="center"/>
          </w:tcPr>
          <w:p w14:paraId="4590432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0DDC59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解密响应文件现场</w:t>
            </w:r>
          </w:p>
          <w:p w14:paraId="392E7AC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是否提供样品</w:t>
            </w:r>
          </w:p>
        </w:tc>
        <w:tc>
          <w:tcPr>
            <w:tcW w:w="6530" w:type="dxa"/>
            <w:tcBorders>
              <w:top w:val="single" w:color="auto" w:sz="8" w:space="0"/>
              <w:left w:val="single" w:color="auto" w:sz="8" w:space="0"/>
              <w:bottom w:val="single" w:color="auto" w:sz="8" w:space="0"/>
            </w:tcBorders>
            <w:noWrap w:val="0"/>
            <w:vAlign w:val="center"/>
          </w:tcPr>
          <w:p w14:paraId="1476DFE9">
            <w:pPr>
              <w:spacing w:line="320" w:lineRule="exact"/>
              <w:ind w:right="105" w:rightChars="50"/>
              <w:rPr>
                <w:rFonts w:hint="eastAsia" w:asciiTheme="minorEastAsia" w:hAnsiTheme="minorEastAsia" w:eastAsiaTheme="minorEastAsia" w:cstheme="minorEastAsia"/>
                <w:color w:val="auto"/>
                <w:kern w:val="0"/>
                <w:sz w:val="24"/>
                <w:szCs w:val="24"/>
                <w:highlight w:val="none"/>
                <w:lang w:val="zh-CN" w:eastAsia="zh-CN" w:bidi="ar-SA"/>
              </w:rPr>
            </w:pPr>
            <w:r>
              <w:rPr>
                <w:rFonts w:hint="eastAsia" w:asciiTheme="minorEastAsia" w:hAnsiTheme="minorEastAsia" w:eastAsiaTheme="minorEastAsia" w:cstheme="minorEastAsia"/>
                <w:color w:val="auto"/>
                <w:kern w:val="0"/>
                <w:sz w:val="24"/>
                <w:szCs w:val="24"/>
                <w:highlight w:val="none"/>
                <w:lang w:val="zh-CN" w:eastAsia="zh-CN" w:bidi="ar-SA"/>
              </w:rPr>
              <w:sym w:font="Wingdings 2" w:char="0052"/>
            </w:r>
            <w:r>
              <w:rPr>
                <w:rFonts w:hint="eastAsia" w:asciiTheme="minorEastAsia" w:hAnsiTheme="minorEastAsia" w:eastAsiaTheme="minorEastAsia" w:cstheme="minorEastAsia"/>
                <w:color w:val="auto"/>
                <w:kern w:val="0"/>
                <w:sz w:val="24"/>
                <w:szCs w:val="24"/>
                <w:highlight w:val="none"/>
                <w:lang w:val="zh-CN" w:eastAsia="zh-CN" w:bidi="ar-SA"/>
              </w:rPr>
              <w:t xml:space="preserve">  不需要</w:t>
            </w:r>
          </w:p>
          <w:p w14:paraId="30CA755D">
            <w:pPr>
              <w:spacing w:line="340" w:lineRule="exact"/>
              <w:ind w:right="105" w:rightChars="5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kern w:val="0"/>
                <w:sz w:val="24"/>
                <w:szCs w:val="24"/>
                <w:highlight w:val="none"/>
                <w:lang w:val="zh-CN" w:eastAsia="zh-CN" w:bidi="ar-SA"/>
              </w:rPr>
              <w:t>□  需要，样品要求：</w:t>
            </w:r>
          </w:p>
        </w:tc>
      </w:tr>
      <w:tr w14:paraId="4140F25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39" w:hRule="exact"/>
          <w:jc w:val="center"/>
        </w:trPr>
        <w:tc>
          <w:tcPr>
            <w:tcW w:w="811" w:type="dxa"/>
            <w:tcBorders>
              <w:top w:val="single" w:color="auto" w:sz="8" w:space="0"/>
              <w:bottom w:val="single" w:color="auto" w:sz="8" w:space="0"/>
              <w:right w:val="single" w:color="auto" w:sz="8" w:space="0"/>
            </w:tcBorders>
            <w:noWrap w:val="0"/>
            <w:vAlign w:val="center"/>
          </w:tcPr>
          <w:p w14:paraId="7F0135F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24E23A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投标文件签字</w:t>
            </w:r>
          </w:p>
          <w:p w14:paraId="1C35FE1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或盖章要求</w:t>
            </w:r>
          </w:p>
        </w:tc>
        <w:tc>
          <w:tcPr>
            <w:tcW w:w="6530" w:type="dxa"/>
            <w:tcBorders>
              <w:top w:val="single" w:color="auto" w:sz="8" w:space="0"/>
              <w:left w:val="single" w:color="auto" w:sz="8" w:space="0"/>
              <w:bottom w:val="single" w:color="auto" w:sz="8" w:space="0"/>
            </w:tcBorders>
            <w:noWrap w:val="0"/>
            <w:vAlign w:val="center"/>
          </w:tcPr>
          <w:p w14:paraId="39F15E7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投标人必须按照招标文件的规定和要求签字、盖章</w:t>
            </w:r>
          </w:p>
        </w:tc>
      </w:tr>
      <w:tr w14:paraId="765B36F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1" w:hRule="exact"/>
          <w:jc w:val="center"/>
        </w:trPr>
        <w:tc>
          <w:tcPr>
            <w:tcW w:w="811" w:type="dxa"/>
            <w:tcBorders>
              <w:top w:val="single" w:color="auto" w:sz="8" w:space="0"/>
              <w:bottom w:val="single" w:color="auto" w:sz="8" w:space="0"/>
              <w:right w:val="single" w:color="auto" w:sz="8" w:space="0"/>
            </w:tcBorders>
            <w:noWrap w:val="0"/>
            <w:vAlign w:val="center"/>
          </w:tcPr>
          <w:p w14:paraId="40F29A4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5FC0A5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w:t>
            </w:r>
          </w:p>
        </w:tc>
        <w:tc>
          <w:tcPr>
            <w:tcW w:w="6530" w:type="dxa"/>
            <w:tcBorders>
              <w:top w:val="single" w:color="auto" w:sz="8" w:space="0"/>
              <w:left w:val="single" w:color="auto" w:sz="8" w:space="0"/>
              <w:bottom w:val="single" w:color="auto" w:sz="8" w:space="0"/>
            </w:tcBorders>
            <w:noWrap w:val="0"/>
            <w:vAlign w:val="center"/>
          </w:tcPr>
          <w:p w14:paraId="5482EE1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18C9F4E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1．本项目采用不见面开标、投标人需要递交电子投标文件，加密的电子投标文件，在投标截止时间前通过新疆政府采购网政采云平台上传到指定位置。无需递交纸质文件。</w:t>
            </w:r>
          </w:p>
          <w:p w14:paraId="2695CB6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本项目采用远程不见面交易的模式。开标当日，投标人无需到达开标现场，仅需在任意地点通过新疆政府采购网政采云平台不见面开标系统（登录地址详见网站操作手册）完成远程解密、提疑澄清、开标唱标、结果公布等交互环节。投标人必须使用能正确解密投标文件的“CA锁”在规定的时间内完成远程解密，因投标人原因未能解密、解密失败或解密超时，视为投标人撤销其投标文件，系统内投标文件将被退回；因采购人原因或网上招投标平台发生故障，导致无法按时完成投标文件解密或开、评标工作无法进行的，可根据实际情况相应延迟解密时间或调整开、评标时间（友情提示：若投标人已领取副锁（含多把副锁）请注意正副锁的使用差别，务必使用生成投标文件的那把锁解密）。</w:t>
            </w:r>
          </w:p>
          <w:p w14:paraId="2242B9D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3.远程开标前，投标人务必在新疆政府采购网政采云平台（http://ccgp-bingtuan.gov.cn）投标文件上传模块中使用“模拟解密”功能，验证本机远程自助解密环境。</w:t>
            </w:r>
          </w:p>
        </w:tc>
      </w:tr>
      <w:tr w14:paraId="13F486D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05" w:hRule="atLeast"/>
          <w:jc w:val="center"/>
        </w:trPr>
        <w:tc>
          <w:tcPr>
            <w:tcW w:w="811" w:type="dxa"/>
            <w:tcBorders>
              <w:top w:val="single" w:color="auto" w:sz="8" w:space="0"/>
              <w:bottom w:val="single" w:color="auto" w:sz="8" w:space="0"/>
              <w:right w:val="single" w:color="auto" w:sz="8" w:space="0"/>
            </w:tcBorders>
            <w:noWrap w:val="0"/>
            <w:vAlign w:val="center"/>
          </w:tcPr>
          <w:p w14:paraId="7FFA365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478F1A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提交投标文件地点</w:t>
            </w:r>
          </w:p>
        </w:tc>
        <w:tc>
          <w:tcPr>
            <w:tcW w:w="6530" w:type="dxa"/>
            <w:tcBorders>
              <w:top w:val="single" w:color="auto" w:sz="8" w:space="0"/>
              <w:left w:val="single" w:color="auto" w:sz="8" w:space="0"/>
              <w:bottom w:val="single" w:color="auto" w:sz="8" w:space="0"/>
            </w:tcBorders>
            <w:noWrap w:val="0"/>
            <w:vAlign w:val="center"/>
          </w:tcPr>
          <w:p w14:paraId="4675979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请登录政采云投标客户端，在截止时间前将加密的电子投标文件（.jmbs）上传到新疆政府采购网对应的位置（逾期上传或者未上传指定地点的响应文件，采购人不予受理）。</w:t>
            </w:r>
          </w:p>
          <w:p w14:paraId="331D545C">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68D20BCA">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投标地点：政采云远程不见面开标大厅</w:t>
            </w:r>
          </w:p>
          <w:p w14:paraId="6A5DF7AC">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不见面开标默认解密时长：</w:t>
            </w:r>
            <w:r>
              <w:rPr>
                <w:rFonts w:hint="eastAsia" w:asciiTheme="minorEastAsia" w:hAnsiTheme="minorEastAsia" w:eastAsiaTheme="minorEastAsia" w:cstheme="minorEastAsia"/>
                <w:color w:val="auto"/>
                <w:sz w:val="24"/>
                <w:szCs w:val="24"/>
                <w:highlight w:val="none"/>
                <w:lang w:val="en-US" w:eastAsia="zh-CN"/>
              </w:rPr>
              <w:t>30</w:t>
            </w:r>
            <w:r>
              <w:rPr>
                <w:rFonts w:hint="eastAsia" w:asciiTheme="minorEastAsia" w:hAnsiTheme="minorEastAsia" w:eastAsiaTheme="minorEastAsia" w:cstheme="minorEastAsia"/>
                <w:color w:val="auto"/>
                <w:sz w:val="24"/>
                <w:szCs w:val="24"/>
                <w:highlight w:val="none"/>
                <w:lang w:val="zh-CN"/>
              </w:rPr>
              <w:t>分钟</w:t>
            </w:r>
          </w:p>
          <w:p w14:paraId="2C656C8A">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关于能否延长解密时间的</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定：开标现场若发现默认解密时长不足，由采购人决定是否延长解密时长。</w:t>
            </w:r>
          </w:p>
        </w:tc>
      </w:tr>
      <w:tr w14:paraId="1C8689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56" w:hRule="exact"/>
          <w:jc w:val="center"/>
        </w:trPr>
        <w:tc>
          <w:tcPr>
            <w:tcW w:w="811" w:type="dxa"/>
            <w:tcBorders>
              <w:top w:val="single" w:color="auto" w:sz="8" w:space="0"/>
              <w:bottom w:val="single" w:color="auto" w:sz="8" w:space="0"/>
              <w:right w:val="single" w:color="auto" w:sz="8" w:space="0"/>
            </w:tcBorders>
            <w:noWrap w:val="0"/>
            <w:vAlign w:val="center"/>
          </w:tcPr>
          <w:p w14:paraId="3EF92F8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1EDF6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投标截止时间</w:t>
            </w:r>
          </w:p>
        </w:tc>
        <w:tc>
          <w:tcPr>
            <w:tcW w:w="6530" w:type="dxa"/>
            <w:tcBorders>
              <w:top w:val="single" w:color="auto" w:sz="8" w:space="0"/>
              <w:left w:val="single" w:color="auto" w:sz="8" w:space="0"/>
              <w:bottom w:val="single" w:color="auto" w:sz="8" w:space="0"/>
            </w:tcBorders>
            <w:noWrap w:val="0"/>
            <w:vAlign w:val="center"/>
          </w:tcPr>
          <w:p w14:paraId="4B7D585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kern w:val="2"/>
                <w:sz w:val="24"/>
                <w:szCs w:val="24"/>
                <w:highlight w:val="none"/>
                <w:u w:val="single"/>
                <w:lang w:val="en-US" w:eastAsia="zh-CN" w:bidi="ar-SA"/>
              </w:rPr>
              <w:t>2024年12月05日10点30分（北京时间）</w:t>
            </w:r>
            <w:r>
              <w:rPr>
                <w:rFonts w:hint="eastAsia" w:asciiTheme="minorEastAsia" w:hAnsiTheme="minorEastAsia" w:eastAsiaTheme="minorEastAsia" w:cstheme="minorEastAsia"/>
                <w:color w:val="auto"/>
                <w:sz w:val="24"/>
                <w:szCs w:val="24"/>
                <w:highlight w:val="none"/>
              </w:rPr>
              <w:t>（如有变动另行通知）</w:t>
            </w:r>
          </w:p>
        </w:tc>
      </w:tr>
      <w:tr w14:paraId="7C92C85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3" w:hRule="exact"/>
          <w:jc w:val="center"/>
        </w:trPr>
        <w:tc>
          <w:tcPr>
            <w:tcW w:w="811" w:type="dxa"/>
            <w:tcBorders>
              <w:top w:val="single" w:color="auto" w:sz="8" w:space="0"/>
              <w:bottom w:val="single" w:color="auto" w:sz="8" w:space="0"/>
              <w:right w:val="single" w:color="auto" w:sz="8" w:space="0"/>
            </w:tcBorders>
            <w:noWrap w:val="0"/>
            <w:vAlign w:val="center"/>
          </w:tcPr>
          <w:p w14:paraId="7BD6A2F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96C6E9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递交投标文件地点</w:t>
            </w:r>
          </w:p>
        </w:tc>
        <w:tc>
          <w:tcPr>
            <w:tcW w:w="6530" w:type="dxa"/>
            <w:tcBorders>
              <w:top w:val="single" w:color="auto" w:sz="8" w:space="0"/>
              <w:left w:val="single" w:color="auto" w:sz="8" w:space="0"/>
              <w:bottom w:val="single" w:color="auto" w:sz="8" w:space="0"/>
            </w:tcBorders>
            <w:noWrap w:val="0"/>
            <w:vAlign w:val="center"/>
          </w:tcPr>
          <w:p w14:paraId="2D7AB8D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请登录政采云投标客户端，在截止时间前将加密的电子投标文件（.jmbs）上传到新疆政府采购网对应的位置（逾期上传或者未上传指定地点的投标文件，采购人不予受理）</w:t>
            </w:r>
          </w:p>
        </w:tc>
      </w:tr>
      <w:tr w14:paraId="15700C3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exact"/>
          <w:jc w:val="center"/>
        </w:trPr>
        <w:tc>
          <w:tcPr>
            <w:tcW w:w="811" w:type="dxa"/>
            <w:tcBorders>
              <w:top w:val="single" w:color="auto" w:sz="8" w:space="0"/>
              <w:bottom w:val="single" w:color="auto" w:sz="8" w:space="0"/>
              <w:right w:val="single" w:color="auto" w:sz="8" w:space="0"/>
            </w:tcBorders>
            <w:noWrap w:val="0"/>
            <w:vAlign w:val="center"/>
          </w:tcPr>
          <w:p w14:paraId="0DEE250F">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B0514F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投标文件是否退还</w:t>
            </w:r>
          </w:p>
        </w:tc>
        <w:tc>
          <w:tcPr>
            <w:tcW w:w="6530" w:type="dxa"/>
            <w:tcBorders>
              <w:top w:val="single" w:color="auto" w:sz="8" w:space="0"/>
              <w:left w:val="single" w:color="auto" w:sz="8" w:space="0"/>
              <w:bottom w:val="single" w:color="auto" w:sz="8" w:space="0"/>
            </w:tcBorders>
            <w:noWrap w:val="0"/>
            <w:vAlign w:val="center"/>
          </w:tcPr>
          <w:p w14:paraId="302B7B5F">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否</w:t>
            </w:r>
          </w:p>
        </w:tc>
      </w:tr>
      <w:tr w14:paraId="2A0E3CE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70" w:hRule="atLeast"/>
          <w:jc w:val="center"/>
        </w:trPr>
        <w:tc>
          <w:tcPr>
            <w:tcW w:w="811" w:type="dxa"/>
            <w:tcBorders>
              <w:top w:val="single" w:color="auto" w:sz="8" w:space="0"/>
              <w:bottom w:val="single" w:color="auto" w:sz="8" w:space="0"/>
              <w:right w:val="single" w:color="auto" w:sz="8" w:space="0"/>
            </w:tcBorders>
            <w:noWrap w:val="0"/>
            <w:vAlign w:val="center"/>
          </w:tcPr>
          <w:p w14:paraId="258B71F6">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86E353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开标时间和地点</w:t>
            </w:r>
          </w:p>
        </w:tc>
        <w:tc>
          <w:tcPr>
            <w:tcW w:w="6530" w:type="dxa"/>
            <w:tcBorders>
              <w:top w:val="single" w:color="auto" w:sz="8" w:space="0"/>
              <w:left w:val="single" w:color="auto" w:sz="8" w:space="0"/>
              <w:bottom w:val="single" w:color="auto" w:sz="8" w:space="0"/>
            </w:tcBorders>
            <w:noWrap w:val="0"/>
            <w:vAlign w:val="center"/>
          </w:tcPr>
          <w:p w14:paraId="02190E9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开标时间（解密）：同投标截止时间</w:t>
            </w:r>
          </w:p>
          <w:p w14:paraId="62581C58">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开标地点：政采云电子开标大厅</w:t>
            </w:r>
          </w:p>
        </w:tc>
      </w:tr>
      <w:tr w14:paraId="044B93F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0FE7B95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054553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评标委员会的组建</w:t>
            </w:r>
          </w:p>
        </w:tc>
        <w:tc>
          <w:tcPr>
            <w:tcW w:w="6530" w:type="dxa"/>
            <w:tcBorders>
              <w:top w:val="single" w:color="auto" w:sz="8" w:space="0"/>
              <w:left w:val="single" w:color="auto" w:sz="8" w:space="0"/>
              <w:bottom w:val="single" w:color="auto" w:sz="8" w:space="0"/>
            </w:tcBorders>
            <w:noWrap w:val="0"/>
            <w:vAlign w:val="center"/>
          </w:tcPr>
          <w:p w14:paraId="3C01105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评标委员会构成形式、人数，评标专家确定方式：</w:t>
            </w:r>
          </w:p>
          <w:p w14:paraId="6489C49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详见投标人须知第8.1.1条款</w:t>
            </w:r>
          </w:p>
        </w:tc>
      </w:tr>
      <w:tr w14:paraId="2A108FB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3C9ACB9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0636E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评标方法及标准</w:t>
            </w:r>
          </w:p>
        </w:tc>
        <w:tc>
          <w:tcPr>
            <w:tcW w:w="6530" w:type="dxa"/>
            <w:tcBorders>
              <w:top w:val="single" w:color="auto" w:sz="8" w:space="0"/>
              <w:left w:val="single" w:color="auto" w:sz="8" w:space="0"/>
              <w:bottom w:val="single" w:color="auto" w:sz="8" w:space="0"/>
            </w:tcBorders>
            <w:noWrap w:val="0"/>
            <w:vAlign w:val="center"/>
          </w:tcPr>
          <w:p w14:paraId="08A9519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详见第三章评标方法</w:t>
            </w:r>
          </w:p>
        </w:tc>
      </w:tr>
      <w:tr w14:paraId="7E113A3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85" w:hRule="atLeast"/>
          <w:jc w:val="center"/>
        </w:trPr>
        <w:tc>
          <w:tcPr>
            <w:tcW w:w="811" w:type="dxa"/>
            <w:tcBorders>
              <w:top w:val="single" w:color="auto" w:sz="8" w:space="0"/>
              <w:bottom w:val="single" w:color="auto" w:sz="8" w:space="0"/>
              <w:right w:val="single" w:color="auto" w:sz="8" w:space="0"/>
            </w:tcBorders>
            <w:noWrap w:val="0"/>
            <w:vAlign w:val="center"/>
          </w:tcPr>
          <w:p w14:paraId="3CECFBA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2D9078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评标委员会推荐中标候选人的人数</w:t>
            </w:r>
          </w:p>
        </w:tc>
        <w:tc>
          <w:tcPr>
            <w:tcW w:w="6530" w:type="dxa"/>
            <w:tcBorders>
              <w:top w:val="single" w:color="auto" w:sz="8" w:space="0"/>
              <w:left w:val="single" w:color="auto" w:sz="8" w:space="0"/>
              <w:bottom w:val="single" w:color="auto" w:sz="8" w:space="0"/>
            </w:tcBorders>
            <w:noWrap w:val="0"/>
            <w:vAlign w:val="center"/>
          </w:tcPr>
          <w:p w14:paraId="08CB651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r>
      <w:tr w14:paraId="323F582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39" w:hRule="atLeast"/>
          <w:jc w:val="center"/>
        </w:trPr>
        <w:tc>
          <w:tcPr>
            <w:tcW w:w="811" w:type="dxa"/>
            <w:tcBorders>
              <w:top w:val="single" w:color="auto" w:sz="8" w:space="0"/>
              <w:bottom w:val="single" w:color="auto" w:sz="8" w:space="0"/>
              <w:right w:val="single" w:color="auto" w:sz="8" w:space="0"/>
            </w:tcBorders>
            <w:noWrap w:val="0"/>
            <w:vAlign w:val="center"/>
          </w:tcPr>
          <w:p w14:paraId="6790DA93">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8682B8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是否授权评标委员会确定中标人</w:t>
            </w:r>
          </w:p>
        </w:tc>
        <w:tc>
          <w:tcPr>
            <w:tcW w:w="6530" w:type="dxa"/>
            <w:tcBorders>
              <w:top w:val="single" w:color="auto" w:sz="8" w:space="0"/>
              <w:left w:val="single" w:color="auto" w:sz="8" w:space="0"/>
              <w:bottom w:val="single" w:color="auto" w:sz="8" w:space="0"/>
            </w:tcBorders>
            <w:noWrap w:val="0"/>
            <w:vAlign w:val="center"/>
          </w:tcPr>
          <w:p w14:paraId="7D01ECA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否</w:t>
            </w:r>
          </w:p>
        </w:tc>
      </w:tr>
      <w:tr w14:paraId="6829F50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51" w:hRule="atLeast"/>
          <w:jc w:val="center"/>
        </w:trPr>
        <w:tc>
          <w:tcPr>
            <w:tcW w:w="811" w:type="dxa"/>
            <w:tcBorders>
              <w:top w:val="single" w:color="auto" w:sz="8" w:space="0"/>
              <w:bottom w:val="single" w:color="auto" w:sz="8" w:space="0"/>
              <w:right w:val="single" w:color="auto" w:sz="8" w:space="0"/>
            </w:tcBorders>
            <w:noWrap w:val="0"/>
            <w:vAlign w:val="center"/>
          </w:tcPr>
          <w:p w14:paraId="315F2AE4">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4305D73">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中标公告的时间、</w:t>
            </w:r>
          </w:p>
          <w:p w14:paraId="5E46A8E8">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媒介和期限</w:t>
            </w:r>
          </w:p>
        </w:tc>
        <w:tc>
          <w:tcPr>
            <w:tcW w:w="6530" w:type="dxa"/>
            <w:tcBorders>
              <w:top w:val="single" w:color="auto" w:sz="8" w:space="0"/>
              <w:left w:val="single" w:color="auto" w:sz="8" w:space="0"/>
              <w:bottom w:val="single" w:color="auto" w:sz="8" w:space="0"/>
            </w:tcBorders>
            <w:noWrap w:val="0"/>
            <w:vAlign w:val="center"/>
          </w:tcPr>
          <w:p w14:paraId="07163845">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公告时间：</w:t>
            </w:r>
            <w:r>
              <w:rPr>
                <w:rFonts w:hint="eastAsia" w:asciiTheme="minorEastAsia" w:hAnsiTheme="minorEastAsia" w:eastAsiaTheme="minorEastAsia" w:cstheme="minorEastAsia"/>
                <w:color w:val="auto"/>
                <w:sz w:val="24"/>
                <w:szCs w:val="24"/>
                <w:highlight w:val="none"/>
              </w:rPr>
              <w:t>在确定中标人之日起2个工作日内</w:t>
            </w:r>
          </w:p>
          <w:p w14:paraId="74A918DD">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公告媒介：</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zh-CN" w:eastAsia="zh-CN"/>
              </w:rPr>
              <w:t>新疆政府采购网》(http://www.ccgp-xinjiang.gov.cn/)</w:t>
            </w:r>
          </w:p>
          <w:p w14:paraId="057C7BD0">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公告期限：1个工作日</w:t>
            </w:r>
          </w:p>
        </w:tc>
      </w:tr>
      <w:tr w14:paraId="3E6709B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6" w:hRule="atLeast"/>
          <w:jc w:val="center"/>
        </w:trPr>
        <w:tc>
          <w:tcPr>
            <w:tcW w:w="811" w:type="dxa"/>
            <w:tcBorders>
              <w:top w:val="single" w:color="auto" w:sz="8" w:space="0"/>
              <w:bottom w:val="single" w:color="auto" w:sz="8" w:space="0"/>
              <w:right w:val="single" w:color="auto" w:sz="8" w:space="0"/>
            </w:tcBorders>
            <w:noWrap w:val="0"/>
            <w:vAlign w:val="center"/>
          </w:tcPr>
          <w:p w14:paraId="3257A1F3">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F04FE2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保证金</w:t>
            </w:r>
          </w:p>
        </w:tc>
        <w:tc>
          <w:tcPr>
            <w:tcW w:w="6530" w:type="dxa"/>
            <w:tcBorders>
              <w:top w:val="single" w:color="auto" w:sz="8" w:space="0"/>
              <w:left w:val="single" w:color="auto" w:sz="8" w:space="0"/>
              <w:bottom w:val="single" w:color="auto" w:sz="8" w:space="0"/>
            </w:tcBorders>
            <w:noWrap w:val="0"/>
            <w:vAlign w:val="center"/>
          </w:tcPr>
          <w:p w14:paraId="6D60AEE0">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lang w:val="zh-CN"/>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lang w:val="zh-CN"/>
              </w:rPr>
              <w:t>不需要</w:t>
            </w:r>
          </w:p>
          <w:p w14:paraId="20CA5983">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保证金的形式：履</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保证金（现金转账、支票或银行汇票</w:t>
            </w:r>
            <w:r>
              <w:rPr>
                <w:rFonts w:hint="eastAsia" w:asciiTheme="minorEastAsia" w:hAnsiTheme="minorEastAsia" w:eastAsiaTheme="minorEastAsia" w:cstheme="minorEastAsia"/>
                <w:color w:val="auto"/>
                <w:sz w:val="24"/>
                <w:szCs w:val="24"/>
                <w:highlight w:val="none"/>
                <w:lang w:val="en-US" w:eastAsia="zh-CN"/>
              </w:rPr>
              <w:t>或保函</w:t>
            </w:r>
            <w:r>
              <w:rPr>
                <w:rFonts w:hint="eastAsia" w:asciiTheme="minorEastAsia" w:hAnsiTheme="minorEastAsia" w:eastAsiaTheme="minorEastAsia" w:cstheme="minorEastAsia"/>
                <w:color w:val="auto"/>
                <w:sz w:val="24"/>
                <w:szCs w:val="24"/>
                <w:highlight w:val="none"/>
                <w:lang w:val="zh-CN"/>
              </w:rPr>
              <w:t>等）</w:t>
            </w:r>
          </w:p>
          <w:p w14:paraId="2AB35269">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保证金的金额：签</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合同价款的</w:t>
            </w:r>
            <w:r>
              <w:rPr>
                <w:rFonts w:hint="eastAsia" w:asciiTheme="minorEastAsia" w:hAnsiTheme="minorEastAsia" w:eastAsiaTheme="minorEastAsia" w:cstheme="minorEastAsia"/>
                <w:color w:val="auto"/>
                <w:sz w:val="24"/>
                <w:szCs w:val="24"/>
                <w:highlight w:val="none"/>
                <w:u w:val="single"/>
                <w:lang w:val="en-US" w:eastAsia="zh-CN"/>
              </w:rPr>
              <w:t>5</w:t>
            </w:r>
            <w:r>
              <w:rPr>
                <w:rFonts w:hint="eastAsia" w:asciiTheme="minorEastAsia" w:hAnsiTheme="minorEastAsia" w:eastAsiaTheme="minorEastAsia" w:cstheme="minorEastAsia"/>
                <w:color w:val="auto"/>
                <w:sz w:val="24"/>
                <w:szCs w:val="24"/>
                <w:highlight w:val="none"/>
                <w:lang w:val="zh-CN"/>
              </w:rPr>
              <w:t>% ；现金转账</w:t>
            </w:r>
            <w:r>
              <w:rPr>
                <w:rFonts w:hint="eastAsia" w:asciiTheme="minorEastAsia" w:hAnsiTheme="minorEastAsia" w:eastAsiaTheme="minorEastAsia" w:cstheme="minorEastAsia"/>
                <w:color w:val="auto"/>
                <w:sz w:val="24"/>
                <w:szCs w:val="24"/>
                <w:highlight w:val="none"/>
                <w:lang w:val="en-US" w:eastAsia="zh-CN"/>
              </w:rPr>
              <w:t>的中标</w:t>
            </w:r>
            <w:r>
              <w:rPr>
                <w:rFonts w:hint="eastAsia" w:asciiTheme="minorEastAsia" w:hAnsiTheme="minorEastAsia" w:eastAsiaTheme="minorEastAsia" w:cstheme="minorEastAsia"/>
                <w:color w:val="auto"/>
                <w:sz w:val="24"/>
                <w:szCs w:val="24"/>
                <w:highlight w:val="none"/>
                <w:lang w:val="zh-CN"/>
              </w:rPr>
              <w:t>人必须在收到中标通知书</w:t>
            </w:r>
            <w:r>
              <w:rPr>
                <w:rFonts w:hint="eastAsia" w:asciiTheme="minorEastAsia" w:hAnsiTheme="minorEastAsia" w:eastAsiaTheme="minorEastAsia" w:cstheme="minorEastAsia"/>
                <w:color w:val="auto"/>
                <w:sz w:val="24"/>
                <w:szCs w:val="24"/>
                <w:highlight w:val="none"/>
                <w:lang w:val="en-US" w:eastAsia="zh-CN"/>
              </w:rPr>
              <w:t>10</w:t>
            </w:r>
            <w:r>
              <w:rPr>
                <w:rFonts w:hint="eastAsia" w:asciiTheme="minorEastAsia" w:hAnsiTheme="minorEastAsia" w:eastAsiaTheme="minorEastAsia" w:cstheme="minorEastAsia"/>
                <w:color w:val="auto"/>
                <w:sz w:val="24"/>
                <w:szCs w:val="24"/>
                <w:highlight w:val="none"/>
                <w:lang w:val="zh-CN"/>
              </w:rPr>
              <w:t>日内</w:t>
            </w:r>
            <w:bookmarkStart w:id="269" w:name="_GoBack"/>
            <w:bookmarkEnd w:id="269"/>
            <w:r>
              <w:rPr>
                <w:rFonts w:hint="eastAsia" w:asciiTheme="minorEastAsia" w:hAnsiTheme="minorEastAsia" w:eastAsiaTheme="minorEastAsia" w:cstheme="minorEastAsia"/>
                <w:color w:val="auto"/>
                <w:sz w:val="24"/>
                <w:szCs w:val="24"/>
                <w:highlight w:val="none"/>
                <w:lang w:val="zh-CN"/>
              </w:rPr>
              <w:t>（签订合同之前）汇入采购人指定账户；如中标后不能按规定缴纳履</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保证金，招标人将有充分的理由解除中标人的中标资格并没收其投标保证金。</w:t>
            </w:r>
          </w:p>
          <w:p w14:paraId="1D71D882">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w:t>
            </w:r>
            <w:r>
              <w:rPr>
                <w:rFonts w:hint="eastAsia" w:asciiTheme="minorEastAsia" w:hAnsiTheme="minorEastAsia" w:eastAsiaTheme="minorEastAsia" w:cstheme="minorEastAsia"/>
                <w:color w:val="auto"/>
                <w:sz w:val="24"/>
                <w:szCs w:val="24"/>
                <w:highlight w:val="none"/>
                <w:lang w:val="en-US" w:eastAsia="zh-CN"/>
              </w:rPr>
              <w:t>约</w:t>
            </w:r>
            <w:r>
              <w:rPr>
                <w:rFonts w:hint="eastAsia" w:asciiTheme="minorEastAsia" w:hAnsiTheme="minorEastAsia" w:eastAsiaTheme="minorEastAsia" w:cstheme="minorEastAsia"/>
                <w:color w:val="auto"/>
                <w:sz w:val="24"/>
                <w:szCs w:val="24"/>
                <w:highlight w:val="none"/>
                <w:lang w:val="zh-CN"/>
              </w:rPr>
              <w:t>保证金退还时间：验收完成后，资料齐全、遗留问题全部解决后退还（不计利息）</w:t>
            </w:r>
          </w:p>
        </w:tc>
      </w:tr>
      <w:tr w14:paraId="17C44F3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35" w:hRule="atLeast"/>
          <w:jc w:val="center"/>
        </w:trPr>
        <w:tc>
          <w:tcPr>
            <w:tcW w:w="811" w:type="dxa"/>
            <w:tcBorders>
              <w:top w:val="single" w:color="auto" w:sz="8" w:space="0"/>
              <w:bottom w:val="single" w:color="auto" w:sz="8" w:space="0"/>
              <w:right w:val="single" w:color="auto" w:sz="8" w:space="0"/>
            </w:tcBorders>
            <w:noWrap w:val="0"/>
            <w:vAlign w:val="center"/>
          </w:tcPr>
          <w:p w14:paraId="1DC865F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614C7D2">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投标人信用信息</w:t>
            </w:r>
          </w:p>
          <w:p w14:paraId="45E071B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查询截止时点</w:t>
            </w:r>
          </w:p>
        </w:tc>
        <w:tc>
          <w:tcPr>
            <w:tcW w:w="6530" w:type="dxa"/>
            <w:tcBorders>
              <w:top w:val="single" w:color="auto" w:sz="8" w:space="0"/>
              <w:left w:val="single" w:color="auto" w:sz="8" w:space="0"/>
              <w:bottom w:val="single" w:color="auto" w:sz="8" w:space="0"/>
            </w:tcBorders>
            <w:noWrap w:val="0"/>
            <w:vAlign w:val="center"/>
          </w:tcPr>
          <w:p w14:paraId="1CAFCE7D">
            <w:pPr>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投标文件递交截止时间当日</w:t>
            </w:r>
          </w:p>
        </w:tc>
      </w:tr>
      <w:tr w14:paraId="3C09A36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8" w:hRule="atLeast"/>
          <w:jc w:val="center"/>
        </w:trPr>
        <w:tc>
          <w:tcPr>
            <w:tcW w:w="811" w:type="dxa"/>
            <w:tcBorders>
              <w:top w:val="single" w:color="auto" w:sz="8" w:space="0"/>
              <w:bottom w:val="single" w:color="auto" w:sz="8" w:space="0"/>
              <w:right w:val="single" w:color="auto" w:sz="8" w:space="0"/>
            </w:tcBorders>
            <w:noWrap w:val="0"/>
            <w:vAlign w:val="center"/>
          </w:tcPr>
          <w:p w14:paraId="5045FBD9">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2F100DD">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资格审查时是否</w:t>
            </w:r>
          </w:p>
          <w:p w14:paraId="2934C881">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核验证件</w:t>
            </w:r>
          </w:p>
        </w:tc>
        <w:tc>
          <w:tcPr>
            <w:tcW w:w="6530" w:type="dxa"/>
            <w:tcBorders>
              <w:top w:val="single" w:color="auto" w:sz="8" w:space="0"/>
              <w:left w:val="single" w:color="auto" w:sz="8" w:space="0"/>
              <w:bottom w:val="single" w:color="auto" w:sz="8" w:space="0"/>
            </w:tcBorders>
            <w:noWrap w:val="0"/>
            <w:vAlign w:val="center"/>
          </w:tcPr>
          <w:p w14:paraId="60383593">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kern w:val="2"/>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不需要</w:t>
            </w:r>
          </w:p>
        </w:tc>
      </w:tr>
      <w:tr w14:paraId="2875DD5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7" w:hRule="atLeast"/>
          <w:jc w:val="center"/>
        </w:trPr>
        <w:tc>
          <w:tcPr>
            <w:tcW w:w="811" w:type="dxa"/>
            <w:tcBorders>
              <w:top w:val="single" w:color="auto" w:sz="8" w:space="0"/>
              <w:bottom w:val="single" w:color="auto" w:sz="8" w:space="0"/>
              <w:right w:val="single" w:color="auto" w:sz="8" w:space="0"/>
            </w:tcBorders>
            <w:noWrap w:val="0"/>
            <w:vAlign w:val="center"/>
          </w:tcPr>
          <w:p w14:paraId="0C82BCD2">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9DE6A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06E54142">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演示与述标</w:t>
            </w:r>
          </w:p>
        </w:tc>
        <w:tc>
          <w:tcPr>
            <w:tcW w:w="6530" w:type="dxa"/>
            <w:tcBorders>
              <w:top w:val="single" w:color="auto" w:sz="8" w:space="0"/>
              <w:left w:val="single" w:color="auto" w:sz="8" w:space="0"/>
              <w:bottom w:val="single" w:color="auto" w:sz="8" w:space="0"/>
            </w:tcBorders>
            <w:noWrap w:val="0"/>
            <w:vAlign w:val="center"/>
          </w:tcPr>
          <w:p w14:paraId="35DB1676">
            <w:pPr>
              <w:keepNext w:val="0"/>
              <w:keepLines w:val="0"/>
              <w:pageBreakBefore w:val="0"/>
              <w:widowControl w:val="0"/>
              <w:tabs>
                <w:tab w:val="left" w:pos="279"/>
              </w:tabs>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4B3227D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FA0E53C">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F87697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501DDB0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提供样品</w:t>
            </w:r>
          </w:p>
        </w:tc>
        <w:tc>
          <w:tcPr>
            <w:tcW w:w="6530" w:type="dxa"/>
            <w:tcBorders>
              <w:top w:val="single" w:color="auto" w:sz="8" w:space="0"/>
              <w:left w:val="single" w:color="auto" w:sz="8" w:space="0"/>
              <w:bottom w:val="single" w:color="auto" w:sz="8" w:space="0"/>
            </w:tcBorders>
            <w:noWrap w:val="0"/>
            <w:vAlign w:val="center"/>
          </w:tcPr>
          <w:p w14:paraId="05ADAD78">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54E2ABA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F34B9D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AF30D5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资格要求</w:t>
            </w:r>
          </w:p>
        </w:tc>
        <w:tc>
          <w:tcPr>
            <w:tcW w:w="6530" w:type="dxa"/>
            <w:tcBorders>
              <w:top w:val="single" w:color="auto" w:sz="8" w:space="0"/>
              <w:left w:val="single" w:color="auto" w:sz="8" w:space="0"/>
              <w:bottom w:val="single" w:color="auto" w:sz="8" w:space="0"/>
            </w:tcBorders>
            <w:noWrap w:val="0"/>
            <w:vAlign w:val="center"/>
          </w:tcPr>
          <w:p w14:paraId="460E0AC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1.满足《中华人民共和国政府采购法》第二十二条规定；</w:t>
            </w:r>
          </w:p>
          <w:p w14:paraId="00062953">
            <w:pPr>
              <w:keepNext w:val="0"/>
              <w:keepLines w:val="0"/>
              <w:pageBreakBefore w:val="0"/>
              <w:widowControl w:val="0"/>
              <w:kinsoku/>
              <w:wordWrap/>
              <w:overflowPunct/>
              <w:topLinePunct w:val="0"/>
              <w:bidi w:val="0"/>
              <w:adjustRightInd/>
              <w:snapToGrid/>
              <w:spacing w:line="36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2.落实政府采购政策需满足的资格要求</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w:t>
            </w:r>
          </w:p>
          <w:p w14:paraId="7315B14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3.本项目的特定资格要求：</w:t>
            </w:r>
          </w:p>
          <w:p w14:paraId="3AB0FB1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color w:val="auto"/>
                <w:sz w:val="24"/>
                <w:szCs w:val="24"/>
                <w:highlight w:val="none"/>
                <w:lang w:eastAsia="zh-CN"/>
              </w:rPr>
              <w:t>招标文件</w:t>
            </w:r>
            <w:r>
              <w:rPr>
                <w:rFonts w:hint="eastAsia" w:asciiTheme="minorEastAsia" w:hAnsiTheme="minorEastAsia" w:eastAsiaTheme="minorEastAsia" w:cstheme="minorEastAsia"/>
                <w:color w:val="auto"/>
                <w:sz w:val="24"/>
                <w:szCs w:val="24"/>
                <w:highlight w:val="none"/>
              </w:rPr>
              <w:t>发布之日起至投标截止时间从上述网站中打印）</w:t>
            </w:r>
            <w:r>
              <w:rPr>
                <w:rFonts w:hint="eastAsia" w:asciiTheme="minorEastAsia" w:hAnsiTheme="minorEastAsia" w:eastAsiaTheme="minorEastAsia" w:cstheme="minorEastAsia"/>
                <w:color w:val="auto"/>
                <w:sz w:val="24"/>
                <w:szCs w:val="24"/>
                <w:highlight w:val="none"/>
                <w:lang w:val="en-US" w:eastAsia="zh-CN"/>
              </w:rPr>
              <w:t>；</w:t>
            </w:r>
          </w:p>
          <w:p w14:paraId="666FC38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）单位负责人为同一人或者存在直接控股、管理关系的不同</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，不得参</w:t>
            </w:r>
            <w:r>
              <w:rPr>
                <w:rFonts w:hint="eastAsia" w:asciiTheme="minorEastAsia" w:hAnsiTheme="minorEastAsia" w:eastAsiaTheme="minorEastAsia" w:cstheme="minorEastAsia"/>
                <w:color w:val="auto"/>
                <w:sz w:val="24"/>
                <w:szCs w:val="24"/>
                <w:highlight w:val="none"/>
                <w:lang w:val="en-US" w:eastAsia="zh-CN"/>
              </w:rPr>
              <w:t>加同一合同项下的政府采购活动。除单一来源采购项目外，为采购项目提供整体设计、规范编制或者项目管理、监理、检测等服务的投标人，不得再参加该采购项目的其他采购活动。</w:t>
            </w:r>
          </w:p>
        </w:tc>
      </w:tr>
      <w:tr w14:paraId="1029F0A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592DB042">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548CD5C">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所属行业</w:t>
            </w:r>
          </w:p>
        </w:tc>
        <w:tc>
          <w:tcPr>
            <w:tcW w:w="6530" w:type="dxa"/>
            <w:tcBorders>
              <w:top w:val="single" w:color="auto" w:sz="8" w:space="0"/>
              <w:left w:val="single" w:color="auto" w:sz="8" w:space="0"/>
              <w:bottom w:val="single" w:color="auto" w:sz="8" w:space="0"/>
            </w:tcBorders>
            <w:noWrap w:val="0"/>
            <w:vAlign w:val="center"/>
          </w:tcPr>
          <w:p w14:paraId="6CDBC6B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采购标的对应的中小企业划分标准所属行业为</w:t>
            </w:r>
            <w:r>
              <w:rPr>
                <w:rFonts w:hint="eastAsia" w:asciiTheme="minorEastAsia" w:hAnsiTheme="minorEastAsia" w:eastAsiaTheme="minorEastAsia" w:cstheme="minorEastAsia"/>
                <w:color w:val="auto"/>
                <w:sz w:val="24"/>
                <w:szCs w:val="24"/>
                <w:highlight w:val="none"/>
                <w:u w:val="single"/>
              </w:rPr>
              <w:t>工业</w:t>
            </w:r>
            <w:r>
              <w:rPr>
                <w:rFonts w:hint="eastAsia" w:asciiTheme="minorEastAsia" w:hAnsiTheme="minorEastAsia" w:eastAsiaTheme="minorEastAsia" w:cstheme="minorEastAsia"/>
                <w:color w:val="auto"/>
                <w:sz w:val="24"/>
                <w:szCs w:val="24"/>
                <w:highlight w:val="none"/>
              </w:rPr>
              <w:t>。</w:t>
            </w:r>
          </w:p>
          <w:p w14:paraId="4893AD2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14:paraId="74E60DE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7D8BBA9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E3BE34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核心产品</w:t>
            </w:r>
          </w:p>
        </w:tc>
        <w:tc>
          <w:tcPr>
            <w:tcW w:w="6530" w:type="dxa"/>
            <w:tcBorders>
              <w:top w:val="single" w:color="auto" w:sz="8" w:space="0"/>
              <w:left w:val="single" w:color="auto" w:sz="8" w:space="0"/>
              <w:bottom w:val="single" w:color="auto" w:sz="8" w:space="0"/>
            </w:tcBorders>
            <w:noWrap w:val="0"/>
            <w:vAlign w:val="center"/>
          </w:tcPr>
          <w:p w14:paraId="13EED492">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1、本项目核心产品为</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single"/>
                <w:lang w:val="en-US" w:eastAsia="zh-CN"/>
              </w:rPr>
              <w:t xml:space="preserve">电磁双眼大锅灶、四门冰柜、电磁双炒单温灶 </w:t>
            </w:r>
            <w:r>
              <w:rPr>
                <w:rFonts w:hint="eastAsia" w:asciiTheme="minorEastAsia" w:hAnsiTheme="minorEastAsia" w:eastAsiaTheme="minorEastAsia" w:cstheme="minorEastAsia"/>
                <w:color w:val="auto"/>
                <w:sz w:val="24"/>
                <w:szCs w:val="24"/>
                <w:highlight w:val="none"/>
              </w:rPr>
              <w:t>；核心产品相同品牌且通过资格审查、符合性审查的不同投标人参加同一合同项下投标的，按一家投标人计算，评审后得分最高的同品牌投标人获得中标人推荐资格；评审得分相同的，按照以下方式确定一个投标人获得中标人推荐资格，其他同品牌投标人不作为中标候选人。</w:t>
            </w:r>
          </w:p>
          <w:p w14:paraId="42C5698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其他：得分相同的，按投标报价由低到高顺序排列。得分且投标报价相同的，投标文件满足招标文件全部实质性要求且按评审因素的量化指标评审得分最高的投标人为排名第一的中标候选人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 w:val="24"/>
                <w:szCs w:val="24"/>
                <w:highlight w:val="none"/>
                <w:lang w:eastAsia="zh-CN"/>
              </w:rPr>
              <w:t>。</w:t>
            </w:r>
          </w:p>
          <w:p w14:paraId="50D1A7C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宋体" w:hAnsi="宋体" w:eastAsia="宋体" w:cs="宋体"/>
                <w:color w:val="auto"/>
                <w:kern w:val="2"/>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产品中标后安装验收过程中如果发现有不满足招标要求的、篡改参数，投标产品与交货产品不一致的，用户可以拒绝付款，并列入黑名单。</w:t>
            </w:r>
          </w:p>
        </w:tc>
      </w:tr>
      <w:tr w14:paraId="5E85B61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811" w:type="dxa"/>
            <w:tcBorders>
              <w:top w:val="single" w:color="auto" w:sz="8" w:space="0"/>
              <w:right w:val="single" w:color="auto" w:sz="8" w:space="0"/>
            </w:tcBorders>
            <w:noWrap w:val="0"/>
            <w:vAlign w:val="center"/>
          </w:tcPr>
          <w:p w14:paraId="585D5666">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49</w:t>
            </w:r>
          </w:p>
        </w:tc>
        <w:tc>
          <w:tcPr>
            <w:tcW w:w="2160" w:type="dxa"/>
            <w:tcBorders>
              <w:top w:val="single" w:color="auto" w:sz="8" w:space="0"/>
              <w:left w:val="single" w:color="auto" w:sz="8" w:space="0"/>
              <w:right w:val="single" w:color="auto" w:sz="8" w:space="0"/>
            </w:tcBorders>
            <w:noWrap w:val="0"/>
            <w:vAlign w:val="center"/>
          </w:tcPr>
          <w:p w14:paraId="3DCEDEA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w:t>
            </w:r>
          </w:p>
        </w:tc>
        <w:tc>
          <w:tcPr>
            <w:tcW w:w="6530" w:type="dxa"/>
            <w:tcBorders>
              <w:top w:val="single" w:color="auto" w:sz="8" w:space="0"/>
              <w:left w:val="single" w:color="auto" w:sz="8" w:space="0"/>
            </w:tcBorders>
            <w:noWrap w:val="0"/>
            <w:vAlign w:val="center"/>
          </w:tcPr>
          <w:p w14:paraId="351F464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低于成本价不正当竞争预防措施：在评审过程中，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供应商提交相关证明材料后，评标委员会应当结合采购项目采购需求、专业实际情况与其他供应商比较情况等就供应商提交相关证明材料进行审查评价。供应商拒绝或者变相拒绝提供有效相关证明材料或者相关证明材料不能证明其报价合理性的，评标委员会将投标文件作为无效处理。</w:t>
            </w:r>
          </w:p>
          <w:p w14:paraId="377ED22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（2）投标文件制作工具，请在新疆政府采购网政采云平台首页--下载专区--电子招投标客户端下载中进行下载。</w:t>
            </w:r>
          </w:p>
          <w:p w14:paraId="0DC5EA3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（3）“电子投标文件”指利用新疆政府采购网政采云平台提供的“电子投标文件制作工具”编制加密的投标文件。</w:t>
            </w:r>
          </w:p>
          <w:p w14:paraId="4EEE7B4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的同时不得耽误本项目供货。</w:t>
            </w:r>
          </w:p>
          <w:p w14:paraId="0351DC8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5）文件解释权：本招标文件的解释权归伊宁县政府采购中心所有，当对一个问题有多种解释时以采购代理机构解释为准。采购文件未作须知明示，而又有法律法规规定的，采购代理机构将依据法律法规的规定进行解释。</w:t>
            </w:r>
          </w:p>
          <w:p w14:paraId="6C653CD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（6）录音录像：采购代理机构对开标、投标人资格审查和评标过程进行全程录音录像，并存档备查。</w:t>
            </w:r>
          </w:p>
          <w:p w14:paraId="62B48E4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（7）合格投标人不足3家的，不得评标，不合格的投标人，不得进入评标环节。</w:t>
            </w:r>
          </w:p>
          <w:p w14:paraId="13E7D0B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（8）所有投标单位对招标文件中所有条款如有疑问或异议请在收到招标文件时间7个工作日内以书面形式（加盖公章）递交至伊宁县政府采购中心，否则不予受理。</w:t>
            </w:r>
          </w:p>
          <w:p w14:paraId="00785DA1">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（9）请各投标单位认真阅读并充分响应招标文件要求，以免造成投标失败。</w:t>
            </w:r>
          </w:p>
          <w:p w14:paraId="2CB430B0">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（10）为保证本项目产品质量及良好的服务，最低报价不作为中标的唯一依据。</w:t>
            </w:r>
          </w:p>
          <w:p w14:paraId="027E2AA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11）投标文件中有弄虚作假的内容，其投标文件作废。（如假证书、假业绩、隐瞒不良行为记录、夸大荣誉、使用非本单位在职员工的相关证件及不符合招标文件规定的条款等）；在签订合同之前，采购人如发现投标人的投标文件有弄虚作假内容，招标人可拒绝与其签订合同。并将其列入政府采购黑名单库。</w:t>
            </w:r>
          </w:p>
          <w:p w14:paraId="1D91123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（12）若招标文件有前后不一致的地方，以投标须知前附表为准。</w:t>
            </w:r>
          </w:p>
        </w:tc>
      </w:tr>
    </w:tbl>
    <w:p w14:paraId="213708CC">
      <w:pPr>
        <w:pStyle w:val="3"/>
        <w:pageBreakBefore w:val="0"/>
        <w:kinsoku/>
        <w:wordWrap/>
        <w:overflowPunct/>
        <w:topLinePunct w:val="0"/>
        <w:bidi w:val="0"/>
        <w:spacing w:before="0" w:after="120" w:afterLines="50" w:line="480" w:lineRule="exact"/>
        <w:jc w:val="center"/>
        <w:textAlignment w:val="auto"/>
        <w:rPr>
          <w:rFonts w:hint="eastAsia" w:asciiTheme="minorEastAsia" w:hAnsiTheme="minorEastAsia" w:eastAsiaTheme="minorEastAsia" w:cstheme="minorEastAsia"/>
          <w:bCs/>
          <w:color w:val="auto"/>
          <w:sz w:val="36"/>
          <w:szCs w:val="36"/>
          <w:highlight w:val="none"/>
        </w:rPr>
      </w:pPr>
      <w:r>
        <w:rPr>
          <w:color w:val="auto"/>
          <w:highlight w:val="none"/>
        </w:rPr>
        <w:br w:type="page"/>
      </w:r>
      <w:bookmarkEnd w:id="12"/>
      <w:bookmarkEnd w:id="13"/>
      <w:bookmarkEnd w:id="14"/>
      <w:bookmarkEnd w:id="15"/>
      <w:bookmarkStart w:id="63" w:name="_Toc12116"/>
      <w:bookmarkStart w:id="64" w:name="_Toc89075873"/>
      <w:bookmarkStart w:id="65" w:name="_Toc183582204"/>
      <w:bookmarkStart w:id="66" w:name="_Toc183682341"/>
      <w:bookmarkStart w:id="67" w:name="_Toc77400778"/>
      <w:bookmarkStart w:id="68" w:name="_Toc217446033"/>
      <w:r>
        <w:rPr>
          <w:rFonts w:hint="eastAsia" w:asciiTheme="minorEastAsia" w:hAnsiTheme="minorEastAsia" w:eastAsiaTheme="minorEastAsia" w:cstheme="minorEastAsia"/>
          <w:bCs/>
          <w:color w:val="auto"/>
          <w:sz w:val="36"/>
          <w:szCs w:val="36"/>
          <w:highlight w:val="none"/>
        </w:rPr>
        <w:t>1.总  则</w:t>
      </w:r>
      <w:bookmarkEnd w:id="63"/>
      <w:bookmarkEnd w:id="64"/>
      <w:bookmarkEnd w:id="65"/>
      <w:bookmarkEnd w:id="66"/>
      <w:bookmarkEnd w:id="67"/>
      <w:bookmarkEnd w:id="68"/>
      <w:bookmarkStart w:id="69" w:name="_Toc183582205"/>
      <w:bookmarkStart w:id="70" w:name="_Toc183682342"/>
      <w:bookmarkStart w:id="71" w:name="_Toc217446034"/>
    </w:p>
    <w:p w14:paraId="1C117E9E">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bCs/>
          <w:color w:val="auto"/>
          <w:sz w:val="30"/>
          <w:szCs w:val="30"/>
          <w:highlight w:val="none"/>
        </w:rPr>
      </w:pPr>
      <w:bookmarkStart w:id="72" w:name="_Toc25043"/>
      <w:r>
        <w:rPr>
          <w:rFonts w:hint="eastAsia" w:asciiTheme="minorEastAsia" w:hAnsiTheme="minorEastAsia" w:eastAsiaTheme="minorEastAsia" w:cstheme="minorEastAsia"/>
          <w:color w:val="auto"/>
          <w:sz w:val="30"/>
          <w:szCs w:val="30"/>
          <w:highlight w:val="none"/>
        </w:rPr>
        <w:t>1.</w:t>
      </w:r>
      <w:bookmarkEnd w:id="69"/>
      <w:bookmarkEnd w:id="70"/>
      <w:r>
        <w:rPr>
          <w:rFonts w:hint="eastAsia" w:asciiTheme="minorEastAsia" w:hAnsiTheme="minorEastAsia" w:eastAsiaTheme="minorEastAsia" w:cstheme="minorEastAsia"/>
          <w:color w:val="auto"/>
          <w:sz w:val="30"/>
          <w:szCs w:val="30"/>
          <w:highlight w:val="none"/>
        </w:rPr>
        <w:t>1适用范围</w:t>
      </w:r>
      <w:bookmarkEnd w:id="71"/>
      <w:bookmarkEnd w:id="72"/>
    </w:p>
    <w:p w14:paraId="14412AA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本招标文件仅适用于本次公开招标所叙述的货物（产品）项目采购活动。</w:t>
      </w:r>
      <w:bookmarkStart w:id="73" w:name="_Toc183582206"/>
      <w:bookmarkStart w:id="74" w:name="_Toc217446035"/>
      <w:bookmarkStart w:id="75" w:name="_Toc183682343"/>
    </w:p>
    <w:p w14:paraId="1A40D5F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76" w:name="_Toc6321"/>
      <w:r>
        <w:rPr>
          <w:rFonts w:hint="eastAsia" w:asciiTheme="minorEastAsia" w:hAnsiTheme="minorEastAsia" w:eastAsiaTheme="minorEastAsia" w:cstheme="minorEastAsia"/>
          <w:color w:val="auto"/>
          <w:sz w:val="30"/>
          <w:szCs w:val="30"/>
          <w:highlight w:val="none"/>
        </w:rPr>
        <w:t>1.2</w:t>
      </w:r>
      <w:bookmarkEnd w:id="73"/>
      <w:bookmarkEnd w:id="74"/>
      <w:bookmarkEnd w:id="75"/>
      <w:r>
        <w:rPr>
          <w:rFonts w:hint="eastAsia" w:asciiTheme="minorEastAsia" w:hAnsiTheme="minorEastAsia" w:eastAsiaTheme="minorEastAsia" w:cstheme="minorEastAsia"/>
          <w:color w:val="auto"/>
          <w:sz w:val="30"/>
          <w:szCs w:val="30"/>
          <w:highlight w:val="none"/>
        </w:rPr>
        <w:t>名词解释</w:t>
      </w:r>
      <w:bookmarkEnd w:id="76"/>
    </w:p>
    <w:p w14:paraId="36C7353E">
      <w:pPr>
        <w:pageBreakBefore w:val="0"/>
        <w:kinsoku/>
        <w:wordWrap/>
        <w:overflowPunct/>
        <w:topLinePunct w:val="0"/>
        <w:bidi w:val="0"/>
        <w:adjustRightInd w:val="0"/>
        <w:snapToGrid w:val="0"/>
        <w:spacing w:before="120" w:beforeLines="50" w:line="480" w:lineRule="exact"/>
        <w:ind w:firstLine="420" w:firstLineChars="200"/>
        <w:textAlignment w:val="auto"/>
        <w:rPr>
          <w:rFonts w:hint="eastAsia" w:asciiTheme="minorEastAsia" w:hAnsiTheme="minorEastAsia" w:eastAsiaTheme="minorEastAsia" w:cstheme="minorEastAsia"/>
          <w:b/>
          <w:color w:val="auto"/>
          <w:szCs w:val="21"/>
          <w:highlight w:val="none"/>
        </w:rPr>
      </w:pPr>
      <w:bookmarkStart w:id="77" w:name="_Toc183682344"/>
      <w:bookmarkStart w:id="78" w:name="_Toc217446036"/>
      <w:bookmarkStart w:id="79" w:name="_Toc217390843"/>
      <w:bookmarkStart w:id="80" w:name="_Toc183582207"/>
      <w:r>
        <w:rPr>
          <w:rFonts w:hint="eastAsia" w:asciiTheme="minorEastAsia" w:hAnsiTheme="minorEastAsia" w:eastAsiaTheme="minorEastAsia" w:cstheme="minorEastAsia"/>
          <w:color w:val="auto"/>
          <w:szCs w:val="21"/>
          <w:highlight w:val="none"/>
        </w:rPr>
        <w:t>1.2.1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采购人</w:t>
      </w:r>
      <w:r>
        <w:rPr>
          <w:rFonts w:hint="eastAsia" w:asciiTheme="minorEastAsia" w:hAnsiTheme="minorEastAsia" w:eastAsiaTheme="minorEastAsia" w:cstheme="minorEastAsia"/>
          <w:color w:val="auto"/>
          <w:szCs w:val="21"/>
          <w:highlight w:val="none"/>
        </w:rPr>
        <w:t>系指依法进行采购的国家机关、事业单位、团体组织。本次采购的采购人名称、地址、电话、联系人见投标人须知前附表。</w:t>
      </w:r>
    </w:p>
    <w:p w14:paraId="5698819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u w:val="single"/>
        </w:rPr>
      </w:pPr>
      <w:r>
        <w:rPr>
          <w:rFonts w:hint="eastAsia" w:asciiTheme="minorEastAsia" w:hAnsiTheme="minorEastAsia" w:eastAsiaTheme="minorEastAsia" w:cstheme="minorEastAsia"/>
          <w:color w:val="auto"/>
          <w:szCs w:val="21"/>
          <w:highlight w:val="none"/>
        </w:rPr>
        <w:t>1.2.2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监督机构</w:t>
      </w:r>
      <w:r>
        <w:rPr>
          <w:rFonts w:hint="eastAsia" w:asciiTheme="minorEastAsia" w:hAnsiTheme="minorEastAsia" w:eastAsiaTheme="minorEastAsia" w:cstheme="minorEastAsia"/>
          <w:color w:val="auto"/>
          <w:szCs w:val="21"/>
          <w:highlight w:val="none"/>
        </w:rPr>
        <w:t>系指监督管理部门。</w:t>
      </w:r>
    </w:p>
    <w:p w14:paraId="5C084AC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采购代理机构</w:t>
      </w:r>
      <w:r>
        <w:rPr>
          <w:rFonts w:hint="eastAsia" w:asciiTheme="minorEastAsia" w:hAnsiTheme="minorEastAsia" w:eastAsiaTheme="minorEastAsia" w:cstheme="minorEastAsia"/>
          <w:color w:val="auto"/>
          <w:szCs w:val="21"/>
          <w:highlight w:val="none"/>
        </w:rPr>
        <w:t>系指接受采购人委托，代理采购项目的依法经</w:t>
      </w:r>
      <w:r>
        <w:rPr>
          <w:rFonts w:hint="eastAsia" w:asciiTheme="minorEastAsia" w:hAnsiTheme="minorEastAsia" w:eastAsiaTheme="minorEastAsia" w:cstheme="minorEastAsia"/>
          <w:color w:val="auto"/>
          <w:szCs w:val="21"/>
          <w:highlight w:val="none"/>
          <w:lang w:val="en-US" w:eastAsia="zh-CN"/>
        </w:rPr>
        <w:t>有关</w:t>
      </w:r>
      <w:r>
        <w:rPr>
          <w:rFonts w:hint="eastAsia" w:asciiTheme="minorEastAsia" w:hAnsiTheme="minorEastAsia" w:eastAsiaTheme="minorEastAsia" w:cstheme="minorEastAsia"/>
          <w:color w:val="auto"/>
          <w:szCs w:val="21"/>
          <w:highlight w:val="none"/>
        </w:rPr>
        <w:t>部门认定资格的采购代理机构。本次采购的采购代理机构名称、地址、电话、联系人见投标人须知前附表。</w:t>
      </w:r>
    </w:p>
    <w:p w14:paraId="29FACD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1.2.4 </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color w:val="auto"/>
          <w:szCs w:val="21"/>
          <w:highlight w:val="none"/>
        </w:rPr>
        <w:t>是指响应招标，参加投标竞争的法人或其他组织或个人。</w:t>
      </w:r>
    </w:p>
    <w:p w14:paraId="231737B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1.2.5 </w:t>
      </w:r>
      <w:r>
        <w:rPr>
          <w:rFonts w:hint="eastAsia" w:asciiTheme="minorEastAsia" w:hAnsiTheme="minorEastAsia" w:eastAsiaTheme="minorEastAsia" w:cstheme="minorEastAsia"/>
          <w:b/>
          <w:color w:val="auto"/>
          <w:szCs w:val="21"/>
          <w:highlight w:val="none"/>
        </w:rPr>
        <w:t>货物</w:t>
      </w:r>
      <w:r>
        <w:rPr>
          <w:rFonts w:hint="eastAsia" w:asciiTheme="minorEastAsia" w:hAnsiTheme="minorEastAsia" w:eastAsiaTheme="minorEastAsia" w:cstheme="minorEastAsia"/>
          <w:color w:val="auto"/>
          <w:szCs w:val="21"/>
          <w:highlight w:val="none"/>
        </w:rPr>
        <w:t>是指本招标文件中第四章所述所有货物。</w:t>
      </w:r>
    </w:p>
    <w:p w14:paraId="3F07190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1.2.6 </w:t>
      </w:r>
      <w:r>
        <w:rPr>
          <w:rFonts w:hint="eastAsia" w:asciiTheme="minorEastAsia" w:hAnsiTheme="minorEastAsia" w:eastAsiaTheme="minorEastAsia" w:cstheme="minorEastAsia"/>
          <w:b/>
          <w:color w:val="auto"/>
          <w:szCs w:val="21"/>
          <w:highlight w:val="none"/>
        </w:rPr>
        <w:t>服务</w:t>
      </w:r>
      <w:r>
        <w:rPr>
          <w:rFonts w:hint="eastAsia" w:asciiTheme="minorEastAsia" w:hAnsiTheme="minorEastAsia" w:eastAsiaTheme="minorEastAsia" w:cstheme="minorEastAsia"/>
          <w:color w:val="auto"/>
          <w:szCs w:val="21"/>
          <w:highlight w:val="none"/>
        </w:rPr>
        <w:t>是指人为满足招标文件要求而提供的服务。</w:t>
      </w:r>
    </w:p>
    <w:p w14:paraId="7E3DB25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1.2.7 </w:t>
      </w:r>
      <w:r>
        <w:rPr>
          <w:rFonts w:hint="eastAsia" w:asciiTheme="minorEastAsia" w:hAnsiTheme="minorEastAsia" w:eastAsiaTheme="minorEastAsia" w:cstheme="minorEastAsia"/>
          <w:b/>
          <w:color w:val="auto"/>
          <w:szCs w:val="21"/>
          <w:highlight w:val="none"/>
        </w:rPr>
        <w:t>节能产品</w:t>
      </w:r>
      <w:r>
        <w:rPr>
          <w:rFonts w:hint="eastAsia" w:asciiTheme="minorEastAsia" w:hAnsiTheme="minorEastAsia" w:eastAsiaTheme="minorEastAsia" w:cstheme="minorEastAsia"/>
          <w:color w:val="auto"/>
          <w:szCs w:val="21"/>
          <w:highlight w:val="none"/>
        </w:rPr>
        <w:t>指财政部、发展改革委、生态环境部等部门发布的《节能产品品目清单》中的产品。</w:t>
      </w:r>
    </w:p>
    <w:p w14:paraId="05DC268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1.2.8 </w:t>
      </w:r>
      <w:r>
        <w:rPr>
          <w:rFonts w:hint="eastAsia" w:asciiTheme="minorEastAsia" w:hAnsiTheme="minorEastAsia" w:eastAsiaTheme="minorEastAsia" w:cstheme="minorEastAsia"/>
          <w:b/>
          <w:color w:val="auto"/>
          <w:szCs w:val="21"/>
          <w:highlight w:val="none"/>
        </w:rPr>
        <w:t>环境标志产品</w:t>
      </w:r>
      <w:r>
        <w:rPr>
          <w:rFonts w:hint="eastAsia" w:asciiTheme="minorEastAsia" w:hAnsiTheme="minorEastAsia" w:eastAsiaTheme="minorEastAsia" w:cstheme="minorEastAsia"/>
          <w:color w:val="auto"/>
          <w:szCs w:val="21"/>
          <w:highlight w:val="none"/>
        </w:rPr>
        <w:t>是指财政部、发展改革委、生态环境部等部门发布的《环境标志产品品目清单》中的产品。</w:t>
      </w:r>
    </w:p>
    <w:p w14:paraId="254BD5F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 xml:space="preserve">1.2.9 </w:t>
      </w:r>
      <w:r>
        <w:rPr>
          <w:rFonts w:hint="eastAsia" w:asciiTheme="minorEastAsia" w:hAnsiTheme="minorEastAsia" w:eastAsiaTheme="minorEastAsia" w:cstheme="minorEastAsia"/>
          <w:b/>
          <w:color w:val="auto"/>
          <w:kern w:val="0"/>
          <w:szCs w:val="21"/>
          <w:highlight w:val="none"/>
        </w:rPr>
        <w:t>进口产品</w:t>
      </w:r>
      <w:r>
        <w:rPr>
          <w:rFonts w:hint="eastAsia" w:asciiTheme="minorEastAsia" w:hAnsiTheme="minorEastAsia" w:eastAsiaTheme="minorEastAsia" w:cstheme="minorEastAsia"/>
          <w:color w:val="auto"/>
          <w:kern w:val="0"/>
          <w:szCs w:val="21"/>
          <w:highlight w:val="none"/>
        </w:rPr>
        <w:t>是指通过中国海关报关验放进入中国境内且产自关境外的产品，详见《关于政府采购进口产品管理有关问题的通知》(财库[2007]119号)。</w:t>
      </w:r>
    </w:p>
    <w:p w14:paraId="3CC4277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1.2.10</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中小企业</w:t>
      </w:r>
      <w:r>
        <w:rPr>
          <w:rFonts w:hint="eastAsia" w:asciiTheme="minorEastAsia" w:hAnsiTheme="minorEastAsia" w:eastAsiaTheme="minorEastAsia" w:cstheme="minorEastAsia"/>
          <w:color w:val="auto"/>
          <w:szCs w:val="21"/>
          <w:highlight w:val="none"/>
        </w:rPr>
        <w:t>是指符合《工业和信息化部、国家统计局、国家发展和改革委员会、财政部关于印发中小企业划型标准规定的通知》（工信部联企业[2011]300号）规定的对中小企业的划分标准的企业。</w:t>
      </w:r>
    </w:p>
    <w:p w14:paraId="23F8891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1.2.11 </w:t>
      </w:r>
      <w:r>
        <w:rPr>
          <w:rFonts w:hint="eastAsia" w:asciiTheme="minorEastAsia" w:hAnsiTheme="minorEastAsia" w:eastAsiaTheme="minorEastAsia" w:cstheme="minorEastAsia"/>
          <w:b/>
          <w:color w:val="auto"/>
          <w:szCs w:val="21"/>
          <w:highlight w:val="none"/>
        </w:rPr>
        <w:t>监狱企业</w:t>
      </w:r>
      <w:r>
        <w:rPr>
          <w:rFonts w:hint="eastAsia" w:asciiTheme="minorEastAsia" w:hAnsiTheme="minorEastAsia" w:eastAsiaTheme="minorEastAsia" w:cstheme="minorEastAsia"/>
          <w:color w:val="auto"/>
          <w:szCs w:val="21"/>
          <w:highlight w:val="none"/>
        </w:rPr>
        <w:t>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监狱管理局、戒毒管理局的企业。</w:t>
      </w:r>
    </w:p>
    <w:p w14:paraId="75BB1D1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1.2.12 </w:t>
      </w:r>
      <w:r>
        <w:rPr>
          <w:rFonts w:hint="eastAsia" w:asciiTheme="minorEastAsia" w:hAnsiTheme="minorEastAsia" w:eastAsiaTheme="minorEastAsia" w:cstheme="minorEastAsia"/>
          <w:b/>
          <w:color w:val="auto"/>
          <w:kern w:val="0"/>
          <w:szCs w:val="21"/>
          <w:highlight w:val="none"/>
        </w:rPr>
        <w:t>残疾人福利性单位</w:t>
      </w:r>
      <w:r>
        <w:rPr>
          <w:rFonts w:hint="eastAsia" w:asciiTheme="minorEastAsia" w:hAnsiTheme="minorEastAsia" w:eastAsiaTheme="minorEastAsia" w:cstheme="minorEastAsia"/>
          <w:color w:val="auto"/>
          <w:kern w:val="0"/>
          <w:szCs w:val="21"/>
          <w:highlight w:val="none"/>
        </w:rPr>
        <w:t>是指符合</w:t>
      </w:r>
      <w:r>
        <w:rPr>
          <w:rFonts w:hint="eastAsia" w:asciiTheme="minorEastAsia" w:hAnsiTheme="minorEastAsia" w:eastAsiaTheme="minorEastAsia" w:cstheme="minorEastAsia"/>
          <w:color w:val="auto"/>
          <w:spacing w:val="6"/>
          <w:szCs w:val="21"/>
          <w:highlight w:val="none"/>
        </w:rPr>
        <w:t>《财政部、民政部、中国残疾人联合会关于促进残疾人就业政府采购政策的通知》（财库</w:t>
      </w:r>
      <w:r>
        <w:rPr>
          <w:rFonts w:hint="eastAsia" w:asciiTheme="minorEastAsia" w:hAnsiTheme="minorEastAsia" w:eastAsiaTheme="minorEastAsia" w:cstheme="minorEastAsia"/>
          <w:color w:val="auto"/>
          <w:szCs w:val="21"/>
          <w:highlight w:val="none"/>
        </w:rPr>
        <w:t>〔2017〕141</w:t>
      </w:r>
      <w:r>
        <w:rPr>
          <w:rFonts w:hint="eastAsia" w:asciiTheme="minorEastAsia" w:hAnsiTheme="minorEastAsia" w:eastAsiaTheme="minorEastAsia" w:cstheme="minorEastAsia"/>
          <w:color w:val="auto"/>
          <w:spacing w:val="6"/>
          <w:szCs w:val="21"/>
          <w:highlight w:val="none"/>
        </w:rPr>
        <w:t>号）规定条件的单位。</w:t>
      </w:r>
    </w:p>
    <w:p w14:paraId="297872D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1" w:name="_Toc30965"/>
      <w:r>
        <w:rPr>
          <w:rFonts w:hint="eastAsia" w:asciiTheme="minorEastAsia" w:hAnsiTheme="minorEastAsia" w:eastAsiaTheme="minorEastAsia" w:cstheme="minorEastAsia"/>
          <w:color w:val="auto"/>
          <w:sz w:val="30"/>
          <w:szCs w:val="30"/>
          <w:highlight w:val="none"/>
        </w:rPr>
        <w:t>1.3 合格的投标</w:t>
      </w:r>
      <w:bookmarkEnd w:id="77"/>
      <w:bookmarkEnd w:id="78"/>
      <w:bookmarkEnd w:id="79"/>
      <w:bookmarkEnd w:id="80"/>
      <w:r>
        <w:rPr>
          <w:rFonts w:hint="eastAsia" w:asciiTheme="minorEastAsia" w:hAnsiTheme="minorEastAsia" w:eastAsiaTheme="minorEastAsia" w:cstheme="minorEastAsia"/>
          <w:color w:val="auto"/>
          <w:sz w:val="30"/>
          <w:szCs w:val="30"/>
          <w:highlight w:val="none"/>
        </w:rPr>
        <w:t>人</w:t>
      </w:r>
      <w:bookmarkEnd w:id="81"/>
    </w:p>
    <w:p w14:paraId="7835F3B4">
      <w:pPr>
        <w:pageBreakBefore w:val="0"/>
        <w:tabs>
          <w:tab w:val="left" w:pos="7665"/>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1.3.1 合格的投标人应具备以下条件：</w:t>
      </w:r>
    </w:p>
    <w:p w14:paraId="0F9D5E2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pacing w:val="-4"/>
          <w:szCs w:val="21"/>
          <w:highlight w:val="none"/>
        </w:rPr>
      </w:pPr>
      <w:r>
        <w:rPr>
          <w:rFonts w:hint="eastAsia" w:asciiTheme="minorEastAsia" w:hAnsiTheme="minorEastAsia" w:eastAsiaTheme="minorEastAsia" w:cstheme="minorEastAsia"/>
          <w:color w:val="auto"/>
          <w:szCs w:val="21"/>
          <w:highlight w:val="none"/>
        </w:rPr>
        <w:t>（1）具备且满足“招标公告”要求的</w:t>
      </w:r>
      <w:r>
        <w:rPr>
          <w:rFonts w:hint="eastAsia" w:asciiTheme="minorEastAsia" w:hAnsiTheme="minorEastAsia" w:eastAsiaTheme="minorEastAsia" w:cstheme="minorEastAsia"/>
          <w:color w:val="auto"/>
          <w:spacing w:val="-4"/>
          <w:szCs w:val="21"/>
          <w:highlight w:val="none"/>
        </w:rPr>
        <w:t>；</w:t>
      </w:r>
    </w:p>
    <w:p w14:paraId="62CC28A7">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w:t>
      </w:r>
      <w:r>
        <w:rPr>
          <w:rFonts w:hint="eastAsia" w:asciiTheme="minorEastAsia" w:hAnsiTheme="minorEastAsia" w:eastAsiaTheme="minorEastAsia" w:cstheme="minorEastAsia"/>
          <w:color w:val="auto"/>
          <w:szCs w:val="21"/>
          <w:highlight w:val="none"/>
          <w:lang w:val="en-US" w:eastAsia="zh-CN"/>
        </w:rPr>
        <w:t>在新疆政府采购网免费获取了</w:t>
      </w:r>
      <w:r>
        <w:rPr>
          <w:rFonts w:hint="eastAsia" w:asciiTheme="minorEastAsia" w:hAnsiTheme="minorEastAsia" w:eastAsiaTheme="minorEastAsia" w:cstheme="minorEastAsia"/>
          <w:color w:val="auto"/>
          <w:szCs w:val="21"/>
          <w:highlight w:val="none"/>
        </w:rPr>
        <w:t>招标文件并</w:t>
      </w:r>
      <w:r>
        <w:rPr>
          <w:rFonts w:hint="eastAsia" w:asciiTheme="minorEastAsia" w:hAnsiTheme="minorEastAsia" w:eastAsiaTheme="minorEastAsia" w:cstheme="minorEastAsia"/>
          <w:color w:val="auto"/>
          <w:szCs w:val="21"/>
          <w:highlight w:val="none"/>
          <w:lang w:val="en-US" w:eastAsia="zh-CN"/>
        </w:rPr>
        <w:t>注册为正式供应商</w:t>
      </w:r>
      <w:r>
        <w:rPr>
          <w:rFonts w:hint="eastAsia" w:asciiTheme="minorEastAsia" w:hAnsiTheme="minorEastAsia" w:eastAsiaTheme="minorEastAsia" w:cstheme="minorEastAsia"/>
          <w:color w:val="auto"/>
          <w:szCs w:val="21"/>
          <w:highlight w:val="none"/>
        </w:rPr>
        <w:t>；</w:t>
      </w:r>
    </w:p>
    <w:p w14:paraId="37C8F50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（3）交纳了投标保证金；</w:t>
      </w:r>
    </w:p>
    <w:p w14:paraId="0C67DF7F">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（4）遵守国家、新疆维吾尔自治区有关的法律法规、规章和规范性文件要求；</w:t>
      </w:r>
    </w:p>
    <w:p w14:paraId="3830D8F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（5）招标文件和法律、行政法规规定的其他条件。</w:t>
      </w:r>
    </w:p>
    <w:p w14:paraId="1CAD0DB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1.3.2 投标人不得存在下列情形之一：</w:t>
      </w:r>
    </w:p>
    <w:p w14:paraId="536A178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（l）与采购人、采购代理机构存在</w:t>
      </w:r>
      <w:r>
        <w:rPr>
          <w:rFonts w:hint="eastAsia" w:asciiTheme="minorEastAsia" w:hAnsiTheme="minorEastAsia" w:eastAsiaTheme="minorEastAsia" w:cstheme="minorEastAsia"/>
          <w:bCs/>
          <w:color w:val="auto"/>
          <w:szCs w:val="21"/>
          <w:highlight w:val="none"/>
        </w:rPr>
        <w:t>隶属关系或者其他利害关系，且可能影响招标公正性；</w:t>
      </w:r>
    </w:p>
    <w:p w14:paraId="636291D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（2）与本采购项目其他投标人的法定代表人（或者负责人）为同一人；</w:t>
      </w:r>
    </w:p>
    <w:p w14:paraId="4D7AA6B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（3）与本采购项目其他投标人存在控股、管理关系；</w:t>
      </w:r>
    </w:p>
    <w:p w14:paraId="63F6E61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（4）为本项目采购代理机构；</w:t>
      </w:r>
    </w:p>
    <w:p w14:paraId="2082FA4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（5）为本项目代理投标的为其采购代理机构；</w:t>
      </w:r>
    </w:p>
    <w:p w14:paraId="3A0F4F6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（6）为本项目提供整体设计、规范编制或者项目管理、监理、检测、咨询服务；</w:t>
      </w:r>
    </w:p>
    <w:p w14:paraId="303DA7CE">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（7）</w:t>
      </w:r>
      <w:r>
        <w:rPr>
          <w:rFonts w:hint="eastAsia" w:asciiTheme="minorEastAsia" w:hAnsiTheme="minorEastAsia" w:eastAsiaTheme="minorEastAsia" w:cstheme="minorEastAsia"/>
          <w:bCs/>
          <w:color w:val="auto"/>
          <w:szCs w:val="21"/>
          <w:highlight w:val="none"/>
        </w:rPr>
        <w:t>受到刑事处罚；</w:t>
      </w:r>
    </w:p>
    <w:p w14:paraId="67EFCA7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（8）受到财政部门3万元以上数额罚款的行政处罚或其他行政部门较大数额罚款的行政处罚（举行听证会的）；</w:t>
      </w:r>
    </w:p>
    <w:p w14:paraId="16D2CCAE">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w:t>
      </w:r>
      <w:r>
        <w:rPr>
          <w:rFonts w:hint="eastAsia" w:asciiTheme="minorEastAsia" w:hAnsiTheme="minorEastAsia" w:eastAsiaTheme="minorEastAsia" w:cstheme="minorEastAsia"/>
          <w:bCs/>
          <w:color w:val="auto"/>
          <w:szCs w:val="21"/>
          <w:highlight w:val="none"/>
          <w:lang w:val="en-US" w:eastAsia="zh-CN"/>
        </w:rPr>
        <w:t>9</w:t>
      </w:r>
      <w:r>
        <w:rPr>
          <w:rFonts w:hint="eastAsia" w:asciiTheme="minorEastAsia" w:hAnsiTheme="minorEastAsia" w:eastAsiaTheme="minorEastAsia" w:cstheme="minorEastAsia"/>
          <w:bCs/>
          <w:color w:val="auto"/>
          <w:szCs w:val="21"/>
          <w:highlight w:val="none"/>
        </w:rPr>
        <w:t>）被责令停产停业、暂扣或者吊销许可证、暂扣或者吊销执照的行政处罚；</w:t>
      </w:r>
    </w:p>
    <w:p w14:paraId="4B6FBA6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（10）</w:t>
      </w:r>
      <w:r>
        <w:rPr>
          <w:rFonts w:hint="eastAsia" w:asciiTheme="minorEastAsia" w:hAnsiTheme="minorEastAsia" w:eastAsiaTheme="minorEastAsia" w:cstheme="minorEastAsia"/>
          <w:color w:val="auto"/>
          <w:szCs w:val="21"/>
          <w:highlight w:val="none"/>
        </w:rPr>
        <w:t>被列入失信被执行人名单；</w:t>
      </w:r>
    </w:p>
    <w:p w14:paraId="00663CD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（11）被列入</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w:t>
      </w:r>
    </w:p>
    <w:p w14:paraId="0AABD1A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（12）被禁止在一至三年内参加政府采购活动或存在</w:t>
      </w:r>
      <w:r>
        <w:rPr>
          <w:rFonts w:hint="eastAsia" w:asciiTheme="minorEastAsia" w:hAnsiTheme="minorEastAsia" w:eastAsiaTheme="minorEastAsia" w:cstheme="minorEastAsia"/>
          <w:color w:val="auto"/>
          <w:szCs w:val="21"/>
          <w:highlight w:val="none"/>
        </w:rPr>
        <w:t>财政部门认定的其他重大违法记录。</w:t>
      </w:r>
    </w:p>
    <w:p w14:paraId="45FFE27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2" w:name="_Toc14783"/>
      <w:bookmarkStart w:id="83" w:name="_Toc183582208"/>
      <w:bookmarkStart w:id="84" w:name="_Toc217446037"/>
      <w:bookmarkStart w:id="85" w:name="_Toc183682345"/>
      <w:r>
        <w:rPr>
          <w:rFonts w:hint="eastAsia" w:asciiTheme="minorEastAsia" w:hAnsiTheme="minorEastAsia" w:eastAsiaTheme="minorEastAsia" w:cstheme="minorEastAsia"/>
          <w:color w:val="auto"/>
          <w:sz w:val="30"/>
          <w:szCs w:val="30"/>
          <w:highlight w:val="none"/>
        </w:rPr>
        <w:t>1.4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合格的货物（产品）和服务</w:t>
      </w:r>
      <w:bookmarkEnd w:id="82"/>
    </w:p>
    <w:p w14:paraId="16DE6D17">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1.4.1 投标人提供的所有货物和服务，必须是合法生产、合法来源，符合国家有关标准要求，并满足招标文件规定的规格、参数、质量、价格、有效期、售后服务及投标人须承担的运输、安装、技术支持、培训和招标文件规定的其它伴随服务等要求。</w:t>
      </w:r>
    </w:p>
    <w:p w14:paraId="66170658">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1.4.2 采购人有权拒绝接受任何不合格的货物和服务，由此产生的费用及相关后果均由投标人自行承担。</w:t>
      </w:r>
    </w:p>
    <w:p w14:paraId="1A8FE17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6" w:name="_Toc16914"/>
      <w:bookmarkStart w:id="87" w:name="_Toc217446047"/>
      <w:r>
        <w:rPr>
          <w:rFonts w:hint="eastAsia" w:asciiTheme="minorEastAsia" w:hAnsiTheme="minorEastAsia" w:eastAsiaTheme="minorEastAsia" w:cstheme="minorEastAsia"/>
          <w:color w:val="auto"/>
          <w:sz w:val="30"/>
          <w:szCs w:val="30"/>
          <w:highlight w:val="none"/>
        </w:rPr>
        <w:t>1.5</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知识产权</w:t>
      </w:r>
      <w:bookmarkEnd w:id="86"/>
      <w:bookmarkEnd w:id="87"/>
    </w:p>
    <w:p w14:paraId="2898322A">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16B10EA2">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1.5.2 采购人享有本项目实施过程中产生的知识成果及知识产权。</w:t>
      </w:r>
    </w:p>
    <w:p w14:paraId="5E80211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1.5.3 投标人如欲在项目实施过程中采用自有知识成果，需在投标文件中声明，并提供相关知识产权证明文件。使用该知识成果后，投标人需提供开发接口和开发手册等技术文档，并承诺提供无限期技术支持，采购人享有永久使用权。</w:t>
      </w:r>
    </w:p>
    <w:p w14:paraId="22FA691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1.5.4 如采用投标人所不拥有的知识产权，则在投标报价中必须包括合法获取该知识产权的相关费用。</w:t>
      </w:r>
    </w:p>
    <w:p w14:paraId="6F75742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8" w:name="_Toc15030"/>
      <w:r>
        <w:rPr>
          <w:rFonts w:hint="eastAsia" w:asciiTheme="minorEastAsia" w:hAnsiTheme="minorEastAsia" w:eastAsiaTheme="minorEastAsia" w:cstheme="minorEastAsia"/>
          <w:color w:val="auto"/>
          <w:sz w:val="30"/>
          <w:szCs w:val="30"/>
          <w:highlight w:val="none"/>
        </w:rPr>
        <w:t>1.6</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投标费用</w:t>
      </w:r>
      <w:bookmarkEnd w:id="83"/>
      <w:bookmarkEnd w:id="84"/>
      <w:bookmarkEnd w:id="85"/>
      <w:bookmarkEnd w:id="88"/>
    </w:p>
    <w:p w14:paraId="72032102">
      <w:pPr>
        <w:pageBreakBefore w:val="0"/>
        <w:tabs>
          <w:tab w:val="left" w:pos="7665"/>
        </w:tabs>
        <w:kinsoku/>
        <w:wordWrap/>
        <w:overflowPunct/>
        <w:topLinePunct w:val="0"/>
        <w:bidi w:val="0"/>
        <w:spacing w:line="480" w:lineRule="exact"/>
        <w:ind w:firstLine="430" w:firstLineChars="2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不论投标结果如何，投标人准备和参加投标活动发生的费用自理。</w:t>
      </w:r>
      <w:bookmarkStart w:id="89" w:name="_Toc89075875"/>
      <w:bookmarkStart w:id="90" w:name="_Toc217446038"/>
      <w:bookmarkStart w:id="91" w:name="_Toc183582209"/>
      <w:bookmarkStart w:id="92" w:name="_Toc183682346"/>
      <w:bookmarkStart w:id="93" w:name="_Toc77400779"/>
    </w:p>
    <w:p w14:paraId="1EA3789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4" w:name="_Toc1761"/>
      <w:r>
        <w:rPr>
          <w:rFonts w:hint="eastAsia" w:asciiTheme="minorEastAsia" w:hAnsiTheme="minorEastAsia" w:eastAsiaTheme="minorEastAsia" w:cstheme="minorEastAsia"/>
          <w:color w:val="auto"/>
          <w:sz w:val="30"/>
          <w:szCs w:val="30"/>
          <w:highlight w:val="none"/>
          <w:lang w:val="zh-CN"/>
        </w:rPr>
        <w:t>1.7 保密</w:t>
      </w:r>
      <w:bookmarkEnd w:id="94"/>
    </w:p>
    <w:p w14:paraId="0D4B4E00">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szCs w:val="21"/>
          <w:highlight w:val="none"/>
          <w:lang w:val="zh-CN"/>
        </w:rPr>
        <w:t>参与采购活动的当事人应对招标文件和响应文件中的商业秘密、技术秘密和个人隐私等保密，违者应对由此造成的后果承担法律责任。</w:t>
      </w:r>
    </w:p>
    <w:p w14:paraId="63577B5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5" w:name="_Toc32589"/>
      <w:r>
        <w:rPr>
          <w:rFonts w:hint="eastAsia" w:asciiTheme="minorEastAsia" w:hAnsiTheme="minorEastAsia" w:eastAsiaTheme="minorEastAsia" w:cstheme="minorEastAsia"/>
          <w:color w:val="auto"/>
          <w:sz w:val="30"/>
          <w:szCs w:val="30"/>
          <w:highlight w:val="none"/>
          <w:lang w:val="zh-CN"/>
        </w:rPr>
        <w:t>1.8</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lang w:val="zh-CN"/>
        </w:rPr>
        <w:t>语言文字</w:t>
      </w:r>
      <w:bookmarkEnd w:id="95"/>
    </w:p>
    <w:p w14:paraId="2434FA37">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1.8.1 招标投标文件使用的语言为中文。专用术语使用外文的，应附有中文注释。</w:t>
      </w:r>
    </w:p>
    <w:p w14:paraId="32B29320">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1.8.2 投标文件中如附有外文资料，必须逐一对应翻译成中文并加盖投标人单位章后附在相关外文资料后面，否则，投标人的投标文件将作为无效投标处理。</w:t>
      </w:r>
    </w:p>
    <w:p w14:paraId="2C5ECAAA">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1.8.3 投标文件中翻译的中文资料与外文资料如果出现差异和矛盾时，以中文为准。但不能故意错误翻译，否则，投标人的投标文件将作为无效投标处理。</w:t>
      </w:r>
      <w:r>
        <w:rPr>
          <w:rFonts w:hint="eastAsia" w:asciiTheme="minorEastAsia" w:hAnsiTheme="minorEastAsia" w:eastAsiaTheme="minorEastAsia" w:cstheme="minorEastAsia"/>
          <w:color w:val="auto"/>
          <w:kern w:val="0"/>
          <w:highlight w:val="none"/>
        </w:rPr>
        <w:t>必要时采购人可以要求投标人提供附有公证书的中文翻译文件或者与原版文件签章相一致的中文翻译文件。</w:t>
      </w:r>
    </w:p>
    <w:p w14:paraId="447C5584">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6" w:name="_Toc16815"/>
      <w:r>
        <w:rPr>
          <w:rFonts w:hint="eastAsia" w:asciiTheme="minorEastAsia" w:hAnsiTheme="minorEastAsia" w:eastAsiaTheme="minorEastAsia" w:cstheme="minorEastAsia"/>
          <w:color w:val="auto"/>
          <w:sz w:val="30"/>
          <w:szCs w:val="30"/>
          <w:highlight w:val="none"/>
        </w:rPr>
        <w:t>1.9</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计量单位</w:t>
      </w:r>
      <w:bookmarkEnd w:id="96"/>
    </w:p>
    <w:p w14:paraId="37809678">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所有计量单位均采用中华人民共和国法定计量单位。</w:t>
      </w:r>
    </w:p>
    <w:p w14:paraId="66BAAAE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7" w:name="_Toc28741"/>
      <w:r>
        <w:rPr>
          <w:rFonts w:hint="eastAsia" w:asciiTheme="minorEastAsia" w:hAnsiTheme="minorEastAsia" w:eastAsiaTheme="minorEastAsia" w:cstheme="minorEastAsia"/>
          <w:color w:val="auto"/>
          <w:sz w:val="30"/>
          <w:szCs w:val="30"/>
          <w:highlight w:val="none"/>
        </w:rPr>
        <w:t>1.10 答疑会或现场考察</w:t>
      </w:r>
      <w:bookmarkEnd w:id="97"/>
    </w:p>
    <w:p w14:paraId="626074EB">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1.10.1 根据本采购项目的具体情况，采购代理机构认为有必要，可以组织召开标前答疑会或组织投标人对项目现场进行考察，澄清投标人提出的问题。答疑会或进行现场考察的时间与地点，采购代理机构将以书面形式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w:t>
      </w:r>
    </w:p>
    <w:p w14:paraId="301E07E1">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1.10.2 答疑会或现场考察后，采购人或采购代理机构对投标人所提问题的澄清，以书面形式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通知所有获取了招标文件的投标人。该澄清内容为招标文件的组成部分。</w:t>
      </w:r>
    </w:p>
    <w:p w14:paraId="5ED96AD9">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1.10.3 采购人不对投标人现场考察而做出的推论、理解和结论负责。一旦成交，中标人不得以任何借口，提出额外补偿，或延长合同期限的要求。</w:t>
      </w:r>
    </w:p>
    <w:p w14:paraId="709C6A23">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kern w:val="2"/>
          <w:sz w:val="36"/>
          <w:szCs w:val="36"/>
          <w:highlight w:val="none"/>
          <w:lang w:val="en-US" w:eastAsia="zh-CN" w:bidi="ar-SA"/>
        </w:rPr>
      </w:pPr>
      <w:bookmarkStart w:id="98" w:name="_Toc22846"/>
      <w:r>
        <w:rPr>
          <w:rFonts w:hint="eastAsia" w:asciiTheme="minorEastAsia" w:hAnsiTheme="minorEastAsia" w:eastAsiaTheme="minorEastAsia" w:cstheme="minorEastAsia"/>
          <w:b/>
          <w:bCs/>
          <w:color w:val="auto"/>
          <w:kern w:val="2"/>
          <w:sz w:val="36"/>
          <w:szCs w:val="36"/>
          <w:highlight w:val="none"/>
          <w:lang w:val="en-US" w:eastAsia="zh-CN" w:bidi="ar-SA"/>
        </w:rPr>
        <w:t>2.招标文件</w:t>
      </w:r>
      <w:bookmarkEnd w:id="89"/>
      <w:bookmarkEnd w:id="90"/>
      <w:bookmarkEnd w:id="91"/>
      <w:bookmarkEnd w:id="92"/>
      <w:bookmarkEnd w:id="93"/>
      <w:bookmarkEnd w:id="98"/>
      <w:bookmarkStart w:id="99" w:name="_Toc183682347"/>
      <w:bookmarkStart w:id="100" w:name="_Toc217446039"/>
      <w:bookmarkStart w:id="101" w:name="_Toc183582210"/>
    </w:p>
    <w:p w14:paraId="3B6E775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2" w:name="_Toc32340"/>
      <w:r>
        <w:rPr>
          <w:rFonts w:hint="eastAsia" w:asciiTheme="minorEastAsia" w:hAnsiTheme="minorEastAsia" w:eastAsiaTheme="minorEastAsia" w:cstheme="minorEastAsia"/>
          <w:color w:val="auto"/>
          <w:sz w:val="30"/>
          <w:szCs w:val="30"/>
          <w:highlight w:val="none"/>
        </w:rPr>
        <w:t>2.1招标文件的</w:t>
      </w:r>
      <w:bookmarkEnd w:id="99"/>
      <w:bookmarkEnd w:id="100"/>
      <w:bookmarkEnd w:id="101"/>
      <w:r>
        <w:rPr>
          <w:rFonts w:hint="eastAsia" w:asciiTheme="minorEastAsia" w:hAnsiTheme="minorEastAsia" w:eastAsiaTheme="minorEastAsia" w:cstheme="minorEastAsia"/>
          <w:color w:val="auto"/>
          <w:sz w:val="30"/>
          <w:szCs w:val="30"/>
          <w:highlight w:val="none"/>
        </w:rPr>
        <w:t>组成</w:t>
      </w:r>
      <w:bookmarkEnd w:id="102"/>
    </w:p>
    <w:p w14:paraId="0E200FB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本招标文件包括以下内容：</w:t>
      </w:r>
    </w:p>
    <w:p w14:paraId="007BBD7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（1）招标公告；</w:t>
      </w:r>
    </w:p>
    <w:p w14:paraId="348619A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（2）投标人须知；</w:t>
      </w:r>
    </w:p>
    <w:p w14:paraId="2D086537">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（3）评标办法；</w:t>
      </w:r>
    </w:p>
    <w:p w14:paraId="7F401F1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（4）采购内容及要求；</w:t>
      </w:r>
    </w:p>
    <w:p w14:paraId="596C556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w:t>
      </w:r>
      <w:r>
        <w:rPr>
          <w:rFonts w:hint="eastAsia" w:asciiTheme="minorEastAsia" w:hAnsiTheme="minorEastAsia" w:eastAsiaTheme="minorEastAsia" w:cstheme="minorEastAsia"/>
          <w:color w:val="auto"/>
          <w:szCs w:val="21"/>
          <w:highlight w:val="none"/>
          <w:lang w:val="en-US" w:eastAsia="zh-CN"/>
        </w:rPr>
        <w:t>采购合同格式（仅供参考）</w:t>
      </w:r>
      <w:r>
        <w:rPr>
          <w:rFonts w:hint="eastAsia" w:asciiTheme="minorEastAsia" w:hAnsiTheme="minorEastAsia" w:eastAsiaTheme="minorEastAsia" w:cstheme="minorEastAsia"/>
          <w:color w:val="auto"/>
          <w:szCs w:val="21"/>
          <w:highlight w:val="none"/>
        </w:rPr>
        <w:t>；</w:t>
      </w:r>
    </w:p>
    <w:p w14:paraId="79DD8F3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w:t>
      </w:r>
      <w:r>
        <w:rPr>
          <w:rFonts w:hint="eastAsia" w:asciiTheme="minorEastAsia" w:hAnsiTheme="minorEastAsia" w:eastAsiaTheme="minorEastAsia" w:cstheme="minorEastAsia"/>
          <w:color w:val="auto"/>
          <w:szCs w:val="21"/>
          <w:highlight w:val="none"/>
          <w:lang w:val="en-US" w:eastAsia="zh-CN"/>
        </w:rPr>
        <w:t>投标文件格式</w:t>
      </w:r>
      <w:r>
        <w:rPr>
          <w:rFonts w:hint="eastAsia" w:asciiTheme="minorEastAsia" w:hAnsiTheme="minorEastAsia" w:eastAsiaTheme="minorEastAsia" w:cstheme="minorEastAsia"/>
          <w:color w:val="auto"/>
          <w:szCs w:val="21"/>
          <w:highlight w:val="none"/>
        </w:rPr>
        <w:t>。</w:t>
      </w:r>
      <w:bookmarkStart w:id="103" w:name="_Toc183682348"/>
      <w:bookmarkStart w:id="104" w:name="_Toc183582211"/>
      <w:bookmarkStart w:id="105" w:name="_Toc217446040"/>
    </w:p>
    <w:p w14:paraId="3E8FFD2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根据本章第1.10款第2.2款对招标文件所作的澄清、修改，构成招标文件组成部分。</w:t>
      </w:r>
    </w:p>
    <w:p w14:paraId="32D8059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6" w:name="_Toc29819"/>
      <w:r>
        <w:rPr>
          <w:rFonts w:hint="eastAsia" w:asciiTheme="minorEastAsia" w:hAnsiTheme="minorEastAsia" w:eastAsiaTheme="minorEastAsia" w:cstheme="minorEastAsia"/>
          <w:color w:val="auto"/>
          <w:sz w:val="30"/>
          <w:szCs w:val="30"/>
          <w:highlight w:val="none"/>
        </w:rPr>
        <w:t>2.2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招标文件的澄清</w:t>
      </w:r>
      <w:bookmarkEnd w:id="103"/>
      <w:bookmarkEnd w:id="104"/>
      <w:r>
        <w:rPr>
          <w:rFonts w:hint="eastAsia" w:asciiTheme="minorEastAsia" w:hAnsiTheme="minorEastAsia" w:eastAsiaTheme="minorEastAsia" w:cstheme="minorEastAsia"/>
          <w:color w:val="auto"/>
          <w:sz w:val="30"/>
          <w:szCs w:val="30"/>
          <w:highlight w:val="none"/>
        </w:rPr>
        <w:t>或修改</w:t>
      </w:r>
      <w:bookmarkEnd w:id="105"/>
      <w:bookmarkEnd w:id="106"/>
    </w:p>
    <w:p w14:paraId="1F4953D0">
      <w:pPr>
        <w:pageBreakBefore w:val="0"/>
        <w:tabs>
          <w:tab w:val="left" w:pos="720"/>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2.2.1 在投标截止时间前，采购代理机构无论出于何种原因，可以对已发出的招标文件进行必要的澄清或者修改，但不得修改采购标的和资格条件。</w:t>
      </w:r>
    </w:p>
    <w:p w14:paraId="295540F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2.2.2 采购人或采购代理机构对已发出的招标文件进行必要的澄清或者修改，澄清或修改的内容可能影响投标文件编制的，应当在投标文件截止时间</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日前，以书面形式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将澄清或者修改的内容通知所有获取招标文件的投标人。投标人在收到上述通知后，应立即以书面形式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向采购代理机构确认。如果澄清或者修改发出的时间距规定的投标截止时间不足</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日，将相应顺延投标截止时间。</w:t>
      </w:r>
    </w:p>
    <w:p w14:paraId="333C1B2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szCs w:val="21"/>
          <w:highlight w:val="none"/>
        </w:rPr>
        <w:t>3 投标人应仔细阅读和检查招标文件的全部内容。如发现缺页或附件不全，应及时向采购代理机构提出，以便补齐。如需要询问或澄清的（除质疑外），或认为有必要与采购代理机构进行技术交流的，均应在投标截止时间</w:t>
      </w:r>
      <w:r>
        <w:rPr>
          <w:rFonts w:hint="eastAsia" w:asciiTheme="minorEastAsia" w:hAnsiTheme="minorEastAsia" w:eastAsiaTheme="minorEastAsia" w:cstheme="minorEastAsia"/>
          <w:b/>
          <w:color w:val="auto"/>
          <w:szCs w:val="21"/>
          <w:highlight w:val="none"/>
        </w:rPr>
        <w:t>10</w:t>
      </w:r>
      <w:r>
        <w:rPr>
          <w:rFonts w:hint="eastAsia" w:asciiTheme="minorEastAsia" w:hAnsiTheme="minorEastAsia" w:eastAsiaTheme="minorEastAsia" w:cstheme="minorEastAsia"/>
          <w:color w:val="auto"/>
          <w:szCs w:val="21"/>
          <w:highlight w:val="none"/>
        </w:rPr>
        <w:t>日前按招标文件中的联系方式，以书面形式向采购代理机构提出，采购代理机构应当在</w:t>
      </w:r>
      <w:r>
        <w:rPr>
          <w:rFonts w:hint="eastAsia" w:asciiTheme="minorEastAsia" w:hAnsiTheme="minorEastAsia" w:eastAsiaTheme="minorEastAsia" w:cstheme="minorEastAsia"/>
          <w:b/>
          <w:color w:val="auto"/>
          <w:szCs w:val="21"/>
          <w:highlight w:val="none"/>
        </w:rPr>
        <w:t>3</w:t>
      </w:r>
      <w:r>
        <w:rPr>
          <w:rFonts w:hint="eastAsia" w:asciiTheme="minorEastAsia" w:hAnsiTheme="minorEastAsia" w:eastAsiaTheme="minorEastAsia" w:cstheme="minorEastAsia"/>
          <w:color w:val="auto"/>
          <w:szCs w:val="21"/>
          <w:highlight w:val="none"/>
        </w:rPr>
        <w:t>个工作日内，以书面形式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予以答复，或认为有必要召开答疑会。超过该时间收到的需要询问或澄清的内容，采购代理机构有权不予答复。</w:t>
      </w:r>
    </w:p>
    <w:p w14:paraId="3B0B705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2.2.4 在投标截止时间前，采购代理机构可以视采购具体情况，延长投标截止时间和开标时间，并在招标文件要求提交投标文件的截止时间前，将变更时间以书面形式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通知所有获取招标文件的投标人，同时在原信息发布媒体上发布变更公告。</w:t>
      </w:r>
      <w:bookmarkStart w:id="107" w:name="_Toc217446041"/>
      <w:bookmarkStart w:id="108" w:name="_Toc183582213"/>
      <w:bookmarkStart w:id="109" w:name="_Toc208848971"/>
      <w:bookmarkStart w:id="110" w:name="_Toc183682350"/>
    </w:p>
    <w:p w14:paraId="7FA3A02F">
      <w:pPr>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当招标文件澄清、答复、修改或补充通知与招标文件就同一内容表述不一致时，以最后发出的书面文件内容为准。</w:t>
      </w:r>
    </w:p>
    <w:bookmarkEnd w:id="107"/>
    <w:bookmarkEnd w:id="108"/>
    <w:bookmarkEnd w:id="109"/>
    <w:bookmarkEnd w:id="110"/>
    <w:p w14:paraId="0CF5EDB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1" w:name="_Toc4480"/>
      <w:r>
        <w:rPr>
          <w:rFonts w:hint="eastAsia" w:asciiTheme="minorEastAsia" w:hAnsiTheme="minorEastAsia" w:eastAsiaTheme="minorEastAsia" w:cstheme="minorEastAsia"/>
          <w:color w:val="auto"/>
          <w:sz w:val="30"/>
          <w:szCs w:val="30"/>
          <w:highlight w:val="none"/>
        </w:rPr>
        <w:t>2.3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招标文件的解释权</w:t>
      </w:r>
      <w:bookmarkEnd w:id="111"/>
    </w:p>
    <w:p w14:paraId="1B84769A">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招标文件的解释权归采购代理机构，如发现招标文件内容与现行法律法规不相符的情况，以现行法律法规为准。</w:t>
      </w:r>
      <w:bookmarkStart w:id="112" w:name="_Toc77400780"/>
      <w:bookmarkStart w:id="113" w:name="_Toc183682351"/>
      <w:bookmarkStart w:id="114" w:name="_Toc183582214"/>
      <w:bookmarkStart w:id="115" w:name="_Toc217446042"/>
      <w:bookmarkStart w:id="116" w:name="_Toc89075876"/>
    </w:p>
    <w:p w14:paraId="1E0B0D4F">
      <w:pPr>
        <w:pStyle w:val="7"/>
        <w:pageBreakBefore w:val="0"/>
        <w:kinsoku/>
        <w:wordWrap/>
        <w:overflowPunct/>
        <w:topLinePunct w:val="0"/>
        <w:bidi w:val="0"/>
        <w:spacing w:before="120" w:beforeLines="5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17" w:name="_Toc27898"/>
      <w:r>
        <w:rPr>
          <w:rFonts w:hint="eastAsia" w:asciiTheme="minorEastAsia" w:hAnsiTheme="minorEastAsia" w:eastAsiaTheme="minorEastAsia" w:cstheme="minorEastAsia"/>
          <w:b/>
          <w:bCs/>
          <w:color w:val="auto"/>
          <w:sz w:val="36"/>
          <w:szCs w:val="36"/>
          <w:highlight w:val="none"/>
        </w:rPr>
        <w:t>3.投标人</w:t>
      </w:r>
      <w:bookmarkEnd w:id="117"/>
    </w:p>
    <w:p w14:paraId="0FEE9660">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8" w:name="_Toc28703"/>
      <w:r>
        <w:rPr>
          <w:rFonts w:hint="eastAsia" w:asciiTheme="minorEastAsia" w:hAnsiTheme="minorEastAsia" w:eastAsiaTheme="minorEastAsia" w:cstheme="minorEastAsia"/>
          <w:color w:val="auto"/>
          <w:sz w:val="30"/>
          <w:szCs w:val="30"/>
          <w:highlight w:val="none"/>
        </w:rPr>
        <w:t>3.</w:t>
      </w:r>
      <w:bookmarkEnd w:id="112"/>
      <w:bookmarkEnd w:id="113"/>
      <w:bookmarkEnd w:id="114"/>
      <w:bookmarkEnd w:id="115"/>
      <w:bookmarkEnd w:id="116"/>
      <w:bookmarkStart w:id="119" w:name="_Toc217446043"/>
      <w:bookmarkStart w:id="120" w:name="_Toc183682352"/>
      <w:bookmarkStart w:id="121" w:name="_Toc183582215"/>
      <w:r>
        <w:rPr>
          <w:rFonts w:hint="eastAsia" w:asciiTheme="minorEastAsia" w:hAnsiTheme="minorEastAsia" w:eastAsiaTheme="minorEastAsia" w:cstheme="minorEastAsia"/>
          <w:color w:val="auto"/>
          <w:sz w:val="30"/>
          <w:szCs w:val="30"/>
          <w:highlight w:val="none"/>
          <w:lang w:val="en-US" w:eastAsia="zh-CN"/>
        </w:rPr>
        <w:t xml:space="preserve">1 </w:t>
      </w:r>
      <w:r>
        <w:rPr>
          <w:rFonts w:hint="eastAsia" w:asciiTheme="minorEastAsia" w:hAnsiTheme="minorEastAsia" w:eastAsiaTheme="minorEastAsia" w:cstheme="minorEastAsia"/>
          <w:color w:val="auto"/>
          <w:sz w:val="30"/>
          <w:szCs w:val="30"/>
          <w:highlight w:val="none"/>
        </w:rPr>
        <w:t>投标人资格要求</w:t>
      </w:r>
      <w:bookmarkEnd w:id="118"/>
    </w:p>
    <w:p w14:paraId="2C5AD891">
      <w:pPr>
        <w:pageBreakBefore w:val="0"/>
        <w:widowControl/>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bCs/>
          <w:color w:val="auto"/>
          <w:kern w:val="0"/>
          <w:szCs w:val="21"/>
          <w:highlight w:val="none"/>
          <w:lang w:val="zh-CN"/>
        </w:rPr>
      </w:pPr>
      <w:r>
        <w:rPr>
          <w:rFonts w:hint="eastAsia" w:asciiTheme="minorEastAsia" w:hAnsiTheme="minorEastAsia" w:eastAsiaTheme="minorEastAsia" w:cstheme="minorEastAsia"/>
          <w:b/>
          <w:bCs/>
          <w:color w:val="auto"/>
          <w:szCs w:val="21"/>
          <w:highlight w:val="none"/>
        </w:rPr>
        <w:t xml:space="preserve">3.1.1 </w:t>
      </w:r>
      <w:r>
        <w:rPr>
          <w:rFonts w:hint="eastAsia" w:asciiTheme="minorEastAsia" w:hAnsiTheme="minorEastAsia" w:eastAsiaTheme="minorEastAsia" w:cstheme="minorEastAsia"/>
          <w:b/>
          <w:bCs/>
          <w:color w:val="auto"/>
          <w:kern w:val="0"/>
          <w:szCs w:val="21"/>
          <w:highlight w:val="none"/>
        </w:rPr>
        <w:t>投标人应符合资格要求规定的条件，</w:t>
      </w:r>
      <w:r>
        <w:rPr>
          <w:rFonts w:hint="eastAsia" w:asciiTheme="minorEastAsia" w:hAnsiTheme="minorEastAsia" w:eastAsiaTheme="minorEastAsia" w:cstheme="minorEastAsia"/>
          <w:b/>
          <w:bCs/>
          <w:color w:val="auto"/>
          <w:kern w:val="0"/>
          <w:szCs w:val="21"/>
          <w:highlight w:val="none"/>
          <w:lang w:val="zh-CN"/>
        </w:rPr>
        <w:t>并根据</w:t>
      </w:r>
      <w:r>
        <w:rPr>
          <w:rFonts w:hint="eastAsia" w:asciiTheme="minorEastAsia" w:hAnsiTheme="minorEastAsia" w:eastAsiaTheme="minorEastAsia" w:cstheme="minorEastAsia"/>
          <w:b/>
          <w:bCs/>
          <w:color w:val="auto"/>
          <w:highlight w:val="none"/>
        </w:rPr>
        <w:t>资格要求</w:t>
      </w:r>
      <w:r>
        <w:rPr>
          <w:rFonts w:hint="eastAsia" w:asciiTheme="minorEastAsia" w:hAnsiTheme="minorEastAsia" w:eastAsiaTheme="minorEastAsia" w:cstheme="minorEastAsia"/>
          <w:b/>
          <w:bCs/>
          <w:color w:val="auto"/>
          <w:kern w:val="0"/>
          <w:szCs w:val="21"/>
          <w:highlight w:val="none"/>
          <w:lang w:val="zh-CN"/>
        </w:rPr>
        <w:t>规定提供下列材料：</w:t>
      </w:r>
    </w:p>
    <w:p w14:paraId="27D39CF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（1）投标人为企业法人应提供合法有效的标识有统一社会信用代码的营业执照；事业法人应提供事业单位法人证书；其他组织应提供合法登记证明文件；</w:t>
      </w:r>
    </w:p>
    <w:p w14:paraId="6AC8FC9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（2）法定代表人身份证或法定代表人授权委托书和委托代理人的身份证。法定代表人授权委托书应当与响应文件中所提供的相一致；</w:t>
      </w:r>
    </w:p>
    <w:p w14:paraId="0B605AD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（3）投标人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p w14:paraId="47D8B9B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4</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p w14:paraId="0E4C896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5</w:t>
      </w: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322509B0">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6</w:t>
      </w: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p w14:paraId="7A9A9DD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7</w:t>
      </w: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p w14:paraId="32203CA7">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（8）投标人提供投标保证金足额缴纳凭证。</w:t>
      </w:r>
    </w:p>
    <w:p w14:paraId="79BAD18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注：以上资格证明材料为必备材料，缺少一项或某项达不到招标文件要求的按无效投标文件处理。在投标文件中应附一套以上完整的资格证明材料，复印件加盖投标人单位公章。单位负责人为同一人或者存在直接控股、管理关系的不同投标人，不得参加同一合同项下的政府采购活动。除单一来源采购项目外，为采购项目提供整体设计、规范编制或者项目管理、监理、检测等服务的投标人，不得再参加该采购项目的其他采购活动。</w:t>
      </w:r>
    </w:p>
    <w:p w14:paraId="725FE946">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3.1.2 资格审查小组</w:t>
      </w:r>
      <w:r>
        <w:rPr>
          <w:rFonts w:hint="eastAsia" w:asciiTheme="minorEastAsia" w:hAnsiTheme="minorEastAsia" w:eastAsiaTheme="minorEastAsia" w:cstheme="minorEastAsia"/>
          <w:color w:val="auto"/>
          <w:szCs w:val="21"/>
          <w:highlight w:val="none"/>
        </w:rPr>
        <w:t>将通过“信用中国”网站（www.creditchina.gov.cn）和中国政府采购网站（www.ccgp.gov.cn）查询投标人信用记录，被列入失信被执行人、</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、政府采购严重违法失信行为记录名单的单位将被拒绝参与本项目投标。</w:t>
      </w:r>
    </w:p>
    <w:p w14:paraId="160A7749">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 xml:space="preserve">3.1.3 </w:t>
      </w:r>
      <w:r>
        <w:rPr>
          <w:rFonts w:hint="eastAsia" w:asciiTheme="minorEastAsia" w:hAnsiTheme="minorEastAsia" w:eastAsiaTheme="minorEastAsia" w:cstheme="minorEastAsia"/>
          <w:color w:val="auto"/>
          <w:szCs w:val="21"/>
          <w:highlight w:val="none"/>
        </w:rPr>
        <w:t>投标人应保证所提供的全部证明材料的真实性，并保证愿意接受由采购人对其所提供材料的真实性的调查和考证。</w:t>
      </w:r>
    </w:p>
    <w:p w14:paraId="56103B1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2" w:name="_Toc24166"/>
      <w:r>
        <w:rPr>
          <w:rFonts w:hint="eastAsia" w:asciiTheme="minorEastAsia" w:hAnsiTheme="minorEastAsia" w:eastAsiaTheme="minorEastAsia" w:cstheme="minorEastAsia"/>
          <w:color w:val="auto"/>
          <w:sz w:val="30"/>
          <w:szCs w:val="30"/>
          <w:highlight w:val="none"/>
        </w:rPr>
        <w:t>3.2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授权委托</w:t>
      </w:r>
      <w:bookmarkEnd w:id="122"/>
    </w:p>
    <w:p w14:paraId="634EF71D">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3.2.1投标人代表为法定代表人（单位负责人）的，应持有法定代表人（单位负责人）身份证明。投标人代表不是法定代表人（单位负责人）的，应持有法定代表人（单位负责人）授权委托书。</w:t>
      </w:r>
    </w:p>
    <w:p w14:paraId="6879AE97">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rPr>
        <w:t>3.2</w:t>
      </w:r>
      <w:r>
        <w:rPr>
          <w:rFonts w:hint="eastAsia" w:asciiTheme="minorEastAsia" w:hAnsiTheme="minorEastAsia" w:eastAsiaTheme="minorEastAsia" w:cstheme="minorEastAsia"/>
          <w:color w:val="auto"/>
          <w:kern w:val="0"/>
          <w:highlight w:val="none"/>
        </w:rPr>
        <w:t>.2投标人应当委托本单位正式员工作为投标人代表，且投标人代表只能接受一个投标人的委托参加投标。</w:t>
      </w:r>
    </w:p>
    <w:p w14:paraId="70D012AE">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eastAsia="zh-CN"/>
        </w:rPr>
      </w:pPr>
      <w:bookmarkStart w:id="123" w:name="_Toc17181"/>
      <w:r>
        <w:rPr>
          <w:rFonts w:hint="eastAsia" w:asciiTheme="minorEastAsia" w:hAnsiTheme="minorEastAsia" w:eastAsiaTheme="minorEastAsia" w:cstheme="minorEastAsia"/>
          <w:color w:val="auto"/>
          <w:sz w:val="30"/>
          <w:szCs w:val="30"/>
          <w:highlight w:val="none"/>
        </w:rPr>
        <w:t>3.3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联合投标</w:t>
      </w:r>
      <w:bookmarkEnd w:id="123"/>
      <w:r>
        <w:rPr>
          <w:rFonts w:hint="eastAsia" w:asciiTheme="minorEastAsia" w:hAnsiTheme="minorEastAsia" w:eastAsiaTheme="minorEastAsia" w:cstheme="minorEastAsia"/>
          <w:color w:val="auto"/>
          <w:sz w:val="30"/>
          <w:szCs w:val="30"/>
          <w:highlight w:val="none"/>
          <w:lang w:eastAsia="zh-CN"/>
        </w:rPr>
        <w:t>（</w:t>
      </w:r>
      <w:r>
        <w:rPr>
          <w:rFonts w:hint="eastAsia" w:asciiTheme="minorEastAsia" w:hAnsiTheme="minorEastAsia" w:eastAsiaTheme="minorEastAsia" w:cstheme="minorEastAsia"/>
          <w:color w:val="auto"/>
          <w:sz w:val="30"/>
          <w:szCs w:val="30"/>
          <w:highlight w:val="none"/>
          <w:lang w:val="en-US" w:eastAsia="zh-CN"/>
        </w:rPr>
        <w:t>本项目不允许联合体投标</w:t>
      </w:r>
      <w:r>
        <w:rPr>
          <w:rFonts w:hint="eastAsia" w:asciiTheme="minorEastAsia" w:hAnsiTheme="minorEastAsia" w:eastAsiaTheme="minorEastAsia" w:cstheme="minorEastAsia"/>
          <w:color w:val="auto"/>
          <w:sz w:val="30"/>
          <w:szCs w:val="30"/>
          <w:highlight w:val="none"/>
          <w:lang w:eastAsia="zh-CN"/>
        </w:rPr>
        <w:t>）</w:t>
      </w:r>
    </w:p>
    <w:p w14:paraId="76A77F33">
      <w:pPr>
        <w:pageBreakBefore w:val="0"/>
        <w:tabs>
          <w:tab w:val="left" w:pos="7665"/>
        </w:tabs>
        <w:kinsoku/>
        <w:wordWrap/>
        <w:overflowPunct/>
        <w:topLinePunct w:val="0"/>
        <w:bidi w:val="0"/>
        <w:spacing w:line="480" w:lineRule="exact"/>
        <w:ind w:left="13" w:leftChars="6"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3.3.1本项目允许联合投标的，适用本条款。</w:t>
      </w:r>
    </w:p>
    <w:p w14:paraId="094C8F41">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3.3.2 两个以上投标人可以组成一个投标联合体，以一个投标人的身份投标。以联合体形式参加投标的，联合体各方均应当符合《中华人民共和国政府采购法》规定的资格条件：</w:t>
      </w:r>
    </w:p>
    <w:p w14:paraId="79FA671C">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（1）联合体各方均应当符合本章第3.1.1条规定的投标人基本资格条件；</w:t>
      </w:r>
    </w:p>
    <w:p w14:paraId="5AA4A830">
      <w:pPr>
        <w:pageBreakBefore w:val="0"/>
        <w:kinsoku/>
        <w:wordWrap/>
        <w:overflowPunct/>
        <w:topLinePunct w:val="0"/>
        <w:bidi w:val="0"/>
        <w:adjustRightInd w:val="0"/>
        <w:snapToGrid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（2）联合体各方中至少应当有一方符合本章第3.1.1（7）条款规定的投标人强制资格条件。</w:t>
      </w:r>
    </w:p>
    <w:p w14:paraId="49E49065">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3.3.3联合体各方之间应当签订共同投标协议，明确</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定联合体各方承担的合同工作量比例和相应的责任，并将共同投标协议连同投标文件一并提交采购代理机构。联合体各方签订共同投标协议后，不得再以自己名义单独在同一项目中投标，也不得组成新的联合体参加同一项目投标。</w:t>
      </w:r>
    </w:p>
    <w:p w14:paraId="31E7EE16">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3.3.4联合体应当确定其中一个单位为投标的全权代表，负责参加投标的一切事务，并承担投标及履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中应承担的全部责任与义务。</w:t>
      </w:r>
    </w:p>
    <w:p w14:paraId="7E308E2E">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3.3.5联合体各方应当共同与采购人签订采购合同，就采购合同</w:t>
      </w:r>
      <w:r>
        <w:rPr>
          <w:rFonts w:hint="eastAsia" w:asciiTheme="minorEastAsia" w:hAnsiTheme="minorEastAsia" w:eastAsiaTheme="minorEastAsia" w:cstheme="minorEastAsia"/>
          <w:color w:val="auto"/>
          <w:sz w:val="21"/>
          <w:szCs w:val="21"/>
          <w:highlight w:val="none"/>
          <w:lang w:val="en-US" w:eastAsia="zh-CN"/>
        </w:rPr>
        <w:t>约</w:t>
      </w:r>
      <w:r>
        <w:rPr>
          <w:rFonts w:hint="eastAsia" w:asciiTheme="minorEastAsia" w:hAnsiTheme="minorEastAsia" w:eastAsiaTheme="minorEastAsia" w:cstheme="minorEastAsia"/>
          <w:color w:val="auto"/>
          <w:sz w:val="21"/>
          <w:szCs w:val="21"/>
          <w:highlight w:val="none"/>
        </w:rPr>
        <w:t>定的事项对采购人承担连带责任。</w:t>
      </w:r>
    </w:p>
    <w:p w14:paraId="78BD1C0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4" w:name="_Toc573"/>
      <w:r>
        <w:rPr>
          <w:rFonts w:hint="eastAsia" w:asciiTheme="minorEastAsia" w:hAnsiTheme="minorEastAsia" w:eastAsiaTheme="minorEastAsia" w:cstheme="minorEastAsia"/>
          <w:color w:val="auto"/>
          <w:sz w:val="30"/>
          <w:szCs w:val="30"/>
          <w:highlight w:val="none"/>
        </w:rPr>
        <w:t>3.4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享受的政府采购政策</w:t>
      </w:r>
      <w:bookmarkEnd w:id="124"/>
    </w:p>
    <w:p w14:paraId="642CECBF">
      <w:pPr>
        <w:pStyle w:val="12"/>
        <w:pageBreakBefore w:val="0"/>
        <w:kinsoku/>
        <w:wordWrap/>
        <w:overflowPunct/>
        <w:topLinePunct w:val="0"/>
        <w:bidi w:val="0"/>
        <w:adjustRightInd w:val="0"/>
        <w:snapToGrid w:val="0"/>
        <w:spacing w:line="480" w:lineRule="exact"/>
        <w:ind w:firstLine="422" w:firstLineChars="200"/>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3.4.1 节能产品、环境标志产品</w:t>
      </w:r>
    </w:p>
    <w:p w14:paraId="4E70D572">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3.4.1.1 投标人所投产品，将依据《节能产品、环境标志产品品目清单》和认证证书实施政府优先采购和强制采购。</w:t>
      </w:r>
    </w:p>
    <w:p w14:paraId="68013684">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3.4.1.2 投标人可以提供所投产品经国家确定的认证机构出具的、处于有效期之内的节能产品、环境标志产品认证证书复印件。采购代理机构通过中国政府采购网（</w:t>
      </w:r>
      <w:r>
        <w:rPr>
          <w:rFonts w:hint="eastAsia" w:asciiTheme="minorEastAsia" w:hAnsiTheme="minorEastAsia" w:eastAsiaTheme="minorEastAsia" w:cstheme="minorEastAsia"/>
          <w:color w:val="auto"/>
          <w:highlight w:val="none"/>
        </w:rPr>
        <w:fldChar w:fldCharType="begin"/>
      </w:r>
      <w:r>
        <w:rPr>
          <w:rFonts w:hint="eastAsia" w:asciiTheme="minorEastAsia" w:hAnsiTheme="minorEastAsia" w:eastAsiaTheme="minorEastAsia" w:cstheme="minorEastAsia"/>
          <w:color w:val="auto"/>
          <w:highlight w:val="none"/>
        </w:rPr>
        <w:instrText xml:space="preserve"> HYPERLINK "http://www.ccgp.gov.cn/" </w:instrText>
      </w:r>
      <w:r>
        <w:rPr>
          <w:rFonts w:hint="eastAsia" w:asciiTheme="minorEastAsia" w:hAnsiTheme="minorEastAsia" w:eastAsiaTheme="minorEastAsia" w:cstheme="minorEastAsia"/>
          <w:color w:val="auto"/>
          <w:highlight w:val="none"/>
        </w:rPr>
        <w:fldChar w:fldCharType="separate"/>
      </w:r>
      <w:r>
        <w:rPr>
          <w:rStyle w:val="28"/>
          <w:rFonts w:hint="eastAsia" w:asciiTheme="minorEastAsia" w:hAnsiTheme="minorEastAsia" w:eastAsiaTheme="minorEastAsia" w:cstheme="minorEastAsia"/>
          <w:color w:val="auto"/>
          <w:highlight w:val="none"/>
        </w:rPr>
        <w:t>http://www.ccgp.gov.cn/</w:t>
      </w:r>
      <w:r>
        <w:rPr>
          <w:rFonts w:hint="eastAsia" w:asciiTheme="minorEastAsia" w:hAnsiTheme="minorEastAsia" w:eastAsiaTheme="minorEastAsia" w:cstheme="minorEastAsia"/>
          <w:color w:val="auto"/>
          <w:highlight w:val="none"/>
        </w:rPr>
        <w:fldChar w:fldCharType="end"/>
      </w:r>
      <w:r>
        <w:rPr>
          <w:rFonts w:hint="eastAsia" w:asciiTheme="minorEastAsia" w:hAnsiTheme="minorEastAsia" w:eastAsiaTheme="minorEastAsia" w:cstheme="minorEastAsia"/>
          <w:color w:val="auto"/>
          <w:highlight w:val="none"/>
        </w:rPr>
        <w:t>）对获证产品信息进行核对。</w:t>
      </w:r>
    </w:p>
    <w:p w14:paraId="30DB43AE">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3.4.1.3 投标人所投产品属于下列情形之一的，属于优先采购的不再享受优先采购政策，或者属于强制采购的按无效投标文件处理：</w:t>
      </w:r>
    </w:p>
    <w:p w14:paraId="1A86EED3">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（1）不属于《节能产品、环境标志产品品目清单》中的产品；</w:t>
      </w:r>
    </w:p>
    <w:p w14:paraId="26D292D4">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（2）未提供认证证书或经核对认证证书信息有误的。</w:t>
      </w:r>
    </w:p>
    <w:p w14:paraId="19281A05">
      <w:pPr>
        <w:pageBreakBefore w:val="0"/>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3.4.2 中小企业</w:t>
      </w:r>
      <w:r>
        <w:rPr>
          <w:rFonts w:hint="eastAsia" w:asciiTheme="minorEastAsia" w:hAnsiTheme="minorEastAsia" w:eastAsiaTheme="minorEastAsia" w:cstheme="minorEastAsia"/>
          <w:b/>
          <w:color w:val="auto"/>
          <w:szCs w:val="21"/>
          <w:highlight w:val="none"/>
          <w:lang w:eastAsia="zh-CN"/>
        </w:rPr>
        <w:t>（</w:t>
      </w:r>
      <w:r>
        <w:rPr>
          <w:rFonts w:hint="eastAsia" w:ascii="宋体" w:hAnsi="宋体" w:eastAsia="宋体" w:cs="宋体"/>
          <w:b/>
          <w:color w:val="auto"/>
          <w:szCs w:val="21"/>
          <w:highlight w:val="none"/>
          <w:lang w:val="en-US" w:eastAsia="zh-CN"/>
        </w:rPr>
        <w:t>本项目不专门面向中小企业</w:t>
      </w:r>
      <w:r>
        <w:rPr>
          <w:rFonts w:hint="eastAsia" w:asciiTheme="minorEastAsia" w:hAnsiTheme="minorEastAsia" w:eastAsiaTheme="minorEastAsia" w:cstheme="minorEastAsia"/>
          <w:b/>
          <w:color w:val="auto"/>
          <w:szCs w:val="21"/>
          <w:highlight w:val="none"/>
          <w:lang w:eastAsia="zh-CN"/>
        </w:rPr>
        <w:t>）</w:t>
      </w:r>
    </w:p>
    <w:p w14:paraId="09DE5AA8">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3.4.2.1</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依据《工业和信息化部、国家统计局、国家发展和改革委员会、财政部关于印发中小企业划型标准规定的通知》规定划分标准，属于中小企业的，可享受支持中小型企业发展优惠政策。</w:t>
      </w:r>
    </w:p>
    <w:p w14:paraId="4F60870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3.4.2.2</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作为中小企业参加政府采购活动时，应当提供《中小企业声明函》（见第六章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w:t>
      </w:r>
    </w:p>
    <w:p w14:paraId="3BEE238F">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（1）在评审时，</w:t>
      </w:r>
      <w:r>
        <w:rPr>
          <w:rFonts w:hint="eastAsia" w:asciiTheme="minorEastAsia" w:hAnsiTheme="minorEastAsia" w:eastAsiaTheme="minorEastAsia" w:cstheme="minorEastAsia"/>
          <w:b w:val="0"/>
          <w:bCs w:val="0"/>
          <w:color w:val="auto"/>
          <w:szCs w:val="21"/>
          <w:highlight w:val="none"/>
          <w:lang w:val="en-US" w:eastAsia="zh-CN"/>
        </w:rPr>
        <w:t>不</w:t>
      </w:r>
      <w:r>
        <w:rPr>
          <w:rFonts w:hint="eastAsia" w:asciiTheme="minorEastAsia" w:hAnsiTheme="minorEastAsia" w:eastAsiaTheme="minorEastAsia" w:cstheme="minorEastAsia"/>
          <w:b w:val="0"/>
          <w:bCs w:val="0"/>
          <w:color w:val="auto"/>
          <w:szCs w:val="21"/>
          <w:highlight w:val="none"/>
        </w:rPr>
        <w:t>享受政府采购价格折扣的优惠政策；</w:t>
      </w:r>
    </w:p>
    <w:p w14:paraId="4D6D7914">
      <w:pPr>
        <w:pageBreakBefore w:val="0"/>
        <w:kinsoku/>
        <w:wordWrap/>
        <w:overflowPunct/>
        <w:topLinePunct w:val="0"/>
        <w:bidi w:val="0"/>
        <w:adjustRightInd w:val="0"/>
        <w:snapToGrid w:val="0"/>
        <w:spacing w:line="480" w:lineRule="exact"/>
        <w:ind w:firstLine="632"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bCs/>
          <w:color w:val="auto"/>
          <w:szCs w:val="21"/>
          <w:highlight w:val="none"/>
        </w:rPr>
        <w:t>（2）在资格审查时，不予通过资格审查（仅限专门面向中小企业采购的项目）。</w:t>
      </w:r>
    </w:p>
    <w:p w14:paraId="10CE0E7D">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3.4.2.3</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监狱企业参加政府采购活动时，视同小型微型企业。依照&lt;财政部、司法部关于政府采购支持监狱企业发展有关问题的通知&gt;（财库〔2014〕68号）之规定，应当提供由省级以上监狱管理局、戒毒管理局出具的属于监狱企业的证明文件，不提供或提供有瑕疵的，不视为小型微型企业。</w:t>
      </w:r>
    </w:p>
    <w:p w14:paraId="4BA2DC1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3.4.2.4 残疾人福利性单位参加政府采购活动时，视同小型微型企业。依据《财政部、民政部、中国残疾人联合会关于促进残疾人就业政府采购政策的通知》（财库〔2017〕141号）的规定，应当提供《残疾人福利性单位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），不提供或提供有瑕疵的，不视为小型微型企业。</w:t>
      </w:r>
    </w:p>
    <w:p w14:paraId="4218F67C">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3.4.2.5</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联合体各方均中小企业的，参加政府采购活动时，视同中小企业。联合体各方均需提供《中小企业声明函》，有一方未提供或提供有瑕疵的，不视为中小企业。</w:t>
      </w:r>
    </w:p>
    <w:p w14:paraId="7F55F363">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3.4.2.6 中小企业可以同时享受节能产品、环境标志产品优先采购政策。同一项目中部分产品属于优先采购政策的，评审时只对该部分产品实行优先采购。</w:t>
      </w:r>
    </w:p>
    <w:p w14:paraId="242B7FF8">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3.4.2.7 政府采购监督检查和投诉处理中对中小企业的认定，由企业所在地的县级以上中小企业主管部门负责。</w:t>
      </w:r>
    </w:p>
    <w:p w14:paraId="561DB9B8">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3.4.3采购标的对应的中小企业划分标准所属行业为</w:t>
      </w:r>
      <w:r>
        <w:rPr>
          <w:rFonts w:hint="eastAsia" w:asciiTheme="minorEastAsia" w:hAnsiTheme="minorEastAsia" w:eastAsiaTheme="minorEastAsia" w:cstheme="minorEastAsia"/>
          <w:b/>
          <w:bCs/>
          <w:color w:val="auto"/>
          <w:szCs w:val="21"/>
          <w:highlight w:val="none"/>
          <w:u w:val="single"/>
        </w:rPr>
        <w:t>工业</w:t>
      </w:r>
      <w:r>
        <w:rPr>
          <w:rFonts w:hint="eastAsia" w:asciiTheme="minorEastAsia" w:hAnsiTheme="minorEastAsia" w:eastAsiaTheme="minorEastAsia" w:cstheme="minorEastAsia"/>
          <w:b/>
          <w:bCs/>
          <w:color w:val="auto"/>
          <w:szCs w:val="21"/>
          <w:highlight w:val="none"/>
        </w:rPr>
        <w:t>。</w:t>
      </w:r>
    </w:p>
    <w:p w14:paraId="1D0653B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6725A6FD">
      <w:pPr>
        <w:pageBreakBefore w:val="0"/>
        <w:kinsoku/>
        <w:wordWrap/>
        <w:overflowPunct/>
        <w:topLinePunct w:val="0"/>
        <w:bidi w:val="0"/>
        <w:adjustRightInd w:val="0"/>
        <w:snapToGrid w:val="0"/>
        <w:spacing w:line="480" w:lineRule="exact"/>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3.4.4进口产品</w:t>
      </w:r>
    </w:p>
    <w:p w14:paraId="72A890AB">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（A）本项目拒绝进口产品参加</w:t>
      </w:r>
      <w:r>
        <w:rPr>
          <w:rFonts w:hint="eastAsia" w:asciiTheme="minorEastAsia" w:hAnsiTheme="minorEastAsia" w:eastAsiaTheme="minorEastAsia" w:cstheme="minorEastAsia"/>
          <w:color w:val="auto"/>
          <w:szCs w:val="21"/>
          <w:highlight w:val="none"/>
          <w:lang w:eastAsia="zh-CN"/>
        </w:rPr>
        <w:t>投标</w:t>
      </w:r>
      <w:r>
        <w:rPr>
          <w:rFonts w:hint="eastAsia" w:asciiTheme="minorEastAsia" w:hAnsiTheme="minorEastAsia" w:eastAsiaTheme="minorEastAsia" w:cstheme="minorEastAsia"/>
          <w:color w:val="auto"/>
          <w:szCs w:val="21"/>
          <w:highlight w:val="none"/>
        </w:rPr>
        <w:t>。</w:t>
      </w:r>
    </w:p>
    <w:p w14:paraId="5ADDF24E">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3.5</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转包与分包</w:t>
      </w:r>
    </w:p>
    <w:p w14:paraId="08BF9BBF">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3.5.1 本项目严禁采取转包方式履行合同。本项项目所称转包，是指中标人将采购合同业务转让给第三人，并退出现有采购合同当事人双方权利业务关系，受让人（即第三人）成为采购合同的另一方当事人的行为。</w:t>
      </w:r>
    </w:p>
    <w:p w14:paraId="653AD43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中标人转包的，视同拒绝履行采购合同业务，将依法追究法律责任。</w:t>
      </w:r>
    </w:p>
    <w:p w14:paraId="7CD428AD">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本项目经采购人同意，可以将中标项目的部分非主体、非关键性工作分包给他人完成，</w:t>
      </w:r>
      <w:r>
        <w:rPr>
          <w:rFonts w:hint="eastAsia" w:asciiTheme="minorEastAsia" w:hAnsiTheme="minorEastAsia" w:eastAsiaTheme="minorEastAsia" w:cstheme="minorEastAsia"/>
          <w:color w:val="auto"/>
          <w:szCs w:val="21"/>
          <w:highlight w:val="none"/>
          <w:lang w:val="en-US" w:eastAsia="zh-CN"/>
        </w:rPr>
        <w:t>本项目</w:t>
      </w:r>
      <w:r>
        <w:rPr>
          <w:rFonts w:hint="eastAsia" w:asciiTheme="minorEastAsia" w:hAnsiTheme="minorEastAsia" w:eastAsiaTheme="minorEastAsia" w:cstheme="minorEastAsia"/>
          <w:b/>
          <w:bCs/>
          <w:color w:val="auto"/>
          <w:szCs w:val="21"/>
          <w:highlight w:val="none"/>
        </w:rPr>
        <w:t>“主体和关键性工作”是指：</w:t>
      </w:r>
      <w:r>
        <w:rPr>
          <w:rFonts w:hint="eastAsia" w:asciiTheme="minorEastAsia" w:hAnsiTheme="minorEastAsia" w:eastAsiaTheme="minorEastAsia" w:cstheme="minorEastAsia"/>
          <w:b/>
          <w:bCs/>
          <w:color w:val="auto"/>
          <w:szCs w:val="21"/>
          <w:highlight w:val="none"/>
          <w:lang w:eastAsia="zh-CN"/>
        </w:rPr>
        <w:t>本项目</w:t>
      </w:r>
      <w:r>
        <w:rPr>
          <w:rFonts w:hint="eastAsia" w:asciiTheme="minorEastAsia" w:hAnsiTheme="minorEastAsia" w:eastAsiaTheme="minorEastAsia" w:cstheme="minorEastAsia"/>
          <w:color w:val="auto"/>
          <w:szCs w:val="21"/>
          <w:highlight w:val="none"/>
        </w:rPr>
        <w:t>全部内容，本项目不允许分包。</w:t>
      </w:r>
    </w:p>
    <w:p w14:paraId="78F72DB5">
      <w:pPr>
        <w:pageBreakBefore w:val="0"/>
        <w:kinsoku/>
        <w:wordWrap/>
        <w:overflowPunct/>
        <w:topLinePunct w:val="0"/>
        <w:bidi w:val="0"/>
        <w:spacing w:line="480" w:lineRule="exact"/>
        <w:ind w:firstLine="493"/>
        <w:textAlignment w:val="auto"/>
        <w:rPr>
          <w:rFonts w:hint="eastAsia" w:asciiTheme="minorEastAsia" w:hAnsiTheme="minorEastAsia" w:eastAsiaTheme="minorEastAsia" w:cstheme="minorEastAsia"/>
          <w:b/>
          <w:bCs/>
          <w:color w:val="auto"/>
          <w:kern w:val="0"/>
          <w:szCs w:val="21"/>
          <w:highlight w:val="none"/>
        </w:rPr>
      </w:pPr>
      <w:r>
        <w:rPr>
          <w:rFonts w:hint="eastAsia" w:asciiTheme="minorEastAsia" w:hAnsiTheme="minorEastAsia" w:eastAsiaTheme="minorEastAsia" w:cstheme="minorEastAsia"/>
          <w:color w:val="auto"/>
          <w:kern w:val="0"/>
          <w:szCs w:val="21"/>
          <w:highlight w:val="none"/>
        </w:rPr>
        <w:t>接受分包的投标人应当具备相应的资格条件，并不得再次分包。</w:t>
      </w:r>
      <w:r>
        <w:rPr>
          <w:rFonts w:hint="eastAsia" w:asciiTheme="minorEastAsia" w:hAnsiTheme="minorEastAsia" w:eastAsiaTheme="minorEastAsia" w:cstheme="minorEastAsia"/>
          <w:color w:val="auto"/>
          <w:szCs w:val="21"/>
          <w:highlight w:val="none"/>
        </w:rPr>
        <w:t>采购合同实行分包履行的，中标人就采购项目和分包项目向采购人负责，分包投标人就分包项目承担责任。</w:t>
      </w:r>
    </w:p>
    <w:p w14:paraId="00D9CE24">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3.6</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投标人的风险</w:t>
      </w:r>
    </w:p>
    <w:p w14:paraId="43DECA5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投标人应认真阅读和充分理解招标文件中所有的事项、格式条款和规范要求，任何对</w:t>
      </w:r>
      <w:r>
        <w:rPr>
          <w:rFonts w:hint="eastAsia" w:asciiTheme="minorEastAsia" w:hAnsiTheme="minorEastAsia" w:eastAsiaTheme="minorEastAsia" w:cstheme="minorEastAsia"/>
          <w:bCs/>
          <w:color w:val="auto"/>
          <w:szCs w:val="21"/>
          <w:highlight w:val="none"/>
        </w:rPr>
        <w:t>招标</w:t>
      </w:r>
      <w:r>
        <w:rPr>
          <w:rFonts w:hint="eastAsia" w:asciiTheme="minorEastAsia" w:hAnsiTheme="minorEastAsia" w:eastAsiaTheme="minorEastAsia" w:cstheme="minorEastAsia"/>
          <w:color w:val="auto"/>
          <w:szCs w:val="21"/>
          <w:highlight w:val="none"/>
        </w:rPr>
        <w:t>文件的忽略或误解不能作为投标文件存在缺陷或瑕疵的理由；投标人</w:t>
      </w:r>
      <w:r>
        <w:rPr>
          <w:rFonts w:hint="eastAsia" w:asciiTheme="minorEastAsia" w:hAnsiTheme="minorEastAsia" w:eastAsiaTheme="minorEastAsia" w:cstheme="minorEastAsia"/>
          <w:color w:val="auto"/>
          <w:kern w:val="0"/>
          <w:szCs w:val="21"/>
          <w:highlight w:val="none"/>
        </w:rPr>
        <w:t>没有按照招标文件要求提供全部资料，</w:t>
      </w:r>
      <w:r>
        <w:rPr>
          <w:rFonts w:hint="eastAsia" w:asciiTheme="minorEastAsia" w:hAnsiTheme="minorEastAsia" w:eastAsiaTheme="minorEastAsia" w:cstheme="minorEastAsia"/>
          <w:color w:val="auto"/>
          <w:szCs w:val="21"/>
          <w:highlight w:val="none"/>
        </w:rPr>
        <w:t>或对招标文件全面做出实质性响应是投标人的风险，</w:t>
      </w:r>
      <w:r>
        <w:rPr>
          <w:rFonts w:hint="eastAsia" w:asciiTheme="minorEastAsia" w:hAnsiTheme="minorEastAsia" w:eastAsiaTheme="minorEastAsia" w:cstheme="minorEastAsia"/>
          <w:color w:val="auto"/>
          <w:kern w:val="0"/>
          <w:szCs w:val="21"/>
          <w:highlight w:val="none"/>
        </w:rPr>
        <w:t>并可能导致其投标文件被拒绝。</w:t>
      </w:r>
    </w:p>
    <w:p w14:paraId="2CB06079">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3.7</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投标人的纪律要求</w:t>
      </w:r>
    </w:p>
    <w:p w14:paraId="14FCE30B">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3.7.1 有下列情形之一的，属于不合格投标人，其投标或中标资格将被取消：</w:t>
      </w:r>
    </w:p>
    <w:p w14:paraId="09C68405">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（1）提供虚假材料谋取中标；</w:t>
      </w:r>
    </w:p>
    <w:p w14:paraId="556FAB15">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（2）采取不正当手段诋毁、排挤其他投标人；</w:t>
      </w:r>
    </w:p>
    <w:p w14:paraId="516538A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（3）与采购人、采购代理机构、其他投标人恶意串通；</w:t>
      </w:r>
    </w:p>
    <w:p w14:paraId="253D0E4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（4）向采购人、采购代理机构、评标委员会成员行贿或者提供其他不正当利益；</w:t>
      </w:r>
    </w:p>
    <w:p w14:paraId="06043695">
      <w:pPr>
        <w:pStyle w:val="14"/>
        <w:pageBreakBefore w:val="0"/>
        <w:tabs>
          <w:tab w:val="left" w:pos="72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（5）在招标过程中与采购人、采购代理机构进行协商谈判；</w:t>
      </w:r>
    </w:p>
    <w:p w14:paraId="494CAE5A">
      <w:pPr>
        <w:pStyle w:val="14"/>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（6）拒绝有关部门的监督检查或者向监督检查部门提供虚假情况。</w:t>
      </w:r>
    </w:p>
    <w:p w14:paraId="7526405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3.7.2有下列情形之一的，视为投标人相互恶意串通投标，其投标无效：</w:t>
      </w:r>
    </w:p>
    <w:p w14:paraId="38BADCF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（1）不同投标人的投标文件由同一单位或者个人编制；</w:t>
      </w:r>
    </w:p>
    <w:p w14:paraId="0693C330">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（2）不同投标人委托同一单位或者个人办理投标事宜；</w:t>
      </w:r>
    </w:p>
    <w:p w14:paraId="4DD4BB0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（3）不同投标人的投标文件载明的项目管理成员为同一人；</w:t>
      </w:r>
    </w:p>
    <w:p w14:paraId="23962DC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（4）不同投标人的投标文件异常一致或者投标报价呈规律性差异；</w:t>
      </w:r>
    </w:p>
    <w:p w14:paraId="476AF3F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（5）不同投标人的投标文件相互混装；</w:t>
      </w:r>
    </w:p>
    <w:p w14:paraId="5EACEC3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（6）不同投标人的投标保证金从同一单位或者个人的账户转出；</w:t>
      </w:r>
    </w:p>
    <w:p w14:paraId="3A3326B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（7）不同投标人的投标文件由同一投标人送达。</w:t>
      </w:r>
    </w:p>
    <w:p w14:paraId="13DA74EC">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color w:val="auto"/>
          <w:kern w:val="0"/>
          <w:sz w:val="36"/>
          <w:szCs w:val="36"/>
          <w:highlight w:val="none"/>
        </w:rPr>
      </w:pPr>
      <w:bookmarkStart w:id="125" w:name="_Toc18750"/>
      <w:r>
        <w:rPr>
          <w:rFonts w:hint="eastAsia" w:asciiTheme="minorEastAsia" w:hAnsiTheme="minorEastAsia" w:eastAsiaTheme="minorEastAsia" w:cstheme="minorEastAsia"/>
          <w:b/>
          <w:bCs/>
          <w:color w:val="auto"/>
          <w:sz w:val="36"/>
          <w:szCs w:val="36"/>
          <w:highlight w:val="none"/>
        </w:rPr>
        <w:t>4.投标文件</w:t>
      </w:r>
      <w:bookmarkEnd w:id="125"/>
    </w:p>
    <w:p w14:paraId="151913FE">
      <w:pPr>
        <w:pageBreakBefore w:val="0"/>
        <w:kinsoku/>
        <w:wordWrap/>
        <w:overflowPunct/>
        <w:topLinePunct w:val="0"/>
        <w:bidi w:val="0"/>
        <w:snapToGrid w:val="0"/>
        <w:spacing w:after="120" w:afterLines="50" w:line="480" w:lineRule="exact"/>
        <w:textAlignment w:val="auto"/>
        <w:outlineLvl w:val="2"/>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4.1</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投标文件的编写原则和要求</w:t>
      </w:r>
    </w:p>
    <w:p w14:paraId="289BE33B">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4.1.1 投标人应仔细阅读招标文件的所有内容，按招标文件规定及要求编写，应当对招标文件提出的实质性要求做出响应，并提交完整的投标文件。投标人应对投标货物和服务提供完整详细的技术说明，若投标人对指定的技术要求不能完全响应，应在投标文件中清楚地注明。</w:t>
      </w:r>
      <w:r>
        <w:rPr>
          <w:rFonts w:hint="eastAsia" w:asciiTheme="minorEastAsia" w:hAnsiTheme="minorEastAsia" w:eastAsiaTheme="minorEastAsia" w:cstheme="minorEastAsia"/>
          <w:b/>
          <w:color w:val="auto"/>
          <w:szCs w:val="21"/>
          <w:highlight w:val="none"/>
        </w:rPr>
        <w:t>投标人拟在中标后将中标项目的非主体、非关键性工作交由他人完成的，应当在投标文件中载明。</w:t>
      </w:r>
      <w:r>
        <w:rPr>
          <w:rFonts w:hint="eastAsia" w:asciiTheme="minorEastAsia" w:hAnsiTheme="minorEastAsia" w:eastAsiaTheme="minorEastAsia" w:cstheme="minorEastAsia"/>
          <w:color w:val="auto"/>
          <w:szCs w:val="21"/>
          <w:highlight w:val="none"/>
        </w:rPr>
        <w:t>投标人对本招标文件的每一项要求所给予的响应必须是唯一的，否则将视为无效投标文件。</w:t>
      </w:r>
    </w:p>
    <w:p w14:paraId="0711DBD3">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4.1.2 真实性原则</w:t>
      </w:r>
    </w:p>
    <w:p w14:paraId="10F3C9C7">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4.1.2.1 投标人应保证所提供的投标文件和所有资料的真实性、准确性和完整性。</w:t>
      </w:r>
    </w:p>
    <w:p w14:paraId="659412B6">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4.1.2.2 投标人被认定为在采购活动中提供不真实材料的，无论其材料是否重要，采购人均有权拒绝，并取消其投标或中标资格，投标人需承担相应的法律后果。</w:t>
      </w:r>
    </w:p>
    <w:p w14:paraId="69CDC25F">
      <w:pPr>
        <w:pageBreakBefore w:val="0"/>
        <w:tabs>
          <w:tab w:val="left" w:pos="720"/>
        </w:tabs>
        <w:kinsoku/>
        <w:wordWrap/>
        <w:overflowPunct/>
        <w:topLinePunct w:val="0"/>
        <w:bidi w:val="0"/>
        <w:snapToGrid w:val="0"/>
        <w:spacing w:line="480" w:lineRule="exact"/>
        <w:ind w:firstLine="48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4.1.3 投标货币</w:t>
      </w:r>
    </w:p>
    <w:p w14:paraId="166D3CCC">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本项目的投标均以人民币报价。</w:t>
      </w:r>
    </w:p>
    <w:p w14:paraId="5ED65372">
      <w:pPr>
        <w:pageBreakBefore w:val="0"/>
        <w:tabs>
          <w:tab w:val="left" w:pos="720"/>
        </w:tabs>
        <w:kinsoku/>
        <w:wordWrap/>
        <w:overflowPunct/>
        <w:topLinePunct w:val="0"/>
        <w:bidi w:val="0"/>
        <w:snapToGrid w:val="0"/>
        <w:spacing w:line="480" w:lineRule="exact"/>
        <w:ind w:firstLine="424" w:firstLineChars="201"/>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4.1.4 投标文件形式</w:t>
      </w:r>
    </w:p>
    <w:p w14:paraId="716E59EC">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本项目投标文件应采用</w:t>
      </w:r>
      <w:r>
        <w:rPr>
          <w:rFonts w:hint="eastAsia" w:asciiTheme="minorEastAsia" w:hAnsiTheme="minorEastAsia" w:eastAsiaTheme="minorEastAsia" w:cstheme="minorEastAsia"/>
          <w:color w:val="auto"/>
          <w:highlight w:val="none"/>
          <w:lang w:eastAsia="zh-CN"/>
        </w:rPr>
        <w:t>软件</w:t>
      </w:r>
      <w:r>
        <w:rPr>
          <w:rFonts w:hint="eastAsia" w:asciiTheme="minorEastAsia" w:hAnsiTheme="minorEastAsia" w:eastAsiaTheme="minorEastAsia" w:cstheme="minorEastAsia"/>
          <w:color w:val="auto"/>
          <w:highlight w:val="none"/>
        </w:rPr>
        <w:t>形式，电报、传真、电子邮件形式的投标文件不予接受。</w:t>
      </w:r>
    </w:p>
    <w:p w14:paraId="0DB59DEC">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4.1.5 备选方案</w:t>
      </w:r>
    </w:p>
    <w:p w14:paraId="3AF1404E">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4.1.5.1 除投标人须知前附表规定允许外，投标人不得递交备选投标方案，投标文件的报价只允许有一个报价，不接受具有附加条件的报价，否则，视为无效投标。</w:t>
      </w:r>
    </w:p>
    <w:p w14:paraId="3676D14A">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4.1.5.2 允许投标人递交备选投标方案的，只有中标人所递交的备选投标方案方可予以考虑。评标委员会认为中标人的备选投标方案优于其按照招标文件要求编制的投标方案的，采购人可以接受该备选方案。</w:t>
      </w:r>
    </w:p>
    <w:p w14:paraId="0BEBDC6C">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4.1.5.3 投标人提供两个或两个以上投标报价，或者在投标文件中提供一个报价，但同时提供两个或两个以上供货方案的，视为提供备选方案。</w:t>
      </w:r>
    </w:p>
    <w:bookmarkEnd w:id="119"/>
    <w:bookmarkEnd w:id="120"/>
    <w:bookmarkEnd w:id="121"/>
    <w:p w14:paraId="6F1D9BC4">
      <w:pPr>
        <w:pageBreakBefore w:val="0"/>
        <w:tabs>
          <w:tab w:val="left" w:pos="720"/>
        </w:tabs>
        <w:kinsoku/>
        <w:wordWrap/>
        <w:overflowPunct/>
        <w:topLinePunct w:val="0"/>
        <w:bidi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bookmarkStart w:id="126" w:name="_Toc217446048"/>
      <w:bookmarkStart w:id="127" w:name="_Toc183582217"/>
      <w:bookmarkStart w:id="128" w:name="_Toc183682354"/>
      <w:r>
        <w:rPr>
          <w:rFonts w:hint="eastAsia" w:asciiTheme="minorEastAsia" w:hAnsiTheme="minorEastAsia" w:eastAsiaTheme="minorEastAsia" w:cstheme="minorEastAsia"/>
          <w:b/>
          <w:color w:val="auto"/>
          <w:sz w:val="30"/>
          <w:szCs w:val="30"/>
          <w:highlight w:val="none"/>
        </w:rPr>
        <w:t>4.2 投标文件的组成</w:t>
      </w:r>
      <w:bookmarkEnd w:id="126"/>
      <w:bookmarkEnd w:id="127"/>
      <w:bookmarkEnd w:id="128"/>
    </w:p>
    <w:p w14:paraId="21978635">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4.2.1投标文件由下列文件组成：</w:t>
      </w:r>
    </w:p>
    <w:p w14:paraId="12AFAC56">
      <w:pPr>
        <w:pageBreakBefore w:val="0"/>
        <w:tabs>
          <w:tab w:val="left" w:pos="2730"/>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（1）资格审查文件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ab/>
      </w:r>
    </w:p>
    <w:p w14:paraId="4E178AB7">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（2）商务文件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22E1CF19">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（3）技术文件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3A3D3E42">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4.3</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投标报价</w:t>
      </w:r>
    </w:p>
    <w:p w14:paraId="4961A56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4.3.1 </w:t>
      </w:r>
      <w:r>
        <w:rPr>
          <w:rFonts w:hint="eastAsia" w:asciiTheme="minorEastAsia" w:hAnsiTheme="minorEastAsia" w:eastAsiaTheme="minorEastAsia" w:cstheme="minorEastAsia"/>
          <w:bCs/>
          <w:color w:val="auto"/>
          <w:szCs w:val="21"/>
          <w:highlight w:val="none"/>
        </w:rPr>
        <w:t>投标人应当</w:t>
      </w:r>
      <w:r>
        <w:rPr>
          <w:rFonts w:hint="eastAsia" w:asciiTheme="minorEastAsia" w:hAnsiTheme="minorEastAsia" w:eastAsiaTheme="minorEastAsia" w:cstheme="minorEastAsia"/>
          <w:color w:val="auto"/>
          <w:szCs w:val="21"/>
          <w:highlight w:val="none"/>
        </w:rPr>
        <w:t>按照招标文件要求填报投标报价，并充分了解该采购项目的总体情况以及影响投标报价的其他要素。</w:t>
      </w:r>
    </w:p>
    <w:p w14:paraId="07F7B01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4.3.2 </w:t>
      </w:r>
      <w:r>
        <w:rPr>
          <w:rFonts w:hint="eastAsia" w:asciiTheme="minorEastAsia" w:hAnsiTheme="minorEastAsia" w:eastAsiaTheme="minorEastAsia" w:cstheme="minorEastAsia"/>
          <w:color w:val="auto"/>
          <w:spacing w:val="3"/>
          <w:highlight w:val="none"/>
        </w:rPr>
        <w:t>投标报价应是完成招标内容所需设备的全部费用，包括但不限于产品的报价及所发生</w:t>
      </w:r>
      <w:r>
        <w:rPr>
          <w:rFonts w:hint="eastAsia" w:asciiTheme="minorEastAsia" w:hAnsiTheme="minorEastAsia" w:eastAsiaTheme="minorEastAsia" w:cstheme="minorEastAsia"/>
          <w:color w:val="auto"/>
          <w:spacing w:val="-4"/>
          <w:highlight w:val="none"/>
        </w:rPr>
        <w:t>的：</w:t>
      </w:r>
      <w:r>
        <w:rPr>
          <w:rFonts w:hint="eastAsia" w:asciiTheme="minorEastAsia" w:hAnsiTheme="minorEastAsia" w:eastAsiaTheme="minorEastAsia" w:cstheme="minorEastAsia"/>
          <w:b/>
          <w:bCs/>
          <w:color w:val="auto"/>
          <w:spacing w:val="-4"/>
          <w:highlight w:val="none"/>
        </w:rPr>
        <w:t>包括采购货物价格、备品备件、包装、运输、仓储、保管、保险、装卸（卸货至甲方指定地点）、利润、相关税费及市场价格风险在内等全部费用。</w:t>
      </w:r>
      <w:r>
        <w:rPr>
          <w:rFonts w:hint="eastAsia" w:asciiTheme="minorEastAsia" w:hAnsiTheme="minorEastAsia" w:eastAsiaTheme="minorEastAsia" w:cstheme="minorEastAsia"/>
          <w:color w:val="auto"/>
          <w:szCs w:val="21"/>
          <w:highlight w:val="none"/>
        </w:rPr>
        <w:t>进口设备除应包括要向中华人民共和国政府缴纳的增值税和其它税，还应包括货物在制造或组装时使用的部件和原材料是从关境外进口的已交纳或应交纳的全部关税、增值税和其它税等一切费用。要求的其他相关费用以本招标文件的内容和要求作为投标依据。报价时单价所反映的内容同上，综合考虑在单价中。在供货、安装、调试、培训等工作中出现硬件、软件等的任何遗漏，均由中标人免费提供，采购人将不再支付任何费用。</w:t>
      </w:r>
    </w:p>
    <w:p w14:paraId="1FDE6D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4.3.3 投标</w:t>
      </w:r>
      <w:r>
        <w:rPr>
          <w:rFonts w:hint="eastAsia" w:asciiTheme="minorEastAsia" w:hAnsiTheme="minorEastAsia" w:eastAsiaTheme="minorEastAsia" w:cstheme="minorEastAsia"/>
          <w:color w:val="auto"/>
          <w:kern w:val="0"/>
          <w:szCs w:val="21"/>
          <w:highlight w:val="none"/>
        </w:rPr>
        <w:t>人应按</w:t>
      </w:r>
      <w:r>
        <w:rPr>
          <w:rFonts w:hint="eastAsia" w:asciiTheme="minorEastAsia" w:hAnsiTheme="minorEastAsia" w:eastAsiaTheme="minorEastAsia" w:cstheme="minorEastAsia"/>
          <w:color w:val="auto"/>
          <w:szCs w:val="21"/>
          <w:highlight w:val="none"/>
        </w:rPr>
        <w:t>“开标一览表”及“货物（产品）分项报价表”</w:t>
      </w:r>
      <w:r>
        <w:rPr>
          <w:rFonts w:hint="eastAsia" w:asciiTheme="minorEastAsia" w:hAnsiTheme="minorEastAsia" w:eastAsiaTheme="minorEastAsia" w:cstheme="minorEastAsia"/>
          <w:color w:val="auto"/>
          <w:kern w:val="0"/>
          <w:szCs w:val="21"/>
          <w:highlight w:val="none"/>
        </w:rPr>
        <w:t>的内容</w:t>
      </w:r>
      <w:r>
        <w:rPr>
          <w:rFonts w:hint="eastAsia" w:asciiTheme="minorEastAsia" w:hAnsiTheme="minorEastAsia" w:eastAsiaTheme="minorEastAsia" w:cstheme="minorEastAsia"/>
          <w:color w:val="auto"/>
          <w:szCs w:val="21"/>
          <w:highlight w:val="none"/>
        </w:rPr>
        <w:t>和格式要求填写各项货物及服务的分项价格和总价。投标报价为各分项报价金额之和。投标报价与分项报价的合价不一致的，应以各分项合价累计数为准，修正投标报价；如分项报价中存在遗漏项，视为缺项价格已包含在其他分项报价之中。</w:t>
      </w:r>
    </w:p>
    <w:p w14:paraId="3EE38E9A">
      <w:pPr>
        <w:pageBreakBefore w:val="0"/>
        <w:kinsoku/>
        <w:wordWrap/>
        <w:overflowPunct/>
        <w:topLinePunct w:val="0"/>
        <w:bidi w:val="0"/>
        <w:adjustRightInd w:val="0"/>
        <w:snapToGrid w:val="0"/>
        <w:spacing w:line="480" w:lineRule="exact"/>
        <w:ind w:firstLine="48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 xml:space="preserve">4.3.4 </w:t>
      </w:r>
      <w:r>
        <w:rPr>
          <w:rFonts w:hint="eastAsia" w:asciiTheme="minorEastAsia" w:hAnsiTheme="minorEastAsia" w:eastAsiaTheme="minorEastAsia" w:cstheme="minorEastAsia"/>
          <w:color w:val="auto"/>
          <w:szCs w:val="21"/>
          <w:highlight w:val="none"/>
        </w:rPr>
        <w:t>投标人每种产品只允许有一个报价，并且在合同履行过程中是固定不变的，任何有选择或可调整的报价将不予接受并按无效投标处理。</w:t>
      </w:r>
    </w:p>
    <w:p w14:paraId="57FAC3C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4.3.5 当评标委员会认为，某投标人的报价存在明显低于其他通过符合性审查投标人的报价，有可能影响货物质量和不能诚信履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的，应当要求其在评标现场规定时间内，提供必要的书面文件予以解释和说明，</w:t>
      </w:r>
      <w:r>
        <w:rPr>
          <w:rFonts w:hint="eastAsia" w:asciiTheme="minorEastAsia" w:hAnsiTheme="minorEastAsia" w:eastAsiaTheme="minorEastAsia" w:cstheme="minorEastAsia"/>
          <w:b/>
          <w:color w:val="auto"/>
          <w:szCs w:val="21"/>
          <w:highlight w:val="none"/>
        </w:rPr>
        <w:t>必要时</w:t>
      </w:r>
      <w:r>
        <w:rPr>
          <w:rFonts w:hint="eastAsia" w:asciiTheme="minorEastAsia" w:hAnsiTheme="minorEastAsia" w:eastAsiaTheme="minorEastAsia" w:cstheme="minorEastAsia"/>
          <w:color w:val="auto"/>
          <w:szCs w:val="21"/>
          <w:highlight w:val="none"/>
        </w:rPr>
        <w:t>提交相关证明材料；若投标人不能证明其报价合理性，评标委员会将其作无效投标处理。</w:t>
      </w:r>
    </w:p>
    <w:p w14:paraId="0A41C47E">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4.4</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投标有效期</w:t>
      </w:r>
    </w:p>
    <w:p w14:paraId="2606ECD0">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投标有效期见投标人须知前附表。</w:t>
      </w:r>
      <w:r>
        <w:rPr>
          <w:rFonts w:hint="eastAsia" w:asciiTheme="minorEastAsia" w:hAnsiTheme="minorEastAsia" w:eastAsiaTheme="minorEastAsia" w:cstheme="minorEastAsia"/>
          <w:color w:val="auto"/>
          <w:highlight w:val="none"/>
        </w:rPr>
        <w:t>在此期间投标文件对投标人具有法律</w:t>
      </w:r>
      <w:r>
        <w:rPr>
          <w:rFonts w:hint="eastAsia" w:asciiTheme="minorEastAsia" w:hAnsiTheme="minorEastAsia" w:eastAsiaTheme="minorEastAsia" w:cstheme="minorEastAsia"/>
          <w:color w:val="auto"/>
          <w:highlight w:val="none"/>
          <w:lang w:val="en-US" w:eastAsia="zh-CN"/>
        </w:rPr>
        <w:t>约</w:t>
      </w:r>
      <w:r>
        <w:rPr>
          <w:rFonts w:hint="eastAsia" w:asciiTheme="minorEastAsia" w:hAnsiTheme="minorEastAsia" w:eastAsiaTheme="minorEastAsia" w:cstheme="minorEastAsia"/>
          <w:color w:val="auto"/>
          <w:highlight w:val="none"/>
        </w:rPr>
        <w:t>束力，从</w:t>
      </w:r>
      <w:r>
        <w:rPr>
          <w:rFonts w:hint="eastAsia" w:asciiTheme="minorEastAsia" w:hAnsiTheme="minorEastAsia" w:eastAsiaTheme="minorEastAsia" w:cstheme="minorEastAsia"/>
          <w:b/>
          <w:color w:val="auto"/>
          <w:highlight w:val="none"/>
        </w:rPr>
        <w:t>投标人须知前附表规定</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kern w:val="0"/>
          <w:highlight w:val="none"/>
        </w:rPr>
        <w:t>递交投标文件截止时间</w:t>
      </w:r>
      <w:r>
        <w:rPr>
          <w:rFonts w:hint="eastAsia" w:asciiTheme="minorEastAsia" w:hAnsiTheme="minorEastAsia" w:eastAsiaTheme="minorEastAsia" w:cstheme="minorEastAsia"/>
          <w:color w:val="auto"/>
          <w:highlight w:val="none"/>
        </w:rPr>
        <w:t>之日起计算。</w:t>
      </w:r>
      <w:r>
        <w:rPr>
          <w:rFonts w:hint="eastAsia" w:asciiTheme="minorEastAsia" w:hAnsiTheme="minorEastAsia" w:eastAsiaTheme="minorEastAsia" w:cstheme="minorEastAsia"/>
          <w:color w:val="auto"/>
          <w:szCs w:val="21"/>
          <w:highlight w:val="none"/>
        </w:rPr>
        <w:t>投标有效期短于此规定期限的投标，属于非实质性响应，将按无效投标处理。</w:t>
      </w:r>
    </w:p>
    <w:p w14:paraId="481A0CED">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4.4.2 出现特殊情况需要延长投标有效期的，采购代理机构或采购人可于投标有效期满之前，以书面形式或政采云平台通知所有投标人延长投标有效期。投标人应予书面答复，同意延长的，应相应延长其投标保证金有效期，但不得要求或被允许修改其投标文件；投标人拒绝延长的，其投标失效，但投标人有权收回其投标保证金。</w:t>
      </w:r>
    </w:p>
    <w:p w14:paraId="7D85A4A7">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4.4.3 在投标有效期内，投标人撤销投标文件的，应承担招标文件和法律规定的责任。</w:t>
      </w:r>
    </w:p>
    <w:p w14:paraId="0AF47A46">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4.4.4 中标人的投标有效期自动延长至合同终止为止。</w:t>
      </w:r>
    </w:p>
    <w:p w14:paraId="67D1C91F">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4.5 投标保证金</w:t>
      </w:r>
    </w:p>
    <w:p w14:paraId="4529D141">
      <w:pPr>
        <w:pageBreakBefore w:val="0"/>
        <w:kinsoku/>
        <w:wordWrap/>
        <w:overflowPunct/>
        <w:topLinePunct w:val="0"/>
        <w:bidi w:val="0"/>
        <w:spacing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4.5.1</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投标保证金的提交</w:t>
      </w:r>
    </w:p>
    <w:p w14:paraId="692582E6">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4.5.1.1 开标现场不办理投标保证金事宜。</w:t>
      </w:r>
    </w:p>
    <w:p w14:paraId="7520A3BF">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4.5.1.2 投标人应按投标人须知前附表规定的金额、形式和时间提交，作为其投标文件的一部分。联合投标的，</w:t>
      </w:r>
      <w:r>
        <w:rPr>
          <w:rFonts w:hint="eastAsia" w:asciiTheme="minorEastAsia" w:hAnsiTheme="minorEastAsia" w:eastAsiaTheme="minorEastAsia" w:cstheme="minorEastAsia"/>
          <w:color w:val="auto"/>
          <w:szCs w:val="21"/>
          <w:highlight w:val="none"/>
          <w:shd w:val="clear" w:color="auto" w:fill="FFFFFF"/>
        </w:rPr>
        <w:t>应当以各方或者联合体中牵头人的名义提交投标保证金。</w:t>
      </w:r>
      <w:r>
        <w:rPr>
          <w:rFonts w:hint="eastAsia" w:asciiTheme="minorEastAsia" w:hAnsiTheme="minorEastAsia" w:eastAsiaTheme="minorEastAsia" w:cstheme="minorEastAsia"/>
          <w:color w:val="auto"/>
          <w:szCs w:val="21"/>
          <w:highlight w:val="none"/>
        </w:rPr>
        <w:t>以联合体牵头单位提交投标保证金的，对联合体各方均具有</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束力。</w:t>
      </w:r>
    </w:p>
    <w:p w14:paraId="22AE87F3">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lang w:eastAsia="zh-CN"/>
        </w:rPr>
      </w:pPr>
      <w:r>
        <w:rPr>
          <w:rFonts w:hint="eastAsia" w:asciiTheme="minorEastAsia" w:hAnsiTheme="minorEastAsia" w:eastAsiaTheme="minorEastAsia" w:cstheme="minorEastAsia"/>
          <w:color w:val="auto"/>
          <w:szCs w:val="21"/>
          <w:highlight w:val="none"/>
        </w:rPr>
        <w:t>4.5.1.3 投标保证金可以银行转账或者保险机构、担保机构出具的保函等非现金形式提交</w:t>
      </w:r>
      <w:r>
        <w:rPr>
          <w:rFonts w:hint="eastAsia" w:asciiTheme="minorEastAsia" w:hAnsiTheme="minorEastAsia" w:eastAsiaTheme="minorEastAsia" w:cstheme="minorEastAsia"/>
          <w:color w:val="auto"/>
          <w:szCs w:val="21"/>
          <w:highlight w:val="none"/>
          <w:lang w:eastAsia="zh-CN"/>
        </w:rPr>
        <w:t>。</w:t>
      </w:r>
    </w:p>
    <w:p w14:paraId="3D0C32B8">
      <w:pPr>
        <w:pageBreakBefore w:val="0"/>
        <w:widowControl/>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4 </w:t>
      </w:r>
      <w:r>
        <w:rPr>
          <w:rFonts w:hint="eastAsia" w:asciiTheme="minorEastAsia" w:hAnsiTheme="minorEastAsia" w:eastAsiaTheme="minorEastAsia" w:cstheme="minorEastAsia"/>
          <w:color w:val="auto"/>
          <w:szCs w:val="21"/>
          <w:highlight w:val="none"/>
        </w:rPr>
        <w:t>投标人未提供相关证明或经查实其提交账户为非基本存款账户的，采购代理机构按该投标人未提交投标保证金处理。</w:t>
      </w:r>
    </w:p>
    <w:p w14:paraId="3D5C5907">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5 </w:t>
      </w:r>
      <w:r>
        <w:rPr>
          <w:rFonts w:hint="eastAsia" w:asciiTheme="minorEastAsia" w:hAnsiTheme="minorEastAsia" w:eastAsiaTheme="minorEastAsia" w:cstheme="minorEastAsia"/>
          <w:color w:val="auto"/>
          <w:szCs w:val="21"/>
          <w:highlight w:val="none"/>
        </w:rPr>
        <w:t>未按招标文件要求在规定时间前（以银行实际到账时间为准）提交投标保证金的投标将被拒绝。</w:t>
      </w:r>
    </w:p>
    <w:p w14:paraId="1FB1FAA1">
      <w:pPr>
        <w:pageBreakBefore w:val="0"/>
        <w:kinsoku/>
        <w:wordWrap/>
        <w:overflowPunct/>
        <w:topLinePunct w:val="0"/>
        <w:bidi w:val="0"/>
        <w:spacing w:before="120" w:beforeLines="50"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 xml:space="preserve">4.5.2 </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投标保证金的退还</w:t>
      </w:r>
    </w:p>
    <w:p w14:paraId="4077B1FB">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未中标人的投标保证金，将在中标通知书发出之日起5个工作日内全额退还。中标人的投标保证金，在采购人与中标人签订合同后5个工作日内全额退还。</w:t>
      </w:r>
    </w:p>
    <w:p w14:paraId="19F783A6">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bookmarkStart w:id="129" w:name="_Toc183682361"/>
      <w:bookmarkStart w:id="130" w:name="_Toc217446051"/>
      <w:bookmarkStart w:id="131" w:name="_Toc183582224"/>
      <w:r>
        <w:rPr>
          <w:rFonts w:hint="eastAsia" w:asciiTheme="minorEastAsia" w:hAnsiTheme="minorEastAsia" w:eastAsiaTheme="minorEastAsia" w:cstheme="minorEastAsia"/>
          <w:color w:val="auto"/>
          <w:szCs w:val="21"/>
          <w:highlight w:val="none"/>
        </w:rPr>
        <w:t>4.5.2.2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有下列情形之一的，投标保证金将不予退还：</w:t>
      </w:r>
    </w:p>
    <w:p w14:paraId="7F1A4A30">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（1）投标人在投标有效期内撤销投标文件的；</w:t>
      </w:r>
    </w:p>
    <w:p w14:paraId="4DBD014C">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（2）中标人在收到中标通知书后，无正当理由不与采购人订立合同，或着在签订合同时向采购人提出附加条件的；</w:t>
      </w:r>
    </w:p>
    <w:p w14:paraId="0D07ACE3">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（3）中标人无正当理由，未能按招标文件规定时间内领取《中标通知书》的；</w:t>
      </w:r>
    </w:p>
    <w:p w14:paraId="2253B24D">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）中标人未按招标文件规定向采购人提交履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保证金的；</w:t>
      </w:r>
    </w:p>
    <w:p w14:paraId="08BA9361">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）投标有效期内，投标人在政府采购活动中有违规、违纪和违法行为的；</w:t>
      </w:r>
    </w:p>
    <w:p w14:paraId="66D28DF8">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6</w:t>
      </w:r>
      <w:r>
        <w:rPr>
          <w:rFonts w:hint="eastAsia" w:asciiTheme="minorEastAsia" w:hAnsiTheme="minorEastAsia" w:eastAsiaTheme="minorEastAsia" w:cstheme="minorEastAsia"/>
          <w:color w:val="auto"/>
          <w:szCs w:val="21"/>
          <w:highlight w:val="none"/>
        </w:rPr>
        <w:t>）法律法规规定的其他情况。</w:t>
      </w:r>
    </w:p>
    <w:p w14:paraId="7F46FA9B">
      <w:pPr>
        <w:pageBreakBefore w:val="0"/>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4.5.2.3 投标保证金退还程序：</w:t>
      </w:r>
    </w:p>
    <w:p w14:paraId="12522BC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在开标结束时，未中标人的投标保证金，在《中标通知书》发出之日起5个工作日内，采购代理机构将主动退还至其基本账户。</w:t>
      </w:r>
    </w:p>
    <w:bookmarkEnd w:id="129"/>
    <w:bookmarkEnd w:id="130"/>
    <w:bookmarkEnd w:id="131"/>
    <w:p w14:paraId="6506B531">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4.6 商务文件</w:t>
      </w:r>
    </w:p>
    <w:p w14:paraId="2A1E989F">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4.6.1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投标人应按照招标文件商务要求做出完全响应。未作出商务响应的，作为不实质性响应招标文件，按无效投标处理。</w:t>
      </w:r>
    </w:p>
    <w:p w14:paraId="7C39CBD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4.6.2 </w:t>
      </w:r>
      <w:r>
        <w:rPr>
          <w:rFonts w:hint="eastAsia" w:asciiTheme="minorEastAsia" w:hAnsiTheme="minorEastAsia" w:eastAsiaTheme="minorEastAsia" w:cstheme="minorEastAsia"/>
          <w:bCs/>
          <w:color w:val="auto"/>
          <w:szCs w:val="21"/>
          <w:highlight w:val="none"/>
        </w:rPr>
        <w:t>投标人应按照招标文件中售后服务要求作出积极响应。</w:t>
      </w:r>
    </w:p>
    <w:p w14:paraId="41BB063B">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4.6.3</w:t>
      </w:r>
      <w:r>
        <w:rPr>
          <w:rFonts w:hint="eastAsia" w:asciiTheme="minorEastAsia" w:hAnsiTheme="minorEastAsia" w:eastAsiaTheme="minorEastAsia" w:cstheme="minorEastAsia"/>
          <w:bCs/>
          <w:color w:val="auto"/>
          <w:szCs w:val="21"/>
          <w:highlight w:val="none"/>
          <w:lang w:val="en-US" w:eastAsia="zh-CN"/>
        </w:rPr>
        <w:t xml:space="preserve"> </w:t>
      </w:r>
      <w:r>
        <w:rPr>
          <w:rFonts w:hint="eastAsia" w:asciiTheme="minorEastAsia" w:hAnsiTheme="minorEastAsia" w:eastAsiaTheme="minorEastAsia" w:cstheme="minorEastAsia"/>
          <w:bCs/>
          <w:color w:val="auto"/>
          <w:szCs w:val="21"/>
          <w:highlight w:val="none"/>
        </w:rPr>
        <w:t>投标人应对以下（不限于）要求作出承诺：</w:t>
      </w:r>
    </w:p>
    <w:p w14:paraId="5C85FC41">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（1）</w:t>
      </w:r>
      <w:r>
        <w:rPr>
          <w:rFonts w:hint="eastAsia" w:asciiTheme="minorEastAsia" w:hAnsiTheme="minorEastAsia" w:eastAsiaTheme="minorEastAsia" w:cstheme="minorEastAsia"/>
          <w:color w:val="auto"/>
          <w:szCs w:val="21"/>
          <w:highlight w:val="none"/>
        </w:rPr>
        <w:t>承诺给予采购人的各种优惠条件（优惠条件事项不能包括采购项目本身所包括涉及的采购事项。投标人不能以“赠送、赠予”等任何名义提供货物和服务以规避招标文件的</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束。否则，投标人提供的投标文件将作为无效投标处理，投标人的投标行为将作为以不正当手段排挤其他投标人认定）</w:t>
      </w:r>
      <w:r>
        <w:rPr>
          <w:rFonts w:hint="eastAsia" w:asciiTheme="minorEastAsia" w:hAnsiTheme="minorEastAsia" w:eastAsiaTheme="minorEastAsia" w:cstheme="minorEastAsia"/>
          <w:bCs/>
          <w:color w:val="auto"/>
          <w:szCs w:val="21"/>
          <w:highlight w:val="none"/>
        </w:rPr>
        <w:t>；</w:t>
      </w:r>
    </w:p>
    <w:p w14:paraId="7D9CE2F7">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（2）产品质量承诺；</w:t>
      </w:r>
    </w:p>
    <w:p w14:paraId="0DE69B66">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（3）利于用户的售后服务承诺；</w:t>
      </w:r>
    </w:p>
    <w:p w14:paraId="0E55ADF5">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（4）严格按招标文件对本项目的要求，组织生产、供货运输、安装调试和服务培训；</w:t>
      </w:r>
    </w:p>
    <w:p w14:paraId="527197B9">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（5）未经采购人许可，不得将本采购项目采取转包实施的办法，一经发现，立即取消其中标资格，并承担由此产生的一切经济损失；</w:t>
      </w:r>
    </w:p>
    <w:p w14:paraId="18B8DA94">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（6）接受采购人或采购人委托相关单位对项目实施方案、生产进度、货物质量、售后服务、货款支付与结算审核等方面监督和管理;</w:t>
      </w:r>
    </w:p>
    <w:p w14:paraId="4D4FE5BF">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（6）其它承诺</w:t>
      </w:r>
      <w:r>
        <w:rPr>
          <w:rFonts w:hint="eastAsia" w:asciiTheme="minorEastAsia" w:hAnsiTheme="minorEastAsia" w:eastAsiaTheme="minorEastAsia" w:cstheme="minorEastAsia"/>
          <w:color w:val="auto"/>
          <w:szCs w:val="21"/>
          <w:highlight w:val="none"/>
          <w:u w:val="single"/>
        </w:rPr>
        <w:t xml:space="preserve">  /  </w:t>
      </w:r>
      <w:r>
        <w:rPr>
          <w:rFonts w:hint="eastAsia" w:asciiTheme="minorEastAsia" w:hAnsiTheme="minorEastAsia" w:eastAsiaTheme="minorEastAsia" w:cstheme="minorEastAsia"/>
          <w:color w:val="auto"/>
          <w:szCs w:val="21"/>
          <w:highlight w:val="none"/>
        </w:rPr>
        <w:t>。</w:t>
      </w:r>
    </w:p>
    <w:p w14:paraId="19732254">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4.7 技术文件</w:t>
      </w:r>
    </w:p>
    <w:p w14:paraId="31BEE030">
      <w:pPr>
        <w:pStyle w:val="7"/>
        <w:pageBreakBefore w:val="0"/>
        <w:kinsoku/>
        <w:wordWrap/>
        <w:overflowPunct/>
        <w:topLinePunct w:val="0"/>
        <w:bidi w:val="0"/>
        <w:spacing w:line="480" w:lineRule="exact"/>
        <w:ind w:firstLine="46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4.7.1 </w:t>
      </w:r>
      <w:r>
        <w:rPr>
          <w:rFonts w:hint="eastAsia" w:asciiTheme="minorEastAsia" w:hAnsiTheme="minorEastAsia" w:eastAsiaTheme="minorEastAsia" w:cstheme="minorEastAsia"/>
          <w:bCs/>
          <w:color w:val="auto"/>
          <w:szCs w:val="21"/>
          <w:highlight w:val="none"/>
        </w:rPr>
        <w:t>投标人应</w:t>
      </w:r>
      <w:r>
        <w:rPr>
          <w:rFonts w:hint="eastAsia" w:asciiTheme="minorEastAsia" w:hAnsiTheme="minorEastAsia" w:eastAsiaTheme="minorEastAsia" w:cstheme="minorEastAsia"/>
          <w:color w:val="auto"/>
          <w:szCs w:val="21"/>
          <w:highlight w:val="none"/>
        </w:rPr>
        <w:t xml:space="preserve">按照招标文件要求做出的技术应答，主要是针对采购项目的技术指标、参数和技术服务要求做出的实质性响应和满足。 </w:t>
      </w:r>
    </w:p>
    <w:p w14:paraId="55A52AA3">
      <w:pPr>
        <w:pStyle w:val="7"/>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bookmarkStart w:id="132" w:name="_Toc183582218"/>
      <w:bookmarkStart w:id="133" w:name="_Toc217446049"/>
      <w:bookmarkStart w:id="134" w:name="_Toc183682355"/>
      <w:r>
        <w:rPr>
          <w:rFonts w:hint="eastAsia" w:asciiTheme="minorEastAsia" w:hAnsiTheme="minorEastAsia" w:eastAsiaTheme="minorEastAsia" w:cstheme="minorEastAsia"/>
          <w:b/>
          <w:color w:val="auto"/>
          <w:szCs w:val="21"/>
          <w:highlight w:val="none"/>
        </w:rPr>
        <w:t>4.7.2 证明所投货物（产品）符合招标文件要求的相关文件，可以是文字资料、图纸、数据、宣传彩页等，所有证明文件，表达意思必须统一。如需投标人提供样品，证明文件的表述与投标人所提供样品必须完全符合，且是投标文件的组成部分，否则，按未实质响应招标文件予以拒绝。</w:t>
      </w:r>
      <w:bookmarkEnd w:id="132"/>
      <w:bookmarkEnd w:id="133"/>
      <w:bookmarkEnd w:id="134"/>
      <w:bookmarkStart w:id="135" w:name="_Toc183582223"/>
      <w:bookmarkStart w:id="136" w:name="_Toc217446050"/>
      <w:bookmarkStart w:id="137" w:name="_Toc183682360"/>
      <w:r>
        <w:rPr>
          <w:rFonts w:hint="eastAsia" w:asciiTheme="minorEastAsia" w:hAnsiTheme="minorEastAsia" w:eastAsiaTheme="minorEastAsia" w:cstheme="minorEastAsia"/>
          <w:b/>
          <w:color w:val="auto"/>
          <w:szCs w:val="21"/>
          <w:highlight w:val="none"/>
        </w:rPr>
        <w:t xml:space="preserve"> </w:t>
      </w:r>
    </w:p>
    <w:bookmarkEnd w:id="135"/>
    <w:bookmarkEnd w:id="136"/>
    <w:bookmarkEnd w:id="137"/>
    <w:p w14:paraId="2D832099">
      <w:pPr>
        <w:pageBreakBefore w:val="0"/>
        <w:tabs>
          <w:tab w:val="left" w:pos="7665"/>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bookmarkStart w:id="138" w:name="_Toc183582225"/>
      <w:bookmarkStart w:id="139" w:name="_Toc183682362"/>
      <w:bookmarkStart w:id="140" w:name="_Toc217446052"/>
      <w:r>
        <w:rPr>
          <w:rFonts w:hint="eastAsia" w:asciiTheme="minorEastAsia" w:hAnsiTheme="minorEastAsia" w:eastAsiaTheme="minorEastAsia" w:cstheme="minorEastAsia"/>
          <w:b/>
          <w:bCs/>
          <w:color w:val="auto"/>
          <w:sz w:val="30"/>
          <w:szCs w:val="30"/>
          <w:highlight w:val="none"/>
        </w:rPr>
        <w:t>4.8 投标文件的制作和签署</w:t>
      </w:r>
      <w:bookmarkEnd w:id="138"/>
      <w:bookmarkEnd w:id="139"/>
      <w:bookmarkEnd w:id="140"/>
    </w:p>
    <w:p w14:paraId="668BCC9C">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4.8.1 投标文件应根据招标文件的要求制作。投标人应填写全称，同时加盖单位章，签署、盖章和内容应完整，如有遗漏，将被视为无效投标。</w:t>
      </w:r>
    </w:p>
    <w:p w14:paraId="5C9FD9C1">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4.8.2 投标文件格式。投标人应严格按照第六章提供的“投标文件格式”编写相关内容。除明确允许投标人可以自行编写外，投标人不得以“投标文件格式”规定之外的方式填写相关内容。否则，投标人提供的投标文件将作为无效投标处理。</w:t>
      </w:r>
    </w:p>
    <w:p w14:paraId="5782823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4.8.3 对于没有格式要求的投标文件由投标人自行编写。</w:t>
      </w:r>
    </w:p>
    <w:p w14:paraId="26CFA39F">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4.8.4 投标人应按“投标须知前附表”规定准备投标文件。</w:t>
      </w:r>
    </w:p>
    <w:p w14:paraId="50EC2D04">
      <w:pPr>
        <w:pageBreakBefore w:val="0"/>
        <w:kinsoku/>
        <w:wordWrap/>
        <w:overflowPunct/>
        <w:topLinePunct w:val="0"/>
        <w:bidi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4.8.5 投标文件需由投标人的法定代表人或其授权代表在规定签章处签字和盖章。</w:t>
      </w:r>
    </w:p>
    <w:p w14:paraId="65CE1D84">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4.8.6 投标文件的书写应清楚工整，尽量避免行间插字、涂改或增删</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表达不清或可能导致非唯一理解的投标文件可能视为无效投标。</w:t>
      </w:r>
      <w:bookmarkStart w:id="141" w:name="_Toc183682363"/>
      <w:bookmarkStart w:id="142" w:name="_Toc183582226"/>
      <w:bookmarkStart w:id="143" w:name="_Toc77400781"/>
      <w:bookmarkStart w:id="144" w:name="_Toc89075877"/>
      <w:bookmarkStart w:id="145" w:name="_Toc217446053"/>
    </w:p>
    <w:p w14:paraId="40A3FB7D">
      <w:pPr>
        <w:pageBreakBefore w:val="0"/>
        <w:tabs>
          <w:tab w:val="left" w:pos="1080"/>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sz w:val="36"/>
          <w:szCs w:val="36"/>
          <w:highlight w:val="none"/>
        </w:rPr>
      </w:pPr>
      <w:bookmarkStart w:id="146" w:name="_Toc17037"/>
      <w:r>
        <w:rPr>
          <w:rFonts w:hint="eastAsia" w:asciiTheme="minorEastAsia" w:hAnsiTheme="minorEastAsia" w:eastAsiaTheme="minorEastAsia" w:cstheme="minorEastAsia"/>
          <w:b/>
          <w:bCs/>
          <w:color w:val="auto"/>
          <w:sz w:val="36"/>
          <w:szCs w:val="36"/>
          <w:highlight w:val="none"/>
        </w:rPr>
        <w:t>5.投标</w:t>
      </w:r>
      <w:bookmarkEnd w:id="146"/>
    </w:p>
    <w:p w14:paraId="74471CA8">
      <w:pPr>
        <w:pageBreakBefore w:val="0"/>
        <w:tabs>
          <w:tab w:val="left" w:pos="1080"/>
        </w:tabs>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5.1 投标内容要求</w:t>
      </w:r>
    </w:p>
    <w:p w14:paraId="039B1D4E">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应仔细阅读招标文件中的所有事项、格式、条款和要求，对招标文件的全部内容及要求作出实质性响应，提交相应资料。若分包，应以包为单位投标，不得在其中选项投标或将其中内容再行分解，否则投标无效。</w:t>
      </w:r>
    </w:p>
    <w:p w14:paraId="7104BCA8">
      <w:pPr>
        <w:pageBreakBefore w:val="0"/>
        <w:tabs>
          <w:tab w:val="left" w:pos="1080"/>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 xml:space="preserve">5.2 </w:t>
      </w:r>
      <w:bookmarkEnd w:id="141"/>
      <w:bookmarkEnd w:id="142"/>
      <w:bookmarkEnd w:id="143"/>
      <w:bookmarkEnd w:id="144"/>
      <w:bookmarkEnd w:id="145"/>
      <w:r>
        <w:rPr>
          <w:rFonts w:hint="eastAsia" w:asciiTheme="minorEastAsia" w:hAnsiTheme="minorEastAsia" w:eastAsiaTheme="minorEastAsia" w:cstheme="minorEastAsia"/>
          <w:b/>
          <w:color w:val="auto"/>
          <w:sz w:val="30"/>
          <w:szCs w:val="30"/>
          <w:highlight w:val="none"/>
        </w:rPr>
        <w:t>投标文件的加密、递交</w:t>
      </w:r>
    </w:p>
    <w:p w14:paraId="13F9B469">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5.2.1</w:t>
      </w:r>
      <w:r>
        <w:rPr>
          <w:rFonts w:hint="eastAsia" w:asciiTheme="minorEastAsia" w:hAnsiTheme="minorEastAsia" w:eastAsiaTheme="minorEastAsia" w:cstheme="minorEastAsia"/>
          <w:color w:val="auto"/>
          <w:kern w:val="0"/>
          <w:szCs w:val="21"/>
          <w:highlight w:val="none"/>
        </w:rPr>
        <w:t xml:space="preserve"> 加密的电子投标文件（.jmbs格式）应在投标文件递交截止时间前通过政采云平台上传完成。</w:t>
      </w:r>
    </w:p>
    <w:p w14:paraId="21356CD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w:t>
      </w:r>
      <w:r>
        <w:rPr>
          <w:rFonts w:hint="eastAsia" w:asciiTheme="minorEastAsia" w:hAnsiTheme="minorEastAsia" w:eastAsiaTheme="minorEastAsia" w:cstheme="minorEastAsia"/>
          <w:color w:val="auto"/>
          <w:kern w:val="0"/>
          <w:szCs w:val="21"/>
          <w:highlight w:val="none"/>
        </w:rPr>
        <w:t>2</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color w:val="auto"/>
          <w:kern w:val="0"/>
          <w:szCs w:val="21"/>
          <w:highlight w:val="none"/>
        </w:rPr>
        <w:t>逾期上传或者未上传指定地点的投标文件，采购人不予受理。</w:t>
      </w:r>
    </w:p>
    <w:p w14:paraId="7C10DB41">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color w:val="auto"/>
          <w:szCs w:val="21"/>
          <w:highlight w:val="none"/>
        </w:rPr>
      </w:pPr>
      <w:bookmarkStart w:id="147" w:name="_Toc183682364"/>
      <w:bookmarkStart w:id="148" w:name="_Toc183582227"/>
      <w:bookmarkStart w:id="149" w:name="_Toc217446054"/>
      <w:r>
        <w:rPr>
          <w:rFonts w:hint="eastAsia" w:asciiTheme="minorEastAsia" w:hAnsiTheme="minorEastAsia" w:eastAsiaTheme="minorEastAsia" w:cstheme="minorEastAsia"/>
          <w:b/>
          <w:bCs/>
          <w:color w:val="auto"/>
          <w:sz w:val="30"/>
          <w:szCs w:val="30"/>
          <w:highlight w:val="none"/>
        </w:rPr>
        <w:t>5.3 投标文件的</w:t>
      </w:r>
      <w:bookmarkEnd w:id="147"/>
      <w:bookmarkEnd w:id="148"/>
      <w:r>
        <w:rPr>
          <w:rFonts w:hint="eastAsia" w:asciiTheme="minorEastAsia" w:hAnsiTheme="minorEastAsia" w:eastAsiaTheme="minorEastAsia" w:cstheme="minorEastAsia"/>
          <w:b/>
          <w:bCs/>
          <w:color w:val="auto"/>
          <w:sz w:val="30"/>
          <w:szCs w:val="30"/>
          <w:highlight w:val="none"/>
        </w:rPr>
        <w:t>递交</w:t>
      </w:r>
      <w:bookmarkEnd w:id="149"/>
    </w:p>
    <w:p w14:paraId="68977D78">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5.3.1 投标人应在投标人须知前附表规定的投标截止时间前</w:t>
      </w:r>
      <w:r>
        <w:rPr>
          <w:rFonts w:hint="eastAsia" w:asciiTheme="minorEastAsia" w:hAnsiTheme="minorEastAsia" w:eastAsiaTheme="minorEastAsia" w:cstheme="minorEastAsia"/>
          <w:color w:val="auto"/>
          <w:szCs w:val="21"/>
          <w:highlight w:val="none"/>
          <w:lang w:val="en-US" w:eastAsia="zh-CN"/>
        </w:rPr>
        <w:t>在</w:t>
      </w:r>
      <w:r>
        <w:rPr>
          <w:rFonts w:hint="eastAsia" w:asciiTheme="minorEastAsia" w:hAnsiTheme="minorEastAsia" w:eastAsiaTheme="minorEastAsia" w:cstheme="minorEastAsia"/>
          <w:color w:val="auto"/>
          <w:szCs w:val="21"/>
          <w:highlight w:val="none"/>
        </w:rPr>
        <w:t>“政采云”平台</w:t>
      </w:r>
      <w:r>
        <w:rPr>
          <w:rFonts w:hint="eastAsia" w:asciiTheme="minorEastAsia" w:hAnsiTheme="minorEastAsia" w:eastAsiaTheme="minorEastAsia" w:cstheme="minorEastAsia"/>
          <w:color w:val="auto"/>
          <w:szCs w:val="21"/>
          <w:highlight w:val="none"/>
          <w:lang w:val="en-US" w:eastAsia="zh-CN"/>
        </w:rPr>
        <w:t>上传</w:t>
      </w:r>
      <w:r>
        <w:rPr>
          <w:rFonts w:hint="eastAsia" w:asciiTheme="minorEastAsia" w:hAnsiTheme="minorEastAsia" w:eastAsiaTheme="minorEastAsia" w:cstheme="minorEastAsia"/>
          <w:color w:val="auto"/>
          <w:szCs w:val="21"/>
          <w:highlight w:val="none"/>
        </w:rPr>
        <w:t>制作好的加密的电子响应</w:t>
      </w:r>
      <w:r>
        <w:rPr>
          <w:rFonts w:hint="eastAsia" w:asciiTheme="minorEastAsia" w:hAnsiTheme="minorEastAsia" w:eastAsiaTheme="minorEastAsia" w:cstheme="minorEastAsia"/>
          <w:color w:val="auto"/>
          <w:szCs w:val="21"/>
          <w:highlight w:val="none"/>
          <w:lang w:val="en-US" w:eastAsia="zh-CN"/>
        </w:rPr>
        <w:t>投标</w:t>
      </w:r>
      <w:r>
        <w:rPr>
          <w:rFonts w:hint="eastAsia" w:asciiTheme="minorEastAsia" w:hAnsiTheme="minorEastAsia" w:eastAsiaTheme="minorEastAsia" w:cstheme="minorEastAsia"/>
          <w:color w:val="auto"/>
          <w:szCs w:val="21"/>
          <w:highlight w:val="none"/>
        </w:rPr>
        <w:t>文件。</w:t>
      </w:r>
    </w:p>
    <w:p w14:paraId="7E010713">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 xml:space="preserve"> 除投标人须知前附表另有规定外，投标人递交的投标文件不予退还。</w:t>
      </w:r>
    </w:p>
    <w:p w14:paraId="05D88A6C">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3</w:t>
      </w:r>
      <w:r>
        <w:rPr>
          <w:rFonts w:hint="eastAsia" w:asciiTheme="minorEastAsia" w:hAnsiTheme="minorEastAsia" w:eastAsiaTheme="minorEastAsia" w:cstheme="minorEastAsia"/>
          <w:color w:val="auto"/>
          <w:szCs w:val="21"/>
          <w:highlight w:val="none"/>
        </w:rPr>
        <w:t xml:space="preserve"> 未在响应文件递交截止时间前完成上传的电子响应文件视为逾期送达，逾期上传或未按规定方式上传的电子响应文件，采购单位不予受理。供应商在使用系统进行投标的过程中遇到涉及平台使用的任何问题，可致电政采云平台技术支持热线咨询，联系方式：95763。</w:t>
      </w:r>
    </w:p>
    <w:p w14:paraId="7F4DDAA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 xml:space="preserve"> 本项目实行网上投标，采用电子响应文件。若供应商参与投标，自行承担投标一切费用。</w:t>
      </w:r>
    </w:p>
    <w:p w14:paraId="5DFA39D8">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lang w:val="en-US" w:eastAsia="zh-CN"/>
        </w:rPr>
        <w:t xml:space="preserve">5.3.5 </w:t>
      </w:r>
      <w:r>
        <w:rPr>
          <w:rFonts w:hint="eastAsia" w:asciiTheme="minorEastAsia" w:hAnsiTheme="minorEastAsia" w:eastAsiaTheme="minorEastAsia" w:cstheme="minorEastAsia"/>
          <w:color w:val="auto"/>
          <w:szCs w:val="21"/>
          <w:highlight w:val="none"/>
        </w:rPr>
        <w:t>各供应商应在开标前应确保成为新疆政府采购网正式注册入库供应商，并完成CA数字证书申领。因未注册入库、未办理CA数字证书等原因造成无法投标或投标失败等后果由供应商自行承担。建议于公开投标响应文件递交截止时间前1个工作日完成公开投标响应文件的制作与上传。</w:t>
      </w:r>
    </w:p>
    <w:p w14:paraId="210E4C25">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bookmarkStart w:id="150" w:name="_Toc183682365"/>
      <w:bookmarkStart w:id="151" w:name="_Toc183582228"/>
      <w:bookmarkStart w:id="152" w:name="_Toc217446055"/>
      <w:r>
        <w:rPr>
          <w:rFonts w:hint="eastAsia" w:asciiTheme="minorEastAsia" w:hAnsiTheme="minorEastAsia" w:eastAsiaTheme="minorEastAsia" w:cstheme="minorEastAsia"/>
          <w:b/>
          <w:bCs/>
          <w:color w:val="auto"/>
          <w:sz w:val="30"/>
          <w:szCs w:val="30"/>
          <w:highlight w:val="none"/>
        </w:rPr>
        <w:t>5.4 投标文件的修改和撤</w:t>
      </w:r>
      <w:bookmarkEnd w:id="150"/>
      <w:bookmarkEnd w:id="151"/>
      <w:r>
        <w:rPr>
          <w:rFonts w:hint="eastAsia" w:asciiTheme="minorEastAsia" w:hAnsiTheme="minorEastAsia" w:eastAsiaTheme="minorEastAsia" w:cstheme="minorEastAsia"/>
          <w:b/>
          <w:bCs/>
          <w:color w:val="auto"/>
          <w:sz w:val="30"/>
          <w:szCs w:val="30"/>
          <w:highlight w:val="none"/>
        </w:rPr>
        <w:t>回</w:t>
      </w:r>
      <w:bookmarkEnd w:id="152"/>
    </w:p>
    <w:p w14:paraId="26C6204F">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5.4.1 在本章第5.3.1项规定的投标截止时间前，投标人可以修改或撤回已递交的投标文件，但应以书面形式或政采云平台通知采购代理机构。</w:t>
      </w:r>
    </w:p>
    <w:p w14:paraId="10B5DC4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5.4.2 投标人的修改或撤回通知书，应由其法定代表人或委托代理人签署并盖单位章。“修改文件”作为投标文件的组成部分。</w:t>
      </w:r>
    </w:p>
    <w:p w14:paraId="04FA2C10">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bookmarkStart w:id="153" w:name="_Toc183682368"/>
      <w:bookmarkStart w:id="154" w:name="_Toc77400782"/>
      <w:bookmarkStart w:id="155" w:name="_Toc89075878"/>
      <w:bookmarkStart w:id="156" w:name="_Toc183582231"/>
      <w:bookmarkStart w:id="157" w:name="_Toc217446056"/>
      <w:r>
        <w:rPr>
          <w:rFonts w:hint="eastAsia" w:asciiTheme="minorEastAsia" w:hAnsiTheme="minorEastAsia" w:eastAsiaTheme="minorEastAsia" w:cstheme="minorEastAsia"/>
          <w:color w:val="auto"/>
          <w:szCs w:val="21"/>
          <w:highlight w:val="none"/>
        </w:rPr>
        <w:t>5.4.3 投标人撤回投标文件的，采购代理机构自收到投标人书面撤回通知之日起5个工作日内退还已收取的投标保证金。</w:t>
      </w:r>
    </w:p>
    <w:p w14:paraId="4486244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5.4.5 在投标截止时间之后，投标人不得对其递交的投标文件做任何修改或撤销投标。</w:t>
      </w:r>
    </w:p>
    <w:p w14:paraId="7DDB7CFA">
      <w:pPr>
        <w:pStyle w:val="7"/>
        <w:pageBreakBefore w:val="0"/>
        <w:kinsoku/>
        <w:wordWrap/>
        <w:overflowPunct/>
        <w:topLinePunct w:val="0"/>
        <w:bidi w:val="0"/>
        <w:spacing w:before="240" w:beforeLines="10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58" w:name="_Toc6496"/>
      <w:r>
        <w:rPr>
          <w:rFonts w:hint="eastAsia" w:asciiTheme="minorEastAsia" w:hAnsiTheme="minorEastAsia" w:eastAsiaTheme="minorEastAsia" w:cstheme="minorEastAsia"/>
          <w:b/>
          <w:color w:val="auto"/>
          <w:sz w:val="36"/>
          <w:szCs w:val="36"/>
          <w:highlight w:val="none"/>
        </w:rPr>
        <w:t>6.开标</w:t>
      </w:r>
      <w:bookmarkEnd w:id="153"/>
      <w:bookmarkEnd w:id="154"/>
      <w:bookmarkEnd w:id="155"/>
      <w:bookmarkEnd w:id="156"/>
      <w:bookmarkEnd w:id="157"/>
      <w:bookmarkEnd w:id="158"/>
    </w:p>
    <w:p w14:paraId="5FB4598B">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6.1开标时间和地点</w:t>
      </w:r>
    </w:p>
    <w:p w14:paraId="14A83F4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6.1.1 采购代理机构在投标人须知前附表中规定的投标截止时间（开标时间）和地点公开开标，并邀请采购人派代表准时参加并签到以证明其出席。</w:t>
      </w:r>
    </w:p>
    <w:p w14:paraId="2EEE639E">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color w:val="auto"/>
          <w:szCs w:val="21"/>
          <w:highlight w:val="none"/>
        </w:rPr>
        <w:t>6.1.2 投标人未参加开标的，视同认可开标结果。</w:t>
      </w:r>
    </w:p>
    <w:p w14:paraId="04B095D0">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6.1.3 开标时，采购代理机构邀请有关监督管理机构对开标进行现场监督。</w:t>
      </w:r>
      <w:bookmarkStart w:id="159" w:name="_Toc217446058"/>
    </w:p>
    <w:p w14:paraId="740940CB">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6.1.4 投标人不足3家的，不得开标。</w:t>
      </w:r>
    </w:p>
    <w:p w14:paraId="49010D6A">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6.2 开标程序</w:t>
      </w:r>
      <w:bookmarkEnd w:id="159"/>
    </w:p>
    <w:p w14:paraId="2F0F4AF0">
      <w:pPr>
        <w:pStyle w:val="18"/>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6.2.1 开标由采购代理机构主持。主持人按照招标文件规定的开标时间宣布开标，并按下列程序进行（但不限于）：</w:t>
      </w:r>
    </w:p>
    <w:p w14:paraId="07E5267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（1）宣布开标开始和开启录音录像设备并致辞；</w:t>
      </w:r>
    </w:p>
    <w:p w14:paraId="2B9BD60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（2）宣布开标纪律和有关注意事项；</w:t>
      </w:r>
    </w:p>
    <w:p w14:paraId="34B2F17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（3）公布在投标截止时间前递交投标文件的投标人名称；</w:t>
      </w:r>
    </w:p>
    <w:p w14:paraId="35A81C6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（4）宣布开标人、唱标人、监标人、记录人等有关工作人员和现场监督人员姓名；</w:t>
      </w:r>
    </w:p>
    <w:p w14:paraId="00B8E41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开标唱标：主持人宣布开标后，由唱标人对其中“开标一览表”的采购项目编号、投标人名称、投标总价、合同履行期限等内容进行宣读并做开标记录；所有投标唱标完毕，无异议后，由投标人法定代表人或委托代理人及监督管理机构代表签字确认唱标内容；</w:t>
      </w:r>
    </w:p>
    <w:p w14:paraId="37B6DD13">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（7）宣布开标结束：主持人宣布开标结束后，所有投标人应保持通讯设备的畅通，以方便在评标过程中评标委员会要求投标人对投标文件的必要澄清。</w:t>
      </w:r>
    </w:p>
    <w:p w14:paraId="3EA00E5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bookmarkStart w:id="160" w:name="_Toc217446059"/>
      <w:r>
        <w:rPr>
          <w:rFonts w:hint="eastAsia" w:asciiTheme="minorEastAsia" w:hAnsiTheme="minorEastAsia" w:eastAsiaTheme="minorEastAsia" w:cstheme="minorEastAsia"/>
          <w:color w:val="auto"/>
          <w:szCs w:val="21"/>
          <w:highlight w:val="none"/>
        </w:rPr>
        <w:t>6.2.2 检查投标文件密封情况是指，由投标人或者其推选的代表检查其自己递交的投标文件的密封情况，经检查无误后，签字确认。</w:t>
      </w:r>
    </w:p>
    <w:p w14:paraId="42C041D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6.2.3 投标人对开标过程和开标记录有疑义，以及认为采购人、采购代理机构相关工作人员有需要回避情形的，应当场提出询问或者回避申请。采购人、采购代理机构对投标人代表提出的询问或者回避申请应当及时处理，并制作记录。</w:t>
      </w:r>
    </w:p>
    <w:p w14:paraId="07A8ECED">
      <w:pPr>
        <w:pageBreakBefore w:val="0"/>
        <w:kinsoku/>
        <w:wordWrap/>
        <w:overflowPunct/>
        <w:topLinePunct w:val="0"/>
        <w:bidi w:val="0"/>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61" w:name="_Toc916"/>
      <w:r>
        <w:rPr>
          <w:rFonts w:hint="eastAsia" w:asciiTheme="minorEastAsia" w:hAnsiTheme="minorEastAsia" w:eastAsiaTheme="minorEastAsia" w:cstheme="minorEastAsia"/>
          <w:b/>
          <w:color w:val="auto"/>
          <w:sz w:val="36"/>
          <w:szCs w:val="36"/>
          <w:highlight w:val="none"/>
        </w:rPr>
        <w:t>7.投标人资格审查</w:t>
      </w:r>
      <w:bookmarkEnd w:id="161"/>
    </w:p>
    <w:p w14:paraId="0368A48A">
      <w:pPr>
        <w:pageBreakBefore w:val="0"/>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7.1 资格审查小组</w:t>
      </w:r>
    </w:p>
    <w:p w14:paraId="4D8DB77B">
      <w:pPr>
        <w:pageBreakBefore w:val="0"/>
        <w:kinsoku/>
        <w:wordWrap/>
        <w:overflowPunct/>
        <w:topLinePunct w:val="0"/>
        <w:bidi w:val="0"/>
        <w:spacing w:line="480" w:lineRule="exact"/>
        <w:ind w:firstLine="310" w:firstLineChars="147"/>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 xml:space="preserve"> </w:t>
      </w:r>
      <w:r>
        <w:rPr>
          <w:rFonts w:hint="eastAsia" w:asciiTheme="minorEastAsia" w:hAnsiTheme="minorEastAsia" w:eastAsiaTheme="minorEastAsia" w:cstheme="minorEastAsia"/>
          <w:color w:val="auto"/>
          <w:szCs w:val="21"/>
          <w:highlight w:val="none"/>
        </w:rPr>
        <w:t>7.1.1 采购人依法对投标人的资格进行审查。</w:t>
      </w:r>
    </w:p>
    <w:p w14:paraId="398F3DE6">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7.1.2 资格审查小组，由采购人完成。</w:t>
      </w:r>
    </w:p>
    <w:p w14:paraId="5F41428A">
      <w:pPr>
        <w:pageBreakBefore w:val="0"/>
        <w:tabs>
          <w:tab w:val="left" w:pos="0"/>
        </w:tabs>
        <w:kinsoku/>
        <w:wordWrap/>
        <w:overflowPunct/>
        <w:topLinePunct w:val="0"/>
        <w:bidi w:val="0"/>
        <w:adjustRightInd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7.2 资格审查办法</w:t>
      </w:r>
    </w:p>
    <w:p w14:paraId="39BE4BF6">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7.2.1 资格审查在开标结束之后评标开始之前进行。</w:t>
      </w:r>
    </w:p>
    <w:p w14:paraId="16C87564">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7.2.2 资格审查小组将依据投标人投标文件之资格审查部分文件，按照本章第3.1.1项所述资格要求对投标人进行资格审查，以确定其是否具备相应资格。</w:t>
      </w:r>
      <w:r>
        <w:rPr>
          <w:rFonts w:hint="eastAsia" w:asciiTheme="minorEastAsia" w:hAnsiTheme="minorEastAsia" w:eastAsiaTheme="minorEastAsia" w:cstheme="minorEastAsia"/>
          <w:color w:val="auto"/>
          <w:kern w:val="0"/>
          <w:szCs w:val="21"/>
          <w:highlight w:val="none"/>
        </w:rPr>
        <w:t>如果投标人不具备资格、不满足招标文件所规定的资格条件,将被视为未实质性响应招标文件,按无效投标处理。</w:t>
      </w:r>
    </w:p>
    <w:p w14:paraId="72CA260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7.2.3 信用信息查询时间</w:t>
      </w:r>
      <w:r>
        <w:rPr>
          <w:rFonts w:hint="eastAsia" w:asciiTheme="minorEastAsia" w:hAnsiTheme="minorEastAsia" w:eastAsiaTheme="minorEastAsia" w:cstheme="minorEastAsia"/>
          <w:color w:val="auto"/>
          <w:kern w:val="0"/>
          <w:szCs w:val="21"/>
          <w:highlight w:val="none"/>
          <w:lang w:eastAsia="zh-CN"/>
        </w:rPr>
        <w:t>截止</w:t>
      </w:r>
      <w:r>
        <w:rPr>
          <w:rFonts w:hint="eastAsia" w:asciiTheme="minorEastAsia" w:hAnsiTheme="minorEastAsia" w:eastAsiaTheme="minorEastAsia" w:cstheme="minorEastAsia"/>
          <w:color w:val="auto"/>
          <w:kern w:val="0"/>
          <w:szCs w:val="21"/>
          <w:highlight w:val="none"/>
        </w:rPr>
        <w:t>时点，见投标人须知前附表，其查询结果在投标人限制性资格条件审查时使用。</w:t>
      </w:r>
    </w:p>
    <w:p w14:paraId="20FC906B">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7.2.4 资格审查小组按下列程序进行资格审查：</w:t>
      </w:r>
    </w:p>
    <w:p w14:paraId="270E871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（1）投标人基本资格条件审查；</w:t>
      </w:r>
    </w:p>
    <w:p w14:paraId="070125C3">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（2）投标人限制性资格条件审查；</w:t>
      </w:r>
    </w:p>
    <w:p w14:paraId="64B1897E">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（3）编写投标人资格审查报告。</w:t>
      </w:r>
    </w:p>
    <w:p w14:paraId="5638C457">
      <w:pPr>
        <w:pageBreakBefore w:val="0"/>
        <w:tabs>
          <w:tab w:val="left" w:pos="0"/>
        </w:tabs>
        <w:kinsoku/>
        <w:wordWrap/>
        <w:overflowPunct/>
        <w:topLinePunct w:val="0"/>
        <w:bidi w:val="0"/>
        <w:adjustRightInd w:val="0"/>
        <w:snapToGrid w:val="0"/>
        <w:spacing w:line="480" w:lineRule="exact"/>
        <w:ind w:firstLine="426" w:firstLineChars="202"/>
        <w:textAlignment w:val="auto"/>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7.2.5 投标人基本资格条件的审查</w:t>
      </w:r>
    </w:p>
    <w:p w14:paraId="073D7C3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7.2.5.1 审查方法：</w:t>
      </w:r>
    </w:p>
    <w:p w14:paraId="08A7A47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单独审查</w:t>
      </w:r>
    </w:p>
    <w:p w14:paraId="4803AF2A">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7.2.5.2 审查标准：</w:t>
      </w:r>
    </w:p>
    <w:p w14:paraId="037C870A">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资格审查小组将按下表所列举的审查标准对投标人基本资格条件进行</w:t>
      </w:r>
      <w:r>
        <w:rPr>
          <w:rFonts w:hint="eastAsia" w:asciiTheme="minorEastAsia" w:hAnsiTheme="minorEastAsia" w:eastAsiaTheme="minorEastAsia" w:cstheme="minorEastAsia"/>
          <w:bCs/>
          <w:color w:val="auto"/>
          <w:szCs w:val="21"/>
          <w:highlight w:val="none"/>
        </w:rPr>
        <w:t>审查，投标人若</w:t>
      </w:r>
      <w:r>
        <w:rPr>
          <w:rFonts w:hint="eastAsia" w:asciiTheme="minorEastAsia" w:hAnsiTheme="minorEastAsia" w:eastAsiaTheme="minorEastAsia" w:cstheme="minorEastAsia"/>
          <w:color w:val="auto"/>
          <w:kern w:val="0"/>
          <w:szCs w:val="21"/>
          <w:highlight w:val="none"/>
        </w:rPr>
        <w:t>有一项不合格，即判定其基本资格条件审查结果为不合格，将不具备投标资格，按无效投标处理。</w:t>
      </w:r>
    </w:p>
    <w:tbl>
      <w:tblPr>
        <w:tblStyle w:val="2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5345"/>
        <w:gridCol w:w="1876"/>
        <w:gridCol w:w="786"/>
      </w:tblGrid>
      <w:tr w14:paraId="015BE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82" w:type="dxa"/>
            <w:noWrap w:val="0"/>
            <w:vAlign w:val="center"/>
          </w:tcPr>
          <w:p w14:paraId="0AB18E3D">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序号</w:t>
            </w:r>
          </w:p>
        </w:tc>
        <w:tc>
          <w:tcPr>
            <w:tcW w:w="5345" w:type="dxa"/>
            <w:noWrap w:val="0"/>
            <w:vAlign w:val="center"/>
          </w:tcPr>
          <w:p w14:paraId="67DF5F5F">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审查因素</w:t>
            </w:r>
          </w:p>
        </w:tc>
        <w:tc>
          <w:tcPr>
            <w:tcW w:w="1876" w:type="dxa"/>
            <w:noWrap w:val="0"/>
            <w:vAlign w:val="center"/>
          </w:tcPr>
          <w:p w14:paraId="49401941">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审查标准</w:t>
            </w:r>
          </w:p>
        </w:tc>
        <w:tc>
          <w:tcPr>
            <w:tcW w:w="786" w:type="dxa"/>
            <w:noWrap w:val="0"/>
            <w:vAlign w:val="center"/>
          </w:tcPr>
          <w:p w14:paraId="7195A923">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备注</w:t>
            </w:r>
          </w:p>
        </w:tc>
      </w:tr>
      <w:tr w14:paraId="03523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782" w:type="dxa"/>
            <w:noWrap w:val="0"/>
            <w:vAlign w:val="center"/>
          </w:tcPr>
          <w:p w14:paraId="6DA61BED">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1</w:t>
            </w:r>
          </w:p>
        </w:tc>
        <w:tc>
          <w:tcPr>
            <w:tcW w:w="5345" w:type="dxa"/>
            <w:noWrap w:val="0"/>
            <w:vAlign w:val="center"/>
          </w:tcPr>
          <w:p w14:paraId="3F3610C6">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投标人为企业法人应提供合法有效的标识有统一社会信用代码的营业执照；事业法人应提供事业单位法人证书；其他组织应提供合法登记证明文件；</w:t>
            </w:r>
          </w:p>
        </w:tc>
        <w:tc>
          <w:tcPr>
            <w:tcW w:w="1876" w:type="dxa"/>
            <w:noWrap w:val="0"/>
            <w:vAlign w:val="center"/>
          </w:tcPr>
          <w:p w14:paraId="11A96273">
            <w:pPr>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F6B616D">
            <w:pPr>
              <w:tabs>
                <w:tab w:val="left" w:pos="0"/>
              </w:tabs>
              <w:adjustRightInd w:val="0"/>
              <w:snapToGrid w:val="0"/>
              <w:jc w:val="center"/>
              <w:rPr>
                <w:rFonts w:hint="eastAsia" w:ascii="宋体" w:hAnsi="宋体" w:eastAsia="宋体" w:cs="宋体"/>
                <w:b/>
                <w:color w:val="auto"/>
                <w:kern w:val="0"/>
                <w:sz w:val="21"/>
                <w:szCs w:val="21"/>
                <w:highlight w:val="none"/>
              </w:rPr>
            </w:pPr>
          </w:p>
        </w:tc>
      </w:tr>
      <w:tr w14:paraId="0B6D0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782" w:type="dxa"/>
            <w:noWrap w:val="0"/>
            <w:vAlign w:val="center"/>
          </w:tcPr>
          <w:p w14:paraId="11B4EB35">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2</w:t>
            </w:r>
          </w:p>
        </w:tc>
        <w:tc>
          <w:tcPr>
            <w:tcW w:w="5345" w:type="dxa"/>
            <w:noWrap w:val="0"/>
            <w:vAlign w:val="center"/>
          </w:tcPr>
          <w:p w14:paraId="0D0A7EE0">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法定代表人身份证或法定代表人授权委托书和委托代理人的身份证。法定代表人授权委托书应当与响应文件中所提供的相一致；</w:t>
            </w:r>
          </w:p>
        </w:tc>
        <w:tc>
          <w:tcPr>
            <w:tcW w:w="1876" w:type="dxa"/>
            <w:noWrap w:val="0"/>
            <w:vAlign w:val="center"/>
          </w:tcPr>
          <w:p w14:paraId="75B9E429">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1DC2F69">
            <w:pPr>
              <w:tabs>
                <w:tab w:val="left" w:pos="0"/>
              </w:tabs>
              <w:adjustRightInd w:val="0"/>
              <w:snapToGrid w:val="0"/>
              <w:rPr>
                <w:rFonts w:hint="eastAsia" w:ascii="宋体" w:hAnsi="宋体" w:eastAsia="宋体" w:cs="宋体"/>
                <w:color w:val="auto"/>
                <w:kern w:val="0"/>
                <w:sz w:val="21"/>
                <w:szCs w:val="21"/>
                <w:highlight w:val="none"/>
              </w:rPr>
            </w:pPr>
          </w:p>
        </w:tc>
      </w:tr>
      <w:tr w14:paraId="45B56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782" w:type="dxa"/>
            <w:noWrap w:val="0"/>
            <w:vAlign w:val="center"/>
          </w:tcPr>
          <w:p w14:paraId="36539666">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3</w:t>
            </w:r>
          </w:p>
        </w:tc>
        <w:tc>
          <w:tcPr>
            <w:tcW w:w="5345" w:type="dxa"/>
            <w:noWrap w:val="0"/>
            <w:vAlign w:val="center"/>
          </w:tcPr>
          <w:p w14:paraId="3E75243F">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tc>
        <w:tc>
          <w:tcPr>
            <w:tcW w:w="1876" w:type="dxa"/>
            <w:noWrap w:val="0"/>
            <w:vAlign w:val="center"/>
          </w:tcPr>
          <w:p w14:paraId="23243179">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B40B58D">
            <w:pPr>
              <w:tabs>
                <w:tab w:val="left" w:pos="0"/>
              </w:tabs>
              <w:adjustRightInd w:val="0"/>
              <w:snapToGrid w:val="0"/>
              <w:rPr>
                <w:rFonts w:hint="eastAsia" w:ascii="宋体" w:hAnsi="宋体" w:eastAsia="宋体" w:cs="宋体"/>
                <w:color w:val="auto"/>
                <w:kern w:val="0"/>
                <w:sz w:val="21"/>
                <w:szCs w:val="21"/>
                <w:highlight w:val="none"/>
              </w:rPr>
            </w:pPr>
          </w:p>
        </w:tc>
      </w:tr>
      <w:tr w14:paraId="16DB9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782" w:type="dxa"/>
            <w:noWrap w:val="0"/>
            <w:vAlign w:val="center"/>
          </w:tcPr>
          <w:p w14:paraId="7D7A16D2">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4</w:t>
            </w:r>
          </w:p>
        </w:tc>
        <w:tc>
          <w:tcPr>
            <w:tcW w:w="5345" w:type="dxa"/>
            <w:noWrap w:val="0"/>
            <w:vAlign w:val="center"/>
          </w:tcPr>
          <w:p w14:paraId="02CCCB79">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tc>
        <w:tc>
          <w:tcPr>
            <w:tcW w:w="1876" w:type="dxa"/>
            <w:noWrap w:val="0"/>
            <w:vAlign w:val="center"/>
          </w:tcPr>
          <w:p w14:paraId="3161811F">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76800BF">
            <w:pPr>
              <w:tabs>
                <w:tab w:val="left" w:pos="0"/>
              </w:tabs>
              <w:adjustRightInd w:val="0"/>
              <w:snapToGrid w:val="0"/>
              <w:rPr>
                <w:rFonts w:hint="eastAsia" w:ascii="宋体" w:hAnsi="宋体" w:eastAsia="宋体" w:cs="宋体"/>
                <w:color w:val="auto"/>
                <w:kern w:val="0"/>
                <w:sz w:val="21"/>
                <w:szCs w:val="21"/>
                <w:highlight w:val="none"/>
              </w:rPr>
            </w:pPr>
          </w:p>
        </w:tc>
      </w:tr>
      <w:tr w14:paraId="373AB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782" w:type="dxa"/>
            <w:noWrap w:val="0"/>
            <w:vAlign w:val="center"/>
          </w:tcPr>
          <w:p w14:paraId="245A93C7">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5</w:t>
            </w:r>
          </w:p>
        </w:tc>
        <w:tc>
          <w:tcPr>
            <w:tcW w:w="5345" w:type="dxa"/>
            <w:noWrap w:val="0"/>
            <w:vAlign w:val="center"/>
          </w:tcPr>
          <w:p w14:paraId="7BBB4732">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tc>
        <w:tc>
          <w:tcPr>
            <w:tcW w:w="1876" w:type="dxa"/>
            <w:noWrap w:val="0"/>
            <w:vAlign w:val="center"/>
          </w:tcPr>
          <w:p w14:paraId="5A87C3F8">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2FB0C9CC">
            <w:pPr>
              <w:tabs>
                <w:tab w:val="left" w:pos="0"/>
              </w:tabs>
              <w:adjustRightInd w:val="0"/>
              <w:snapToGrid w:val="0"/>
              <w:rPr>
                <w:rFonts w:hint="eastAsia" w:ascii="宋体" w:hAnsi="宋体" w:eastAsia="宋体" w:cs="宋体"/>
                <w:color w:val="auto"/>
                <w:kern w:val="0"/>
                <w:sz w:val="21"/>
                <w:szCs w:val="21"/>
                <w:highlight w:val="none"/>
              </w:rPr>
            </w:pPr>
          </w:p>
        </w:tc>
      </w:tr>
      <w:tr w14:paraId="7442E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82" w:type="dxa"/>
            <w:noWrap w:val="0"/>
            <w:vAlign w:val="center"/>
          </w:tcPr>
          <w:p w14:paraId="0E0FD412">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6</w:t>
            </w:r>
          </w:p>
        </w:tc>
        <w:tc>
          <w:tcPr>
            <w:tcW w:w="5345" w:type="dxa"/>
            <w:noWrap w:val="0"/>
            <w:vAlign w:val="center"/>
          </w:tcPr>
          <w:p w14:paraId="0C379556">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tc>
        <w:tc>
          <w:tcPr>
            <w:tcW w:w="1876" w:type="dxa"/>
            <w:noWrap w:val="0"/>
            <w:vAlign w:val="center"/>
          </w:tcPr>
          <w:p w14:paraId="0F34687A">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011E874">
            <w:pPr>
              <w:tabs>
                <w:tab w:val="left" w:pos="0"/>
              </w:tabs>
              <w:adjustRightInd w:val="0"/>
              <w:snapToGrid w:val="0"/>
              <w:rPr>
                <w:rFonts w:hint="eastAsia" w:ascii="宋体" w:hAnsi="宋体" w:eastAsia="宋体" w:cs="宋体"/>
                <w:color w:val="auto"/>
                <w:kern w:val="0"/>
                <w:sz w:val="21"/>
                <w:szCs w:val="21"/>
                <w:highlight w:val="none"/>
              </w:rPr>
            </w:pPr>
          </w:p>
        </w:tc>
      </w:tr>
      <w:tr w14:paraId="1E632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782" w:type="dxa"/>
            <w:noWrap w:val="0"/>
            <w:vAlign w:val="center"/>
          </w:tcPr>
          <w:p w14:paraId="1424EACD">
            <w:pPr>
              <w:tabs>
                <w:tab w:val="left" w:pos="0"/>
              </w:tabs>
              <w:adjustRightInd w:val="0"/>
              <w:snapToGrid w:val="0"/>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7</w:t>
            </w:r>
          </w:p>
        </w:tc>
        <w:tc>
          <w:tcPr>
            <w:tcW w:w="5345" w:type="dxa"/>
            <w:noWrap w:val="0"/>
            <w:vAlign w:val="center"/>
          </w:tcPr>
          <w:p w14:paraId="40226B32">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tc>
        <w:tc>
          <w:tcPr>
            <w:tcW w:w="1876" w:type="dxa"/>
            <w:noWrap w:val="0"/>
            <w:vAlign w:val="center"/>
          </w:tcPr>
          <w:p w14:paraId="4A3EBF85">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317ED86E">
            <w:pPr>
              <w:tabs>
                <w:tab w:val="left" w:pos="0"/>
              </w:tabs>
              <w:adjustRightInd w:val="0"/>
              <w:snapToGrid w:val="0"/>
              <w:rPr>
                <w:rFonts w:hint="eastAsia" w:ascii="宋体" w:hAnsi="宋体" w:eastAsia="宋体" w:cs="宋体"/>
                <w:color w:val="auto"/>
                <w:kern w:val="0"/>
                <w:sz w:val="21"/>
                <w:szCs w:val="21"/>
                <w:highlight w:val="none"/>
              </w:rPr>
            </w:pPr>
          </w:p>
        </w:tc>
      </w:tr>
      <w:tr w14:paraId="23EA3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82" w:type="dxa"/>
            <w:noWrap w:val="0"/>
            <w:vAlign w:val="center"/>
          </w:tcPr>
          <w:p w14:paraId="35C3ABEE">
            <w:pPr>
              <w:tabs>
                <w:tab w:val="left" w:pos="0"/>
              </w:tabs>
              <w:adjustRightInd w:val="0"/>
              <w:snapToGrid w:val="0"/>
              <w:jc w:val="center"/>
              <w:rPr>
                <w:rFonts w:hint="default" w:ascii="宋体" w:hAnsi="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8</w:t>
            </w:r>
          </w:p>
        </w:tc>
        <w:tc>
          <w:tcPr>
            <w:tcW w:w="5345" w:type="dxa"/>
            <w:noWrap w:val="0"/>
            <w:vAlign w:val="center"/>
          </w:tcPr>
          <w:p w14:paraId="0EA9F446">
            <w:pPr>
              <w:tabs>
                <w:tab w:val="left" w:pos="0"/>
              </w:tabs>
              <w:adjustRightInd w:val="0"/>
              <w:snapToGrid w:val="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投标人提供投标保证金足额缴纳凭证。</w:t>
            </w:r>
          </w:p>
        </w:tc>
        <w:tc>
          <w:tcPr>
            <w:tcW w:w="1876" w:type="dxa"/>
            <w:noWrap w:val="0"/>
            <w:vAlign w:val="center"/>
          </w:tcPr>
          <w:p w14:paraId="3EF92C11">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ECBC0C5">
            <w:pPr>
              <w:tabs>
                <w:tab w:val="left" w:pos="0"/>
              </w:tabs>
              <w:adjustRightInd w:val="0"/>
              <w:snapToGrid w:val="0"/>
              <w:rPr>
                <w:rFonts w:hint="eastAsia" w:ascii="宋体" w:hAnsi="宋体" w:eastAsia="宋体" w:cs="宋体"/>
                <w:color w:val="auto"/>
                <w:kern w:val="0"/>
                <w:sz w:val="21"/>
                <w:szCs w:val="21"/>
                <w:highlight w:val="none"/>
              </w:rPr>
            </w:pPr>
          </w:p>
        </w:tc>
      </w:tr>
    </w:tbl>
    <w:p w14:paraId="481EB1AB">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7.2.6 投标人限制性资格条件审查</w:t>
      </w:r>
    </w:p>
    <w:p w14:paraId="0FD13E93">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7.2.6.1 审查方法：</w:t>
      </w:r>
    </w:p>
    <w:p w14:paraId="162EDDD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（1）资格审查小组将通过信用中国网（http://www.creditchina.gov.cn/）和中国政府采购网（网址：http://www.ccgp.gov.cn/cr/list）对投标人的信用信息进行查询核实。</w:t>
      </w:r>
    </w:p>
    <w:p w14:paraId="390A275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（2）资格审查小组将通过投标人投标文件之资格审查部分文件和国家企业信用信息公示系统（http://www.gsxt.gov.cn/index.html）对投标人之间存在隶属关系或者其他利害关系进行相关信息的核实。</w:t>
      </w:r>
    </w:p>
    <w:p w14:paraId="5C0B3B9A">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7.2.6.2 审查标准：</w:t>
      </w:r>
    </w:p>
    <w:p w14:paraId="10BBE5C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投标人存在下列情形之一的，审查不予通过，即判定其限制性资格条件审查结果为不合格，将不具备投标资格，按无效投标处理：</w:t>
      </w:r>
    </w:p>
    <w:p w14:paraId="52A6CEA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（1）与采购人、采购代理机构存在隶属关系或者其他利害关系，且可能影响招标公正性；</w:t>
      </w:r>
    </w:p>
    <w:p w14:paraId="693A433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（2）与本采购项目其他投标人的法定代表人（或者负责人）为同一人；</w:t>
      </w:r>
    </w:p>
    <w:p w14:paraId="1ADF6D3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（3）与本采购项目其他投标人存在控股、管理关系；</w:t>
      </w:r>
    </w:p>
    <w:p w14:paraId="4B27397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（4）为本项目采购代理机构；</w:t>
      </w:r>
    </w:p>
    <w:p w14:paraId="33A593B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（5）为本项目代理投标的为其采购代理机构；</w:t>
      </w:r>
    </w:p>
    <w:p w14:paraId="4EED939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（6）为本项目提供整体设计、规范编制或者项目管理、监理、检测、咨询服务；</w:t>
      </w:r>
    </w:p>
    <w:p w14:paraId="094D320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（7）近3年受到刑事处罚；</w:t>
      </w:r>
    </w:p>
    <w:p w14:paraId="286D4CC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（8）近3年内受到财政部门3万元以上罚款或其他行政部门较大数额罚款行政处罚（举行听证会的）；</w:t>
      </w:r>
    </w:p>
    <w:p w14:paraId="3F9FF50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（9）近3年被责令停产停业、暂扣或者吊销许可证、暂扣或者吊销执照的行政处罚；</w:t>
      </w:r>
    </w:p>
    <w:p w14:paraId="43043F2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（10）被列入严重失信被执行人名单；</w:t>
      </w:r>
    </w:p>
    <w:p w14:paraId="0BD28F2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（11）被列入</w:t>
      </w:r>
      <w:r>
        <w:rPr>
          <w:rFonts w:hint="eastAsia" w:asciiTheme="minorEastAsia" w:hAnsiTheme="minorEastAsia" w:eastAsiaTheme="minorEastAsia" w:cstheme="minorEastAsia"/>
          <w:color w:val="auto"/>
          <w:kern w:val="0"/>
          <w:szCs w:val="21"/>
          <w:highlight w:val="none"/>
          <w:lang w:eastAsia="zh-CN"/>
        </w:rPr>
        <w:t>重大税收违法失信主体</w:t>
      </w:r>
      <w:r>
        <w:rPr>
          <w:rFonts w:hint="eastAsia" w:asciiTheme="minorEastAsia" w:hAnsiTheme="minorEastAsia" w:eastAsiaTheme="minorEastAsia" w:cstheme="minorEastAsia"/>
          <w:color w:val="auto"/>
          <w:kern w:val="0"/>
          <w:szCs w:val="21"/>
          <w:highlight w:val="none"/>
        </w:rPr>
        <w:t>；</w:t>
      </w:r>
    </w:p>
    <w:p w14:paraId="1C14738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（12）被禁止在一至三年内参加政府采购活动或存在财政部门认定的其他重大违法记录；</w:t>
      </w:r>
    </w:p>
    <w:p w14:paraId="696F100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（13）法律法规规定的其他情形。</w:t>
      </w:r>
    </w:p>
    <w:p w14:paraId="0D0F339B">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7.2.7 资格审查报告</w:t>
      </w:r>
    </w:p>
    <w:p w14:paraId="607C13A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7.2.7.1 资格审查报告由资格审查小组负责编制，以采购代理机构名义向采购人提交，其附表《投标人资格审查表》应当经资格审查小组全体成员签字确认。资格审查报告在采购人盖章确认后随采购文件一并存档。</w:t>
      </w:r>
    </w:p>
    <w:p w14:paraId="2F9BCF08">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7.2.8 合格投标人不足3家的，不得评标。</w:t>
      </w:r>
    </w:p>
    <w:p w14:paraId="555A7C0A">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7.2.9 不合格的投标人，不得进入评标环节。</w:t>
      </w:r>
    </w:p>
    <w:p w14:paraId="33F8E456">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62" w:name="_Toc5151"/>
      <w:r>
        <w:rPr>
          <w:rFonts w:hint="eastAsia" w:asciiTheme="minorEastAsia" w:hAnsiTheme="minorEastAsia" w:eastAsiaTheme="minorEastAsia" w:cstheme="minorEastAsia"/>
          <w:b/>
          <w:color w:val="auto"/>
          <w:sz w:val="36"/>
          <w:szCs w:val="36"/>
          <w:highlight w:val="none"/>
        </w:rPr>
        <w:t>8.评标</w:t>
      </w:r>
      <w:bookmarkEnd w:id="160"/>
      <w:bookmarkEnd w:id="162"/>
    </w:p>
    <w:p w14:paraId="4A4B86F4">
      <w:pPr>
        <w:keepNext w:val="0"/>
        <w:keepLines w:val="0"/>
        <w:pageBreakBefore w:val="0"/>
        <w:kinsoku/>
        <w:wordWrap/>
        <w:overflowPunct/>
        <w:topLinePunct w:val="0"/>
        <w:bidi w:val="0"/>
        <w:spacing w:after="120" w:afterLines="50" w:line="480" w:lineRule="exact"/>
        <w:ind w:left="120" w:leftChars="50" w:hanging="15" w:hangingChars="5"/>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8.1 评标委员会</w:t>
      </w:r>
    </w:p>
    <w:p w14:paraId="745D7C7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8.1.1 评标由采购代理机构依法组建的评标委员会负责。评标委员会由采购人代表和评审专家组成，成员由5人以上单数组成。其中评审专家不得少于成员总数的三分之二。采购预算金额在1000万元以上、技术复杂的项目或者社会影响较大的项目，评标委员会成员应当为7人以上。评审专家人选在省级</w:t>
      </w:r>
      <w:r>
        <w:rPr>
          <w:rFonts w:hint="eastAsia" w:asciiTheme="minorEastAsia" w:hAnsiTheme="minorEastAsia" w:eastAsiaTheme="minorEastAsia" w:cstheme="minorEastAsia"/>
          <w:color w:val="auto"/>
          <w:kern w:val="0"/>
          <w:szCs w:val="21"/>
          <w:highlight w:val="none"/>
          <w:lang w:val="en-US" w:eastAsia="zh-CN"/>
        </w:rPr>
        <w:t>主管</w:t>
      </w:r>
      <w:r>
        <w:rPr>
          <w:rFonts w:hint="eastAsia" w:asciiTheme="minorEastAsia" w:hAnsiTheme="minorEastAsia" w:eastAsiaTheme="minorEastAsia" w:cstheme="minorEastAsia"/>
          <w:color w:val="auto"/>
          <w:kern w:val="0"/>
          <w:szCs w:val="21"/>
          <w:highlight w:val="none"/>
        </w:rPr>
        <w:t>部门设立的采购评审专家库中随机抽取。</w:t>
      </w:r>
    </w:p>
    <w:p w14:paraId="5895CCA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对技术复杂、专业性强的采购项目，通过随机方式难以确定合适评审专家的，经主管预算单位同意，采购人或采购代理机构可以自行选定相应专业领域的评审专家。</w:t>
      </w:r>
    </w:p>
    <w:p w14:paraId="35612F6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8.1.2 评标委员会成员到位后，推荐一名评审专家担任评标组长，并由评标组长牵头组织该项目评标工作，采购人代表，不得担任评标组长。</w:t>
      </w:r>
    </w:p>
    <w:p w14:paraId="614CB94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8.1.3 评委会成员有下列情形之一的，应当回避：</w:t>
      </w:r>
    </w:p>
    <w:p w14:paraId="6D56A5D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（1）采购人或投标人主要负责人的近亲属；</w:t>
      </w:r>
    </w:p>
    <w:p w14:paraId="39F9B79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（2）项目主管部门或者行政监督部门的人员；</w:t>
      </w:r>
    </w:p>
    <w:p w14:paraId="5552B33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（3）与投标人有经济利益关系，可能影响对投标公正评审的；</w:t>
      </w:r>
    </w:p>
    <w:p w14:paraId="56D0E9B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w:t>
      </w:r>
      <w:r>
        <w:rPr>
          <w:rFonts w:hint="eastAsia" w:asciiTheme="minorEastAsia" w:hAnsiTheme="minorEastAsia" w:eastAsiaTheme="minorEastAsia" w:cstheme="minorEastAsia"/>
          <w:color w:val="auto"/>
          <w:kern w:val="0"/>
          <w:szCs w:val="21"/>
          <w:highlight w:val="none"/>
          <w:lang w:val="en-US" w:eastAsia="zh-CN"/>
        </w:rPr>
        <w:t>4</w:t>
      </w:r>
      <w:r>
        <w:rPr>
          <w:rFonts w:hint="eastAsia" w:asciiTheme="minorEastAsia" w:hAnsiTheme="minorEastAsia" w:eastAsiaTheme="minorEastAsia" w:cstheme="minorEastAsia"/>
          <w:color w:val="auto"/>
          <w:kern w:val="0"/>
          <w:szCs w:val="21"/>
          <w:highlight w:val="none"/>
        </w:rPr>
        <w:t>）曾因在招标、评标以及其他与招标投标有关活动中从事违法行为而受过行政处罚或刑事处罚的。</w:t>
      </w:r>
    </w:p>
    <w:p w14:paraId="1A6E78C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lang w:val="zh-CN"/>
        </w:rPr>
      </w:pPr>
      <w:r>
        <w:rPr>
          <w:rFonts w:hint="eastAsia" w:asciiTheme="minorEastAsia" w:hAnsiTheme="minorEastAsia" w:eastAsiaTheme="minorEastAsia" w:cstheme="minorEastAsia"/>
          <w:color w:val="auto"/>
          <w:kern w:val="0"/>
          <w:szCs w:val="21"/>
          <w:highlight w:val="none"/>
        </w:rPr>
        <w:t>8.1.4 评标过程中，因评标委员会成员缺席、回避或者健康等特殊原因导致评标委员会组成不符合规定的，采购人或者采购代理机构应当依法补足后继续评标。被更换的评标委员会成员所作出的评标意见无效。无法及时补足评标委员会成员的，采购代理机构应当停止评标活动，封存所有投标文件和开标、评标资料，依法重新组建评标委员会进行评标。原评标委员会所作出的评标意见无效。</w:t>
      </w:r>
      <w:r>
        <w:rPr>
          <w:rFonts w:hint="eastAsia" w:asciiTheme="minorEastAsia" w:hAnsiTheme="minorEastAsia" w:eastAsiaTheme="minorEastAsia" w:cstheme="minorEastAsia"/>
          <w:color w:val="auto"/>
          <w:kern w:val="0"/>
          <w:szCs w:val="21"/>
          <w:highlight w:val="none"/>
          <w:lang w:val="zh-CN"/>
        </w:rPr>
        <w:t>采购代理机构</w:t>
      </w:r>
      <w:r>
        <w:rPr>
          <w:rFonts w:hint="eastAsia" w:asciiTheme="minorEastAsia" w:hAnsiTheme="minorEastAsia" w:eastAsiaTheme="minorEastAsia" w:cstheme="minorEastAsia"/>
          <w:color w:val="auto"/>
          <w:kern w:val="0"/>
          <w:szCs w:val="21"/>
          <w:highlight w:val="none"/>
        </w:rPr>
        <w:t>应当将变更、重新组建评标委员会的情况予以记录，并随采购文件一并存档。</w:t>
      </w:r>
    </w:p>
    <w:p w14:paraId="2A27A76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8.1.5 评委会成员名单在中标结果公告前，应当保密。</w:t>
      </w:r>
    </w:p>
    <w:p w14:paraId="61480F80">
      <w:pPr>
        <w:keepNext w:val="0"/>
        <w:keepLines w:val="0"/>
        <w:pageBreakBefore w:val="0"/>
        <w:widowControl/>
        <w:kinsoku/>
        <w:wordWrap/>
        <w:overflowPunct/>
        <w:topLinePunct w:val="0"/>
        <w:autoSpaceDE w:val="0"/>
        <w:autoSpaceDN w:val="0"/>
        <w:bidi w:val="0"/>
        <w:spacing w:line="480" w:lineRule="exact"/>
        <w:ind w:right="51" w:firstLine="422" w:firstLineChars="200"/>
        <w:textAlignment w:val="bottom"/>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8.1.6  评标委员会及其成员不得有下列行为：</w:t>
      </w:r>
    </w:p>
    <w:p w14:paraId="28A3550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（1）确定参与评标至评标结束前私自接触投标人；</w:t>
      </w:r>
    </w:p>
    <w:p w14:paraId="5C08DFB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（2）接受投标人提出的与投标文件不一致的澄清或者说明；</w:t>
      </w:r>
    </w:p>
    <w:p w14:paraId="2C1DD6C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（3）违反评标纪律发表倾向性意见或者征询采购人的倾向性意见；</w:t>
      </w:r>
    </w:p>
    <w:p w14:paraId="64D884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（4）对需要专业判断的主观评审因素协商评分；</w:t>
      </w:r>
    </w:p>
    <w:p w14:paraId="1FFD8F2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（5）在评标过程中擅离职守，影响评标程序正常进行的；</w:t>
      </w:r>
    </w:p>
    <w:p w14:paraId="546FBB0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（6）记录、复制或者带走任何评标资料；</w:t>
      </w:r>
    </w:p>
    <w:p w14:paraId="23C6C7A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（7）其他不遵守评标纪律的行为。</w:t>
      </w:r>
    </w:p>
    <w:p w14:paraId="3ADC835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评标委员会成员有前款第一至五项行为之一的，其评审意见无效，并不得获取评审劳务报酬和报销异地评审差旅费。</w:t>
      </w:r>
    </w:p>
    <w:p w14:paraId="56333B65">
      <w:pPr>
        <w:keepNext w:val="0"/>
        <w:keepLines w:val="0"/>
        <w:pageBreakBefore w:val="0"/>
        <w:kinsoku/>
        <w:wordWrap/>
        <w:overflowPunct/>
        <w:topLinePunct w:val="0"/>
        <w:bidi w:val="0"/>
        <w:spacing w:line="480" w:lineRule="exact"/>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8.2 评标原则</w:t>
      </w:r>
    </w:p>
    <w:p w14:paraId="39775F1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8.2.1“客观、公正、审慎”为本次评标的基本原则，评标委员会按照这一原则的要求，公正、平等地对待各投标人。同时，在评审中恪守以下原则：</w:t>
      </w:r>
    </w:p>
    <w:p w14:paraId="5467ED6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（1）统一性原则：评标委员会将按照统一的评标原则和评审方法，用统一标准进行评审。</w:t>
      </w:r>
    </w:p>
    <w:p w14:paraId="708FD02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（2）独立性原则：评标工作在评标委员会内部独立进行，不受外界任何因素的干扰和影响。评标委员会成员对其出具的意见承担个人责任。投标</w:t>
      </w:r>
      <w:r>
        <w:rPr>
          <w:rFonts w:hint="eastAsia" w:asciiTheme="minorEastAsia" w:hAnsiTheme="minorEastAsia" w:eastAsiaTheme="minorEastAsia" w:cstheme="minorEastAsia"/>
          <w:color w:val="auto"/>
          <w:kern w:val="0"/>
          <w:szCs w:val="21"/>
          <w:highlight w:val="none"/>
        </w:rPr>
        <w:t>人试图影响或干预评审的任何行为，将导致其丧失投标的资格，并承担相应的法律责任。</w:t>
      </w:r>
    </w:p>
    <w:p w14:paraId="5FB9205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（3）客观性原则：评标委员会将严格按照招标文件要求，对投标人的投标文件进行认真评审；评标委员会对投标文件的评审仅依据投标文件本身，而不依据投标文件以外的任何因素。</w:t>
      </w:r>
    </w:p>
    <w:p w14:paraId="5F85085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（4）保密性原则：采购代理机构应当采取必要的措施，保证评标在严格保密情况下进行。</w:t>
      </w:r>
    </w:p>
    <w:p w14:paraId="60542BC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）综合性原则：评标委员会将综合分析、评审投标人的各项指标，而不以单项指标的优劣评定出中标人。</w:t>
      </w:r>
    </w:p>
    <w:p w14:paraId="11D64DE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8.2.2 评标委员会有权对整个招标过程中出现的一切问题，根据《中华人民共和国政府采购法》及实施条例和《政府采购货物和服务招标投标管理办法》等相关规定进行处理。</w:t>
      </w:r>
    </w:p>
    <w:p w14:paraId="12FC851F">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8.3 评标</w:t>
      </w:r>
    </w:p>
    <w:p w14:paraId="51BBB1A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8.3.1 评标委员会按照招标文件第三章“评标办法”规定的方法、评审因素、标准和程序对投标文件进行评审。第三章“评标办法”没有规定的方法、评审因素和标准，不作为评标依据。</w:t>
      </w:r>
    </w:p>
    <w:p w14:paraId="1D8906C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8.3.2 评标委员会负责具体评标事务，并独立履行下列职责：</w:t>
      </w:r>
    </w:p>
    <w:p w14:paraId="17000FD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（1）审查、评价投标文件是否符合招标文件的商务、技术、服务等实质性要求；</w:t>
      </w:r>
    </w:p>
    <w:p w14:paraId="797B124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（2）要求投标人对投标文件有关事项作出澄清或者说明；</w:t>
      </w:r>
    </w:p>
    <w:p w14:paraId="5A6CBF8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（3）对投标文件进行比较和评价；</w:t>
      </w:r>
    </w:p>
    <w:p w14:paraId="0BA4353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（4）确定中标候选人名单，以及根据采购人委托直接确定中标人；</w:t>
      </w:r>
    </w:p>
    <w:p w14:paraId="5B9B165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（5）向采购人、采购代理机构或者有关部门报告评标中发现的违法行为。</w:t>
      </w:r>
    </w:p>
    <w:p w14:paraId="4ABF05D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评标委员会成员应当履行下列义务：</w:t>
      </w:r>
    </w:p>
    <w:p w14:paraId="4CBBBC0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（1）遵纪守法，客观、公正、廉洁地履行职责；</w:t>
      </w:r>
    </w:p>
    <w:p w14:paraId="4DF7820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（2）根据采购文件的规定独立进行评审，对个人的评审意见承担法律责任；</w:t>
      </w:r>
    </w:p>
    <w:p w14:paraId="1658034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（3）参与评标报告的起草；</w:t>
      </w:r>
    </w:p>
    <w:p w14:paraId="3B21EC0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（4）配合采购人、采购代理机构答复投标人提出的质疑；</w:t>
      </w:r>
    </w:p>
    <w:p w14:paraId="5F94111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（5）配合财政部门的投诉处理和监督检查工作。</w:t>
      </w:r>
    </w:p>
    <w:p w14:paraId="588D379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8.3.4 采购代理机构负责组织评标工作并履行下列职责：</w:t>
      </w:r>
    </w:p>
    <w:p w14:paraId="55EA369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（1）核对评审专家身份和采购人代表授权函，对评审专家在采购活动中的职责履行情况予以记录，并及时将有关违法违规行为向财政部门报告；</w:t>
      </w:r>
    </w:p>
    <w:p w14:paraId="24FED5E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（2）宣布评标纪律和开启录音录像设备；</w:t>
      </w:r>
    </w:p>
    <w:p w14:paraId="0489A4B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（3）公布投标人名单，告知评标专家应当回避的情形；</w:t>
      </w:r>
    </w:p>
    <w:p w14:paraId="048A13F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（4）组织评标委员会推选评标组长，采购人代表不得担任组长；</w:t>
      </w:r>
    </w:p>
    <w:p w14:paraId="5EDFF8A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（5）在评标期间采取必要的通讯管理措施，保证评标活动不受外界干扰；</w:t>
      </w:r>
    </w:p>
    <w:p w14:paraId="5E52C01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（6）根据评标委员会的要求介绍采购相关政策法规、招标文件；</w:t>
      </w:r>
    </w:p>
    <w:p w14:paraId="73631E3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（7）维护评标秩序，监督评标委员会依照评标文件规定的评审程序、方法和标准进行独立评审，及时制止和纠正采购人代表、评审专家的倾向性言论或违法违规行为； </w:t>
      </w:r>
    </w:p>
    <w:p w14:paraId="418D74A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（8）核对评标结果，有《政府采购货物和服务招标投标管理办法》第六十四条规定情形的，要求评标委员会复核或书面说明理由，评标委员会拒绝的，应予记录并向本级财政部门报告；</w:t>
      </w:r>
    </w:p>
    <w:p w14:paraId="2DD09A5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（9）评审工作完成后，按照规定向评审专家支付劳务报酬和异地评审差旅费，不得向评审专家以外的其他人员支付评审劳务报酬；</w:t>
      </w:r>
    </w:p>
    <w:p w14:paraId="225FBB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（10）处理与评标有关的其他事项。</w:t>
      </w:r>
    </w:p>
    <w:p w14:paraId="59A39ED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8.3.5 采购人可以在评标前介绍项目背景和采购需求，介绍内容不得含有歧视性、倾向性意见，不得超出招标文件所述范围。介绍应当提交书面介绍材料，并随采购文件一并存档。</w:t>
      </w:r>
    </w:p>
    <w:p w14:paraId="2C7538A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评标过程严格保密</w:t>
      </w:r>
    </w:p>
    <w:p w14:paraId="75B75543">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8.3.6.1 采购人、采购代理机构应当采取必要措施，保证评标在严格保密的情况下进行。除采购人代表、评标现场组织人员外，采购人的其他工作人员以及与评标工作无关的人员不得进入评标现场。</w:t>
      </w:r>
    </w:p>
    <w:p w14:paraId="4A7BF97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8.3.6.2 有关人员对评标情况以及在评标过程中获悉的国家秘密、商业秘密负有保密责任。开标后，直至授予中标人合同为止，凡属于对投标文件的审查、澄清、评价和比较的有关资料以及中标候选人的推荐情况，与评标有关的其他任何情况均严格保密。</w:t>
      </w:r>
    </w:p>
    <w:p w14:paraId="23D11E9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8.3.7 投标人对评标委员会的评标过程或合同授予决定施加影响的任何行为都可能导致其投标被拒绝。</w:t>
      </w:r>
      <w:bookmarkStart w:id="163" w:name="_Toc217446060"/>
    </w:p>
    <w:p w14:paraId="68B1B86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8.3.8 评标完成后，评标委员会应当向采购人提交书面评标报告，并由采购代理机构转送。</w:t>
      </w:r>
    </w:p>
    <w:p w14:paraId="29103BE8">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64" w:name="_Toc25460"/>
      <w:r>
        <w:rPr>
          <w:rFonts w:hint="eastAsia" w:asciiTheme="minorEastAsia" w:hAnsiTheme="minorEastAsia" w:eastAsiaTheme="minorEastAsia" w:cstheme="minorEastAsia"/>
          <w:b/>
          <w:bCs/>
          <w:color w:val="auto"/>
          <w:sz w:val="36"/>
          <w:szCs w:val="36"/>
          <w:highlight w:val="none"/>
        </w:rPr>
        <w:t>9.定标</w:t>
      </w:r>
      <w:bookmarkEnd w:id="163"/>
      <w:bookmarkEnd w:id="164"/>
      <w:bookmarkStart w:id="165" w:name="_Toc217446061"/>
    </w:p>
    <w:p w14:paraId="5CB28CF0">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9.1 定标原则</w:t>
      </w:r>
      <w:bookmarkEnd w:id="165"/>
    </w:p>
    <w:p w14:paraId="4C640472">
      <w:pPr>
        <w:keepNext w:val="0"/>
        <w:keepLines w:val="0"/>
        <w:pageBreakBefore w:val="0"/>
        <w:kinsoku/>
        <w:wordWrap/>
        <w:overflowPunct/>
        <w:topLinePunct w:val="0"/>
        <w:bidi w:val="0"/>
        <w:spacing w:line="480" w:lineRule="exact"/>
        <w:ind w:firstLine="411" w:firstLineChars="196"/>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采购人或其授权的评标委员会按照评标报告中推荐的中标候选人名单，按顺序确定中标人。</w:t>
      </w:r>
      <w:bookmarkStart w:id="166" w:name="_Toc217446062"/>
    </w:p>
    <w:p w14:paraId="4736290B">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9.2 定标程序</w:t>
      </w:r>
      <w:bookmarkEnd w:id="166"/>
    </w:p>
    <w:p w14:paraId="2000F02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9.2.1评标委员会将推荐3个中标候选人，并按照综合得分高低标明排列顺序。得分相同的，按投标报价由低到高顺序排列；得分且投标报价相同的并列。</w:t>
      </w:r>
    </w:p>
    <w:p w14:paraId="7F305EB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9.2.2 采购代理机构在评标结束后2个工作日内将评标报告送采购人。</w:t>
      </w:r>
    </w:p>
    <w:p w14:paraId="780D6DA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9.2.3 采购人应当在收到评标报告后5个工作日内，按照评标报告中推荐的中标候选人顺序和有关规定确定中标人，第一名中标候选人并列的，由采购人根据</w:t>
      </w:r>
      <w:r>
        <w:rPr>
          <w:rFonts w:hint="eastAsia" w:asciiTheme="minorEastAsia" w:hAnsiTheme="minorEastAsia" w:eastAsiaTheme="minorEastAsia" w:cstheme="minorEastAsia"/>
          <w:color w:val="auto"/>
          <w:szCs w:val="21"/>
          <w:highlight w:val="none"/>
          <w:u w:val="single"/>
        </w:rPr>
        <w:t>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Cs w:val="21"/>
          <w:highlight w:val="none"/>
        </w:rPr>
        <w:t>。同时，将中标结果复函至采购代理机构。</w:t>
      </w:r>
    </w:p>
    <w:p w14:paraId="2B9BC43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shd w:val="clear" w:color="auto" w:fill="FFFFFF"/>
        </w:rPr>
        <w:t>采购人在收到评标报告5个工作日内未按评标报告推荐的中标候选人顺序确定中标人，又不能说明合法理由的，视同按评标报告推荐的顺序确定排名第一的中标候选人为中标人。</w:t>
      </w:r>
    </w:p>
    <w:p w14:paraId="1DF26B0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9.2.4 采购代理机构应当在接到采购人“定标”复函之日起2个工作日内，根据采购人确定的中标人，在省级以上财政部门指定的媒体上发布中标公告，同时向中标人发出《中标通知书》。</w:t>
      </w:r>
    </w:p>
    <w:p w14:paraId="62899401">
      <w:pPr>
        <w:keepNext w:val="0"/>
        <w:keepLines w:val="0"/>
        <w:pageBreakBefore w:val="0"/>
        <w:widowControl/>
        <w:kinsoku/>
        <w:wordWrap/>
        <w:overflowPunct/>
        <w:topLinePunct w:val="0"/>
        <w:autoSpaceDE/>
        <w:autoSpaceDN/>
        <w:bidi w:val="0"/>
        <w:adjustRightInd/>
        <w:snapToGrid/>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9.2.5 采购代理机构，应当</w:t>
      </w:r>
      <w:r>
        <w:rPr>
          <w:rFonts w:hint="eastAsia" w:asciiTheme="minorEastAsia" w:hAnsiTheme="minorEastAsia" w:eastAsiaTheme="minorEastAsia" w:cstheme="minorEastAsia"/>
          <w:color w:val="auto"/>
          <w:kern w:val="0"/>
          <w:szCs w:val="21"/>
          <w:highlight w:val="none"/>
        </w:rPr>
        <w:t>对未通过资格审查或未通符合性审查的投标人，告知其未通过的原因；采用综合评分法评审的，还应当告知未中标人本身的评审得分与排序。</w:t>
      </w:r>
    </w:p>
    <w:p w14:paraId="0E58C2A8">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bookmarkStart w:id="167" w:name="_Toc183682375"/>
      <w:bookmarkStart w:id="168" w:name="_Toc183582238"/>
      <w:bookmarkStart w:id="169" w:name="_Toc217446063"/>
      <w:r>
        <w:rPr>
          <w:rFonts w:hint="eastAsia" w:asciiTheme="minorEastAsia" w:hAnsiTheme="minorEastAsia" w:eastAsiaTheme="minorEastAsia" w:cstheme="minorEastAsia"/>
          <w:b/>
          <w:bCs/>
          <w:color w:val="auto"/>
          <w:sz w:val="30"/>
          <w:szCs w:val="30"/>
          <w:highlight w:val="none"/>
        </w:rPr>
        <w:t>9.3 中标通知</w:t>
      </w:r>
      <w:bookmarkEnd w:id="167"/>
      <w:bookmarkEnd w:id="168"/>
      <w:r>
        <w:rPr>
          <w:rFonts w:hint="eastAsia" w:asciiTheme="minorEastAsia" w:hAnsiTheme="minorEastAsia" w:eastAsiaTheme="minorEastAsia" w:cstheme="minorEastAsia"/>
          <w:b/>
          <w:bCs/>
          <w:color w:val="auto"/>
          <w:sz w:val="30"/>
          <w:szCs w:val="30"/>
          <w:highlight w:val="none"/>
        </w:rPr>
        <w:t>书</w:t>
      </w:r>
      <w:bookmarkEnd w:id="169"/>
    </w:p>
    <w:p w14:paraId="2477092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9.3.1 中标通知书为签订采购合同的依据之一，是合同的有效组成部分。</w:t>
      </w:r>
    </w:p>
    <w:p w14:paraId="66D78DC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9.3.2 中标通知书对采购人和中标人均具有法律效力。中标通知书发出后，采购人不得违法改变中标结果，中标人无正当理由不得放弃中标。否则，应当承担相应的法律责任。</w:t>
      </w:r>
    </w:p>
    <w:p w14:paraId="14975D2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9.3.3 中标人应当在接到采购代理机构通知之日起2个工作日内领取《中标通知书》。</w:t>
      </w:r>
    </w:p>
    <w:p w14:paraId="31C1FA2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9.3.4 在《中标通知书》发出后，发现中标人有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采购法律法规规章制度规定的中标无效情形的，采购代理机构应当宣布发出的中标通知书无效，并收回发出的中标通知书（中标人也应当交回），依法重新确定中标人或者重新开展采购活动，同时向同级财政部门报告。</w:t>
      </w:r>
    </w:p>
    <w:p w14:paraId="0C1D5AF2">
      <w:pPr>
        <w:keepNext w:val="0"/>
        <w:keepLines w:val="0"/>
        <w:pageBreakBefore w:val="0"/>
        <w:tabs>
          <w:tab w:val="left" w:pos="7665"/>
        </w:tabs>
        <w:kinsoku/>
        <w:wordWrap/>
        <w:overflowPunct/>
        <w:topLinePunct w:val="0"/>
        <w:bidi w:val="0"/>
        <w:spacing w:before="240" w:beforeLines="100" w:after="240" w:afterLines="10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70" w:name="_Toc217446064"/>
      <w:bookmarkStart w:id="171" w:name="_Toc26438"/>
      <w:bookmarkStart w:id="172" w:name="_Toc183682377"/>
      <w:bookmarkStart w:id="173" w:name="_Toc183582240"/>
      <w:r>
        <w:rPr>
          <w:rFonts w:hint="eastAsia" w:asciiTheme="minorEastAsia" w:hAnsiTheme="minorEastAsia" w:eastAsiaTheme="minorEastAsia" w:cstheme="minorEastAsia"/>
          <w:b/>
          <w:bCs/>
          <w:color w:val="auto"/>
          <w:sz w:val="36"/>
          <w:szCs w:val="36"/>
          <w:highlight w:val="none"/>
        </w:rPr>
        <w:t>10.合同</w:t>
      </w:r>
      <w:bookmarkEnd w:id="170"/>
      <w:r>
        <w:rPr>
          <w:rFonts w:hint="eastAsia" w:asciiTheme="minorEastAsia" w:hAnsiTheme="minorEastAsia" w:eastAsiaTheme="minorEastAsia" w:cstheme="minorEastAsia"/>
          <w:b/>
          <w:bCs/>
          <w:color w:val="auto"/>
          <w:sz w:val="36"/>
          <w:szCs w:val="36"/>
          <w:highlight w:val="none"/>
        </w:rPr>
        <w:t>授予</w:t>
      </w:r>
      <w:bookmarkEnd w:id="171"/>
      <w:bookmarkStart w:id="174" w:name="_Toc217446065"/>
    </w:p>
    <w:p w14:paraId="5047F278">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10.1 履</w:t>
      </w:r>
      <w:r>
        <w:rPr>
          <w:rFonts w:hint="eastAsia" w:asciiTheme="minorEastAsia" w:hAnsiTheme="minorEastAsia" w:eastAsiaTheme="minorEastAsia" w:cstheme="minorEastAsia"/>
          <w:b/>
          <w:color w:val="auto"/>
          <w:sz w:val="30"/>
          <w:szCs w:val="30"/>
          <w:highlight w:val="none"/>
          <w:lang w:val="en-US" w:eastAsia="zh-CN"/>
        </w:rPr>
        <w:t>约</w:t>
      </w:r>
      <w:r>
        <w:rPr>
          <w:rFonts w:hint="eastAsia" w:asciiTheme="minorEastAsia" w:hAnsiTheme="minorEastAsia" w:eastAsiaTheme="minorEastAsia" w:cstheme="minorEastAsia"/>
          <w:b/>
          <w:color w:val="auto"/>
          <w:sz w:val="30"/>
          <w:szCs w:val="30"/>
          <w:highlight w:val="none"/>
        </w:rPr>
        <w:t>保证金</w:t>
      </w:r>
    </w:p>
    <w:p w14:paraId="22D4BC1F">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10.1.1 本项目需要提交履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保证金的，适用本条。</w:t>
      </w:r>
    </w:p>
    <w:p w14:paraId="27D5BFEE">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10.1.2</w:t>
      </w:r>
      <w:r>
        <w:rPr>
          <w:rFonts w:hint="eastAsia" w:asciiTheme="minorEastAsia" w:hAnsiTheme="minorEastAsia" w:eastAsiaTheme="minorEastAsia" w:cstheme="minorEastAsia"/>
          <w:color w:val="auto"/>
          <w:kern w:val="0"/>
          <w:szCs w:val="21"/>
          <w:highlight w:val="none"/>
        </w:rPr>
        <w:t xml:space="preserve"> </w:t>
      </w:r>
      <w:r>
        <w:rPr>
          <w:rFonts w:hint="eastAsia" w:asciiTheme="minorEastAsia" w:hAnsiTheme="minorEastAsia" w:eastAsiaTheme="minorEastAsia" w:cstheme="minorEastAsia"/>
          <w:color w:val="auto"/>
          <w:szCs w:val="21"/>
          <w:highlight w:val="none"/>
        </w:rPr>
        <w:t>中标人在收到采购代理机构的中标通知书后10日内，应按照</w:t>
      </w:r>
      <w:r>
        <w:rPr>
          <w:rFonts w:hint="eastAsia" w:asciiTheme="minorEastAsia" w:hAnsiTheme="minorEastAsia" w:eastAsiaTheme="minorEastAsia" w:cstheme="minorEastAsia"/>
          <w:b/>
          <w:color w:val="auto"/>
          <w:szCs w:val="21"/>
          <w:highlight w:val="none"/>
        </w:rPr>
        <w:t>投标人须知前附表</w:t>
      </w:r>
      <w:r>
        <w:rPr>
          <w:rFonts w:hint="eastAsia" w:asciiTheme="minorEastAsia" w:hAnsiTheme="minorEastAsia" w:eastAsiaTheme="minorEastAsia" w:cstheme="minorEastAsia"/>
          <w:color w:val="auto"/>
          <w:szCs w:val="21"/>
          <w:highlight w:val="none"/>
        </w:rPr>
        <w:t>规定的形式、金额，向采购人提交履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保证金或履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担保。联合体中标的，履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保证金或履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担保由联合体各方或者联合体中牵头人的名义提交。</w:t>
      </w:r>
    </w:p>
    <w:p w14:paraId="725D72F3">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10.1.3 中标人</w:t>
      </w:r>
      <w:r>
        <w:rPr>
          <w:rFonts w:hint="eastAsia" w:asciiTheme="minorEastAsia" w:hAnsiTheme="minorEastAsia" w:eastAsiaTheme="minorEastAsia" w:cstheme="minorEastAsia"/>
          <w:color w:val="auto"/>
          <w:spacing w:val="4"/>
          <w:szCs w:val="21"/>
          <w:highlight w:val="none"/>
        </w:rPr>
        <w:t>不能按照本章第10.1.2项规定</w:t>
      </w:r>
      <w:r>
        <w:rPr>
          <w:rFonts w:hint="eastAsia" w:asciiTheme="minorEastAsia" w:hAnsiTheme="minorEastAsia" w:eastAsiaTheme="minorEastAsia" w:cstheme="minorEastAsia"/>
          <w:color w:val="auto"/>
          <w:szCs w:val="21"/>
          <w:highlight w:val="none"/>
        </w:rPr>
        <w:t>提交履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保证金或履</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担保的</w:t>
      </w:r>
      <w:r>
        <w:rPr>
          <w:rFonts w:hint="eastAsia" w:asciiTheme="minorEastAsia" w:hAnsiTheme="minorEastAsia" w:eastAsiaTheme="minorEastAsia" w:cstheme="minorEastAsia"/>
          <w:color w:val="auto"/>
          <w:spacing w:val="4"/>
          <w:szCs w:val="21"/>
          <w:highlight w:val="none"/>
        </w:rPr>
        <w:t>，视为放弃</w:t>
      </w:r>
      <w:r>
        <w:rPr>
          <w:rFonts w:hint="eastAsia" w:asciiTheme="minorEastAsia" w:hAnsiTheme="minorEastAsia" w:eastAsiaTheme="minorEastAsia" w:cstheme="minorEastAsia"/>
          <w:color w:val="auto"/>
          <w:szCs w:val="21"/>
          <w:highlight w:val="none"/>
        </w:rPr>
        <w:t>中标资格</w:t>
      </w:r>
      <w:r>
        <w:rPr>
          <w:rFonts w:hint="eastAsia" w:asciiTheme="minorEastAsia" w:hAnsiTheme="minorEastAsia" w:eastAsiaTheme="minorEastAsia" w:cstheme="minorEastAsia"/>
          <w:color w:val="auto"/>
          <w:spacing w:val="4"/>
          <w:szCs w:val="21"/>
          <w:highlight w:val="none"/>
        </w:rPr>
        <w:t>，</w:t>
      </w:r>
      <w:r>
        <w:rPr>
          <w:rFonts w:hint="eastAsia" w:asciiTheme="minorEastAsia" w:hAnsiTheme="minorEastAsia" w:eastAsiaTheme="minorEastAsia" w:cstheme="minorEastAsia"/>
          <w:color w:val="auto"/>
          <w:spacing w:val="2"/>
          <w:szCs w:val="21"/>
          <w:highlight w:val="none"/>
        </w:rPr>
        <w:t>其投标保证金不予退还，给采购人造成的损失超过投标保证金金额的，中标人应当对超过部分予以赔偿。</w:t>
      </w:r>
    </w:p>
    <w:p w14:paraId="05E738D3">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10.2 签订合同</w:t>
      </w:r>
      <w:bookmarkEnd w:id="174"/>
    </w:p>
    <w:p w14:paraId="2084EE3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10.2.1 中标人应在《中标通知书》发出之日起30日内与采购人签订采购合同。中标人无正当理由拒签合同，或者在签订合同时向采购人提出附件条件，采购人有权取消其中标资格，其投标保证金不予退还，给采购人造成的损失超过投标保证金数额的，中标人应当对超过部分予以赔偿。采购人可以与排在中标人之后第一位的候选人签订采购合同，或者重新开展采购活动。拒绝签订采购合同的中标人不得参加对该项目重新开展的采购活动。</w:t>
      </w:r>
    </w:p>
    <w:p w14:paraId="08112B7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10.2.2 发出中标通知书后，采购人不得向中标人提出任何不合理要求，作为签订合的条件，不得与中标人私下订立背离合同实质性内容的任何协议，所签订的合同不得对招标文件确定的事项和中标人投标文件做实质性修改。</w:t>
      </w:r>
    </w:p>
    <w:p w14:paraId="19B01E2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中标人因不可抗力原因不能履行采购合同或放弃中标的，采购人可以与排在中标人之后第一位的中标候选人签订采购合同，以此类推。</w:t>
      </w:r>
      <w:bookmarkStart w:id="175" w:name="_Toc217446066"/>
    </w:p>
    <w:p w14:paraId="5A826B0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10.2.4 联合体中标的，联合体各方应当与采购人签订采购合同，就中标项目向采购人承担连带责任。</w:t>
      </w:r>
    </w:p>
    <w:p w14:paraId="447E26FC">
      <w:pPr>
        <w:keepNext w:val="0"/>
        <w:keepLines w:val="0"/>
        <w:pageBreakBefore w:val="0"/>
        <w:kinsoku/>
        <w:wordWrap/>
        <w:overflowPunct/>
        <w:topLinePunct w:val="0"/>
        <w:bidi w:val="0"/>
        <w:snapToGrid w:val="0"/>
        <w:spacing w:before="120" w:beforeLines="50" w:after="120" w:afterLines="50" w:line="480" w:lineRule="exact"/>
        <w:rPr>
          <w:rFonts w:hint="eastAsia" w:asciiTheme="minorEastAsia" w:hAnsiTheme="minorEastAsia" w:eastAsiaTheme="minorEastAsia" w:cstheme="minorEastAsia"/>
          <w:b/>
          <w:bCs/>
          <w:color w:val="auto"/>
          <w:sz w:val="30"/>
          <w:szCs w:val="30"/>
          <w:highlight w:val="none"/>
        </w:rPr>
      </w:pPr>
      <w:bookmarkStart w:id="176" w:name="_Toc322606648"/>
      <w:r>
        <w:rPr>
          <w:rFonts w:hint="eastAsia" w:asciiTheme="minorEastAsia" w:hAnsiTheme="minorEastAsia" w:eastAsiaTheme="minorEastAsia" w:cstheme="minorEastAsia"/>
          <w:b/>
          <w:bCs/>
          <w:color w:val="auto"/>
          <w:sz w:val="30"/>
          <w:szCs w:val="30"/>
          <w:highlight w:val="none"/>
        </w:rPr>
        <w:t>10.3 合同履行</w:t>
      </w:r>
      <w:bookmarkEnd w:id="176"/>
    </w:p>
    <w:p w14:paraId="0E7BA2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10.3.1 采购合同的履行、违</w:t>
      </w:r>
      <w:r>
        <w:rPr>
          <w:rFonts w:hint="eastAsia" w:asciiTheme="minorEastAsia" w:hAnsiTheme="minorEastAsia" w:eastAsiaTheme="minorEastAsia" w:cstheme="minorEastAsia"/>
          <w:color w:val="auto"/>
          <w:szCs w:val="21"/>
          <w:highlight w:val="none"/>
          <w:lang w:val="en-US" w:eastAsia="zh-CN"/>
        </w:rPr>
        <w:t>约</w:t>
      </w:r>
      <w:r>
        <w:rPr>
          <w:rFonts w:hint="eastAsia" w:asciiTheme="minorEastAsia" w:hAnsiTheme="minorEastAsia" w:eastAsiaTheme="minorEastAsia" w:cstheme="minorEastAsia"/>
          <w:color w:val="auto"/>
          <w:szCs w:val="21"/>
          <w:highlight w:val="none"/>
        </w:rPr>
        <w:t>责任和解决争议的方法等适用《</w:t>
      </w:r>
      <w:r>
        <w:rPr>
          <w:rFonts w:hint="eastAsia" w:asciiTheme="minorEastAsia" w:hAnsiTheme="minorEastAsia" w:eastAsiaTheme="minorEastAsia" w:cstheme="minorEastAsia"/>
          <w:color w:val="auto"/>
          <w:szCs w:val="21"/>
          <w:highlight w:val="none"/>
          <w:lang w:eastAsia="zh-CN"/>
        </w:rPr>
        <w:t>中华人民共和国民法典</w:t>
      </w:r>
      <w:r>
        <w:rPr>
          <w:rFonts w:hint="eastAsia" w:asciiTheme="minorEastAsia" w:hAnsiTheme="minorEastAsia" w:eastAsiaTheme="minorEastAsia" w:cstheme="minorEastAsia"/>
          <w:color w:val="auto"/>
          <w:szCs w:val="21"/>
          <w:highlight w:val="none"/>
        </w:rPr>
        <w:t>》。</w:t>
      </w:r>
    </w:p>
    <w:p w14:paraId="5F1ECF6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10.3.2 </w:t>
      </w:r>
      <w:r>
        <w:rPr>
          <w:rFonts w:hint="eastAsia" w:asciiTheme="minorEastAsia" w:hAnsiTheme="minorEastAsia" w:eastAsiaTheme="minorEastAsia" w:cstheme="minorEastAsia"/>
          <w:color w:val="auto"/>
          <w:szCs w:val="21"/>
          <w:highlight w:val="none"/>
          <w:lang w:eastAsia="zh-TW"/>
        </w:rPr>
        <w:t>采购合同订立后，合同各方不得擅自变更</w:t>
      </w:r>
      <w:r>
        <w:rPr>
          <w:rFonts w:hint="eastAsia" w:asciiTheme="minorEastAsia" w:hAnsiTheme="minorEastAsia" w:eastAsiaTheme="minorEastAsia" w:cstheme="minorEastAsia"/>
          <w:color w:val="auto"/>
          <w:szCs w:val="21"/>
          <w:highlight w:val="none"/>
        </w:rPr>
        <w:t>或者</w:t>
      </w:r>
      <w:r>
        <w:rPr>
          <w:rFonts w:hint="eastAsia" w:asciiTheme="minorEastAsia" w:hAnsiTheme="minorEastAsia" w:eastAsiaTheme="minorEastAsia" w:cstheme="minorEastAsia"/>
          <w:color w:val="auto"/>
          <w:szCs w:val="21"/>
          <w:highlight w:val="none"/>
          <w:lang w:eastAsia="zh-TW"/>
        </w:rPr>
        <w:t>中止或者终止合同。采购合同需要变更的，采购人应将有关合同变更内容，以书面形式</w:t>
      </w:r>
      <w:r>
        <w:rPr>
          <w:rFonts w:hint="eastAsia" w:asciiTheme="minorEastAsia" w:hAnsiTheme="minorEastAsia" w:eastAsiaTheme="minorEastAsia" w:cstheme="minorEastAsia"/>
          <w:color w:val="auto"/>
          <w:szCs w:val="21"/>
          <w:highlight w:val="none"/>
          <w:lang w:val="zh-CN" w:eastAsia="zh-TW"/>
        </w:rPr>
        <w:t>或政采云平台</w:t>
      </w:r>
      <w:r>
        <w:rPr>
          <w:rFonts w:hint="eastAsia" w:asciiTheme="minorEastAsia" w:hAnsiTheme="minorEastAsia" w:eastAsiaTheme="minorEastAsia" w:cstheme="minorEastAsia"/>
          <w:color w:val="auto"/>
          <w:szCs w:val="21"/>
          <w:highlight w:val="none"/>
          <w:lang w:eastAsia="zh-TW"/>
        </w:rPr>
        <w:t>报采购监督管理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备案；因特殊情况需要中止或终止合同的，采购人应将中止或终止合同的理由以及相应措施，以书面形式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lang w:eastAsia="zh-TW"/>
        </w:rPr>
        <w:t>报监督管理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w:t>
      </w:r>
    </w:p>
    <w:p w14:paraId="05AAB53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10.3.3 </w:t>
      </w:r>
      <w:r>
        <w:rPr>
          <w:rFonts w:hint="eastAsia" w:asciiTheme="minorEastAsia" w:hAnsiTheme="minorEastAsia" w:eastAsiaTheme="minorEastAsia" w:cstheme="minorEastAsia"/>
          <w:color w:val="auto"/>
          <w:szCs w:val="21"/>
          <w:highlight w:val="none"/>
          <w:lang w:eastAsia="zh-TW"/>
        </w:rPr>
        <w:t>采购合同履行中，采购人需追加与合同标的相同的货物的，在不改变合同其他条款的前提下，可以与</w:t>
      </w:r>
      <w:r>
        <w:rPr>
          <w:rFonts w:hint="eastAsia" w:asciiTheme="minorEastAsia" w:hAnsiTheme="minorEastAsia" w:eastAsiaTheme="minorEastAsia" w:cstheme="minorEastAsia"/>
          <w:color w:val="auto"/>
          <w:szCs w:val="21"/>
          <w:highlight w:val="none"/>
        </w:rPr>
        <w:t>中标人</w:t>
      </w:r>
      <w:r>
        <w:rPr>
          <w:rFonts w:hint="eastAsia" w:asciiTheme="minorEastAsia" w:hAnsiTheme="minorEastAsia" w:eastAsiaTheme="minorEastAsia" w:cstheme="minorEastAsia"/>
          <w:color w:val="auto"/>
          <w:szCs w:val="21"/>
          <w:highlight w:val="none"/>
          <w:lang w:eastAsia="zh-TW"/>
        </w:rPr>
        <w:t>签订补充合同，但所补充合同的采购金额不得超过原</w:t>
      </w:r>
      <w:r>
        <w:rPr>
          <w:rFonts w:hint="eastAsia" w:asciiTheme="minorEastAsia" w:hAnsiTheme="minorEastAsia" w:eastAsiaTheme="minorEastAsia" w:cstheme="minorEastAsia"/>
          <w:color w:val="auto"/>
          <w:szCs w:val="21"/>
          <w:highlight w:val="none"/>
        </w:rPr>
        <w:t>合同</w:t>
      </w:r>
      <w:r>
        <w:rPr>
          <w:rFonts w:hint="eastAsia" w:asciiTheme="minorEastAsia" w:hAnsiTheme="minorEastAsia" w:eastAsiaTheme="minorEastAsia" w:cstheme="minorEastAsia"/>
          <w:color w:val="auto"/>
          <w:szCs w:val="21"/>
          <w:highlight w:val="none"/>
          <w:lang w:eastAsia="zh-TW"/>
        </w:rPr>
        <w:t>采购金额的百分之十。签订补充合同的</w:t>
      </w:r>
      <w:r>
        <w:rPr>
          <w:rFonts w:hint="eastAsia" w:asciiTheme="minorEastAsia" w:hAnsiTheme="minorEastAsia" w:eastAsiaTheme="minorEastAsia" w:cstheme="minorEastAsia"/>
          <w:color w:val="auto"/>
          <w:szCs w:val="21"/>
          <w:highlight w:val="none"/>
        </w:rPr>
        <w:t>应</w:t>
      </w:r>
      <w:r>
        <w:rPr>
          <w:rFonts w:hint="eastAsia" w:asciiTheme="minorEastAsia" w:hAnsiTheme="minorEastAsia" w:eastAsiaTheme="minorEastAsia" w:cstheme="minorEastAsia"/>
          <w:color w:val="auto"/>
          <w:szCs w:val="21"/>
          <w:highlight w:val="none"/>
          <w:lang w:eastAsia="zh-TW"/>
        </w:rPr>
        <w:t>按规定备案。</w:t>
      </w:r>
    </w:p>
    <w:bookmarkEnd w:id="172"/>
    <w:bookmarkEnd w:id="173"/>
    <w:bookmarkEnd w:id="175"/>
    <w:p w14:paraId="14D8EF04">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77" w:name="_Toc26703"/>
      <w:bookmarkStart w:id="178" w:name="_Toc217446081"/>
      <w:r>
        <w:rPr>
          <w:rFonts w:hint="eastAsia" w:asciiTheme="minorEastAsia" w:hAnsiTheme="minorEastAsia" w:eastAsiaTheme="minorEastAsia" w:cstheme="minorEastAsia"/>
          <w:b/>
          <w:color w:val="auto"/>
          <w:sz w:val="36"/>
          <w:szCs w:val="36"/>
          <w:highlight w:val="none"/>
        </w:rPr>
        <w:t>11.废标或变更采购方式</w:t>
      </w:r>
      <w:bookmarkEnd w:id="177"/>
      <w:bookmarkStart w:id="179" w:name="_Toc217446072"/>
    </w:p>
    <w:p w14:paraId="2763F6DA">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11.1废标的情形</w:t>
      </w:r>
      <w:bookmarkEnd w:id="179"/>
    </w:p>
    <w:p w14:paraId="7D22C20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 招标采购中，出现下列情形之一的，应予以废标：</w:t>
      </w:r>
    </w:p>
    <w:p w14:paraId="77409EC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（1）符合专业条件的投标人或者对招标文件作实质响应的投标人不足3家的；</w:t>
      </w:r>
    </w:p>
    <w:p w14:paraId="13535D3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（2）出现影响采购公正的违法、违规行为的；</w:t>
      </w:r>
    </w:p>
    <w:p w14:paraId="730FF3F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（3）投标人的报价均超过了采购预算或最高限价，采购人不能支付的；</w:t>
      </w:r>
    </w:p>
    <w:p w14:paraId="5CA1FEC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（4）因重大变故，采购任务取消的。</w:t>
      </w:r>
    </w:p>
    <w:p w14:paraId="25B9A79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11.1.2 废标后，采购代理机构应在财政部门指定采购网上公告，并公告废标的详细理由。</w:t>
      </w:r>
    </w:p>
    <w:p w14:paraId="608A19F7">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11.2 变更采购方式</w:t>
      </w:r>
    </w:p>
    <w:p w14:paraId="04D50A2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11.2.1 存在下列情形之一的，除采购任务取消情形外，采购人经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部门同意后，可以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《政府采购货物和服务招标投标管理办法》（财政部87号令）第四十三条规定的方式处理：</w:t>
      </w:r>
    </w:p>
    <w:p w14:paraId="7855F46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（1）投标截止后参加投标的人不足3家的；</w:t>
      </w:r>
    </w:p>
    <w:p w14:paraId="6F03658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（2）通过资格审查的投标人不足3家的；</w:t>
      </w:r>
    </w:p>
    <w:p w14:paraId="409DB14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（3）通过符合性审查的投标人不足3家的。</w:t>
      </w:r>
    </w:p>
    <w:p w14:paraId="69F5F95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11.2.2 通过符合性审查的投标人只有2家时，采购人经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《政府采购非招标采购方式管理办法》（财政部第74号令）的规定与该2家投标人进行竞争性谈判采购。</w:t>
      </w:r>
    </w:p>
    <w:p w14:paraId="4B4B8CB7">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0" w:name="_Toc6287"/>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2</w:t>
      </w:r>
      <w:r>
        <w:rPr>
          <w:rFonts w:hint="eastAsia" w:asciiTheme="minorEastAsia" w:hAnsiTheme="minorEastAsia" w:eastAsiaTheme="minorEastAsia" w:cstheme="minorEastAsia"/>
          <w:b/>
          <w:color w:val="auto"/>
          <w:sz w:val="36"/>
          <w:szCs w:val="36"/>
          <w:highlight w:val="none"/>
        </w:rPr>
        <w:t>.质疑与投诉</w:t>
      </w:r>
      <w:bookmarkEnd w:id="180"/>
    </w:p>
    <w:p w14:paraId="5907F237">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质疑</w:t>
      </w:r>
    </w:p>
    <w:p w14:paraId="1447742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.1.1 投标人对本次招标采购活动有疑问的，应当</w:t>
      </w:r>
      <w:r>
        <w:rPr>
          <w:rFonts w:hint="eastAsia" w:asciiTheme="minorEastAsia" w:hAnsiTheme="minorEastAsia" w:eastAsiaTheme="minorEastAsia" w:cstheme="minorEastAsia"/>
          <w:color w:val="auto"/>
          <w:szCs w:val="21"/>
          <w:highlight w:val="none"/>
          <w:lang w:val="en-US" w:eastAsia="zh-CN"/>
        </w:rPr>
        <w:t>按照</w:t>
      </w:r>
      <w:r>
        <w:rPr>
          <w:rFonts w:hint="eastAsia" w:asciiTheme="minorEastAsia" w:hAnsiTheme="minorEastAsia" w:eastAsiaTheme="minorEastAsia" w:cstheme="minorEastAsia"/>
          <w:color w:val="auto"/>
          <w:szCs w:val="21"/>
          <w:highlight w:val="none"/>
        </w:rPr>
        <w:t>《中华人民共和国政府采购法实施条例》的有关规定办理。</w:t>
      </w:r>
    </w:p>
    <w:p w14:paraId="57B655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.1.2 投标人对采购文件、采购过程或中标结果使自身的合法权益受到损害，应当在法定期限内，按照质疑函范本格式要求以书面形式向采购代理机构或采购人提出质疑，并附必要的证明材料。</w:t>
      </w:r>
    </w:p>
    <w:p w14:paraId="337E046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.1.3 质疑函应当包括下列内容：</w:t>
      </w:r>
    </w:p>
    <w:p w14:paraId="0C1050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（1）投标人的姓名或者名称、地址、邮编、联系人及联系电话；</w:t>
      </w:r>
    </w:p>
    <w:p w14:paraId="7FEFF2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（2）质疑项目的名称、编号；</w:t>
      </w:r>
    </w:p>
    <w:p w14:paraId="46D1588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（3）具体、明确的质疑事项和与质疑事项相关的请求；</w:t>
      </w:r>
    </w:p>
    <w:p w14:paraId="384F6DE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0D8C4D4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（5）必要的法律依据；</w:t>
      </w:r>
    </w:p>
    <w:p w14:paraId="086A802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（6）提出质疑的日期。</w:t>
      </w:r>
    </w:p>
    <w:p w14:paraId="278DB3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投标人为自然人的，应当由本人签字；投标人为法人或者其他组织的，应当由法定代表人、主要负责人，或者其授权代表签字或者盖章，并加盖单位章。</w:t>
      </w:r>
    </w:p>
    <w:p w14:paraId="3D850CA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.1.4</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质疑人可以委托代理人办理质疑事项，代理人办理质疑事项时，除提交质疑函外，还应当提交质疑人的授权委托书及代理人的有效身份证明，授权委托书应当载明委托代理的具体权限期限和相关事项。</w:t>
      </w:r>
    </w:p>
    <w:p w14:paraId="72222A0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.1.5 质疑函范本格式在中国政府采购网站（http://www.ccgp.gov.cn/）自行下载。</w:t>
      </w:r>
    </w:p>
    <w:p w14:paraId="6DA6305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.1.6 接收质疑函的联系部门、联系电话和通讯地址同招标公告。</w:t>
      </w:r>
    </w:p>
    <w:p w14:paraId="6716725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.1.7 有下列情形之一的，属于无效质疑，采购代理机构和采购人不予受理：</w:t>
      </w:r>
    </w:p>
    <w:p w14:paraId="7958D74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（1）质疑人不是参与本次采购项目的投标人；</w:t>
      </w:r>
    </w:p>
    <w:p w14:paraId="0082EE5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（2）质疑人与质疑事项不存在利害关系的；</w:t>
      </w:r>
    </w:p>
    <w:p w14:paraId="30F5698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（3）未在法定期限内提出质疑的；</w:t>
      </w:r>
    </w:p>
    <w:p w14:paraId="169EDAE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（4）质疑未以书面形式提出，以传真、电子邮件、移动通信等形式即时收悉提交的质疑材料；</w:t>
      </w:r>
    </w:p>
    <w:p w14:paraId="476C253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（5）质疑未按质疑函范本格式提出的；</w:t>
      </w:r>
    </w:p>
    <w:p w14:paraId="717745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（6）质疑书主要内容构成不完整的；</w:t>
      </w:r>
    </w:p>
    <w:p w14:paraId="00F5026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（7）质疑投标人是自然人，个体工商户未提交个体工商户营业执照和本人身份证明或非个体工商户未提供本人身份证明的；</w:t>
      </w:r>
    </w:p>
    <w:p w14:paraId="2ADA06F9">
      <w:pPr>
        <w:keepNext w:val="0"/>
        <w:keepLines w:val="0"/>
        <w:pageBreakBefore w:val="0"/>
        <w:kinsoku/>
        <w:wordWrap/>
        <w:overflowPunct/>
        <w:topLinePunct w:val="0"/>
        <w:autoSpaceDE/>
        <w:autoSpaceDN/>
        <w:bidi w:val="0"/>
        <w:adjustRightInd/>
        <w:snapToGrid/>
        <w:spacing w:line="480" w:lineRule="exact"/>
        <w:ind w:left="420" w:leftChars="200" w:firstLine="0" w:firstLineChars="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（8）质疑投标人是法人，未提交法人营业执照或者事业法人证书和法定代表人身份证明的；（9）质疑投标人是其他组织，未提交其他组织有效证明文件和主要负责人身份证明的；</w:t>
      </w:r>
    </w:p>
    <w:p w14:paraId="48B2ABA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（10）质疑投标人委托代理人进行质疑，未提交法定代表人授权委托书、授权代表身份证明的；</w:t>
      </w:r>
    </w:p>
    <w:p w14:paraId="25550B4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（11）质疑函未签字或未加盖公章的；</w:t>
      </w:r>
    </w:p>
    <w:p w14:paraId="330D05B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（12）以非法手段取得证据、材料的；</w:t>
      </w:r>
    </w:p>
    <w:p w14:paraId="29C0BA3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（13）质疑答复后，同一质疑人就同一事项再次提出质疑的；</w:t>
      </w:r>
    </w:p>
    <w:p w14:paraId="0B8DAE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（14）不符合法律、法规、规章和采购监管机构规定的其他条件的。</w:t>
      </w:r>
    </w:p>
    <w:p w14:paraId="6838F62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.1.8 采购代理机构或采购人将在收到书面质疑后7个工作日内做出答复，并以书面形式通知质疑人和其他有关投标人。</w:t>
      </w:r>
    </w:p>
    <w:p w14:paraId="7B3D6EC2">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.2 投诉</w:t>
      </w:r>
    </w:p>
    <w:p w14:paraId="6F8A43B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.2.1 质疑人对采购代理机构或采购人的答复不满意，或者采购人、采购代理机构未在规定时间内作出答复的，可以在答复期满后15个工作日内向同级采购监管部门投诉。</w:t>
      </w:r>
    </w:p>
    <w:p w14:paraId="000DF10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投诉人投诉时,应当提交投诉书和必要的证明材料，并按照被投诉采购人、采购代理机构（以下简称被投诉人）和与投诉事项有关的投标人数量提供投诉书的副本。投诉书应当包括下列内容：</w:t>
      </w:r>
    </w:p>
    <w:p w14:paraId="32C64AD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（1）投诉人和被投诉人的姓名或者名称、通讯地址、邮编、联系人及联系电话；</w:t>
      </w:r>
    </w:p>
    <w:p w14:paraId="5AAF56E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（2）质疑和质疑答复情况说明及相关证明材料；</w:t>
      </w:r>
    </w:p>
    <w:p w14:paraId="5A25D48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（3）具体、明确的投诉事项和与投诉事项相关的投诉请求；</w:t>
      </w:r>
    </w:p>
    <w:p w14:paraId="39DBFE7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530FCB4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（5）法律依据；</w:t>
      </w:r>
    </w:p>
    <w:p w14:paraId="45CF84F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（6）提起投诉的日期。</w:t>
      </w:r>
    </w:p>
    <w:p w14:paraId="75266B1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投诉人为自然人的，应当由本人签字；投诉人为法人或者其他组织的，应当由法定代表人、主要负责人，或者其授权代表签字或者盖章，并加盖单位章。</w:t>
      </w:r>
    </w:p>
    <w:p w14:paraId="35715C0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.2.3 投诉书范本格式在中国政府采购网站（http://www.ccgp.gov.cn/）自行下载。</w:t>
      </w:r>
    </w:p>
    <w:p w14:paraId="0AA7F97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.2.4 投诉人提起投诉应当符合下列条件：</w:t>
      </w:r>
    </w:p>
    <w:p w14:paraId="0A580B7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（1）提起投诉前已依法进行质疑；</w:t>
      </w:r>
    </w:p>
    <w:p w14:paraId="7ABF7C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（2）投诉书内容符合财政部94号令的规定；</w:t>
      </w:r>
    </w:p>
    <w:p w14:paraId="2DE074E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（3）在投诉有效期限内提起投诉；</w:t>
      </w:r>
    </w:p>
    <w:p w14:paraId="42F82B2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（4）同一投诉事项未经财政部门投诉处理；</w:t>
      </w:r>
    </w:p>
    <w:p w14:paraId="2E7954A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（5）财政部规定的其他条件。</w:t>
      </w:r>
    </w:p>
    <w:p w14:paraId="3A0C0B9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.2.5</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投诉人投诉的事项不得超出已质疑事项的范围，但基于质疑答复内容提出的投诉事项除外。</w:t>
      </w:r>
    </w:p>
    <w:p w14:paraId="1EA5C37C">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1" w:name="_Toc3588"/>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3</w:t>
      </w:r>
      <w:r>
        <w:rPr>
          <w:rFonts w:hint="eastAsia" w:asciiTheme="minorEastAsia" w:hAnsiTheme="minorEastAsia" w:eastAsiaTheme="minorEastAsia" w:cstheme="minorEastAsia"/>
          <w:b/>
          <w:color w:val="auto"/>
          <w:sz w:val="36"/>
          <w:szCs w:val="36"/>
          <w:highlight w:val="none"/>
        </w:rPr>
        <w:t>.其他</w:t>
      </w:r>
      <w:bookmarkEnd w:id="181"/>
    </w:p>
    <w:p w14:paraId="5BB098D5">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.1融资担保</w:t>
      </w:r>
    </w:p>
    <w:p w14:paraId="786B150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中标人为中小企业的可以自愿选择融资担保形式，为本采购项目进行融资。</w:t>
      </w:r>
    </w:p>
    <w:p w14:paraId="0E0A66DA">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.2 录音录像</w:t>
      </w:r>
    </w:p>
    <w:p w14:paraId="7C163C0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Theme="minorEastAsia" w:hAnsiTheme="minorEastAsia" w:eastAsiaTheme="minorEastAsia" w:cstheme="minorEastAsia"/>
          <w:color w:val="auto"/>
          <w:szCs w:val="21"/>
          <w:highlight w:val="none"/>
        </w:rPr>
        <w:t>采购代理机构对开标、投标人资格审查和</w:t>
      </w:r>
      <w:r>
        <w:rPr>
          <w:rFonts w:hint="eastAsia" w:ascii="宋体" w:hAnsi="宋体"/>
          <w:color w:val="auto"/>
          <w:szCs w:val="21"/>
          <w:highlight w:val="none"/>
        </w:rPr>
        <w:t>评标过程进行全程录音录像、文字记录，并存档备查。</w:t>
      </w:r>
    </w:p>
    <w:p w14:paraId="528CF660">
      <w:pPr>
        <w:pStyle w:val="7"/>
        <w:pageBreakBefore w:val="0"/>
        <w:widowControl w:val="0"/>
        <w:kinsoku/>
        <w:wordWrap/>
        <w:overflowPunct/>
        <w:topLinePunct w:val="0"/>
        <w:bidi w:val="0"/>
        <w:snapToGrid/>
        <w:spacing w:line="480" w:lineRule="exact"/>
        <w:ind w:firstLine="0"/>
        <w:jc w:val="center"/>
        <w:textAlignment w:val="auto"/>
        <w:rPr>
          <w:rFonts w:hint="eastAsia" w:ascii="黑体" w:hAnsi="宋体" w:eastAsia="黑体"/>
          <w:b/>
          <w:color w:val="auto"/>
          <w:kern w:val="44"/>
          <w:sz w:val="44"/>
          <w:szCs w:val="44"/>
          <w:highlight w:val="none"/>
        </w:rPr>
      </w:pPr>
    </w:p>
    <w:p w14:paraId="24FE93DE">
      <w:pPr>
        <w:pStyle w:val="8"/>
        <w:rPr>
          <w:rFonts w:hint="eastAsia" w:ascii="黑体" w:hAnsi="宋体" w:eastAsia="黑体"/>
          <w:b/>
          <w:color w:val="auto"/>
          <w:kern w:val="44"/>
          <w:sz w:val="44"/>
          <w:szCs w:val="44"/>
          <w:highlight w:val="none"/>
        </w:rPr>
      </w:pPr>
    </w:p>
    <w:p w14:paraId="25D8E6BA">
      <w:pPr>
        <w:rPr>
          <w:rFonts w:hint="eastAsia" w:ascii="黑体" w:hAnsi="宋体" w:eastAsia="黑体"/>
          <w:b/>
          <w:color w:val="auto"/>
          <w:kern w:val="44"/>
          <w:sz w:val="44"/>
          <w:szCs w:val="44"/>
          <w:highlight w:val="none"/>
        </w:rPr>
      </w:pPr>
    </w:p>
    <w:p w14:paraId="58E0DA3F">
      <w:pPr>
        <w:pStyle w:val="7"/>
        <w:rPr>
          <w:rFonts w:hint="eastAsia" w:ascii="黑体" w:hAnsi="宋体" w:eastAsia="黑体"/>
          <w:b/>
          <w:color w:val="auto"/>
          <w:kern w:val="44"/>
          <w:sz w:val="44"/>
          <w:szCs w:val="44"/>
          <w:highlight w:val="none"/>
        </w:rPr>
      </w:pPr>
    </w:p>
    <w:p w14:paraId="6ED342F9">
      <w:pPr>
        <w:pStyle w:val="8"/>
        <w:rPr>
          <w:rFonts w:hint="eastAsia" w:ascii="黑体" w:hAnsi="宋体" w:eastAsia="黑体"/>
          <w:b/>
          <w:color w:val="auto"/>
          <w:kern w:val="44"/>
          <w:sz w:val="44"/>
          <w:szCs w:val="44"/>
          <w:highlight w:val="none"/>
        </w:rPr>
      </w:pPr>
    </w:p>
    <w:p w14:paraId="10BC494D">
      <w:pPr>
        <w:rPr>
          <w:rFonts w:hint="eastAsia" w:ascii="黑体" w:hAnsi="宋体" w:eastAsia="黑体"/>
          <w:b/>
          <w:color w:val="auto"/>
          <w:kern w:val="44"/>
          <w:sz w:val="44"/>
          <w:szCs w:val="44"/>
          <w:highlight w:val="none"/>
        </w:rPr>
      </w:pPr>
    </w:p>
    <w:p w14:paraId="7322AAC8">
      <w:pPr>
        <w:pStyle w:val="7"/>
        <w:rPr>
          <w:rFonts w:hint="eastAsia" w:ascii="黑体" w:hAnsi="宋体" w:eastAsia="黑体"/>
          <w:b/>
          <w:color w:val="auto"/>
          <w:kern w:val="44"/>
          <w:sz w:val="44"/>
          <w:szCs w:val="44"/>
          <w:highlight w:val="none"/>
        </w:rPr>
      </w:pPr>
    </w:p>
    <w:p w14:paraId="1947FF7F">
      <w:pPr>
        <w:rPr>
          <w:rFonts w:hint="eastAsia" w:ascii="黑体" w:hAnsi="宋体" w:eastAsia="黑体"/>
          <w:b/>
          <w:color w:val="auto"/>
          <w:kern w:val="44"/>
          <w:sz w:val="44"/>
          <w:szCs w:val="44"/>
          <w:highlight w:val="none"/>
          <w:lang w:eastAsia="zh-CN"/>
        </w:rPr>
      </w:pPr>
    </w:p>
    <w:p w14:paraId="65850959">
      <w:pPr>
        <w:pStyle w:val="7"/>
        <w:rPr>
          <w:rFonts w:hint="eastAsia" w:ascii="黑体" w:hAnsi="宋体" w:eastAsia="黑体"/>
          <w:b/>
          <w:color w:val="auto"/>
          <w:kern w:val="44"/>
          <w:sz w:val="44"/>
          <w:szCs w:val="44"/>
          <w:highlight w:val="none"/>
          <w:lang w:eastAsia="zh-CN"/>
        </w:rPr>
      </w:pPr>
    </w:p>
    <w:p w14:paraId="41BB9287">
      <w:pPr>
        <w:pStyle w:val="8"/>
        <w:rPr>
          <w:rFonts w:hint="eastAsia" w:ascii="黑体" w:hAnsi="宋体" w:eastAsia="黑体"/>
          <w:b/>
          <w:color w:val="auto"/>
          <w:kern w:val="44"/>
          <w:sz w:val="44"/>
          <w:szCs w:val="44"/>
          <w:highlight w:val="none"/>
          <w:lang w:eastAsia="zh-CN"/>
        </w:rPr>
      </w:pPr>
    </w:p>
    <w:p w14:paraId="39A99304">
      <w:pPr>
        <w:rPr>
          <w:rFonts w:hint="eastAsia" w:ascii="黑体" w:hAnsi="宋体" w:eastAsia="黑体"/>
          <w:b/>
          <w:color w:val="auto"/>
          <w:kern w:val="44"/>
          <w:sz w:val="44"/>
          <w:szCs w:val="44"/>
          <w:highlight w:val="none"/>
          <w:lang w:eastAsia="zh-CN"/>
        </w:rPr>
      </w:pPr>
    </w:p>
    <w:p w14:paraId="7573D390">
      <w:pPr>
        <w:pStyle w:val="7"/>
        <w:rPr>
          <w:rFonts w:hint="eastAsia" w:ascii="黑体" w:hAnsi="宋体" w:eastAsia="黑体"/>
          <w:b/>
          <w:color w:val="auto"/>
          <w:kern w:val="44"/>
          <w:sz w:val="44"/>
          <w:szCs w:val="44"/>
          <w:highlight w:val="none"/>
          <w:lang w:eastAsia="zh-CN"/>
        </w:rPr>
      </w:pPr>
    </w:p>
    <w:p w14:paraId="4B71D428">
      <w:pPr>
        <w:pStyle w:val="8"/>
        <w:rPr>
          <w:rFonts w:hint="eastAsia" w:ascii="黑体" w:hAnsi="宋体" w:eastAsia="黑体"/>
          <w:b/>
          <w:color w:val="auto"/>
          <w:kern w:val="44"/>
          <w:sz w:val="44"/>
          <w:szCs w:val="44"/>
          <w:highlight w:val="none"/>
          <w:lang w:eastAsia="zh-CN"/>
        </w:rPr>
      </w:pPr>
    </w:p>
    <w:p w14:paraId="6BB340D4">
      <w:pPr>
        <w:rPr>
          <w:rFonts w:hint="eastAsia"/>
          <w:highlight w:val="none"/>
          <w:lang w:eastAsia="zh-CN"/>
        </w:rPr>
      </w:pPr>
    </w:p>
    <w:p w14:paraId="37B3635E">
      <w:pPr>
        <w:pStyle w:val="7"/>
        <w:rPr>
          <w:rFonts w:hint="eastAsia" w:ascii="黑体" w:hAnsi="宋体" w:eastAsia="黑体"/>
          <w:b/>
          <w:color w:val="auto"/>
          <w:kern w:val="44"/>
          <w:sz w:val="44"/>
          <w:szCs w:val="44"/>
          <w:highlight w:val="none"/>
          <w:lang w:eastAsia="zh-CN"/>
        </w:rPr>
      </w:pPr>
    </w:p>
    <w:p w14:paraId="7891759B">
      <w:pPr>
        <w:pStyle w:val="8"/>
        <w:rPr>
          <w:rFonts w:hint="eastAsia" w:ascii="黑体" w:hAnsi="宋体" w:eastAsia="黑体"/>
          <w:b/>
          <w:color w:val="auto"/>
          <w:kern w:val="44"/>
          <w:sz w:val="44"/>
          <w:szCs w:val="44"/>
          <w:highlight w:val="none"/>
          <w:lang w:eastAsia="zh-CN"/>
        </w:rPr>
      </w:pPr>
    </w:p>
    <w:p w14:paraId="141B6822">
      <w:pPr>
        <w:rPr>
          <w:rFonts w:hint="eastAsia" w:ascii="黑体" w:hAnsi="宋体" w:eastAsia="黑体"/>
          <w:b/>
          <w:color w:val="auto"/>
          <w:kern w:val="44"/>
          <w:sz w:val="44"/>
          <w:szCs w:val="44"/>
          <w:highlight w:val="none"/>
          <w:lang w:eastAsia="zh-CN"/>
        </w:rPr>
      </w:pPr>
    </w:p>
    <w:p w14:paraId="61C37102">
      <w:pPr>
        <w:pStyle w:val="7"/>
        <w:rPr>
          <w:rFonts w:hint="eastAsia" w:ascii="黑体" w:hAnsi="宋体" w:eastAsia="黑体"/>
          <w:b/>
          <w:color w:val="auto"/>
          <w:kern w:val="44"/>
          <w:sz w:val="44"/>
          <w:szCs w:val="44"/>
          <w:highlight w:val="none"/>
          <w:lang w:eastAsia="zh-CN"/>
        </w:rPr>
      </w:pPr>
    </w:p>
    <w:p w14:paraId="16A80D81">
      <w:pPr>
        <w:pStyle w:val="8"/>
        <w:rPr>
          <w:rFonts w:hint="eastAsia" w:ascii="黑体" w:hAnsi="宋体" w:eastAsia="黑体"/>
          <w:b/>
          <w:color w:val="auto"/>
          <w:kern w:val="44"/>
          <w:sz w:val="44"/>
          <w:szCs w:val="44"/>
          <w:highlight w:val="none"/>
          <w:lang w:eastAsia="zh-CN"/>
        </w:rPr>
      </w:pPr>
    </w:p>
    <w:p w14:paraId="663B4F92">
      <w:pPr>
        <w:rPr>
          <w:rFonts w:hint="eastAsia"/>
          <w:highlight w:val="none"/>
          <w:lang w:eastAsia="zh-CN"/>
        </w:rPr>
      </w:pPr>
    </w:p>
    <w:p w14:paraId="6E51EA38">
      <w:pPr>
        <w:rPr>
          <w:rFonts w:hint="eastAsia"/>
          <w:highlight w:val="none"/>
          <w:lang w:eastAsia="zh-CN"/>
        </w:rPr>
      </w:pPr>
    </w:p>
    <w:p w14:paraId="4EF1AE6E">
      <w:pPr>
        <w:rPr>
          <w:rFonts w:hint="eastAsia"/>
          <w:color w:val="auto"/>
          <w:highlight w:val="none"/>
        </w:rPr>
      </w:pPr>
    </w:p>
    <w:p w14:paraId="53C6709B">
      <w:pPr>
        <w:pStyle w:val="8"/>
        <w:rPr>
          <w:rFonts w:hint="eastAsia"/>
          <w:color w:val="auto"/>
          <w:highlight w:val="none"/>
        </w:rPr>
      </w:pPr>
    </w:p>
    <w:p w14:paraId="008C8D77">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b/>
          <w:color w:val="auto"/>
          <w:kern w:val="44"/>
          <w:sz w:val="44"/>
          <w:szCs w:val="44"/>
          <w:highlight w:val="none"/>
        </w:rPr>
      </w:pPr>
      <w:bookmarkStart w:id="182" w:name="_Toc5672"/>
      <w:r>
        <w:rPr>
          <w:rFonts w:hint="eastAsia" w:ascii="黑体" w:hAnsi="宋体" w:eastAsia="黑体"/>
          <w:b/>
          <w:color w:val="auto"/>
          <w:kern w:val="44"/>
          <w:sz w:val="44"/>
          <w:szCs w:val="44"/>
          <w:highlight w:val="none"/>
        </w:rPr>
        <w:t>第三章</w:t>
      </w:r>
      <w:bookmarkStart w:id="183" w:name="_Toc217446093"/>
      <w:r>
        <w:rPr>
          <w:rFonts w:hint="eastAsia" w:ascii="黑体" w:hAnsi="宋体" w:eastAsia="黑体"/>
          <w:b/>
          <w:color w:val="auto"/>
          <w:kern w:val="44"/>
          <w:sz w:val="44"/>
          <w:szCs w:val="44"/>
          <w:highlight w:val="none"/>
          <w:lang w:val="en-US" w:eastAsia="zh-CN"/>
        </w:rPr>
        <w:t xml:space="preserve"> </w:t>
      </w:r>
      <w:r>
        <w:rPr>
          <w:rFonts w:hint="eastAsia" w:ascii="黑体" w:hAnsi="宋体" w:eastAsia="黑体"/>
          <w:b/>
          <w:color w:val="auto"/>
          <w:kern w:val="44"/>
          <w:sz w:val="44"/>
          <w:szCs w:val="44"/>
          <w:highlight w:val="none"/>
        </w:rPr>
        <w:t>评标办法</w:t>
      </w:r>
      <w:bookmarkEnd w:id="182"/>
    </w:p>
    <w:p w14:paraId="5739D3F8">
      <w:pPr>
        <w:keepNext w:val="0"/>
        <w:keepLines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根据《中华人民共和国政府采购法》及其实施条例和《政府采购货物和服务招标投标管理办法》（财政部87号令）等法律法规规定，结合采购项目特点，</w:t>
      </w:r>
      <w:r>
        <w:rPr>
          <w:rFonts w:hint="eastAsia" w:ascii="宋体" w:hAnsi="宋体"/>
          <w:color w:val="auto"/>
          <w:szCs w:val="21"/>
          <w:highlight w:val="none"/>
          <w:lang w:val="en-US" w:eastAsia="zh-CN"/>
        </w:rPr>
        <w:t>特</w:t>
      </w:r>
      <w:r>
        <w:rPr>
          <w:rFonts w:hint="eastAsia" w:ascii="宋体" w:hAnsi="宋体"/>
          <w:color w:val="auto"/>
          <w:szCs w:val="21"/>
          <w:highlight w:val="none"/>
        </w:rPr>
        <w:t>制定本评标办法。</w:t>
      </w:r>
    </w:p>
    <w:p w14:paraId="19E13085">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4" w:name="_Toc3434"/>
      <w:r>
        <w:rPr>
          <w:rFonts w:hint="eastAsia" w:asciiTheme="minorEastAsia" w:hAnsiTheme="minorEastAsia" w:eastAsiaTheme="minorEastAsia" w:cstheme="minorEastAsia"/>
          <w:b/>
          <w:color w:val="auto"/>
          <w:sz w:val="36"/>
          <w:szCs w:val="36"/>
          <w:highlight w:val="none"/>
        </w:rPr>
        <w:t>1.评标程序</w:t>
      </w:r>
      <w:bookmarkEnd w:id="184"/>
    </w:p>
    <w:p w14:paraId="2486BEE0">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1.1 评标按照下列程序进行：</w:t>
      </w:r>
    </w:p>
    <w:p w14:paraId="053408B9">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（1）投标文件符合性审查；</w:t>
      </w:r>
    </w:p>
    <w:p w14:paraId="43F5C7C1">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（2）投标文件澄清或说明；</w:t>
      </w:r>
    </w:p>
    <w:p w14:paraId="6A6E9775">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（3）投标文件比较与评价；</w:t>
      </w:r>
    </w:p>
    <w:p w14:paraId="174E0C31">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（4）复核与核对评标结果；</w:t>
      </w:r>
    </w:p>
    <w:p w14:paraId="2805C629">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（5）确定中标候选人名单；</w:t>
      </w:r>
    </w:p>
    <w:p w14:paraId="38F91619">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出具</w:t>
      </w:r>
      <w:r>
        <w:rPr>
          <w:rFonts w:hint="eastAsia" w:ascii="宋体" w:hAnsi="宋体"/>
          <w:color w:val="auto"/>
          <w:szCs w:val="21"/>
          <w:highlight w:val="none"/>
        </w:rPr>
        <w:t>评标报告。</w:t>
      </w:r>
    </w:p>
    <w:p w14:paraId="5F447249">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1.2 投标文件符合性审查</w:t>
      </w:r>
    </w:p>
    <w:p w14:paraId="2AB741D0">
      <w:pPr>
        <w:keepNext w:val="0"/>
        <w:keepLines w:val="0"/>
        <w:widowControl w:val="0"/>
        <w:kinsoku/>
        <w:wordWrap/>
        <w:overflowPunct/>
        <w:topLinePunct w:val="0"/>
        <w:autoSpaceDE/>
        <w:autoSpaceDN/>
        <w:bidi w:val="0"/>
        <w:adjustRightInd/>
        <w:snapToGrid/>
        <w:spacing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1.2.1 评标委员会依法对符合资格条件的投标人的投标文件进行符合性审查。评标委员会从投标文件的有效性、完整性和对招标文件的响应程度进行审查，以确定其是否对招标文件实质性内容作出响应</w:t>
      </w:r>
      <w:r>
        <w:rPr>
          <w:rFonts w:hint="eastAsia" w:ascii="宋体" w:hAnsi="宋体" w:cs="宋体"/>
          <w:color w:val="auto"/>
          <w:kern w:val="0"/>
          <w:szCs w:val="21"/>
          <w:highlight w:val="none"/>
        </w:rPr>
        <w:t>（采购人可根据具体项目的情况对实质性要求作特别的具体规定）</w:t>
      </w:r>
      <w:r>
        <w:rPr>
          <w:rFonts w:hint="eastAsia" w:ascii="宋体" w:hAnsi="宋体"/>
          <w:color w:val="auto"/>
          <w:szCs w:val="21"/>
          <w:highlight w:val="none"/>
        </w:rPr>
        <w:t>。</w:t>
      </w:r>
    </w:p>
    <w:p w14:paraId="5A4743EB">
      <w:pPr>
        <w:keepNext w:val="0"/>
        <w:keepLines w:val="0"/>
        <w:widowControl w:val="0"/>
        <w:kinsoku/>
        <w:wordWrap/>
        <w:overflowPunct/>
        <w:topLinePunct w:val="0"/>
        <w:autoSpaceDE/>
        <w:autoSpaceDN/>
        <w:bidi w:val="0"/>
        <w:adjustRightInd/>
        <w:snapToGrid/>
        <w:spacing w:after="120" w:afterLines="50"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1.2.2</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评标委员会按下列评审标准进行符合性审查：</w:t>
      </w:r>
    </w:p>
    <w:tbl>
      <w:tblPr>
        <w:tblStyle w:val="23"/>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8341"/>
      </w:tblGrid>
      <w:tr w14:paraId="427FF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92" w:type="dxa"/>
            <w:noWrap w:val="0"/>
            <w:vAlign w:val="center"/>
          </w:tcPr>
          <w:p w14:paraId="1C179FC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序号</w:t>
            </w:r>
          </w:p>
        </w:tc>
        <w:tc>
          <w:tcPr>
            <w:tcW w:w="8341" w:type="dxa"/>
            <w:noWrap w:val="0"/>
            <w:vAlign w:val="center"/>
          </w:tcPr>
          <w:p w14:paraId="39DEAE4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符合性审查要求</w:t>
            </w:r>
          </w:p>
        </w:tc>
      </w:tr>
      <w:tr w14:paraId="3452D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692" w:type="dxa"/>
            <w:noWrap w:val="0"/>
            <w:vAlign w:val="center"/>
          </w:tcPr>
          <w:p w14:paraId="4221312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1</w:t>
            </w:r>
          </w:p>
        </w:tc>
        <w:tc>
          <w:tcPr>
            <w:tcW w:w="8341" w:type="dxa"/>
            <w:noWrap w:val="0"/>
            <w:vAlign w:val="center"/>
          </w:tcPr>
          <w:p w14:paraId="2B7603F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是否按</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color w:val="auto"/>
                <w:sz w:val="21"/>
                <w:szCs w:val="21"/>
                <w:highlight w:val="none"/>
              </w:rPr>
              <w:t>文件格式要求提供单位盖章及法定代表人或委托代理人签字（或签章）。</w:t>
            </w:r>
          </w:p>
        </w:tc>
      </w:tr>
      <w:tr w14:paraId="08CF6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692" w:type="dxa"/>
            <w:noWrap w:val="0"/>
            <w:vAlign w:val="center"/>
          </w:tcPr>
          <w:p w14:paraId="54EE010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2</w:t>
            </w:r>
          </w:p>
        </w:tc>
        <w:tc>
          <w:tcPr>
            <w:tcW w:w="8341" w:type="dxa"/>
            <w:noWrap w:val="0"/>
            <w:vAlign w:val="center"/>
          </w:tcPr>
          <w:p w14:paraId="6158CB4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投标报价是否超过预算金</w:t>
            </w:r>
            <w:r>
              <w:rPr>
                <w:rFonts w:hint="eastAsia" w:asciiTheme="minorEastAsia" w:hAnsiTheme="minorEastAsia" w:eastAsiaTheme="minorEastAsia" w:cstheme="minorEastAsia"/>
                <w:color w:val="auto"/>
                <w:sz w:val="21"/>
                <w:szCs w:val="21"/>
                <w:highlight w:val="none"/>
                <w:lang w:val="en-US" w:eastAsia="zh-CN"/>
              </w:rPr>
              <w:t>额或最高限价。</w:t>
            </w:r>
          </w:p>
        </w:tc>
      </w:tr>
      <w:tr w14:paraId="484E0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45960C7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3</w:t>
            </w:r>
          </w:p>
        </w:tc>
        <w:tc>
          <w:tcPr>
            <w:tcW w:w="8341" w:type="dxa"/>
            <w:noWrap w:val="0"/>
            <w:vAlign w:val="center"/>
          </w:tcPr>
          <w:p w14:paraId="0792E99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评标委员会认为</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的报价明显低于其他通过符合性审查</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的报价，有可能影响产品质量或者不能诚信履</w:t>
            </w:r>
            <w:r>
              <w:rPr>
                <w:rFonts w:hint="eastAsia" w:asciiTheme="minorEastAsia" w:hAnsiTheme="minorEastAsia" w:eastAsiaTheme="minorEastAsia" w:cstheme="minorEastAsia"/>
                <w:color w:val="auto"/>
                <w:sz w:val="21"/>
                <w:szCs w:val="21"/>
                <w:highlight w:val="none"/>
                <w:lang w:val="en-US" w:eastAsia="zh-CN"/>
              </w:rPr>
              <w:t>约</w:t>
            </w:r>
            <w:r>
              <w:rPr>
                <w:rFonts w:hint="eastAsia" w:asciiTheme="minorEastAsia" w:hAnsiTheme="minorEastAsia" w:eastAsiaTheme="minorEastAsia" w:cstheme="minorEastAsia"/>
                <w:color w:val="auto"/>
                <w:sz w:val="21"/>
                <w:szCs w:val="21"/>
                <w:highlight w:val="none"/>
              </w:rPr>
              <w:t>的，应当要求其在评标现场合理的时间内提供书面说明，必要时提交相关证明材料；</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不能证明其报价合理性的，评标委员会应当将其作为无效投标处理</w:t>
            </w:r>
            <w:r>
              <w:rPr>
                <w:rFonts w:hint="eastAsia" w:asciiTheme="minorEastAsia" w:hAnsiTheme="minorEastAsia" w:eastAsiaTheme="minorEastAsia" w:cstheme="minorEastAsia"/>
                <w:color w:val="auto"/>
                <w:sz w:val="21"/>
                <w:szCs w:val="21"/>
                <w:highlight w:val="none"/>
                <w:lang w:eastAsia="zh-CN"/>
              </w:rPr>
              <w:t>。</w:t>
            </w:r>
          </w:p>
        </w:tc>
      </w:tr>
      <w:tr w14:paraId="53C9B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13CCEA5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4</w:t>
            </w:r>
          </w:p>
        </w:tc>
        <w:tc>
          <w:tcPr>
            <w:tcW w:w="8341" w:type="dxa"/>
            <w:noWrap w:val="0"/>
            <w:vAlign w:val="center"/>
          </w:tcPr>
          <w:p w14:paraId="0AB8E818">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color w:val="auto"/>
                <w:kern w:val="2"/>
                <w:sz w:val="21"/>
                <w:szCs w:val="21"/>
                <w:highlight w:val="none"/>
                <w:lang w:val="en-US" w:eastAsia="zh-CN" w:bidi="ar-SA"/>
              </w:rPr>
              <w:t>投标有效期（90日历日）是否满足</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b w:val="0"/>
                <w:bCs/>
                <w:color w:val="auto"/>
                <w:kern w:val="2"/>
                <w:sz w:val="21"/>
                <w:szCs w:val="21"/>
                <w:highlight w:val="none"/>
                <w:lang w:val="en-US" w:eastAsia="zh-CN" w:bidi="ar-SA"/>
              </w:rPr>
              <w:t>文件要求的。</w:t>
            </w:r>
          </w:p>
        </w:tc>
      </w:tr>
      <w:tr w14:paraId="55103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92" w:type="dxa"/>
            <w:noWrap w:val="0"/>
            <w:vAlign w:val="center"/>
          </w:tcPr>
          <w:p w14:paraId="1735CC3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5</w:t>
            </w:r>
          </w:p>
        </w:tc>
        <w:tc>
          <w:tcPr>
            <w:tcW w:w="8341" w:type="dxa"/>
            <w:noWrap w:val="0"/>
            <w:vAlign w:val="center"/>
          </w:tcPr>
          <w:p w14:paraId="788D099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投标人所报项目合同履行期限</w:t>
            </w:r>
            <w:r>
              <w:rPr>
                <w:rFonts w:hint="eastAsia" w:asciiTheme="minorEastAsia" w:hAnsiTheme="minorEastAsia" w:eastAsiaTheme="minorEastAsia" w:cstheme="minorEastAsia"/>
                <w:b w:val="0"/>
                <w:bCs/>
                <w:color w:val="auto"/>
                <w:kern w:val="2"/>
                <w:sz w:val="21"/>
                <w:szCs w:val="21"/>
                <w:highlight w:val="none"/>
                <w:lang w:val="zh-CN" w:eastAsia="zh-CN" w:bidi="ar-SA"/>
              </w:rPr>
              <w:t>、</w:t>
            </w:r>
            <w:r>
              <w:rPr>
                <w:rFonts w:hint="eastAsia" w:asciiTheme="minorEastAsia" w:hAnsiTheme="minorEastAsia" w:eastAsiaTheme="minorEastAsia" w:cstheme="minorEastAsia"/>
                <w:b w:val="0"/>
                <w:bCs/>
                <w:color w:val="auto"/>
                <w:kern w:val="2"/>
                <w:sz w:val="21"/>
                <w:szCs w:val="21"/>
                <w:highlight w:val="none"/>
                <w:lang w:val="en-US" w:eastAsia="zh-CN" w:bidi="ar-SA"/>
              </w:rPr>
              <w:t>质保期限是否满足招标文件规定期限的。</w:t>
            </w:r>
          </w:p>
        </w:tc>
      </w:tr>
      <w:tr w14:paraId="596A4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692" w:type="dxa"/>
            <w:noWrap w:val="0"/>
            <w:vAlign w:val="center"/>
          </w:tcPr>
          <w:p w14:paraId="2F1E865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6</w:t>
            </w:r>
          </w:p>
        </w:tc>
        <w:tc>
          <w:tcPr>
            <w:tcW w:w="8341" w:type="dxa"/>
            <w:noWrap w:val="0"/>
            <w:vAlign w:val="center"/>
          </w:tcPr>
          <w:p w14:paraId="1A0B88F1">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投标文件是否存在其它不符合法律法规或招标文件规定的其它投标无效条款。</w:t>
            </w:r>
          </w:p>
        </w:tc>
      </w:tr>
      <w:tr w14:paraId="7FBC0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8" w:hRule="atLeast"/>
          <w:jc w:val="center"/>
        </w:trPr>
        <w:tc>
          <w:tcPr>
            <w:tcW w:w="9033" w:type="dxa"/>
            <w:gridSpan w:val="2"/>
            <w:noWrap w:val="0"/>
            <w:vAlign w:val="center"/>
          </w:tcPr>
          <w:p w14:paraId="341C78D6">
            <w:pPr>
              <w:spacing w:line="440" w:lineRule="exact"/>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说明：评标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sz w:val="21"/>
                <w:szCs w:val="21"/>
                <w:highlight w:val="none"/>
              </w:rPr>
              <w:t>在开标时对供应商在商务技术部分上传的投标响应文件进行审查，以上各项有1项不合格，评审不予通过，作为</w:t>
            </w:r>
            <w:r>
              <w:rPr>
                <w:rFonts w:hint="eastAsia" w:asciiTheme="minorEastAsia" w:hAnsiTheme="minorEastAsia" w:eastAsiaTheme="minorEastAsia" w:cstheme="minorEastAsia"/>
                <w:b w:val="0"/>
                <w:bCs/>
                <w:color w:val="auto"/>
                <w:kern w:val="2"/>
                <w:sz w:val="21"/>
                <w:szCs w:val="21"/>
                <w:highlight w:val="none"/>
                <w:lang w:val="en-US" w:eastAsia="zh-CN" w:bidi="ar-SA"/>
              </w:rPr>
              <w:t>符合性审查</w:t>
            </w:r>
            <w:r>
              <w:rPr>
                <w:rFonts w:hint="eastAsia" w:asciiTheme="minorEastAsia" w:hAnsiTheme="minorEastAsia" w:eastAsiaTheme="minorEastAsia" w:cstheme="minorEastAsia"/>
                <w:color w:val="auto"/>
                <w:sz w:val="21"/>
                <w:szCs w:val="21"/>
                <w:highlight w:val="none"/>
              </w:rPr>
              <w:t>未</w:t>
            </w:r>
            <w:r>
              <w:rPr>
                <w:rFonts w:hint="eastAsia" w:asciiTheme="minorEastAsia" w:hAnsiTheme="minorEastAsia" w:eastAsiaTheme="minorEastAsia" w:cstheme="minorEastAsia"/>
                <w:color w:val="auto"/>
                <w:sz w:val="21"/>
                <w:szCs w:val="21"/>
                <w:highlight w:val="none"/>
                <w:lang w:val="en-US" w:eastAsia="zh-CN"/>
              </w:rPr>
              <w:t>通过</w:t>
            </w:r>
            <w:r>
              <w:rPr>
                <w:rFonts w:hint="eastAsia" w:asciiTheme="minorEastAsia" w:hAnsiTheme="minorEastAsia" w:eastAsiaTheme="minorEastAsia" w:cstheme="minorEastAsia"/>
                <w:color w:val="auto"/>
                <w:sz w:val="21"/>
                <w:szCs w:val="21"/>
                <w:highlight w:val="none"/>
              </w:rPr>
              <w:t>。未通过符合性检查的投标文件，不得进入后续评标环节。</w:t>
            </w:r>
          </w:p>
        </w:tc>
      </w:tr>
    </w:tbl>
    <w:p w14:paraId="198B7F4B">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1.3 投标文件的澄清</w:t>
      </w:r>
    </w:p>
    <w:p w14:paraId="2F746F2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1.3.1为有助于投标文件的审查、比较和评价，评标委员会可以书面形式</w:t>
      </w:r>
      <w:r>
        <w:rPr>
          <w:rFonts w:hint="eastAsia"/>
          <w:color w:val="auto"/>
          <w:sz w:val="21"/>
          <w:szCs w:val="21"/>
          <w:highlight w:val="none"/>
          <w:lang w:val="zh-CN"/>
        </w:rPr>
        <w:t>或政采云平台</w:t>
      </w:r>
      <w:r>
        <w:rPr>
          <w:rFonts w:hint="eastAsia" w:ascii="宋体" w:hAnsi="宋体"/>
          <w:color w:val="auto"/>
          <w:szCs w:val="21"/>
          <w:highlight w:val="none"/>
        </w:rPr>
        <w:t>要求投标人对其投标文件中含义不明确、同类问题表述不一致或者有明显文字和计算错误的内容作必要的澄清、说明或者补正。有关澄清、说明或者补正应以书面形式</w:t>
      </w:r>
      <w:r>
        <w:rPr>
          <w:rFonts w:hint="eastAsia" w:ascii="宋体" w:hAnsi="宋体"/>
          <w:color w:val="auto"/>
          <w:szCs w:val="21"/>
          <w:highlight w:val="none"/>
          <w:lang w:val="zh-CN"/>
        </w:rPr>
        <w:t>或政采云平台</w:t>
      </w:r>
      <w:r>
        <w:rPr>
          <w:rFonts w:hint="eastAsia" w:ascii="宋体" w:hAnsi="宋体"/>
          <w:color w:val="auto"/>
          <w:szCs w:val="21"/>
          <w:highlight w:val="none"/>
        </w:rPr>
        <w:t>提交，并由其法定代表人或委托代理人签字。评标委员会不接受投标人主动提出的澄清、说明或者补正。</w:t>
      </w:r>
    </w:p>
    <w:p w14:paraId="388066C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1.3.2 投标人的澄清、说明或者补正不得超出投标文件的范围或者改变投标文件的实质性内容，并构成为投标文件的组成部分。</w:t>
      </w:r>
    </w:p>
    <w:p w14:paraId="4AE18FB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1.3.3 评标委员会对投标人提交的澄清、说明或者补正有疑问的，可以要求投标人进一步澄清、说明或者补正，直至满足评标委员会的要求。</w:t>
      </w:r>
    </w:p>
    <w:p w14:paraId="13C70948">
      <w:pPr>
        <w:keepNext w:val="0"/>
        <w:keepLines w:val="0"/>
        <w:pageBreakBefore w:val="0"/>
        <w:kinsoku/>
        <w:wordWrap/>
        <w:overflowPunct/>
        <w:topLinePunct w:val="0"/>
        <w:bidi w:val="0"/>
        <w:spacing w:before="120" w:beforeLines="50" w:after="120" w:afterLines="50" w:line="480" w:lineRule="exact"/>
        <w:jc w:val="left"/>
        <w:rPr>
          <w:rFonts w:hint="eastAsia" w:ascii="宋体" w:hAnsi="宋体"/>
          <w:b/>
          <w:color w:val="auto"/>
          <w:sz w:val="30"/>
          <w:szCs w:val="30"/>
          <w:highlight w:val="none"/>
        </w:rPr>
      </w:pPr>
      <w:r>
        <w:rPr>
          <w:rFonts w:hint="eastAsia" w:ascii="宋体" w:hAnsi="宋体"/>
          <w:b/>
          <w:color w:val="auto"/>
          <w:sz w:val="30"/>
          <w:szCs w:val="30"/>
          <w:highlight w:val="none"/>
        </w:rPr>
        <w:t>1.4 投标文件比较与评价</w:t>
      </w:r>
    </w:p>
    <w:p w14:paraId="00A633B1">
      <w:pPr>
        <w:keepNext w:val="0"/>
        <w:keepLines w:val="0"/>
        <w:pageBreakBefore w:val="0"/>
        <w:tabs>
          <w:tab w:val="left" w:pos="0"/>
        </w:tabs>
        <w:kinsoku/>
        <w:wordWrap/>
        <w:overflowPunct/>
        <w:topLinePunct w:val="0"/>
        <w:bidi w:val="0"/>
        <w:adjustRightInd w:val="0"/>
        <w:snapToGrid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1.4.1 </w:t>
      </w:r>
      <w:r>
        <w:rPr>
          <w:rFonts w:hint="eastAsia" w:ascii="宋体" w:hAnsi="宋体"/>
          <w:bCs/>
          <w:color w:val="auto"/>
          <w:szCs w:val="21"/>
          <w:highlight w:val="none"/>
        </w:rPr>
        <w:t>评标委员会应按照招标文件中规定的评标方法</w:t>
      </w:r>
      <w:r>
        <w:rPr>
          <w:rFonts w:hint="eastAsia" w:ascii="宋体" w:hAnsi="宋体"/>
          <w:color w:val="auto"/>
          <w:szCs w:val="21"/>
          <w:highlight w:val="none"/>
        </w:rPr>
        <w:t>和标准，</w:t>
      </w:r>
      <w:r>
        <w:rPr>
          <w:rFonts w:hint="eastAsia" w:ascii="宋体" w:hAnsi="宋体"/>
          <w:bCs/>
          <w:color w:val="auto"/>
          <w:szCs w:val="21"/>
          <w:highlight w:val="none"/>
        </w:rPr>
        <w:t>对</w:t>
      </w:r>
      <w:r>
        <w:rPr>
          <w:rFonts w:hint="eastAsia" w:ascii="宋体" w:hAnsi="宋体"/>
          <w:color w:val="auto"/>
          <w:szCs w:val="21"/>
          <w:highlight w:val="none"/>
        </w:rPr>
        <w:t>符合性检查</w:t>
      </w:r>
      <w:r>
        <w:rPr>
          <w:rFonts w:hint="eastAsia" w:ascii="宋体" w:hAnsi="宋体"/>
          <w:bCs/>
          <w:color w:val="auto"/>
          <w:szCs w:val="21"/>
          <w:highlight w:val="none"/>
        </w:rPr>
        <w:t>通过的投标文件进行商务和技术评估，综合比较与评价。</w:t>
      </w:r>
    </w:p>
    <w:p w14:paraId="27448C09">
      <w:pPr>
        <w:keepNext w:val="0"/>
        <w:keepLines w:val="0"/>
        <w:pageBreakBefore w:val="0"/>
        <w:kinsoku/>
        <w:wordWrap/>
        <w:overflowPunct/>
        <w:topLinePunct w:val="0"/>
        <w:bidi w:val="0"/>
        <w:spacing w:line="480" w:lineRule="exact"/>
        <w:ind w:firstLine="411" w:firstLineChars="196"/>
        <w:rPr>
          <w:rFonts w:hint="eastAsia" w:ascii="宋体" w:hAnsi="宋体"/>
          <w:color w:val="auto"/>
          <w:szCs w:val="21"/>
          <w:highlight w:val="none"/>
        </w:rPr>
      </w:pPr>
      <w:r>
        <w:rPr>
          <w:rFonts w:hint="eastAsia" w:ascii="宋体" w:hAnsi="宋体"/>
          <w:color w:val="auto"/>
          <w:szCs w:val="21"/>
          <w:highlight w:val="none"/>
        </w:rPr>
        <w:t>1.4.2 如果投标文件没有实质性响应招标文件的要求，评标委员会将予以拒绝。投标人不得通过修正或撤销不合要求的偏离或保留，从而使其投标成为实质性响应的投标。</w:t>
      </w:r>
    </w:p>
    <w:p w14:paraId="17E1AA6F">
      <w:pPr>
        <w:keepNext w:val="0"/>
        <w:keepLines w:val="0"/>
        <w:pageBreakBefore w:val="0"/>
        <w:kinsoku/>
        <w:wordWrap/>
        <w:overflowPunct/>
        <w:topLinePunct w:val="0"/>
        <w:bidi w:val="0"/>
        <w:spacing w:before="120" w:before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1.5 复核与核对评标结果</w:t>
      </w:r>
    </w:p>
    <w:p w14:paraId="223F17CD">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1.5.1 评分汇总结束后，评标委员会应当进行复核，特别要对拟推荐中标候选人的、报价最低的、投标文件被认定无效的进行重点复核。</w:t>
      </w:r>
    </w:p>
    <w:p w14:paraId="17EBD52A">
      <w:pPr>
        <w:pStyle w:val="37"/>
        <w:keepNext w:val="0"/>
        <w:keepLines w:val="0"/>
        <w:pageBreakBefore w:val="0"/>
        <w:kinsoku/>
        <w:wordWrap/>
        <w:overflowPunct/>
        <w:topLinePunct w:val="0"/>
        <w:bidi w:val="0"/>
        <w:spacing w:line="480" w:lineRule="exact"/>
        <w:ind w:firstLine="420" w:firstLineChars="200"/>
        <w:rPr>
          <w:rFonts w:hint="eastAsia" w:ascii="宋体" w:hAnsi="宋体"/>
          <w:color w:val="auto"/>
          <w:highlight w:val="none"/>
        </w:rPr>
      </w:pPr>
      <w:r>
        <w:rPr>
          <w:rFonts w:hint="eastAsia" w:ascii="宋体" w:hAnsi="宋体"/>
          <w:color w:val="auto"/>
          <w:highlight w:val="none"/>
        </w:rPr>
        <w:t>1.5.2 评标结果汇总完成后，</w:t>
      </w:r>
      <w:r>
        <w:rPr>
          <w:rFonts w:ascii="宋体" w:hAnsi="宋体"/>
          <w:color w:val="auto"/>
          <w:highlight w:val="none"/>
        </w:rPr>
        <w:t>评标报告签署前，</w:t>
      </w:r>
      <w:r>
        <w:rPr>
          <w:rFonts w:hint="eastAsia" w:ascii="宋体" w:hAnsi="宋体"/>
          <w:color w:val="auto"/>
          <w:highlight w:val="none"/>
        </w:rPr>
        <w:t>采购代理机构应当</w:t>
      </w:r>
      <w:r>
        <w:rPr>
          <w:rFonts w:ascii="宋体" w:hAnsi="宋体"/>
          <w:bCs/>
          <w:color w:val="auto"/>
          <w:highlight w:val="none"/>
        </w:rPr>
        <w:t>核对评标结果，</w:t>
      </w:r>
      <w:r>
        <w:rPr>
          <w:rFonts w:ascii="宋体" w:hAnsi="宋体"/>
          <w:color w:val="auto"/>
          <w:highlight w:val="none"/>
        </w:rPr>
        <w:t>除下列情形外，任何人不得修改评标结果：</w:t>
      </w:r>
    </w:p>
    <w:p w14:paraId="0BDAAE7C">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）分值汇总计算错误的；</w:t>
      </w:r>
    </w:p>
    <w:p w14:paraId="7A65D9C0">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）分项评分超出评分标准范围的；</w:t>
      </w:r>
    </w:p>
    <w:p w14:paraId="2B98EDE1">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）评标委员会对客观评审因素评分不一致的；</w:t>
      </w:r>
    </w:p>
    <w:p w14:paraId="596D6153">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）经评标委员会认定评分畸高、畸低的。</w:t>
      </w:r>
    </w:p>
    <w:p w14:paraId="3B2BA4A2">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1.6 确定中标候选人名单</w:t>
      </w:r>
    </w:p>
    <w:p w14:paraId="7492FFE8">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定标及定标程序祥见第二章第9.1、9.2条款。</w:t>
      </w:r>
    </w:p>
    <w:p w14:paraId="6DF1F327">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 xml:space="preserve">1.7 </w:t>
      </w:r>
      <w:r>
        <w:rPr>
          <w:rFonts w:hint="eastAsia" w:ascii="宋体" w:hAnsi="宋体"/>
          <w:b/>
          <w:color w:val="auto"/>
          <w:sz w:val="30"/>
          <w:szCs w:val="30"/>
          <w:highlight w:val="none"/>
          <w:lang w:val="en-US" w:eastAsia="zh-CN"/>
        </w:rPr>
        <w:t>出具</w:t>
      </w:r>
      <w:r>
        <w:rPr>
          <w:rFonts w:hint="eastAsia" w:ascii="宋体" w:hAnsi="宋体"/>
          <w:b/>
          <w:color w:val="auto"/>
          <w:sz w:val="30"/>
          <w:szCs w:val="30"/>
          <w:highlight w:val="none"/>
        </w:rPr>
        <w:t>评标报告</w:t>
      </w:r>
    </w:p>
    <w:p w14:paraId="4D4083D2">
      <w:pPr>
        <w:keepNext w:val="0"/>
        <w:keepLines w:val="0"/>
        <w:pageBreakBefore w:val="0"/>
        <w:widowControl/>
        <w:kinsoku/>
        <w:wordWrap/>
        <w:overflowPunct/>
        <w:topLinePunct w:val="0"/>
        <w:bidi w:val="0"/>
        <w:spacing w:line="480" w:lineRule="exact"/>
        <w:ind w:firstLine="420" w:firstLineChars="200"/>
        <w:jc w:val="left"/>
        <w:rPr>
          <w:rFonts w:hint="eastAsia" w:ascii="宋体" w:hAnsi="宋体" w:cs="宋体"/>
          <w:color w:val="auto"/>
          <w:kern w:val="0"/>
          <w:szCs w:val="21"/>
          <w:highlight w:val="none"/>
        </w:rPr>
      </w:pPr>
      <w:r>
        <w:rPr>
          <w:rFonts w:hint="eastAsia" w:ascii="宋体" w:hAnsi="宋体"/>
          <w:color w:val="auto"/>
          <w:szCs w:val="21"/>
          <w:highlight w:val="none"/>
        </w:rPr>
        <w:t>1.7.1 评标委员会在确定中标候选人名单后，</w:t>
      </w:r>
      <w:r>
        <w:rPr>
          <w:rFonts w:hint="eastAsia" w:ascii="宋体" w:hAnsi="宋体"/>
          <w:color w:val="auto"/>
          <w:szCs w:val="21"/>
          <w:highlight w:val="none"/>
          <w:lang w:val="en-US" w:eastAsia="zh-CN"/>
        </w:rPr>
        <w:t>在政采云平台打印</w:t>
      </w:r>
      <w:r>
        <w:rPr>
          <w:rFonts w:hint="eastAsia" w:ascii="宋体" w:hAnsi="宋体"/>
          <w:color w:val="auto"/>
          <w:szCs w:val="21"/>
          <w:highlight w:val="none"/>
        </w:rPr>
        <w:t>评标报告并向采购人出具。</w:t>
      </w:r>
    </w:p>
    <w:p w14:paraId="38FAF3DA">
      <w:pPr>
        <w:keepNext w:val="0"/>
        <w:keepLines w:val="0"/>
        <w:pageBreakBefore w:val="0"/>
        <w:widowControl/>
        <w:kinsoku/>
        <w:wordWrap/>
        <w:overflowPunct/>
        <w:topLinePunct w:val="0"/>
        <w:bidi w:val="0"/>
        <w:spacing w:line="480" w:lineRule="exact"/>
        <w:ind w:firstLine="480"/>
        <w:jc w:val="left"/>
        <w:rPr>
          <w:rFonts w:hint="eastAsia" w:asciiTheme="minorEastAsia" w:hAnsiTheme="minorEastAsia" w:eastAsiaTheme="minorEastAsia" w:cstheme="minorEastAsia"/>
          <w:color w:val="auto"/>
          <w:kern w:val="0"/>
          <w:szCs w:val="21"/>
          <w:highlight w:val="none"/>
        </w:rPr>
      </w:pPr>
      <w:r>
        <w:rPr>
          <w:rFonts w:hint="eastAsia" w:ascii="宋体" w:hAnsi="宋体" w:cs="宋体"/>
          <w:color w:val="auto"/>
          <w:kern w:val="0"/>
          <w:szCs w:val="21"/>
          <w:highlight w:val="none"/>
        </w:rPr>
        <w:t>1.7.2 评标委员会成员应当对评标报告予以签字确认，对评标过程有不同意见的，应当在评标报告中写明并说明理由。签字但未写明不同意见或者未说明理由的，视同无意见。拒不签字又未另</w:t>
      </w:r>
      <w:r>
        <w:rPr>
          <w:rFonts w:hint="eastAsia" w:asciiTheme="minorEastAsia" w:hAnsiTheme="minorEastAsia" w:eastAsiaTheme="minorEastAsia" w:cstheme="minorEastAsia"/>
          <w:color w:val="auto"/>
          <w:kern w:val="0"/>
          <w:szCs w:val="21"/>
          <w:highlight w:val="none"/>
        </w:rPr>
        <w:t>行书面说明其不同意见和理由的，视同同意评标报告。</w:t>
      </w:r>
    </w:p>
    <w:p w14:paraId="792F7986">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5" w:name="_Toc23816"/>
      <w:r>
        <w:rPr>
          <w:rFonts w:hint="eastAsia" w:asciiTheme="minorEastAsia" w:hAnsiTheme="minorEastAsia" w:eastAsiaTheme="minorEastAsia" w:cstheme="minorEastAsia"/>
          <w:b/>
          <w:color w:val="auto"/>
          <w:sz w:val="36"/>
          <w:szCs w:val="36"/>
          <w:highlight w:val="none"/>
        </w:rPr>
        <w:t>2.评标方法</w:t>
      </w:r>
      <w:bookmarkEnd w:id="185"/>
    </w:p>
    <w:p w14:paraId="65BD9B22">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综合评分法</w:t>
      </w:r>
    </w:p>
    <w:p w14:paraId="5E623548">
      <w:pPr>
        <w:keepNext w:val="0"/>
        <w:keepLines w:val="0"/>
        <w:pageBreakBefore w:val="0"/>
        <w:widowControl/>
        <w:kinsoku/>
        <w:wordWrap/>
        <w:overflowPunct/>
        <w:topLinePunct w:val="0"/>
        <w:bidi w:val="0"/>
        <w:spacing w:line="480" w:lineRule="exact"/>
        <w:ind w:firstLine="420" w:firstLineChars="200"/>
        <w:jc w:val="left"/>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本采购项目评标方法采用综合评分法。即</w:t>
      </w:r>
      <w:r>
        <w:rPr>
          <w:rFonts w:hint="eastAsia" w:asciiTheme="minorEastAsia" w:hAnsiTheme="minorEastAsia" w:eastAsiaTheme="minorEastAsia" w:cstheme="minorEastAsia"/>
          <w:color w:val="auto"/>
          <w:kern w:val="0"/>
          <w:szCs w:val="21"/>
          <w:highlight w:val="none"/>
        </w:rPr>
        <w:t>投标文件满足招标文件全部实质性要求，且按照评审因素的量化指标评审得分最高的投标人为中标候选人的评标方法。</w:t>
      </w:r>
    </w:p>
    <w:p w14:paraId="60FCE5D5">
      <w:pPr>
        <w:keepNext w:val="0"/>
        <w:keepLines w:val="0"/>
        <w:pageBreakBefore w:val="0"/>
        <w:widowControl/>
        <w:kinsoku/>
        <w:wordWrap/>
        <w:overflowPunct/>
        <w:topLinePunct w:val="0"/>
        <w:autoSpaceDE w:val="0"/>
        <w:autoSpaceDN w:val="0"/>
        <w:bidi w:val="0"/>
        <w:spacing w:before="120" w:beforeLines="50" w:after="120" w:afterLines="50" w:line="480" w:lineRule="exact"/>
        <w:ind w:right="51"/>
        <w:textAlignment w:val="bottom"/>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2.2 评标细则及标准</w:t>
      </w:r>
    </w:p>
    <w:p w14:paraId="27C5AB22">
      <w:pPr>
        <w:pStyle w:val="12"/>
        <w:keepNext w:val="0"/>
        <w:keepLines w:val="0"/>
        <w:pageBreakBefore w:val="0"/>
        <w:kinsoku/>
        <w:wordWrap/>
        <w:overflowPunct/>
        <w:topLinePunct w:val="0"/>
        <w:bidi w:val="0"/>
        <w:adjustRightInd w:val="0"/>
        <w:snapToGrid w:val="0"/>
        <w:spacing w:line="480" w:lineRule="exact"/>
        <w:ind w:firstLine="420" w:firstLineChars="200"/>
        <w:rPr>
          <w:rFonts w:hint="eastAsia" w:hAnsi="宋体"/>
          <w:bCs/>
          <w:color w:val="auto"/>
          <w:highlight w:val="none"/>
        </w:rPr>
      </w:pPr>
      <w:r>
        <w:rPr>
          <w:rFonts w:hint="eastAsia" w:hAnsi="宋体"/>
          <w:color w:val="auto"/>
          <w:highlight w:val="none"/>
        </w:rPr>
        <w:t xml:space="preserve">2.2.1 </w:t>
      </w:r>
      <w:r>
        <w:rPr>
          <w:rFonts w:hint="eastAsia" w:hAnsi="宋体"/>
          <w:bCs/>
          <w:color w:val="auto"/>
          <w:highlight w:val="none"/>
        </w:rPr>
        <w:t>评标委员会将综合分析投标人的各项评审因素，而不以单项评审因素的优劣评选出中标人。对所有投标人的投标评估，都采用相同的程序和标准，严格按照招标文件的要求和条件进行。</w:t>
      </w:r>
    </w:p>
    <w:p w14:paraId="24046365">
      <w:pPr>
        <w:keepNext w:val="0"/>
        <w:keepLines w:val="0"/>
        <w:pageBreakBefore w:val="0"/>
        <w:tabs>
          <w:tab w:val="left" w:pos="0"/>
        </w:tabs>
        <w:kinsoku/>
        <w:wordWrap/>
        <w:overflowPunct/>
        <w:topLinePunct w:val="0"/>
        <w:bidi w:val="0"/>
        <w:adjustRightInd w:val="0"/>
        <w:snapToGrid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2.2.2 评审因素包括：</w:t>
      </w:r>
      <w:r>
        <w:rPr>
          <w:rFonts w:hint="eastAsia" w:ascii="宋体" w:hAnsi="宋体"/>
          <w:b/>
          <w:bCs/>
          <w:color w:val="auto"/>
          <w:szCs w:val="21"/>
          <w:highlight w:val="none"/>
        </w:rPr>
        <w:t>投标报价、技术要求、商务</w:t>
      </w:r>
      <w:r>
        <w:rPr>
          <w:rFonts w:hint="eastAsia" w:ascii="宋体" w:hAnsi="宋体"/>
          <w:b/>
          <w:bCs/>
          <w:color w:val="auto"/>
          <w:szCs w:val="21"/>
          <w:highlight w:val="none"/>
          <w:lang w:eastAsia="zh-CN"/>
        </w:rPr>
        <w:t>要求</w:t>
      </w:r>
      <w:r>
        <w:rPr>
          <w:rFonts w:hint="eastAsia" w:ascii="宋体" w:hAnsi="宋体" w:cs="宋体"/>
          <w:color w:val="auto"/>
          <w:kern w:val="0"/>
          <w:szCs w:val="21"/>
          <w:highlight w:val="none"/>
        </w:rPr>
        <w:t>等</w:t>
      </w:r>
      <w:r>
        <w:rPr>
          <w:rFonts w:hint="eastAsia" w:ascii="宋体" w:hAnsi="宋体"/>
          <w:color w:val="auto"/>
          <w:szCs w:val="21"/>
          <w:highlight w:val="none"/>
        </w:rPr>
        <w:t>对招标文件的响应程度，以及相应的比重或者权值等，但不包括“投标人须知”第3.1条</w:t>
      </w:r>
      <w:r>
        <w:rPr>
          <w:rFonts w:hint="eastAsia" w:ascii="宋体" w:hAnsi="宋体" w:cs="宋体"/>
          <w:color w:val="auto"/>
          <w:kern w:val="0"/>
          <w:szCs w:val="21"/>
          <w:highlight w:val="none"/>
          <w:lang w:val="zh-CN"/>
        </w:rPr>
        <w:t>款</w:t>
      </w:r>
      <w:r>
        <w:rPr>
          <w:rFonts w:hint="eastAsia" w:ascii="宋体" w:hAnsi="宋体"/>
          <w:color w:val="auto"/>
          <w:szCs w:val="21"/>
          <w:highlight w:val="none"/>
        </w:rPr>
        <w:t>规定的投标人资格条件。</w:t>
      </w:r>
    </w:p>
    <w:p w14:paraId="57E82FD1">
      <w:pPr>
        <w:pStyle w:val="12"/>
        <w:keepNext w:val="0"/>
        <w:keepLines w:val="0"/>
        <w:pageBreakBefore w:val="0"/>
        <w:kinsoku/>
        <w:wordWrap/>
        <w:overflowPunct/>
        <w:topLinePunct w:val="0"/>
        <w:bidi w:val="0"/>
        <w:adjustRightInd w:val="0"/>
        <w:snapToGrid w:val="0"/>
        <w:spacing w:line="480" w:lineRule="exact"/>
        <w:ind w:left="810" w:leftChars="203" w:hanging="384" w:hangingChars="183"/>
        <w:rPr>
          <w:rFonts w:hint="eastAsia" w:hAnsi="宋体"/>
          <w:bCs/>
          <w:color w:val="auto"/>
          <w:highlight w:val="none"/>
        </w:rPr>
      </w:pPr>
      <w:r>
        <w:rPr>
          <w:rFonts w:hint="eastAsia" w:hAnsi="宋体"/>
          <w:bCs/>
          <w:color w:val="auto"/>
          <w:highlight w:val="none"/>
        </w:rPr>
        <w:t>2.2.3 评标委员会按以下操作程序对投标人的投标文件进行综合评分：</w:t>
      </w:r>
    </w:p>
    <w:p w14:paraId="1A00DD1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ascii="宋体" w:hAnsi="宋体"/>
          <w:bCs/>
          <w:color w:val="auto"/>
          <w:sz w:val="21"/>
          <w:szCs w:val="21"/>
          <w:highlight w:val="none"/>
        </w:rPr>
      </w:pPr>
      <w:r>
        <w:rPr>
          <w:rFonts w:hint="eastAsia" w:ascii="宋体" w:hAnsi="宋体"/>
          <w:bCs/>
          <w:color w:val="auto"/>
          <w:sz w:val="21"/>
          <w:szCs w:val="21"/>
          <w:highlight w:val="none"/>
        </w:rPr>
        <w:t>2.2.3.1 根据招标文件和评标原则，按《综合评分明细表》所列评分因素和各评分因素的权重进行评标。</w:t>
      </w:r>
    </w:p>
    <w:p w14:paraId="6006C5D7">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2.2.3.2</w:t>
      </w:r>
      <w:r>
        <w:rPr>
          <w:rFonts w:hint="eastAsia" w:ascii="宋体" w:hAnsi="宋体"/>
          <w:color w:val="auto"/>
          <w:szCs w:val="21"/>
          <w:highlight w:val="none"/>
          <w:lang w:val="en-US" w:eastAsia="zh-CN"/>
        </w:rPr>
        <w:t xml:space="preserve"> 根据</w:t>
      </w:r>
      <w:r>
        <w:rPr>
          <w:rFonts w:hint="eastAsia" w:ascii="宋体" w:hAnsi="宋体"/>
          <w:color w:val="auto"/>
          <w:szCs w:val="21"/>
          <w:highlight w:val="none"/>
        </w:rPr>
        <w:t>财政部87号令第五十五条和财库【2020】46号文件的规定，以本次满足投标文件要求的</w:t>
      </w:r>
      <w:r>
        <w:rPr>
          <w:rFonts w:hint="eastAsia" w:ascii="宋体" w:hAnsi="宋体"/>
          <w:b/>
          <w:bCs/>
          <w:color w:val="auto"/>
          <w:szCs w:val="21"/>
          <w:highlight w:val="none"/>
        </w:rPr>
        <w:t>最低投标评审价</w:t>
      </w:r>
      <w:r>
        <w:rPr>
          <w:rFonts w:hint="eastAsia" w:ascii="宋体" w:hAnsi="宋体"/>
          <w:color w:val="auto"/>
          <w:szCs w:val="21"/>
          <w:highlight w:val="none"/>
        </w:rPr>
        <w:t>为评标基准价，其价格为满分。</w:t>
      </w:r>
    </w:p>
    <w:p w14:paraId="4BE6FA7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如果同一包为单一产品，或同一包为多种产品，全部符合中小企业政策优惠条件的（即小微企业自身生产或中小企业代理的小微企业生产的产品），对总报价进行调整，调整后的报价作为投标评审价。投标评审价按下列公示计算：</w:t>
      </w:r>
    </w:p>
    <w:p w14:paraId="5161ECA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投标评审价=投标报价×（1-投标报价折扣幅度）</w:t>
      </w:r>
    </w:p>
    <w:p w14:paraId="016A5CC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2.2.3.3 由评标委员会成员独立地根据各项因素的评分标准，结合每个投标人的实际情况，分别就投标报价以外的各项评审因素对每个投标人独立打分。</w:t>
      </w:r>
    </w:p>
    <w:p w14:paraId="5378EEFF">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2.2.3.4 将所有评审因素所得实际评审分数相加，即为该投标人的评审总得分。评审总得分按下例公式计算：</w:t>
      </w:r>
    </w:p>
    <w:p w14:paraId="4A218324">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评审总得分＝F1＋F2＋……＋Fn</w:t>
      </w:r>
    </w:p>
    <w:p w14:paraId="24BA755B">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F1、F2……Fn分别为各项评审因素的汇总得分</w:t>
      </w:r>
    </w:p>
    <w:p w14:paraId="2F2F6E2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2.2.3.5 评审过程中，不得去掉报价中的最高报价和最低报价。</w:t>
      </w:r>
    </w:p>
    <w:p w14:paraId="7D35EB07">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2.2.4 小型和微型企业货物（产品）的报价折扣幅度标准：</w:t>
      </w:r>
    </w:p>
    <w:p w14:paraId="70F3D2F3">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2"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b/>
          <w:bCs/>
          <w:color w:val="auto"/>
          <w:kern w:val="2"/>
          <w:sz w:val="21"/>
          <w:szCs w:val="21"/>
          <w:highlight w:val="none"/>
          <w:lang w:val="en-US" w:eastAsia="zh-CN" w:bidi="ar-SA"/>
        </w:rPr>
        <w:t>2.2.4.1 对小型、微型企业生产的货物（产品）投标价格给予</w:t>
      </w:r>
      <w:r>
        <w:rPr>
          <w:rFonts w:hint="eastAsia" w:asciiTheme="minorEastAsia" w:hAnsiTheme="minorEastAsia" w:eastAsiaTheme="minorEastAsia" w:cstheme="minorEastAsia"/>
          <w:b/>
          <w:bCs/>
          <w:color w:val="auto"/>
          <w:kern w:val="2"/>
          <w:sz w:val="21"/>
          <w:szCs w:val="21"/>
          <w:highlight w:val="none"/>
          <w:u w:val="single"/>
          <w:lang w:val="en-US" w:eastAsia="zh-CN" w:bidi="ar-SA"/>
        </w:rPr>
        <w:t>10%</w:t>
      </w:r>
      <w:r>
        <w:rPr>
          <w:rFonts w:hint="eastAsia" w:asciiTheme="minorEastAsia" w:hAnsiTheme="minorEastAsia" w:eastAsiaTheme="minorEastAsia" w:cstheme="minorEastAsia"/>
          <w:b/>
          <w:bCs/>
          <w:color w:val="auto"/>
          <w:kern w:val="2"/>
          <w:sz w:val="21"/>
          <w:szCs w:val="21"/>
          <w:highlight w:val="none"/>
          <w:lang w:val="en-US" w:eastAsia="zh-CN" w:bidi="ar-SA"/>
        </w:rPr>
        <w:t>（10%-20%）的折扣。</w:t>
      </w:r>
    </w:p>
    <w:p w14:paraId="47D4FB8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2.2.4.2 参加联合体投标的小型、微型企业，联合协议中约定，小型、微型企业的协议合同金额占到联合体协议合同总金额30%以上的，可给予联合体4%~6%的价格折扣。</w:t>
      </w:r>
    </w:p>
    <w:p w14:paraId="4FAC7D94">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2.2.4.3 小、微企业提供本企业生产的产品或中小型企业（代理商）代理的小、微企业生产的产品可享受报价折扣条件；中小型企业（代理商）代理的中型及以上企业生产的产品不享受报价折扣条件。</w:t>
      </w:r>
    </w:p>
    <w:p w14:paraId="7A83B15A">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非实质性偏离是指投标文件在实质上响应招标文件的要求，但在个别地方存在一些不规则、不一致、不完整的内容，并且澄清、说明或者补正这些内容不会改变投标文件的实质性内容。以下情况属于非实质性偏离：</w:t>
      </w:r>
    </w:p>
    <w:p w14:paraId="3C1F230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（1）文字表述的内容含义不明确；</w:t>
      </w:r>
    </w:p>
    <w:p w14:paraId="5F4B95A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（2）同类问题表述不一致；</w:t>
      </w:r>
    </w:p>
    <w:p w14:paraId="234A59D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（3）有明显文字和计算错误；</w:t>
      </w:r>
    </w:p>
    <w:p w14:paraId="127FD9DE">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（4）提供的技术信息和数据资料不完整；</w:t>
      </w:r>
    </w:p>
    <w:p w14:paraId="65AE2B2D">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（5）投标文件未按招标文件要求进行装订或未编制目录、页码；</w:t>
      </w:r>
    </w:p>
    <w:p w14:paraId="55B5DA93">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（6）评标委员会认定的其他非实质性偏离。</w:t>
      </w:r>
    </w:p>
    <w:p w14:paraId="67E51F8F">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文件有上述（1）至（4）情形之一的，评标委员会应当书面要求投标人在规定的时间内予以澄清、说明或补正。投标人拒不或在规定的时间内没有进行澄清、说明或补正或澄清、说明、补正的内容也不能说明问题的，视为投标文件制作不规范，按每一项非实质性偏离进行扣分处理，直至该项分值扣完为止。</w:t>
      </w:r>
    </w:p>
    <w:p w14:paraId="5BCE1775">
      <w:pPr>
        <w:pStyle w:val="11"/>
        <w:keepNext w:val="0"/>
        <w:keepLines w:val="0"/>
        <w:pageBreakBefore w:val="0"/>
        <w:tabs>
          <w:tab w:val="left" w:pos="600"/>
        </w:tabs>
        <w:kinsoku/>
        <w:wordWrap/>
        <w:overflowPunct/>
        <w:topLinePunct w:val="0"/>
        <w:bidi w:val="0"/>
        <w:spacing w:before="240" w:beforeLines="100" w:line="480" w:lineRule="exact"/>
        <w:ind w:firstLine="0"/>
        <w:jc w:val="center"/>
        <w:rPr>
          <w:rFonts w:hint="eastAsia" w:ascii="宋体" w:hAnsi="宋体"/>
          <w:b/>
          <w:color w:val="auto"/>
          <w:szCs w:val="32"/>
          <w:highlight w:val="none"/>
        </w:rPr>
      </w:pPr>
      <w:r>
        <w:rPr>
          <w:rFonts w:hint="eastAsia" w:ascii="宋体" w:hAnsi="宋体"/>
          <w:b/>
          <w:color w:val="auto"/>
          <w:szCs w:val="32"/>
          <w:highlight w:val="none"/>
        </w:rPr>
        <w:t>综合评分明细表</w:t>
      </w:r>
    </w:p>
    <w:tbl>
      <w:tblPr>
        <w:tblStyle w:val="23"/>
        <w:tblW w:w="98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258"/>
        <w:gridCol w:w="1926"/>
        <w:gridCol w:w="5992"/>
      </w:tblGrid>
      <w:tr w14:paraId="171AB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490" w:type="dxa"/>
            <w:noWrap w:val="0"/>
            <w:vAlign w:val="center"/>
          </w:tcPr>
          <w:p w14:paraId="23C4613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序号</w:t>
            </w:r>
          </w:p>
        </w:tc>
        <w:tc>
          <w:tcPr>
            <w:tcW w:w="1258" w:type="dxa"/>
            <w:noWrap w:val="0"/>
            <w:vAlign w:val="center"/>
          </w:tcPr>
          <w:p w14:paraId="32E1211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评审因素</w:t>
            </w:r>
          </w:p>
        </w:tc>
        <w:tc>
          <w:tcPr>
            <w:tcW w:w="1926" w:type="dxa"/>
            <w:noWrap w:val="0"/>
            <w:vAlign w:val="center"/>
          </w:tcPr>
          <w:p w14:paraId="758698E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分值</w:t>
            </w:r>
          </w:p>
        </w:tc>
        <w:tc>
          <w:tcPr>
            <w:tcW w:w="5992" w:type="dxa"/>
            <w:noWrap w:val="0"/>
            <w:vAlign w:val="center"/>
          </w:tcPr>
          <w:p w14:paraId="4EDB94A3">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评审标准</w:t>
            </w:r>
          </w:p>
        </w:tc>
      </w:tr>
      <w:tr w14:paraId="091B9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0" w:hRule="atLeast"/>
          <w:jc w:val="center"/>
        </w:trPr>
        <w:tc>
          <w:tcPr>
            <w:tcW w:w="490" w:type="dxa"/>
            <w:noWrap w:val="0"/>
            <w:vAlign w:val="center"/>
          </w:tcPr>
          <w:p w14:paraId="451E60AD">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w:t>
            </w:r>
          </w:p>
        </w:tc>
        <w:tc>
          <w:tcPr>
            <w:tcW w:w="1258" w:type="dxa"/>
            <w:noWrap w:val="0"/>
            <w:vAlign w:val="center"/>
          </w:tcPr>
          <w:p w14:paraId="3CB45E80">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p w14:paraId="0F041CA7">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投标报价</w:t>
            </w:r>
          </w:p>
          <w:p w14:paraId="307B833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19697E86">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w:t>
            </w:r>
            <w:r>
              <w:rPr>
                <w:rFonts w:hint="eastAsia" w:asciiTheme="minorEastAsia" w:hAnsiTheme="minorEastAsia" w:eastAsiaTheme="minorEastAsia" w:cstheme="minorEastAsia"/>
                <w:color w:val="auto"/>
                <w:sz w:val="22"/>
                <w:szCs w:val="22"/>
                <w:highlight w:val="none"/>
                <w:lang w:val="en-US" w:eastAsia="zh-CN"/>
              </w:rPr>
              <w:t>价</w:t>
            </w:r>
            <w:r>
              <w:rPr>
                <w:rFonts w:hint="eastAsia" w:asciiTheme="minorEastAsia" w:hAnsiTheme="minorEastAsia" w:eastAsiaTheme="minorEastAsia" w:cstheme="minorEastAsia"/>
                <w:i w:val="0"/>
                <w:color w:val="auto"/>
                <w:kern w:val="2"/>
                <w:sz w:val="22"/>
                <w:szCs w:val="22"/>
                <w:highlight w:val="none"/>
                <w:lang w:val="en-US" w:eastAsia="zh-CN" w:bidi="ar-SA"/>
              </w:rPr>
              <w:t>（30分）</w:t>
            </w:r>
          </w:p>
        </w:tc>
        <w:tc>
          <w:tcPr>
            <w:tcW w:w="5992" w:type="dxa"/>
            <w:noWrap w:val="0"/>
            <w:vAlign w:val="center"/>
          </w:tcPr>
          <w:p w14:paraId="67F5D62E">
            <w:pPr>
              <w:pStyle w:val="11"/>
              <w:keepNext w:val="0"/>
              <w:keepLines w:val="0"/>
              <w:pageBreakBefore w:val="0"/>
              <w:tabs>
                <w:tab w:val="left" w:pos="600"/>
              </w:tabs>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价格分采用低价优先法计算，即满足招标文件要求且投标价格最低的投标报价为评标基准价，其价格分为满分。其他供应商的价格分统一按照下列公式计算：投标报价得分=（评标基准价/投标报价）×价格权值（即30%）×100</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符合招标文件规定的小微企业、监狱企业、残疾人福利性单位优惠条件的供应商，价格给予10%的扣除，用扣除后的价格参与评审。</w:t>
            </w:r>
          </w:p>
        </w:tc>
      </w:tr>
      <w:tr w14:paraId="1FF16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Merge w:val="restart"/>
            <w:noWrap w:val="0"/>
            <w:vAlign w:val="center"/>
          </w:tcPr>
          <w:p w14:paraId="162C6189">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2</w:t>
            </w:r>
          </w:p>
        </w:tc>
        <w:tc>
          <w:tcPr>
            <w:tcW w:w="1258" w:type="dxa"/>
            <w:vMerge w:val="restart"/>
            <w:noWrap w:val="0"/>
            <w:vAlign w:val="center"/>
          </w:tcPr>
          <w:p w14:paraId="06480639">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技术评审</w:t>
            </w:r>
          </w:p>
        </w:tc>
        <w:tc>
          <w:tcPr>
            <w:tcW w:w="1926" w:type="dxa"/>
            <w:noWrap w:val="0"/>
            <w:vAlign w:val="center"/>
          </w:tcPr>
          <w:p w14:paraId="7B89D963">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 xml:space="preserve">采购需求响应程度 </w:t>
            </w:r>
            <w:r>
              <w:rPr>
                <w:rFonts w:hint="eastAsia" w:asciiTheme="minorEastAsia" w:hAnsiTheme="minorEastAsia" w:eastAsiaTheme="minorEastAsia" w:cstheme="minorEastAsia"/>
                <w:i w:val="0"/>
                <w:color w:val="auto"/>
                <w:kern w:val="2"/>
                <w:sz w:val="22"/>
                <w:szCs w:val="22"/>
                <w:highlight w:val="none"/>
                <w:lang w:val="en-US" w:eastAsia="zh-CN" w:bidi="ar-SA"/>
              </w:rPr>
              <w:t>（28分）</w:t>
            </w:r>
          </w:p>
        </w:tc>
        <w:tc>
          <w:tcPr>
            <w:tcW w:w="5992" w:type="dxa"/>
            <w:noWrap w:val="0"/>
            <w:vAlign w:val="top"/>
          </w:tcPr>
          <w:p w14:paraId="429EC5AE">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所投产品的技术指标评审：</w:t>
            </w:r>
          </w:p>
          <w:p w14:paraId="3C41F6F7">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1.“▲”号技术参数响应（无偏离）得</w:t>
            </w:r>
            <w:r>
              <w:rPr>
                <w:rFonts w:hint="eastAsia" w:asciiTheme="minorEastAsia" w:hAnsiTheme="minorEastAsia" w:eastAsiaTheme="minorEastAsia" w:cstheme="minorEastAsia"/>
                <w:color w:val="auto"/>
                <w:sz w:val="22"/>
                <w:szCs w:val="22"/>
                <w:highlight w:val="none"/>
                <w:lang w:val="en-US" w:eastAsia="zh-CN"/>
              </w:rPr>
              <w:t>18</w:t>
            </w:r>
            <w:r>
              <w:rPr>
                <w:rFonts w:hint="eastAsia" w:asciiTheme="minorEastAsia" w:hAnsiTheme="minorEastAsia" w:eastAsiaTheme="minorEastAsia" w:cstheme="minorEastAsia"/>
                <w:color w:val="auto"/>
                <w:sz w:val="22"/>
                <w:szCs w:val="22"/>
                <w:highlight w:val="none"/>
              </w:rPr>
              <w:t>分，有一项不满足</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负偏离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扣</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rPr>
              <w:t>分，扣完为止。</w:t>
            </w:r>
          </w:p>
          <w:p w14:paraId="521C99DE">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.非“▲”响应（无偏离）得</w:t>
            </w:r>
            <w:r>
              <w:rPr>
                <w:rFonts w:hint="eastAsia" w:asciiTheme="minorEastAsia" w:hAnsiTheme="minorEastAsia" w:eastAsiaTheme="minorEastAsia" w:cstheme="minorEastAsia"/>
                <w:color w:val="auto"/>
                <w:sz w:val="22"/>
                <w:szCs w:val="22"/>
                <w:highlight w:val="none"/>
                <w:lang w:val="en-US" w:eastAsia="zh-CN"/>
              </w:rPr>
              <w:t>10</w:t>
            </w:r>
            <w:r>
              <w:rPr>
                <w:rFonts w:hint="eastAsia" w:asciiTheme="minorEastAsia" w:hAnsiTheme="minorEastAsia" w:eastAsiaTheme="minorEastAsia" w:cstheme="minorEastAsia"/>
                <w:color w:val="auto"/>
                <w:sz w:val="22"/>
                <w:szCs w:val="22"/>
                <w:highlight w:val="none"/>
              </w:rPr>
              <w:t>分。有一项负偏离扣</w:t>
            </w:r>
            <w:r>
              <w:rPr>
                <w:rFonts w:hint="eastAsia" w:asciiTheme="minorEastAsia" w:hAnsiTheme="minorEastAsia" w:eastAsiaTheme="minorEastAsia" w:cstheme="minorEastAsia"/>
                <w:color w:val="auto"/>
                <w:sz w:val="22"/>
                <w:szCs w:val="22"/>
                <w:highlight w:val="none"/>
                <w:lang w:val="en-US" w:eastAsia="zh-CN"/>
              </w:rPr>
              <w:t>0.5</w:t>
            </w:r>
            <w:r>
              <w:rPr>
                <w:rFonts w:hint="eastAsia" w:asciiTheme="minorEastAsia" w:hAnsiTheme="minorEastAsia" w:eastAsiaTheme="minorEastAsia" w:cstheme="minorEastAsia"/>
                <w:color w:val="auto"/>
                <w:sz w:val="22"/>
                <w:szCs w:val="22"/>
                <w:highlight w:val="none"/>
              </w:rPr>
              <w:t>分，扣完为止。</w:t>
            </w:r>
          </w:p>
          <w:p w14:paraId="4C8C6B1F">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b w:val="0"/>
                <w:bCs w:val="0"/>
                <w:color w:val="auto"/>
                <w:sz w:val="22"/>
                <w:szCs w:val="22"/>
                <w:highlight w:val="none"/>
                <w:lang w:val="en-US" w:eastAsia="zh-CN"/>
              </w:rPr>
              <w:t>备注：</w:t>
            </w:r>
            <w:r>
              <w:rPr>
                <w:rFonts w:hint="eastAsia" w:asciiTheme="minorEastAsia" w:hAnsiTheme="minorEastAsia" w:eastAsiaTheme="minorEastAsia" w:cstheme="minorEastAsia"/>
                <w:color w:val="auto"/>
                <w:sz w:val="22"/>
                <w:szCs w:val="22"/>
                <w:highlight w:val="none"/>
                <w:lang w:val="en-US" w:eastAsia="zh-CN"/>
              </w:rPr>
              <w:t>“▲”号技术参数须提供真实有效的相关证明资料或材料进行佐证并在技术偏离表“备注”栏中标明页码（相关证明资料或材料包括但不限于产品技术白皮书、第三方检测报告、宣传彩页等），未提供有效支持依据的可按负偏离扣分处理。非“▲”技术参数佐证材料形式不做要求。</w:t>
            </w:r>
          </w:p>
        </w:tc>
      </w:tr>
      <w:tr w14:paraId="55EC8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90" w:type="dxa"/>
            <w:vMerge w:val="continue"/>
            <w:noWrap w:val="0"/>
            <w:vAlign w:val="center"/>
          </w:tcPr>
          <w:p w14:paraId="26C9586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0441F875">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57BFEFB6">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实施方案</w:t>
            </w: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6FD4C481">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评标委员会根据各投标供应商提供的针对本项目制定的实施方案进行综合打分：（</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lang w:eastAsia="zh-CN"/>
              </w:rPr>
              <w:t>）设备生产/采购方案；（</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lang w:eastAsia="zh-CN"/>
              </w:rPr>
              <w:t>）项目进度保障方案；（</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lang w:eastAsia="zh-CN"/>
              </w:rPr>
              <w:t>）设备运输配送及装卸安装方案；（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lang w:eastAsia="zh-CN"/>
              </w:rPr>
              <w:t>）实施团队保障方案；（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lang w:eastAsia="zh-CN"/>
              </w:rPr>
              <w:t>）安全文明施工保障方案；（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i w:val="0"/>
                <w:iCs w:val="0"/>
                <w:color w:val="auto"/>
                <w:sz w:val="22"/>
                <w:szCs w:val="22"/>
                <w:highlight w:val="none"/>
                <w:lang w:val="en-US" w:eastAsia="zh-CN"/>
              </w:rPr>
              <w:t>验收方案等。</w:t>
            </w:r>
          </w:p>
          <w:p w14:paraId="28B9D5AC">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sz w:val="22"/>
                <w:szCs w:val="22"/>
                <w:highlight w:val="none"/>
                <w:lang w:val="zh-CN" w:eastAsia="zh-CN"/>
              </w:rPr>
            </w:pPr>
            <w:r>
              <w:rPr>
                <w:rFonts w:hint="eastAsia" w:asciiTheme="minorEastAsia" w:hAnsiTheme="minorEastAsia" w:eastAsiaTheme="minorEastAsia" w:cstheme="minorEastAsia"/>
                <w:i w:val="0"/>
                <w:iCs w:val="0"/>
                <w:color w:val="auto"/>
                <w:sz w:val="22"/>
                <w:szCs w:val="22"/>
                <w:highlight w:val="none"/>
                <w:lang w:val="en-US"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02C9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490" w:type="dxa"/>
            <w:vMerge w:val="continue"/>
            <w:noWrap w:val="0"/>
            <w:vAlign w:val="center"/>
          </w:tcPr>
          <w:p w14:paraId="1F7DD933">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3B58F3FB">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628E590E">
            <w:pPr>
              <w:keepNext w:val="0"/>
              <w:keepLines w:val="0"/>
              <w:pageBreakBefore w:val="0"/>
              <w:widowControl/>
              <w:suppressLineNumbers w:val="0"/>
              <w:kinsoku/>
              <w:wordWrap/>
              <w:overflowPunct/>
              <w:topLinePunct w:val="0"/>
              <w:bidi w:val="0"/>
              <w:spacing w:line="360" w:lineRule="auto"/>
              <w:jc w:val="center"/>
              <w:textAlignment w:val="center"/>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质量保证措施</w:t>
            </w:r>
            <w:r>
              <w:rPr>
                <w:rFonts w:hint="eastAsia" w:asciiTheme="minorEastAsia" w:hAnsiTheme="minorEastAsia" w:eastAsiaTheme="minorEastAsia" w:cstheme="minorEastAsia"/>
                <w:color w:val="auto"/>
                <w:sz w:val="22"/>
                <w:szCs w:val="22"/>
                <w:highlight w:val="none"/>
                <w:lang w:val="en-US" w:eastAsia="zh-CN"/>
              </w:rPr>
              <w:t>（8分）</w:t>
            </w:r>
          </w:p>
        </w:tc>
        <w:tc>
          <w:tcPr>
            <w:tcW w:w="5992" w:type="dxa"/>
            <w:noWrap w:val="0"/>
            <w:vAlign w:val="center"/>
          </w:tcPr>
          <w:p w14:paraId="2855417B">
            <w:pPr>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eastAsia="zh-CN"/>
              </w:rPr>
              <w:t>评标委员会根据各投标人提供的针对本项目制定的产品质量保障措施方案进行综合比较打分（①质量保障目标②质量管理措施③质量保障制度④质量控制流程等内容）：方案工作内容全面、完整、</w:t>
            </w:r>
            <w:r>
              <w:rPr>
                <w:rFonts w:hint="eastAsia" w:asciiTheme="minorEastAsia" w:hAnsiTheme="minorEastAsia" w:eastAsiaTheme="minorEastAsia" w:cstheme="minorEastAsia"/>
                <w:color w:val="auto"/>
                <w:sz w:val="22"/>
                <w:szCs w:val="22"/>
                <w:highlight w:val="none"/>
                <w:lang w:val="en-US" w:eastAsia="zh-CN"/>
              </w:rPr>
              <w:t>详细合理，贴合本项目</w:t>
            </w:r>
            <w:r>
              <w:rPr>
                <w:rFonts w:hint="eastAsia" w:asciiTheme="minorEastAsia" w:hAnsiTheme="minorEastAsia" w:eastAsiaTheme="minorEastAsia" w:cstheme="minorEastAsia"/>
                <w:color w:val="auto"/>
                <w:sz w:val="22"/>
                <w:szCs w:val="22"/>
                <w:highlight w:val="none"/>
                <w:lang w:eastAsia="zh-CN"/>
              </w:rPr>
              <w:t>方案得</w:t>
            </w:r>
            <w:r>
              <w:rPr>
                <w:rFonts w:hint="eastAsia" w:asciiTheme="minorEastAsia" w:hAnsiTheme="minorEastAsia" w:eastAsiaTheme="minorEastAsia" w:cstheme="minorEastAsia"/>
                <w:color w:val="auto"/>
                <w:sz w:val="22"/>
                <w:szCs w:val="22"/>
                <w:highlight w:val="none"/>
                <w:lang w:val="en-US" w:eastAsia="zh-CN"/>
              </w:rPr>
              <w:t>8</w:t>
            </w:r>
            <w:r>
              <w:rPr>
                <w:rFonts w:hint="eastAsia" w:asciiTheme="minorEastAsia" w:hAnsiTheme="minorEastAsia" w:eastAsiaTheme="minorEastAsia" w:cstheme="minorEastAsia"/>
                <w:color w:val="auto"/>
                <w:sz w:val="22"/>
                <w:szCs w:val="22"/>
                <w:highlight w:val="none"/>
                <w:lang w:eastAsia="zh-CN"/>
              </w:rPr>
              <w:t>分；方案工作</w:t>
            </w:r>
            <w:r>
              <w:rPr>
                <w:rFonts w:hint="eastAsia" w:asciiTheme="minorEastAsia" w:hAnsiTheme="minorEastAsia" w:eastAsiaTheme="minorEastAsia" w:cstheme="minorEastAsia"/>
                <w:color w:val="auto"/>
                <w:sz w:val="22"/>
                <w:szCs w:val="22"/>
                <w:highlight w:val="none"/>
                <w:lang w:val="en-US" w:eastAsia="zh-CN"/>
              </w:rPr>
              <w:t>基本</w:t>
            </w:r>
            <w:r>
              <w:rPr>
                <w:rFonts w:hint="eastAsia" w:asciiTheme="minorEastAsia" w:hAnsiTheme="minorEastAsia" w:eastAsiaTheme="minorEastAsia" w:cstheme="minorEastAsia"/>
                <w:color w:val="auto"/>
                <w:sz w:val="22"/>
                <w:szCs w:val="22"/>
                <w:highlight w:val="none"/>
                <w:lang w:eastAsia="zh-CN"/>
              </w:rPr>
              <w:t>内容全面、</w:t>
            </w:r>
            <w:r>
              <w:rPr>
                <w:rFonts w:hint="eastAsia" w:asciiTheme="minorEastAsia" w:hAnsiTheme="minorEastAsia" w:eastAsiaTheme="minorEastAsia" w:cstheme="minorEastAsia"/>
                <w:color w:val="auto"/>
                <w:sz w:val="22"/>
                <w:szCs w:val="22"/>
                <w:highlight w:val="none"/>
                <w:lang w:val="en-US" w:eastAsia="zh-CN"/>
              </w:rPr>
              <w:t>基本</w:t>
            </w:r>
            <w:r>
              <w:rPr>
                <w:rFonts w:hint="eastAsia" w:asciiTheme="minorEastAsia" w:hAnsiTheme="minorEastAsia" w:eastAsiaTheme="minorEastAsia" w:cstheme="minorEastAsia"/>
                <w:color w:val="auto"/>
                <w:sz w:val="22"/>
                <w:szCs w:val="22"/>
                <w:highlight w:val="none"/>
                <w:lang w:eastAsia="zh-CN"/>
              </w:rPr>
              <w:t>完整得</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lang w:eastAsia="zh-CN"/>
              </w:rPr>
              <w:t>分；方案工作内容</w:t>
            </w:r>
            <w:r>
              <w:rPr>
                <w:rFonts w:hint="eastAsia" w:asciiTheme="minorEastAsia" w:hAnsiTheme="minorEastAsia" w:eastAsiaTheme="minorEastAsia" w:cstheme="minorEastAsia"/>
                <w:color w:val="auto"/>
                <w:sz w:val="22"/>
                <w:szCs w:val="22"/>
                <w:highlight w:val="none"/>
                <w:lang w:val="en-US" w:eastAsia="zh-CN"/>
              </w:rPr>
              <w:t>不够</w:t>
            </w:r>
            <w:r>
              <w:rPr>
                <w:rFonts w:hint="eastAsia" w:asciiTheme="minorEastAsia" w:hAnsiTheme="minorEastAsia" w:eastAsiaTheme="minorEastAsia" w:cstheme="minorEastAsia"/>
                <w:color w:val="auto"/>
                <w:sz w:val="22"/>
                <w:szCs w:val="22"/>
                <w:highlight w:val="none"/>
                <w:lang w:eastAsia="zh-CN"/>
              </w:rPr>
              <w:t>全面、</w:t>
            </w:r>
            <w:r>
              <w:rPr>
                <w:rFonts w:hint="eastAsia" w:asciiTheme="minorEastAsia" w:hAnsiTheme="minorEastAsia" w:eastAsiaTheme="minorEastAsia" w:cstheme="minorEastAsia"/>
                <w:color w:val="auto"/>
                <w:sz w:val="22"/>
                <w:szCs w:val="22"/>
                <w:highlight w:val="none"/>
                <w:lang w:val="en-US" w:eastAsia="zh-CN"/>
              </w:rPr>
              <w:t>不够</w:t>
            </w:r>
            <w:r>
              <w:rPr>
                <w:rFonts w:hint="eastAsia" w:asciiTheme="minorEastAsia" w:hAnsiTheme="minorEastAsia" w:eastAsiaTheme="minorEastAsia" w:cstheme="minorEastAsia"/>
                <w:color w:val="auto"/>
                <w:sz w:val="22"/>
                <w:szCs w:val="22"/>
                <w:highlight w:val="none"/>
                <w:lang w:eastAsia="zh-CN"/>
              </w:rPr>
              <w:t>完整的得</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lang w:eastAsia="zh-CN"/>
              </w:rPr>
              <w:t>分；不提供方案不得分。</w:t>
            </w:r>
          </w:p>
        </w:tc>
      </w:tr>
      <w:tr w14:paraId="41672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490" w:type="dxa"/>
            <w:vMerge w:val="continue"/>
            <w:noWrap w:val="0"/>
            <w:vAlign w:val="center"/>
          </w:tcPr>
          <w:p w14:paraId="72F3C8B0">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04503C0D">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72EF87BC">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培训方案（8分）</w:t>
            </w:r>
          </w:p>
        </w:tc>
        <w:tc>
          <w:tcPr>
            <w:tcW w:w="5992" w:type="dxa"/>
            <w:noWrap w:val="0"/>
            <w:vAlign w:val="top"/>
          </w:tcPr>
          <w:p w14:paraId="25D657AA">
            <w:pPr>
              <w:pStyle w:val="10"/>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评标</w:t>
            </w:r>
            <w:r>
              <w:rPr>
                <w:rFonts w:hint="eastAsia" w:asciiTheme="minorEastAsia" w:hAnsiTheme="minorEastAsia" w:eastAsiaTheme="minorEastAsia" w:cstheme="minorEastAsia"/>
                <w:color w:val="auto"/>
                <w:sz w:val="22"/>
                <w:szCs w:val="22"/>
                <w:highlight w:val="none"/>
                <w:lang w:val="en-US" w:eastAsia="zh-CN"/>
              </w:rPr>
              <w:t>委员会根据各投标供应商提供的针对本项目制定的项目培训方案进行打分（包含但不限于①培训需求分析、②培训计划、方式及内容、③培训针对性及培训质量保证、④</w:t>
            </w:r>
            <w:r>
              <w:rPr>
                <w:rFonts w:hint="eastAsia" w:asciiTheme="minorEastAsia" w:hAnsiTheme="minorEastAsia" w:eastAsiaTheme="minorEastAsia" w:cstheme="minorEastAsia"/>
                <w:color w:val="auto"/>
                <w:sz w:val="22"/>
                <w:szCs w:val="22"/>
                <w:highlight w:val="none"/>
              </w:rPr>
              <w:t>培训效果评估及反馈机制</w:t>
            </w:r>
            <w:r>
              <w:rPr>
                <w:rFonts w:hint="eastAsia" w:asciiTheme="minorEastAsia" w:hAnsiTheme="minorEastAsia" w:eastAsiaTheme="minorEastAsia" w:cstheme="minorEastAsia"/>
                <w:color w:val="auto"/>
                <w:sz w:val="22"/>
                <w:szCs w:val="22"/>
                <w:highlight w:val="none"/>
                <w:lang w:val="en-US" w:eastAsia="zh-CN"/>
              </w:rPr>
              <w:t>等内容）：供应商提供详细的培训方案且完善合理得8分；供应商提供合理的培训方案且基本完善得5分；供应商提供不够完善的培训方案得2分。方案差或不提供方案不得分。</w:t>
            </w:r>
          </w:p>
        </w:tc>
      </w:tr>
      <w:tr w14:paraId="6C2DB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restart"/>
            <w:noWrap w:val="0"/>
            <w:vAlign w:val="center"/>
          </w:tcPr>
          <w:p w14:paraId="0F053BAA">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3</w:t>
            </w:r>
          </w:p>
        </w:tc>
        <w:tc>
          <w:tcPr>
            <w:tcW w:w="1258" w:type="dxa"/>
            <w:vMerge w:val="restart"/>
            <w:noWrap w:val="0"/>
            <w:vAlign w:val="center"/>
          </w:tcPr>
          <w:p w14:paraId="7D8345B9">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r>
              <w:rPr>
                <w:rFonts w:hint="eastAsia" w:asciiTheme="minorEastAsia" w:hAnsiTheme="minorEastAsia" w:eastAsiaTheme="minorEastAsia" w:cstheme="minorEastAsia"/>
                <w:color w:val="auto"/>
                <w:kern w:val="2"/>
                <w:sz w:val="22"/>
                <w:szCs w:val="22"/>
                <w:highlight w:val="none"/>
                <w:lang w:val="en-US" w:eastAsia="zh-CN" w:bidi="ar-SA"/>
              </w:rPr>
              <w:t xml:space="preserve">商务评审   </w:t>
            </w:r>
          </w:p>
        </w:tc>
        <w:tc>
          <w:tcPr>
            <w:tcW w:w="1926" w:type="dxa"/>
            <w:noWrap w:val="0"/>
            <w:vAlign w:val="center"/>
          </w:tcPr>
          <w:p w14:paraId="5A7D19FF">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售后服务方案</w:t>
            </w:r>
          </w:p>
          <w:p w14:paraId="035A50DD">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pacing w:val="-9"/>
                <w:sz w:val="22"/>
                <w:szCs w:val="22"/>
                <w:highlight w:val="none"/>
                <w:lang w:val="en-US"/>
              </w:rPr>
            </w:pP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7F4CB1A5">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w:t>
            </w:r>
            <w:r>
              <w:rPr>
                <w:rFonts w:hint="eastAsia" w:asciiTheme="minorEastAsia" w:hAnsiTheme="minorEastAsia" w:eastAsiaTheme="minorEastAsia" w:cstheme="minorEastAsia"/>
                <w:color w:val="auto"/>
                <w:sz w:val="22"/>
                <w:szCs w:val="22"/>
                <w:highlight w:val="none"/>
                <w:lang w:val="en-US" w:eastAsia="zh-CN"/>
              </w:rPr>
              <w:t>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w:t>
            </w:r>
            <w:r>
              <w:rPr>
                <w:rFonts w:hint="eastAsia" w:asciiTheme="minorEastAsia" w:hAnsiTheme="minorEastAsia" w:eastAsiaTheme="minorEastAsia" w:cstheme="minorEastAsia"/>
                <w:color w:val="auto"/>
                <w:sz w:val="22"/>
                <w:szCs w:val="22"/>
                <w:highlight w:val="none"/>
              </w:rPr>
              <w:t>针对本项目制定的售后服务方案进行综合</w:t>
            </w:r>
            <w:r>
              <w:rPr>
                <w:rFonts w:hint="eastAsia" w:asciiTheme="minorEastAsia" w:hAnsiTheme="minorEastAsia" w:eastAsiaTheme="minorEastAsia" w:cstheme="minorEastAsia"/>
                <w:color w:val="auto"/>
                <w:sz w:val="22"/>
                <w:szCs w:val="22"/>
                <w:highlight w:val="none"/>
                <w:lang w:val="en-US" w:eastAsia="zh-CN"/>
              </w:rPr>
              <w:t>打分：（1）</w:t>
            </w:r>
            <w:r>
              <w:rPr>
                <w:rFonts w:hint="eastAsia" w:asciiTheme="minorEastAsia" w:hAnsiTheme="minorEastAsia" w:eastAsiaTheme="minorEastAsia" w:cstheme="minorEastAsia"/>
                <w:color w:val="auto"/>
                <w:sz w:val="22"/>
                <w:szCs w:val="22"/>
                <w:highlight w:val="none"/>
              </w:rPr>
              <w:t>售后服务保障措施</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售后服务人员配置</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rPr>
              <w:t>售后维修方案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rPr>
              <w:t>定期维护保养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lang w:val="en-US" w:eastAsia="zh-CN"/>
              </w:rPr>
              <w:t>巡检</w:t>
            </w:r>
            <w:r>
              <w:rPr>
                <w:rFonts w:hint="eastAsia" w:asciiTheme="minorEastAsia" w:hAnsiTheme="minorEastAsia" w:eastAsiaTheme="minorEastAsia" w:cstheme="minorEastAsia"/>
                <w:color w:val="auto"/>
                <w:sz w:val="22"/>
                <w:szCs w:val="22"/>
                <w:highlight w:val="none"/>
              </w:rPr>
              <w:t>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rPr>
              <w:t>产品调换货方案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rPr>
              <w:t>应急预案等</w:t>
            </w:r>
            <w:r>
              <w:rPr>
                <w:rFonts w:hint="eastAsia" w:asciiTheme="minorEastAsia" w:hAnsiTheme="minorEastAsia" w:eastAsiaTheme="minorEastAsia" w:cstheme="minorEastAsia"/>
                <w:color w:val="auto"/>
                <w:sz w:val="22"/>
                <w:szCs w:val="22"/>
                <w:highlight w:val="none"/>
                <w:lang w:eastAsia="zh-CN"/>
              </w:rPr>
              <w:t>。</w:t>
            </w:r>
          </w:p>
          <w:p w14:paraId="6197EAC3">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i w:val="0"/>
                <w:iCs w:val="0"/>
                <w:color w:val="auto"/>
                <w:sz w:val="22"/>
                <w:szCs w:val="22"/>
                <w:highlight w:val="none"/>
                <w:lang w:val="en-US"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06933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continue"/>
            <w:noWrap w:val="0"/>
            <w:vAlign w:val="center"/>
          </w:tcPr>
          <w:p w14:paraId="7F69C24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0D6BD411">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p>
        </w:tc>
        <w:tc>
          <w:tcPr>
            <w:tcW w:w="1926" w:type="dxa"/>
            <w:noWrap w:val="0"/>
            <w:vAlign w:val="center"/>
          </w:tcPr>
          <w:p w14:paraId="09B3369F">
            <w:pPr>
              <w:pStyle w:val="53"/>
              <w:keepNext w:val="0"/>
              <w:keepLines w:val="0"/>
              <w:pageBreakBefore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lang w:val="en-US" w:eastAsia="zh-CN"/>
              </w:rPr>
              <w:t>类似</w:t>
            </w:r>
            <w:r>
              <w:rPr>
                <w:rFonts w:hint="eastAsia" w:asciiTheme="minorEastAsia" w:hAnsiTheme="minorEastAsia" w:eastAsiaTheme="minorEastAsia" w:cstheme="minorEastAsia"/>
                <w:color w:val="auto"/>
                <w:spacing w:val="-9"/>
                <w:sz w:val="22"/>
                <w:szCs w:val="22"/>
                <w:highlight w:val="none"/>
              </w:rPr>
              <w:t>项目</w:t>
            </w:r>
            <w:r>
              <w:rPr>
                <w:rFonts w:hint="eastAsia" w:asciiTheme="minorEastAsia" w:hAnsiTheme="minorEastAsia" w:eastAsiaTheme="minorEastAsia" w:cstheme="minorEastAsia"/>
                <w:color w:val="auto"/>
                <w:spacing w:val="-6"/>
                <w:sz w:val="22"/>
                <w:szCs w:val="22"/>
                <w:highlight w:val="none"/>
              </w:rPr>
              <w:t>经验</w:t>
            </w:r>
          </w:p>
          <w:p w14:paraId="093F17AA">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rPr>
              <w:t>（</w:t>
            </w:r>
            <w:r>
              <w:rPr>
                <w:rFonts w:hint="eastAsia" w:asciiTheme="minorEastAsia" w:hAnsiTheme="minorEastAsia" w:eastAsiaTheme="minorEastAsia" w:cstheme="minorEastAsia"/>
                <w:color w:val="auto"/>
                <w:spacing w:val="-9"/>
                <w:sz w:val="22"/>
                <w:szCs w:val="22"/>
                <w:highlight w:val="none"/>
                <w:lang w:val="en-US" w:eastAsia="zh-CN"/>
              </w:rPr>
              <w:t>2</w:t>
            </w:r>
            <w:r>
              <w:rPr>
                <w:rFonts w:hint="eastAsia" w:asciiTheme="minorEastAsia" w:hAnsiTheme="minorEastAsia" w:eastAsiaTheme="minorEastAsia" w:cstheme="minorEastAsia"/>
                <w:color w:val="auto"/>
                <w:spacing w:val="-9"/>
                <w:sz w:val="22"/>
                <w:szCs w:val="22"/>
                <w:highlight w:val="none"/>
              </w:rPr>
              <w:t>分）</w:t>
            </w:r>
          </w:p>
        </w:tc>
        <w:tc>
          <w:tcPr>
            <w:tcW w:w="5992" w:type="dxa"/>
            <w:noWrap w:val="0"/>
            <w:vAlign w:val="top"/>
          </w:tcPr>
          <w:p w14:paraId="3E16A87D">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2"/>
                <w:szCs w:val="22"/>
                <w:highlight w:val="none"/>
                <w:lang w:val="zh-CN" w:eastAsia="zh-CN" w:bidi="ar-SA"/>
              </w:rPr>
            </w:pPr>
            <w:r>
              <w:rPr>
                <w:rFonts w:hint="eastAsia" w:asciiTheme="minorEastAsia" w:hAnsiTheme="minorEastAsia" w:eastAsiaTheme="minorEastAsia" w:cstheme="minorEastAsia"/>
                <w:color w:val="auto"/>
                <w:sz w:val="22"/>
                <w:szCs w:val="22"/>
                <w:highlight w:val="none"/>
                <w:lang w:eastAsia="zh-CN"/>
              </w:rPr>
              <w:t>评标委员会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根据各投标供应商提供的2021年1月1日至今类似业绩进行打分，每提供1项得1分，总分不超过2分（附合同或中标（或成交）通知书复印件加盖企业公章）。</w:t>
            </w:r>
          </w:p>
        </w:tc>
      </w:tr>
    </w:tbl>
    <w:p w14:paraId="0E55F11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注：1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32EC528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2.评委需要严格按照以上方法赋分，不得超过分数界限赋分。</w:t>
      </w:r>
    </w:p>
    <w:p w14:paraId="168E73D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3.最低报价不是中标的唯一依据。</w:t>
      </w:r>
    </w:p>
    <w:p w14:paraId="002E4FA3">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2.3</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无效投标的认定</w:t>
      </w:r>
    </w:p>
    <w:p w14:paraId="5AD4BB3C">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b/>
          <w:bCs/>
          <w:color w:val="auto"/>
          <w:highlight w:val="none"/>
        </w:rPr>
      </w:pPr>
      <w:r>
        <w:rPr>
          <w:rFonts w:hint="eastAsia"/>
          <w:b/>
          <w:bCs/>
          <w:color w:val="auto"/>
          <w:highlight w:val="none"/>
        </w:rPr>
        <w:t>在评标过程中，出现下列情形之一的，投标无效：</w:t>
      </w:r>
    </w:p>
    <w:p w14:paraId="6089A55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投标</w:t>
      </w:r>
      <w:r>
        <w:rPr>
          <w:rFonts w:hint="eastAsia"/>
          <w:color w:val="auto"/>
          <w:highlight w:val="none"/>
        </w:rPr>
        <w:t>截止时间过后递交的</w:t>
      </w:r>
      <w:r>
        <w:rPr>
          <w:rFonts w:hint="eastAsia"/>
          <w:color w:val="auto"/>
          <w:highlight w:val="none"/>
          <w:lang w:val="en-US" w:eastAsia="zh-CN"/>
        </w:rPr>
        <w:t>电子响应</w:t>
      </w:r>
      <w:r>
        <w:rPr>
          <w:rFonts w:hint="eastAsia"/>
          <w:color w:val="auto"/>
          <w:highlight w:val="none"/>
        </w:rPr>
        <w:t>文件；</w:t>
      </w:r>
    </w:p>
    <w:p w14:paraId="32BE3F0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（2）应交未交投标保证金</w:t>
      </w:r>
      <w:r>
        <w:rPr>
          <w:rFonts w:hint="eastAsia"/>
          <w:color w:val="auto"/>
          <w:highlight w:val="none"/>
          <w:lang w:eastAsia="zh-CN"/>
        </w:rPr>
        <w:t>的</w:t>
      </w:r>
      <w:r>
        <w:rPr>
          <w:rFonts w:hint="eastAsia"/>
          <w:color w:val="auto"/>
          <w:highlight w:val="none"/>
        </w:rPr>
        <w:t>；</w:t>
      </w:r>
    </w:p>
    <w:p w14:paraId="53F1B17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（3）不具备</w:t>
      </w:r>
      <w:r>
        <w:rPr>
          <w:rFonts w:hint="eastAsia"/>
          <w:color w:val="auto"/>
          <w:highlight w:val="none"/>
          <w:lang w:val="en-US" w:eastAsia="zh-CN"/>
        </w:rPr>
        <w:t>招标</w:t>
      </w:r>
      <w:r>
        <w:rPr>
          <w:rFonts w:hint="eastAsia"/>
          <w:color w:val="auto"/>
          <w:highlight w:val="none"/>
        </w:rPr>
        <w:t>文件中规定资格要求</w:t>
      </w:r>
      <w:r>
        <w:rPr>
          <w:rFonts w:hint="eastAsia"/>
          <w:color w:val="auto"/>
          <w:highlight w:val="none"/>
          <w:lang w:val="en-US" w:eastAsia="zh-CN"/>
        </w:rPr>
        <w:t>或</w:t>
      </w:r>
      <w:r>
        <w:rPr>
          <w:rFonts w:hint="eastAsia"/>
          <w:color w:val="auto"/>
          <w:highlight w:val="none"/>
        </w:rPr>
        <w:t>资格要求</w:t>
      </w:r>
      <w:r>
        <w:rPr>
          <w:rFonts w:hint="eastAsia"/>
          <w:color w:val="auto"/>
          <w:highlight w:val="none"/>
          <w:lang w:val="en-US" w:eastAsia="zh-CN"/>
        </w:rPr>
        <w:t>资料提供不全</w:t>
      </w:r>
      <w:r>
        <w:rPr>
          <w:rFonts w:hint="eastAsia"/>
          <w:color w:val="auto"/>
          <w:highlight w:val="none"/>
        </w:rPr>
        <w:t>的；</w:t>
      </w:r>
    </w:p>
    <w:p w14:paraId="2C0A8F3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（4）未提供《开标一览表》的</w:t>
      </w:r>
      <w:r>
        <w:rPr>
          <w:rFonts w:hint="eastAsia"/>
          <w:color w:val="auto"/>
          <w:highlight w:val="none"/>
          <w:lang w:val="en-US" w:eastAsia="zh-CN"/>
        </w:rPr>
        <w:t>，投标报价不符合报价要求的</w:t>
      </w:r>
      <w:r>
        <w:rPr>
          <w:rFonts w:hint="eastAsia"/>
          <w:color w:val="auto"/>
          <w:highlight w:val="none"/>
        </w:rPr>
        <w:t>；</w:t>
      </w:r>
    </w:p>
    <w:p w14:paraId="0B8A17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w:t>
      </w:r>
      <w:r>
        <w:rPr>
          <w:rFonts w:hint="eastAsia"/>
          <w:color w:val="auto"/>
          <w:highlight w:val="none"/>
          <w:lang w:val="en-US" w:eastAsia="zh-CN"/>
        </w:rPr>
        <w:t>响应</w:t>
      </w:r>
      <w:r>
        <w:rPr>
          <w:rFonts w:hint="eastAsia"/>
          <w:color w:val="auto"/>
          <w:highlight w:val="none"/>
        </w:rPr>
        <w:t>文件未按照</w:t>
      </w:r>
      <w:r>
        <w:rPr>
          <w:rFonts w:hint="eastAsia"/>
          <w:color w:val="auto"/>
          <w:highlight w:val="none"/>
          <w:lang w:val="en-US" w:eastAsia="zh-CN"/>
        </w:rPr>
        <w:t>招标</w:t>
      </w:r>
      <w:r>
        <w:rPr>
          <w:rFonts w:hint="eastAsia"/>
          <w:color w:val="auto"/>
          <w:highlight w:val="none"/>
        </w:rPr>
        <w:t>文件规定要求签署、盖章的；</w:t>
      </w:r>
    </w:p>
    <w:p w14:paraId="51109F2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（6）投标报价超过</w:t>
      </w:r>
      <w:r>
        <w:rPr>
          <w:rFonts w:hint="eastAsia"/>
          <w:color w:val="auto"/>
          <w:highlight w:val="none"/>
          <w:lang w:val="en-US" w:eastAsia="zh-CN"/>
        </w:rPr>
        <w:t>招标</w:t>
      </w:r>
      <w:r>
        <w:rPr>
          <w:rFonts w:hint="eastAsia"/>
          <w:color w:val="auto"/>
          <w:highlight w:val="none"/>
        </w:rPr>
        <w:t>文件中规定的</w:t>
      </w:r>
      <w:r>
        <w:rPr>
          <w:rFonts w:hint="eastAsia"/>
          <w:color w:val="auto"/>
          <w:highlight w:val="none"/>
          <w:lang w:val="en-US" w:eastAsia="zh-CN"/>
        </w:rPr>
        <w:t>预算金额或最高限价</w:t>
      </w:r>
      <w:r>
        <w:rPr>
          <w:rFonts w:hint="eastAsia"/>
          <w:color w:val="auto"/>
          <w:highlight w:val="none"/>
        </w:rPr>
        <w:t>的</w:t>
      </w:r>
      <w:r>
        <w:rPr>
          <w:rFonts w:hint="eastAsia"/>
          <w:color w:val="auto"/>
          <w:highlight w:val="none"/>
          <w:lang w:eastAsia="zh-CN"/>
        </w:rPr>
        <w:t>；</w:t>
      </w:r>
    </w:p>
    <w:p w14:paraId="57E011A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（7）投标文件载明的采购项目</w:t>
      </w:r>
      <w:r>
        <w:rPr>
          <w:rFonts w:hint="eastAsia" w:ascii="宋体" w:hAnsi="宋体" w:eastAsia="宋体" w:cs="宋体"/>
          <w:color w:val="auto"/>
          <w:highlight w:val="none"/>
        </w:rPr>
        <w:t>合同履行期限</w:t>
      </w:r>
      <w:r>
        <w:rPr>
          <w:rFonts w:hint="eastAsia"/>
          <w:color w:val="auto"/>
          <w:highlight w:val="none"/>
          <w:lang w:eastAsia="zh-CN"/>
        </w:rPr>
        <w:t>、</w:t>
      </w:r>
      <w:r>
        <w:rPr>
          <w:rFonts w:hint="eastAsia"/>
          <w:color w:val="auto"/>
          <w:highlight w:val="none"/>
          <w:lang w:val="en-US" w:eastAsia="zh-CN"/>
        </w:rPr>
        <w:t>质保期限不符合采购</w:t>
      </w:r>
      <w:r>
        <w:rPr>
          <w:rFonts w:hint="eastAsia"/>
          <w:color w:val="auto"/>
          <w:highlight w:val="none"/>
        </w:rPr>
        <w:t>文件规定期限的；</w:t>
      </w:r>
    </w:p>
    <w:p w14:paraId="408BAD5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（8）评标过程中拒绝澄清相关事宜和问题的；</w:t>
      </w:r>
    </w:p>
    <w:p w14:paraId="5F5C8E3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（9）</w:t>
      </w:r>
      <w:r>
        <w:rPr>
          <w:rFonts w:hint="eastAsia"/>
          <w:color w:val="auto"/>
          <w:highlight w:val="none"/>
          <w:lang w:val="en-US" w:eastAsia="zh-CN"/>
        </w:rPr>
        <w:t>响应</w:t>
      </w:r>
      <w:r>
        <w:rPr>
          <w:rFonts w:hint="eastAsia"/>
          <w:color w:val="auto"/>
          <w:highlight w:val="none"/>
        </w:rPr>
        <w:t>文件不真实，有欺骗行为的；</w:t>
      </w:r>
    </w:p>
    <w:p w14:paraId="3FED9EC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（10）</w:t>
      </w:r>
      <w:r>
        <w:rPr>
          <w:rFonts w:hint="eastAsia"/>
          <w:color w:val="auto"/>
          <w:highlight w:val="none"/>
          <w:lang w:val="en-US" w:eastAsia="zh-CN"/>
        </w:rPr>
        <w:t>响应</w:t>
      </w:r>
      <w:r>
        <w:rPr>
          <w:rFonts w:hint="eastAsia"/>
          <w:color w:val="auto"/>
          <w:highlight w:val="none"/>
        </w:rPr>
        <w:t>文件含有</w:t>
      </w:r>
      <w:r>
        <w:rPr>
          <w:rFonts w:hint="eastAsia"/>
          <w:color w:val="auto"/>
          <w:highlight w:val="none"/>
          <w:lang w:val="en-US" w:eastAsia="zh-CN"/>
        </w:rPr>
        <w:t>采购</w:t>
      </w:r>
      <w:r>
        <w:rPr>
          <w:rFonts w:hint="eastAsia"/>
          <w:color w:val="auto"/>
          <w:highlight w:val="none"/>
        </w:rPr>
        <w:t>人和采购代理机构不能接受的条件的；</w:t>
      </w:r>
    </w:p>
    <w:p w14:paraId="1F8220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（11）响应文件未按照</w:t>
      </w:r>
      <w:r>
        <w:rPr>
          <w:rFonts w:hint="eastAsia"/>
          <w:color w:val="auto"/>
          <w:highlight w:val="none"/>
          <w:lang w:val="en-US" w:eastAsia="zh-CN"/>
        </w:rPr>
        <w:t>招标</w:t>
      </w:r>
      <w:r>
        <w:rPr>
          <w:rFonts w:hint="eastAsia"/>
          <w:color w:val="auto"/>
          <w:highlight w:val="none"/>
        </w:rPr>
        <w:t>文件要求顺序编制的；</w:t>
      </w:r>
    </w:p>
    <w:p w14:paraId="46BEEE9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2</w:t>
      </w:r>
      <w:r>
        <w:rPr>
          <w:rFonts w:hint="eastAsia"/>
          <w:color w:val="auto"/>
          <w:highlight w:val="none"/>
        </w:rPr>
        <w:t>）不符合</w:t>
      </w:r>
      <w:r>
        <w:rPr>
          <w:rFonts w:hint="eastAsia"/>
          <w:color w:val="auto"/>
          <w:highlight w:val="none"/>
          <w:lang w:val="en-US" w:eastAsia="zh-CN"/>
        </w:rPr>
        <w:t>招标</w:t>
      </w:r>
      <w:r>
        <w:rPr>
          <w:rFonts w:hint="eastAsia"/>
          <w:color w:val="auto"/>
          <w:highlight w:val="none"/>
        </w:rPr>
        <w:t>文件规定的其他实质性要求的；</w:t>
      </w:r>
    </w:p>
    <w:p w14:paraId="6313CB3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（13）响应文件未关联目录</w:t>
      </w:r>
      <w:r>
        <w:rPr>
          <w:rFonts w:hint="eastAsia"/>
          <w:color w:val="auto"/>
          <w:highlight w:val="none"/>
          <w:lang w:eastAsia="zh-CN"/>
        </w:rPr>
        <w:t>；</w:t>
      </w:r>
    </w:p>
    <w:p w14:paraId="3C38653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lang w:val="en-US" w:eastAsia="zh-CN"/>
        </w:rPr>
        <w:t>符合性审查未通过的；</w:t>
      </w:r>
    </w:p>
    <w:p w14:paraId="44A1F40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lang w:val="en-US" w:eastAsia="zh-CN"/>
        </w:rPr>
        <w:t>（15）</w:t>
      </w:r>
      <w:r>
        <w:rPr>
          <w:rFonts w:hint="eastAsia"/>
          <w:color w:val="auto"/>
          <w:highlight w:val="none"/>
        </w:rPr>
        <w:t>投标货物（产品）不符合强制执行的国家标准、行业标准的</w:t>
      </w:r>
      <w:r>
        <w:rPr>
          <w:rFonts w:hint="eastAsia"/>
          <w:color w:val="auto"/>
          <w:highlight w:val="none"/>
          <w:lang w:eastAsia="zh-CN"/>
        </w:rPr>
        <w:t>；</w:t>
      </w:r>
    </w:p>
    <w:p w14:paraId="0F31A45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16）投标文件的关键内容字迹模糊和无法辨认的；</w:t>
      </w:r>
    </w:p>
    <w:p w14:paraId="46958C7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17</w:t>
      </w:r>
      <w:r>
        <w:rPr>
          <w:rFonts w:hint="eastAsia"/>
          <w:color w:val="auto"/>
          <w:highlight w:val="none"/>
          <w:lang w:eastAsia="zh-CN"/>
        </w:rPr>
        <w:t>）</w:t>
      </w:r>
      <w:r>
        <w:rPr>
          <w:rFonts w:hint="eastAsia"/>
          <w:color w:val="auto"/>
          <w:highlight w:val="none"/>
        </w:rPr>
        <w:t>投标内容出现漏项或数量与要求不符的；</w:t>
      </w:r>
    </w:p>
    <w:p w14:paraId="2E8B80C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val="en-US" w:eastAsia="zh-CN"/>
        </w:rPr>
        <w:t>（18）法律法规和招标文件规定的其他情形的；</w:t>
      </w:r>
    </w:p>
    <w:p w14:paraId="153E185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lang w:eastAsia="zh-CN"/>
        </w:rPr>
      </w:pPr>
      <w:r>
        <w:rPr>
          <w:rFonts w:hint="eastAsia"/>
          <w:color w:val="auto"/>
          <w:highlight w:val="none"/>
        </w:rPr>
        <w:t>（1</w:t>
      </w:r>
      <w:r>
        <w:rPr>
          <w:rFonts w:hint="eastAsia"/>
          <w:color w:val="auto"/>
          <w:highlight w:val="none"/>
          <w:lang w:val="en-US" w:eastAsia="zh-CN"/>
        </w:rPr>
        <w:t>9</w:t>
      </w:r>
      <w:r>
        <w:rPr>
          <w:rFonts w:hint="eastAsia"/>
          <w:color w:val="auto"/>
          <w:highlight w:val="none"/>
        </w:rPr>
        <w:t>）投标货物（产品）不是国家强制节能产品品目清单中的产品（如有）</w:t>
      </w:r>
      <w:r>
        <w:rPr>
          <w:rFonts w:hint="eastAsia"/>
          <w:color w:val="auto"/>
          <w:highlight w:val="none"/>
          <w:lang w:val="en-US" w:eastAsia="zh-CN"/>
        </w:rPr>
        <w:t>。</w:t>
      </w:r>
    </w:p>
    <w:p w14:paraId="09C36E8F">
      <w:pPr>
        <w:keepNext w:val="0"/>
        <w:keepLines w:val="0"/>
        <w:pageBreakBefore w:val="0"/>
        <w:widowControl/>
        <w:kinsoku/>
        <w:wordWrap/>
        <w:overflowPunct/>
        <w:topLinePunct w:val="0"/>
        <w:autoSpaceDE w:val="0"/>
        <w:autoSpaceDN w:val="0"/>
        <w:bidi w:val="0"/>
        <w:adjustRightInd/>
        <w:snapToGrid/>
        <w:spacing w:before="120" w:beforeLines="50" w:after="120" w:afterLines="50" w:line="480" w:lineRule="exact"/>
        <w:ind w:right="51"/>
        <w:textAlignment w:val="bottom"/>
        <w:rPr>
          <w:rFonts w:hint="eastAsia" w:ascii="宋体" w:hAnsi="宋体"/>
          <w:b/>
          <w:color w:val="auto"/>
          <w:sz w:val="30"/>
          <w:szCs w:val="30"/>
          <w:highlight w:val="none"/>
        </w:rPr>
      </w:pPr>
      <w:r>
        <w:rPr>
          <w:rFonts w:hint="eastAsia" w:ascii="宋体" w:hAnsi="宋体"/>
          <w:b/>
          <w:color w:val="auto"/>
          <w:sz w:val="30"/>
          <w:szCs w:val="30"/>
          <w:highlight w:val="none"/>
        </w:rPr>
        <w:t>2.4</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特殊情况的处理</w:t>
      </w:r>
    </w:p>
    <w:p w14:paraId="2C8DFA8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 投标文件中如果出现计算错误，可按以下原则进行修正：</w:t>
      </w:r>
    </w:p>
    <w:p w14:paraId="0ED7004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（1）投标文件中的大写金额与小写金额不一致的，以大写金额为准；</w:t>
      </w:r>
    </w:p>
    <w:p w14:paraId="480C83A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（2）投标文件中的总价金额与按单价计算的汇总金额不一致的，以单价计算的汇总金额为准；</w:t>
      </w:r>
    </w:p>
    <w:p w14:paraId="42151C7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（3）投标文件中的单价金额有明显小数点错误的，以总价为准，并修改单价；</w:t>
      </w:r>
    </w:p>
    <w:p w14:paraId="6EB8886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（4）投标文件中有关分项表内容与“开标一览表”不一致的，以“开标一览表”为准；</w:t>
      </w:r>
    </w:p>
    <w:p w14:paraId="02F3324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（5）投标文件中图表与文字表述不一致的，以文字表述为准；</w:t>
      </w:r>
    </w:p>
    <w:p w14:paraId="1287C3A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）对不同文字文本投标文件的解释发生异议的，以中文文本为准。</w:t>
      </w:r>
    </w:p>
    <w:p w14:paraId="1ABCC232">
      <w:pPr>
        <w:keepNext w:val="0"/>
        <w:keepLines w:val="0"/>
        <w:pageBreakBefore w:val="0"/>
        <w:widowControl/>
        <w:kinsoku/>
        <w:wordWrap/>
        <w:overflowPunct/>
        <w:topLinePunct w:val="0"/>
        <w:autoSpaceDE w:val="0"/>
        <w:autoSpaceDN w:val="0"/>
        <w:bidi w:val="0"/>
        <w:adjustRightInd/>
        <w:snapToGrid/>
        <w:spacing w:line="480" w:lineRule="exact"/>
        <w:ind w:right="51" w:firstLine="422" w:firstLineChars="200"/>
        <w:textAlignment w:val="bottom"/>
        <w:rPr>
          <w:rFonts w:hint="eastAsia" w:ascii="宋体" w:hAnsi="宋体"/>
          <w:b/>
          <w:color w:val="auto"/>
          <w:szCs w:val="21"/>
          <w:highlight w:val="none"/>
        </w:rPr>
      </w:pPr>
      <w:r>
        <w:rPr>
          <w:rFonts w:hint="eastAsia" w:ascii="宋体" w:hAnsi="宋体"/>
          <w:b/>
          <w:color w:val="auto"/>
          <w:szCs w:val="21"/>
          <w:highlight w:val="none"/>
        </w:rPr>
        <w:t>按上述修正错误的方法调整的投标报价应对投标人具有</w:t>
      </w:r>
      <w:r>
        <w:rPr>
          <w:rFonts w:hint="eastAsia" w:ascii="宋体" w:hAnsi="宋体"/>
          <w:b/>
          <w:color w:val="auto"/>
          <w:szCs w:val="21"/>
          <w:highlight w:val="none"/>
          <w:lang w:val="en-US" w:eastAsia="zh-CN"/>
        </w:rPr>
        <w:t>约</w:t>
      </w:r>
      <w:r>
        <w:rPr>
          <w:rFonts w:hint="eastAsia" w:ascii="宋体" w:hAnsi="宋体"/>
          <w:b/>
          <w:color w:val="auto"/>
          <w:szCs w:val="21"/>
          <w:highlight w:val="none"/>
        </w:rPr>
        <w:t>束力。如果投标人不接受修正后的价格，其投标将被拒绝。</w:t>
      </w:r>
    </w:p>
    <w:p w14:paraId="2C543498">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2.4.2 投标文件中，若某项有不合理报价（或零报价、漏报价）的，经评标委员会评审后，此项得分为零，不参与投标报价分值的计算。</w:t>
      </w:r>
    </w:p>
    <w:p w14:paraId="34B466F2">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2.4.3 评标委员会成员打分超过得分界限或未按本办法赋分时，该评标委员会成员的打分，按废票处理。</w:t>
      </w:r>
    </w:p>
    <w:p w14:paraId="237CF6AD">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2.4.4 评标过程中，各种数字的计算结果，均保留两位小数，第三位“四舍五入”，但计算百分数时应精确到千分位，万分位“四舍五入”。</w:t>
      </w:r>
    </w:p>
    <w:p w14:paraId="4EB0D66D">
      <w:pPr>
        <w:keepNext w:val="0"/>
        <w:keepLines w:val="0"/>
        <w:pageBreakBefore w:val="0"/>
        <w:widowControl/>
        <w:kinsoku/>
        <w:wordWrap/>
        <w:overflowPunct/>
        <w:topLinePunct w:val="0"/>
        <w:bidi w:val="0"/>
        <w:adjustRightInd/>
        <w:snapToGrid/>
        <w:spacing w:line="480" w:lineRule="exact"/>
        <w:ind w:firstLine="422" w:firstLineChars="200"/>
        <w:jc w:val="left"/>
        <w:rPr>
          <w:rFonts w:hint="eastAsia" w:ascii="宋体" w:hAnsi="宋体"/>
          <w:b/>
          <w:color w:val="auto"/>
          <w:szCs w:val="21"/>
          <w:highlight w:val="none"/>
        </w:rPr>
      </w:pPr>
      <w:r>
        <w:rPr>
          <w:rFonts w:hint="eastAsia" w:ascii="宋体" w:hAnsi="宋体"/>
          <w:b/>
          <w:color w:val="auto"/>
          <w:szCs w:val="21"/>
          <w:highlight w:val="none"/>
        </w:rPr>
        <w:t>2.4.5 相同品牌的处理</w:t>
      </w:r>
    </w:p>
    <w:p w14:paraId="52CA134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2.4.5.1 核心产品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386AE5F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2.4.5.2 非单一产品采购项目中，多家投标人提供的核心产品品牌相同的，视为提供相同品牌产品。采购人根据采购项目技术构成、产品价格比重等合理确定核心产品。</w:t>
      </w:r>
    </w:p>
    <w:p w14:paraId="0A6F5C6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2.4.6 评标过程中，若出现本评标办法以外的特殊情况时，将暂停评标，待评委会商榷后，再进行评定。</w:t>
      </w:r>
    </w:p>
    <w:p w14:paraId="4C59C9D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2.4.7 评标报告签署后，采购人或者采购代理机构发现存在本章第1.5.2条款情形之一的，应当组织原评标委员会进行重新评审，重新评审改变中标结果的，书面报告本级财政部门。</w:t>
      </w:r>
    </w:p>
    <w:p w14:paraId="4E5C69E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投标人对本章第1.5.2条（1）情形提出质疑的，采购代理机构应当组织原评标委员会进行重新评审，重新评审改变中标结果的，应当书面报告本级财政部门。</w:t>
      </w:r>
    </w:p>
    <w:p w14:paraId="7B5E32E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2.4.8 评标过程中，若出现合格投标人只有2家时，采购人可以选择以下其中一种方式：</w:t>
      </w:r>
    </w:p>
    <w:p w14:paraId="55D6934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（1）本次招标按废标处理；</w:t>
      </w:r>
    </w:p>
    <w:p w14:paraId="4125CC9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（2）按照财政部《货物和服务招标投标管理办法》（87号令）第43条规定，改作竞争性谈判采购方式，继续采购活动。</w:t>
      </w:r>
    </w:p>
    <w:p w14:paraId="6C62862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2.4.9 采购人若选择竞争性谈判采购方式继续采购活动时，应当按下列程序进行：</w:t>
      </w:r>
    </w:p>
    <w:p w14:paraId="6300CC6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（1）由评标委员会出具招标文件没有不合理条款、招标程序符合规定的书面意见并签署；</w:t>
      </w:r>
    </w:p>
    <w:p w14:paraId="2894CEC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（2）由采购人按规定向财政部门提出申请变更采购方式；</w:t>
      </w:r>
    </w:p>
    <w:p w14:paraId="131DFF1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（3）采购代理机构根据财政部门批准的竞争性谈判采购方式，编制竞争性谈判文件，并直接向这2家合格投标人提供竞争性谈判文件；</w:t>
      </w:r>
    </w:p>
    <w:p w14:paraId="1DF2878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（4）采购代理机构将根据竞争性谈判文件规定的时间、地点组织竞争性谈判小组直接与这2家合格投标人进行竞争性谈判。</w:t>
      </w:r>
    </w:p>
    <w:p w14:paraId="5C2CD07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2.4.10 评标争议处理原则</w:t>
      </w:r>
    </w:p>
    <w:p w14:paraId="425734D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评标委员会在评审过程中，对投标文件符合性审查、对投标人投标文件做无效投标处理及其他需要共同认定的事项存在争议的，应当以少数服从多数的原则做出结论，但不得违反法律法规和招标文件的规定。有不同意见的评标委员会成员认为认定过程和结果不符合法律法规或者招标文件规定的，应当及时向采购人书面反映，采购人收到书面反映后，应当及时向同级财政部门报告依法处理。</w:t>
      </w:r>
    </w:p>
    <w:p w14:paraId="1B7B8DAE">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lang w:val="en-US" w:eastAsia="zh-CN"/>
        </w:rPr>
      </w:pPr>
      <w:r>
        <w:rPr>
          <w:rFonts w:ascii="黑体" w:hAnsi="宋体"/>
          <w:color w:val="auto"/>
          <w:sz w:val="44"/>
          <w:szCs w:val="44"/>
          <w:highlight w:val="none"/>
        </w:rPr>
        <w:br w:type="page"/>
      </w:r>
      <w:bookmarkStart w:id="186" w:name="_Toc24751"/>
      <w:r>
        <w:rPr>
          <w:rFonts w:hint="eastAsia" w:ascii="黑体" w:hAnsi="宋体" w:eastAsia="黑体" w:cs="Times New Roman"/>
          <w:b/>
          <w:color w:val="auto"/>
          <w:kern w:val="44"/>
          <w:sz w:val="44"/>
          <w:szCs w:val="44"/>
          <w:highlight w:val="none"/>
          <w:lang w:val="en-US" w:eastAsia="zh-CN"/>
        </w:rPr>
        <w:t>第四章</w:t>
      </w:r>
      <w:r>
        <w:rPr>
          <w:rFonts w:hint="eastAsia" w:ascii="黑体" w:hAnsi="宋体"/>
          <w:color w:val="auto"/>
          <w:sz w:val="44"/>
          <w:szCs w:val="44"/>
          <w:highlight w:val="none"/>
          <w:lang w:val="en-US" w:eastAsia="zh-CN"/>
        </w:rPr>
        <w:t xml:space="preserve"> </w:t>
      </w:r>
      <w:r>
        <w:rPr>
          <w:rFonts w:hint="eastAsia" w:ascii="黑体" w:hAnsi="宋体" w:eastAsia="黑体" w:cs="Times New Roman"/>
          <w:b/>
          <w:color w:val="auto"/>
          <w:kern w:val="44"/>
          <w:sz w:val="44"/>
          <w:szCs w:val="44"/>
          <w:highlight w:val="none"/>
          <w:lang w:val="en-US" w:eastAsia="zh-CN"/>
        </w:rPr>
        <w:t>采购内容及要求</w:t>
      </w:r>
      <w:bookmarkEnd w:id="183"/>
      <w:bookmarkEnd w:id="186"/>
    </w:p>
    <w:p w14:paraId="05EB1280">
      <w:pPr>
        <w:pStyle w:val="7"/>
        <w:pageBreakBefore w:val="0"/>
        <w:widowControl w:val="0"/>
        <w:kinsoku/>
        <w:wordWrap/>
        <w:overflowPunct/>
        <w:topLinePunct w:val="0"/>
        <w:bidi w:val="0"/>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rPr>
      </w:pPr>
      <w:bookmarkStart w:id="187" w:name="_Toc1573"/>
      <w:bookmarkStart w:id="188" w:name="_Toc217446094"/>
      <w:r>
        <w:rPr>
          <w:rFonts w:hint="eastAsia" w:ascii="黑体" w:hAnsi="宋体" w:eastAsia="黑体" w:cs="Times New Roman"/>
          <w:b/>
          <w:color w:val="auto"/>
          <w:kern w:val="44"/>
          <w:sz w:val="36"/>
          <w:szCs w:val="36"/>
          <w:highlight w:val="none"/>
          <w:lang w:val="en-US" w:eastAsia="zh-CN"/>
        </w:rPr>
        <w:t xml:space="preserve">第一部分 </w:t>
      </w:r>
      <w:r>
        <w:rPr>
          <w:rFonts w:hint="eastAsia" w:ascii="黑体" w:hAnsi="宋体" w:eastAsia="黑体" w:cs="Times New Roman"/>
          <w:b/>
          <w:color w:val="auto"/>
          <w:kern w:val="44"/>
          <w:sz w:val="36"/>
          <w:szCs w:val="36"/>
          <w:highlight w:val="none"/>
        </w:rPr>
        <w:t>采购货物清单及技术参数</w:t>
      </w:r>
      <w:bookmarkEnd w:id="187"/>
    </w:p>
    <w:p w14:paraId="56DE1440">
      <w:pPr>
        <w:keepNext w:val="0"/>
        <w:keepLines w:val="0"/>
        <w:pageBreakBefore w:val="0"/>
        <w:kinsoku/>
        <w:wordWrap/>
        <w:overflowPunct/>
        <w:topLinePunct w:val="0"/>
        <w:autoSpaceDE/>
        <w:autoSpaceDN/>
        <w:bidi w:val="0"/>
        <w:adjustRightInd/>
        <w:snapToGrid/>
        <w:spacing w:line="480" w:lineRule="exact"/>
        <w:textAlignment w:val="auto"/>
        <w:rPr>
          <w:rFonts w:hint="eastAsia" w:eastAsia="宋体"/>
          <w:b/>
          <w:bCs/>
          <w:color w:val="auto"/>
          <w:sz w:val="28"/>
          <w:szCs w:val="36"/>
          <w:highlight w:val="none"/>
          <w:lang w:val="en-US" w:eastAsia="zh-CN"/>
        </w:rPr>
      </w:pPr>
      <w:r>
        <w:rPr>
          <w:rFonts w:hint="eastAsia" w:eastAsia="宋体"/>
          <w:b/>
          <w:bCs/>
          <w:color w:val="auto"/>
          <w:sz w:val="28"/>
          <w:szCs w:val="36"/>
          <w:highlight w:val="none"/>
          <w:lang w:val="en-US" w:eastAsia="zh-CN"/>
        </w:rPr>
        <w:t>一、项目说明：</w:t>
      </w:r>
    </w:p>
    <w:p w14:paraId="2FB77A3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1</w:t>
      </w:r>
      <w:r>
        <w:rPr>
          <w:rFonts w:hint="eastAsia" w:eastAsia="宋体"/>
          <w:color w:val="auto"/>
          <w:highlight w:val="none"/>
          <w:lang w:eastAsia="zh-CN"/>
        </w:rPr>
        <w:t>）</w:t>
      </w:r>
      <w:r>
        <w:rPr>
          <w:rFonts w:hint="eastAsia" w:eastAsia="宋体"/>
          <w:color w:val="auto"/>
          <w:highlight w:val="none"/>
        </w:rPr>
        <w:t>供应商应保证货物是全新、未使用过的</w:t>
      </w:r>
      <w:r>
        <w:rPr>
          <w:rFonts w:hint="eastAsia" w:eastAsia="宋体"/>
          <w:color w:val="auto"/>
          <w:highlight w:val="none"/>
          <w:lang w:val="en-US" w:eastAsia="zh-CN"/>
        </w:rPr>
        <w:t>原装合格正品</w:t>
      </w:r>
      <w:r>
        <w:rPr>
          <w:rFonts w:hint="eastAsia" w:eastAsia="宋体"/>
          <w:color w:val="auto"/>
          <w:highlight w:val="none"/>
        </w:rPr>
        <w:t>。并完全符合</w:t>
      </w:r>
      <w:r>
        <w:rPr>
          <w:rFonts w:hint="eastAsia"/>
          <w:color w:val="auto"/>
          <w:highlight w:val="none"/>
          <w:lang w:val="en-US" w:eastAsia="zh-CN"/>
        </w:rPr>
        <w:t>招标文件</w:t>
      </w:r>
      <w:r>
        <w:rPr>
          <w:rFonts w:hint="eastAsia" w:eastAsia="宋体"/>
          <w:color w:val="auto"/>
          <w:highlight w:val="none"/>
        </w:rPr>
        <w:t>规定的质量、规格和性能的要求。供应商应保证所提供的货物经正确安装、正常运转和保养后，在其使用寿命期内应具有满意的性能。在货物质量保证期内供应商应对由于材料的缺陷而发生的任何不足或者故障负责。</w:t>
      </w:r>
    </w:p>
    <w:p w14:paraId="04003D0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2</w:t>
      </w:r>
      <w:r>
        <w:rPr>
          <w:rFonts w:hint="eastAsia" w:eastAsia="宋体"/>
          <w:color w:val="auto"/>
          <w:highlight w:val="none"/>
          <w:lang w:eastAsia="zh-CN"/>
        </w:rPr>
        <w:t>）</w:t>
      </w:r>
      <w:r>
        <w:rPr>
          <w:rFonts w:hint="eastAsia" w:eastAsia="宋体"/>
          <w:color w:val="auto"/>
          <w:highlight w:val="none"/>
        </w:rPr>
        <w:t>货物必须为合格产品，质量达到国家有关标准，供应商供货时应当提供有关货物的合格证明材料等。</w:t>
      </w:r>
    </w:p>
    <w:p w14:paraId="3474C23D">
      <w:pPr>
        <w:keepNext w:val="0"/>
        <w:keepLines w:val="0"/>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b/>
          <w:bCs/>
          <w:color w:val="auto"/>
          <w:sz w:val="28"/>
          <w:szCs w:val="36"/>
          <w:highlight w:val="none"/>
          <w:lang w:val="en-US" w:eastAsia="zh-CN"/>
        </w:rPr>
      </w:pPr>
      <w:r>
        <w:rPr>
          <w:rFonts w:hint="eastAsia" w:ascii="Times New Roman" w:hAnsi="Times New Roman" w:eastAsia="宋体" w:cs="Times New Roman"/>
          <w:b/>
          <w:bCs/>
          <w:color w:val="auto"/>
          <w:sz w:val="28"/>
          <w:szCs w:val="36"/>
          <w:highlight w:val="none"/>
          <w:lang w:val="en-US" w:eastAsia="zh-CN"/>
        </w:rPr>
        <w:t>二、采购技术参数要求：</w:t>
      </w:r>
    </w:p>
    <w:tbl>
      <w:tblPr>
        <w:tblStyle w:val="2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66"/>
        <w:gridCol w:w="775"/>
        <w:gridCol w:w="5904"/>
        <w:gridCol w:w="941"/>
        <w:gridCol w:w="989"/>
      </w:tblGrid>
      <w:tr w14:paraId="559C7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1A8D497">
            <w:pPr>
              <w:pStyle w:val="2"/>
              <w:keepNext/>
              <w:keepLines/>
              <w:pageBreakBefore w:val="0"/>
              <w:widowControl w:val="0"/>
              <w:kinsoku/>
              <w:wordWrap/>
              <w:overflowPunct/>
              <w:topLinePunct w:val="0"/>
              <w:autoSpaceDE/>
              <w:autoSpaceDN/>
              <w:bidi w:val="0"/>
              <w:adjustRightInd/>
              <w:snapToGrid w:val="0"/>
              <w:spacing w:before="0" w:after="0" w:line="240" w:lineRule="auto"/>
              <w:ind w:left="0" w:leftChars="0" w:firstLine="0" w:firstLineChars="0"/>
              <w:jc w:val="center"/>
              <w:textAlignment w:val="auto"/>
              <w:rPr>
                <w:rFonts w:hint="eastAsia" w:ascii="宋体" w:hAnsi="宋体" w:eastAsia="宋体" w:cs="宋体"/>
                <w:b/>
                <w:bCs/>
                <w:i w:val="0"/>
                <w:iCs w:val="0"/>
                <w:color w:val="000000"/>
                <w:szCs w:val="28"/>
                <w:highlight w:val="none"/>
                <w:u w:val="none"/>
              </w:rPr>
            </w:pPr>
            <w:bookmarkStart w:id="189" w:name="_Toc3238"/>
            <w:r>
              <w:rPr>
                <w:rFonts w:hint="eastAsia"/>
                <w:highlight w:val="none"/>
                <w:lang w:val="en-US" w:eastAsia="zh-CN"/>
              </w:rPr>
              <w:t>第五标段（后勤及配套设施设备）</w:t>
            </w:r>
            <w:bookmarkEnd w:id="189"/>
          </w:p>
        </w:tc>
      </w:tr>
      <w:tr w14:paraId="4DA9B4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6433B">
            <w:pPr>
              <w:pStyle w:val="3"/>
              <w:keepNext/>
              <w:keepLines/>
              <w:pageBreakBefore w:val="0"/>
              <w:widowControl w:val="0"/>
              <w:kinsoku/>
              <w:wordWrap/>
              <w:overflowPunct/>
              <w:topLinePunct w:val="0"/>
              <w:autoSpaceDE/>
              <w:autoSpaceDN/>
              <w:bidi w:val="0"/>
              <w:adjustRightInd/>
              <w:snapToGrid w:val="0"/>
              <w:spacing w:before="0" w:after="0" w:line="400" w:lineRule="exact"/>
              <w:textAlignment w:val="auto"/>
              <w:rPr>
                <w:rFonts w:hint="eastAsia" w:ascii="宋体" w:hAnsi="宋体" w:eastAsia="宋体" w:cs="宋体"/>
                <w:b/>
                <w:bCs/>
                <w:i w:val="0"/>
                <w:iCs w:val="0"/>
                <w:color w:val="000000"/>
                <w:szCs w:val="22"/>
                <w:highlight w:val="none"/>
                <w:u w:val="none"/>
              </w:rPr>
            </w:pPr>
            <w:bookmarkStart w:id="190" w:name="_Toc29080"/>
            <w:r>
              <w:rPr>
                <w:rFonts w:hint="eastAsia"/>
                <w:highlight w:val="none"/>
                <w:lang w:val="en-US" w:eastAsia="zh-CN"/>
              </w:rPr>
              <w:t>一、后勤设施设备</w:t>
            </w:r>
            <w:bookmarkEnd w:id="190"/>
          </w:p>
        </w:tc>
      </w:tr>
      <w:tr w14:paraId="0D16C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0A76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1B24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37C0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D06B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F9DD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3D937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024285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1.一层</w:t>
            </w:r>
          </w:p>
        </w:tc>
      </w:tr>
      <w:tr w14:paraId="7462A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166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1.1男女更衣室</w:t>
            </w:r>
          </w:p>
        </w:tc>
      </w:tr>
      <w:tr w14:paraId="637DD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14A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732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六门更衣柜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742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900*500*1800mm±20mm，整体为冷轧板；柜体:侧板、底板≥1.2mm厚;门板:≥1.2mm厚；</w:t>
            </w:r>
          </w:p>
          <w:p w14:paraId="54C5B0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吊装式平开门配不锈钢锁；底座安装不锈钢可调重力脚4个；更衣柜顶部为</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45度倾斜角；更衣柜门上开百叶透气孔；</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BED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BD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4F68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F9B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1.2主副食库</w:t>
            </w:r>
          </w:p>
        </w:tc>
      </w:tr>
      <w:tr w14:paraId="430D40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F4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F9F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主食低架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589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1200*500*300mm（±5mm）   201不锈钢材质；厚度≥1.2mm；由不小于25×25mm的矩形方管焊接</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362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CE2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E60A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4C6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16D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平板车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BD0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≥800*500*300mm，整体采用201不锈钢≥1.2mm厚侧板为≥1.0mm厚；脚轮为耐腐软面材料；带刹车和加固支撑。</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12F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AF7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738E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45A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5B1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D8D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1200*500*1500mm±20mm，货架全部为≥1.2mm厚的201不锈钢结构；货架为≥ 4层，层板采用厚度≥1.2毫米的不锈钢板制造，表面均布条形格栅孔，底层距地面高≥ 150 毫米，层间距应均分；支腿应采用直径≥38毫米的圆形或方形不锈钢管焊接成型，不锈钢管壁厚≥1.2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4CF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97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D8CE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D0FF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1.3冷藏间</w:t>
            </w:r>
          </w:p>
        </w:tc>
      </w:tr>
      <w:tr w14:paraId="242D3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781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564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卧式冷柜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24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1.有效容积（L）：≥398；</w:t>
            </w:r>
          </w:p>
          <w:p w14:paraId="6DF392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2.温度范围：-5℃～10℃/-15℃～-6℃；</w:t>
            </w:r>
          </w:p>
          <w:p w14:paraId="0203DD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3.箱体材料：内外箱不锈钢；</w:t>
            </w:r>
          </w:p>
          <w:p w14:paraId="69FBE5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4.蒸发箱：铜管；</w:t>
            </w:r>
          </w:p>
          <w:p w14:paraId="7BC6F2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5.输入功率：</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476W。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CD7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582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120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61F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1.4粗加工间</w:t>
            </w:r>
          </w:p>
        </w:tc>
      </w:tr>
      <w:tr w14:paraId="15BBC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5D8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79E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08C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四边折成U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BFC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6CE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914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5EB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7C5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468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B33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4EB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694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32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EBE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35D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CE6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EBA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A66C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19F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815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2E9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1200*500*1500mm±20mm，货架全部为≥1.2mm厚的201不锈钢结构；货架为≥4层，层板采用厚度≥1.2毫米的不锈钢板制造，表面均布条形格栅孔，底层距地面≥ 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EDB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660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E380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ED3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CDF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3FC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094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B8B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AF7E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733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FA2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切菜机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25F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1.主要用途：叶菜类：可切芹菜、大白菜、高丽菜、菠菜、葱、大蒜、瓜类等长条状之物切成片、丝、段状。</w:t>
            </w:r>
          </w:p>
          <w:p w14:paraId="531C98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2.电源系统电源：220V　单相。</w:t>
            </w:r>
          </w:p>
          <w:p w14:paraId="12C5A9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3.设备材质：全不锈钢SUS201拉丝面料精制。</w:t>
            </w:r>
          </w:p>
          <w:p w14:paraId="5BC90A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4.主要技术指标：</w:t>
            </w:r>
          </w:p>
          <w:p w14:paraId="3BDC8B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4.1落地式切菜机，带两个可移动脚轮。</w:t>
            </w:r>
          </w:p>
          <w:p w14:paraId="1E1FFC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4.2皮带送料，速度可以调节，皮带为食品级输送带。</w:t>
            </w:r>
          </w:p>
          <w:p w14:paraId="0B081D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4.3电器控制部分与切割仓完全分离，清洗的时候保证电器箱安全。</w:t>
            </w:r>
          </w:p>
          <w:p w14:paraId="0C1288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4.4切割刀具可以轻松拆装，以便适应不同的产品。</w:t>
            </w:r>
          </w:p>
          <w:p w14:paraId="63D4D9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4.5输送皮带可以轻易拆装清洗。</w:t>
            </w:r>
          </w:p>
          <w:p w14:paraId="4E6CE1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4.6切割仓出料口有感应开关，安全防护。</w:t>
            </w:r>
          </w:p>
          <w:p w14:paraId="7D5023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4.7通过双调频调节输送带及动转刀速度，可切出不同规格的段状</w:t>
            </w:r>
          </w:p>
          <w:p w14:paraId="3BEF0C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4.8整体设计合理，与其他设备配合形成流水线操作模式。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FED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779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C5D2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08D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B5E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脱皮机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719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外型尺寸：670*500*850mm±20mm</w:t>
            </w:r>
          </w:p>
          <w:p w14:paraId="07A1B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效率：≥120-350kg/h</w:t>
            </w:r>
          </w:p>
          <w:p w14:paraId="5B8009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功率：≥0.75kw/220V</w:t>
            </w:r>
          </w:p>
          <w:p w14:paraId="6E2D5F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011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14B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3C4B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790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8B1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绞切机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825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外观尺寸：55*38*75cm（允许误差±2cm），产品全机201不锈钢制作，电机为铜芯电机，刀片方便拆卸清洗，功率：≥1.5KW，电压：220V，切丝产量：≥450KG/H，绞肉产量：≥180KG/H，整机重量</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90KG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FF4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6F3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765D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0DF2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1.5主操作间</w:t>
            </w:r>
          </w:p>
        </w:tc>
      </w:tr>
      <w:tr w14:paraId="3B5E8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A04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14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099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1810*700*1900mm±20mm ，六门冰柜</w:t>
            </w:r>
          </w:p>
          <w:p w14:paraId="6C2B9F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电压：220V功率：≥0.58kw容量：≥1380L冷藏容积≥690L冷冻容积≥690L；制冷方式：直冷； 温度范围：保鲜-5℃～+5℃冷冻0℃～-18℃。</w:t>
            </w:r>
          </w:p>
          <w:p w14:paraId="3CA298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65E710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w:t>
            </w:r>
          </w:p>
          <w:p w14:paraId="40352B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3、采用微电脑温控器，温度显示精准，性能稳定，操作简单；</w:t>
            </w:r>
          </w:p>
          <w:p w14:paraId="03E602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4、采用无磁不锈钢板材，全免焊设计结构；</w:t>
            </w:r>
          </w:p>
          <w:p w14:paraId="405A5C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5、多气囊可拆卸式门封条，密封性能好，便于清洁；高效制冷；</w:t>
            </w:r>
          </w:p>
          <w:p w14:paraId="13A382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6、自动回归关门设计，防止门体关不严，造成食物变质；</w:t>
            </w:r>
          </w:p>
          <w:p w14:paraId="450050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7、门框加热丝可更换，同时有专用开关控制，可根据温度湿度控制开关加热丝，除露除霜；</w:t>
            </w:r>
          </w:p>
          <w:p w14:paraId="1D9429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8、采用环戊烷C5H10环保发泡材料；</w:t>
            </w:r>
          </w:p>
          <w:p w14:paraId="30BEB2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9、接线采用JST端子插接</w:t>
            </w:r>
          </w:p>
          <w:p w14:paraId="7F835B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10、所有电器线路通过线缆槽布局，伸缩位置釆用护缆套进行保护，避免岀现电器安全。</w:t>
            </w:r>
          </w:p>
          <w:p w14:paraId="2E147B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11、纯铜蒸发器制作，采用TP2铜制作蒸发器，保证蒸发器使用寿命。</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50A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925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F02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36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B3C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A1A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全不锈钢制造。技术参数：功率：≥2.2KW,电压：380V，生产效率:≥50公斤/小时。外形尺寸：980*510*1010mm±20mm.带翻斗、变速箱。</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C6C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4B7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A57A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CCB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F47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380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低噪音链条款新型压面机，生产效率≥60KG/小时，配用电机≥2.2KW，额定电压220V，出厂配3毫米圆刀，2毫米扁刀，4毫米扁刀，14毫米大盘鸡刀，双边刻度制，使两边面皮厚度一致，电机可倒转，使退换刀方便。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FE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4F8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E164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22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C54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拖把池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BC3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500*500*500mm±20mm</w:t>
            </w:r>
          </w:p>
          <w:p w14:paraId="619D5B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采用不锈钢板制作：</w:t>
            </w:r>
          </w:p>
          <w:p w14:paraId="5675AC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1、台面不锈钢厚度为≥1.5mm，水槽≥1.2mm；</w:t>
            </w:r>
          </w:p>
          <w:p w14:paraId="085A28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2、水槽深</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240mm；</w:t>
            </w:r>
          </w:p>
          <w:p w14:paraId="0F85DE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3、恒支撑采用圆形管φ25mm，厚度≥1.0mm；</w:t>
            </w:r>
          </w:p>
          <w:p w14:paraId="23DE49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4、设备角φ38mm，厚度1.2mm圆形管；</w:t>
            </w:r>
          </w:p>
          <w:p w14:paraId="07A2F6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5、配不锈钢子弹脚4个；</w:t>
            </w:r>
          </w:p>
          <w:p w14:paraId="5D28CF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6、配不锈钢下水口，带背板。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137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CD1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E581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C16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C85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691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 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B6A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C43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574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057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006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木案工作台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FA0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1800*800*800mm±20mm木案厚度≥10cm不锈钢架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708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209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7FB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57F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DA4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8AD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0C9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86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23CC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222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F33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EA2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FBC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56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0CCE8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644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7EC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调料车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C8F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面板厚度≥1.2mm不锈钢板，层板厚度≥1.0mm，万向胶皮刹车轮</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590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6A8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EF96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2B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1DF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097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300*1100*800mm±20mm通体采用201不锈钢，全螺丝组合设计；拆装方式简单。板面内加厚度承重≥100kg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6E8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39D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636BD8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9A0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632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电磁一蒸一炒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D31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规格（长*宽*高）：2000*1100*1200mm±20mm</w:t>
            </w:r>
          </w:p>
          <w:p w14:paraId="5E0216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2、功率/电压：≥20KW+15KW</w:t>
            </w:r>
          </w:p>
          <w:p w14:paraId="6C48B8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3、采用不锈钢材质，前后板、侧板厚度≥1.0mm；面板厚度≥1.2mm；</w:t>
            </w:r>
          </w:p>
          <w:p w14:paraId="2AD906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大锅小炒符合≥IPX6、耐潮湿、泄漏电流和电气强度标准防水设计，四面可直接喷淋；防干烧线圈盘，超温保护更灵敏；高标准防漏电处理加防静电设计，电磁炉机芯配置：采用机芯，超静音设计炉脚采用可调重力脚，每个炉头装有摇摆水龙头，精准八档定位器，电系统由电脑主板控制及具有超温保护、自动故障检测、电压过高过低及缺相保护。</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3BA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48F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B55C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CE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07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电磁双眼大锅灶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A3A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1、规格2000*1100*800mm±20mm</w:t>
            </w:r>
          </w:p>
          <w:p w14:paraId="26A99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2、锅径为Φ800，功率：≥2*20kw/380v；</w:t>
            </w:r>
          </w:p>
          <w:p w14:paraId="701E7E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3、灶面板采用一体成型面板，炉体采用不锈钢骨架。</w:t>
            </w:r>
          </w:p>
          <w:p w14:paraId="4AC284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▲4、双头大炒炉具有：定时关功能、定温功能、预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开功能、数码显示屏功能、电压电流传感器保护功能。</w:t>
            </w:r>
          </w:p>
          <w:p w14:paraId="67B49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5、采用通过安全型保护测试的1-9档磁控火力开关，耐用并能很灵敏控制需求档位，火力细分让加热火力更平滑，真正达到明火仿真技术；</w:t>
            </w:r>
          </w:p>
          <w:p w14:paraId="125171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7、线盘：火力大，加热速度快，更均匀，线圈盘无盲区，内部线圈全部有防水设计，采用纯铜线编织，使用寿命长； </w:t>
            </w:r>
          </w:p>
          <w:p w14:paraId="6E4C2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▲8、产品核心元器件档位开关符合GB/T2423.3-2016环境试验 第2部分：试验方法 试验Cab:恒定湿热试验的检测要求，所投电磁炉产品中使用的档位开关在温度（25±1）℃，湿度（75±3）％RH的潮湿箱内非工作恒湿放置240小时，试验后在室温放置2h，试验后样品外观、结构以及通电功能正常，通过实验要求。</w:t>
            </w:r>
          </w:p>
          <w:p w14:paraId="639C3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▲9、要求供应商提供电磁双头大炒炉，具有GB4706.1-2005《家用和类似用途电器的安全第1部分：通用要求》，需提供GB4706.52-2008《家用和类似用途电器的安全 商用电炉灶、烤箱、灶和灶单元的特殊要求》中的耐潮湿、防水等级≥IPX6，电气强度3000V不击穿检测报告</w:t>
            </w:r>
          </w:p>
          <w:p w14:paraId="15A844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▲10、商用电磁炉不锈钢板材依据GB/T10125-2021《人造气氛腐蚀试验盐雾试验》，样品通过120H盐雾试验后，样品表面无明显变化，性能等级判定≥10级。</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22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A2B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0600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FA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A14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电磁单眼大锅灶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134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1、规格：1100*1100*800mm±20mm</w:t>
            </w:r>
          </w:p>
          <w:p w14:paraId="2665FC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2、锅径为Φ800，功率：≥20kw/380v；</w:t>
            </w:r>
          </w:p>
          <w:p w14:paraId="383ED0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▲3、灶面板采用一体成型面板，炉体采用全不锈钢,炉灶焊接处依据GB/T 228.1-2010《金属材料 拉力测试 第1部分：室温试验方法》的检测要求，焊接拉力要在10000N以上，检测合格。 </w:t>
            </w:r>
          </w:p>
          <w:p w14:paraId="2211FE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4、机芯采用分层次散热结构</w:t>
            </w:r>
          </w:p>
          <w:p w14:paraId="629E1A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5、具有全中文显示故障代码功能，让操作更人性化，档位对应功率显示。让操作更加直观。</w:t>
            </w:r>
          </w:p>
          <w:p w14:paraId="6A2F4A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6、8档360度旋转档位火力调节</w:t>
            </w:r>
          </w:p>
          <w:p w14:paraId="5BD6D0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7、后背防水风机。</w:t>
            </w:r>
          </w:p>
          <w:p w14:paraId="26F8EA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8、聚能线盘节能设计，线圈盘无盲区，比传统灶节能30%以上。</w:t>
            </w:r>
          </w:p>
          <w:p w14:paraId="324BFF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9、移相搭桥电路控制技术，性能卓越运行稳定 </w:t>
            </w:r>
          </w:p>
          <w:p w14:paraId="643E6E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10、超宽工作电压设计，运行稳定更安全</w:t>
            </w:r>
          </w:p>
          <w:p w14:paraId="1CC44C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11、电路防磁干扰EMC模块设计，保护电网及电器设备</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385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340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4282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31D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116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F65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6F33E0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1、不锈钢油烟净化一体排烟罩，材为不锈钢厚度≥1.2mm。</w:t>
            </w:r>
          </w:p>
          <w:p w14:paraId="426BC9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油烟净化排放一体设计，模块化组装便于维修，自带油烟净化系统，除油率≥80%。符合环保要求。自带耐高温高效排风电机，动力强劲，功率：≥2.2KW/380V/三项5线制,要求节能环保。低噪音，噪音＜65分贝左右。</w:t>
            </w:r>
          </w:p>
          <w:p w14:paraId="3BB893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46C8C8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24D21C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5、包含管道≥46米，装饰板、排风机、风机减震架及风机启动保护器。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7C8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342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A9DC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4AE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35B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电双门蒸饭车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5D9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功率：380V/≥24Kw，规格1600*1200*800mm±20mm，双开门≥24盘，采用201不锈钢柜体，箱体发泡保温；蒸汽输入压力≥0.015Mpa。采用厚度≥1.2mm 201不锈钢拉丝板，201不锈钢内胆，承重钢脚轮，夹层采用整体发泡，设有自动补水自动供、排水功能和自动蒸汽过压释放系统，蒸汽循环加热。蒸饭时间：35-45分钟。蒸饭量:米饭≥96kg，面粉≥60kg。配备无孔蒸盘和有孔蒸盘各12个。</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8C5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686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2055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57A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017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2FB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64A3AB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1、不锈钢油烟净化一体排烟罩，材为不锈钢厚度≥1.2mm。</w:t>
            </w:r>
          </w:p>
          <w:p w14:paraId="5028E4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油烟净化排放一体设计，模块化组装便于维修，自带油烟净化系统，除油率≥80%。符合环保要求。自带耐高温高效排风电机，动力强劲，功率：≥2.2KW/380V/三项5线制,要求节能环保。低噪音，噪音＜65分贝左右。</w:t>
            </w:r>
          </w:p>
          <w:p w14:paraId="716346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612044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5FA55F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5、包含管道≥45米，装饰板、排风机、风机减震架及风机启动保护器。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1E3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2D5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56661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005B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1.6备餐间</w:t>
            </w:r>
          </w:p>
        </w:tc>
      </w:tr>
      <w:tr w14:paraId="4D175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E3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134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四格保温售饭台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7AB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1500*700*800mm±20mm  201不锈钢拉丝板台面厚度≥1.2㎜</w:t>
            </w:r>
          </w:p>
          <w:p w14:paraId="1B19A3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2.不锈钢冲孔内嵌盘≥1.2mm厚度，也可放置份数盆。</w:t>
            </w:r>
          </w:p>
          <w:p w14:paraId="055DC3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3.四腿Φ58*≥1.2不锈钢管可调子弹脚，通道式拉门。</w:t>
            </w:r>
          </w:p>
          <w:p w14:paraId="02E047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4.具有缺水断电防干烧功能。</w:t>
            </w:r>
          </w:p>
          <w:p w14:paraId="352995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5.带防护罩，照明光源。</w:t>
            </w:r>
          </w:p>
          <w:p w14:paraId="52108E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6.产品功率:≥2500W/220V.</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129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37D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547F6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77A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D85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留样柜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8C5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单门,1.4m*0.6m*0.6m（允许误差±2cm），功率参数：≥350w/220v静音冷藏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8E2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2FA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A2F1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1243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1.7洗消间</w:t>
            </w:r>
          </w:p>
        </w:tc>
      </w:tr>
      <w:tr w14:paraId="54D1E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C12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ABA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3DD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w:t>
            </w:r>
            <w:r>
              <w:rPr>
                <w:rFonts w:hint="eastAsia" w:ascii="宋体" w:hAnsi="宋体" w:eastAsia="宋体" w:cs="宋体"/>
                <w:i w:val="0"/>
                <w:iCs w:val="0"/>
                <w:color w:val="000000"/>
                <w:kern w:val="0"/>
                <w:sz w:val="24"/>
                <w:szCs w:val="24"/>
                <w:highlight w:val="none"/>
                <w:u w:val="none"/>
                <w:lang w:val="en-US" w:eastAsia="zh-CN" w:bidi="ar"/>
              </w:rPr>
              <w:t>不锈钢外壳，封闭式水箱结构，内胆食品级不锈钢；防溅式积水盆，带有磁性吸合结构；水箱配置保温层，将机体外壳温度控制在 40℃以下；配置防电热管干烧，溢水，高温等保护装置；容积：≥</w:t>
            </w:r>
            <w:r>
              <w:rPr>
                <w:rFonts w:hint="eastAsia" w:ascii="宋体" w:hAnsi="宋体" w:eastAsia="宋体" w:cs="宋体"/>
                <w:i w:val="0"/>
                <w:iCs w:val="0"/>
                <w:color w:val="000000"/>
                <w:kern w:val="0"/>
                <w:sz w:val="22"/>
                <w:szCs w:val="22"/>
                <w:highlight w:val="none"/>
                <w:u w:val="none"/>
                <w:lang w:val="en-US" w:eastAsia="zh-CN" w:bidi="ar"/>
              </w:rPr>
              <w:t>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6EB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B7B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1804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3F9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415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浸泡池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C53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1200*750*860mm±20mm</w:t>
            </w:r>
          </w:p>
          <w:p w14:paraId="3C09B4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299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614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E9CB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242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5BC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长龙头洗碗机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D5D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 板材采用≥1.2mm厚不锈钢板，主骨架均为国标≥1.5mm不锈钢管，底座钢板为≥6mm，进出口传动轴均为直径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mm201不锈钢材质；履带为尼龙材质，耐酸碱，抗拉伸，使用寿命≥10年；水泵为不锈钢食品泵，漂洗采用水泵喷淋，好处就是不受外界水压的影响，不影响喷淋效果，用水泵漂洗水箱不容易产生水垢，漂洗喷淋臂不容易堵塞，筛网为激光冲孔，K系列变速箱。轴承采用不锈钢轴承。</w:t>
            </w:r>
          </w:p>
          <w:p w14:paraId="330D3F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功能特点：餐具由传送装置上棘爪步进移动前进，由上.下洗涤臂,喷淋臂,同时冲洗更干净,更彻底，完美的洗涤效果，简易的操作，精巧，但洗涤量大，节省能源的特色,程序化控制,全自动操控,傻瓜式设计,操作简易,连续洗涤能力更高,双层臂式结构,保温更好,节</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能源 ,缓存水箱设计,使升温更加迅速,保证连续洗涤.不同操作方向. 配置洗涤剂节省系统，将60%以上的漂洗水直接引到除渣冲洗缸，避免大量漂洗水溢到主洗水缸导致主洗水的清洁剂浓度降低。清洁剂节省最高达到70%。除渣冲洗缸能有效去除餐具大部分食物残渣，此区域滤网能在机器运行中取出，操作简易；</w:t>
            </w:r>
          </w:p>
          <w:p w14:paraId="54E7B4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▲符合工作温度下的泄漏电流：≤1mA</w:t>
            </w:r>
          </w:p>
          <w:p w14:paraId="7E0BDA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▲所投产品符合的防水等级IPX6</w:t>
            </w:r>
          </w:p>
          <w:p w14:paraId="4BD47B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▲所投产品符合电源线的标称横截面积≥2.5mm²；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961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34E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C1C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A65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095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F48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4200*1000*500mm±20mm，采用不锈钢板制造，其外表面磨砂贴塑，厚度为1.2mm的201不锈钢板。背面U型边压死角边形成加强筋，连接处为满焊。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633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67C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4FF3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455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3C2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5DA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AAF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1BA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01C8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47"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5D4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B74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热风消毒柜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E35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1.板材：外层≥1.2mm，内层不锈钢碗筐，柜体骨架≥50*50*500mm角铁，防锈处理，采用聚脂发泡填充，密度到位手柄全部采用不锈钢材料，螺丝、铆钉采用不锈钢材料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551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DAE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7CD9C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03E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087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轴流风机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312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≥5号，轴流风机适应于输送非易燃、易爆、无腐蚀、无显著粉尘的气体，其温度不得超过 60℃。它广泛适用于一般工厂，仓库、办公室，住宅内通风换气或加强暖气散热之用。也可在较长的排气管道内间隔串联安装，以是提高管道内的压力。</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CA0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56A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5732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F9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1AE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排气管道</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4E1E6">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材质为镀锌板材：厚度≥1.0mm。</w:t>
            </w:r>
            <w:r>
              <w:rPr>
                <w:rFonts w:hint="eastAsia" w:ascii="宋体" w:hAnsi="宋体" w:cs="宋体"/>
                <w:i w:val="0"/>
                <w:iCs w:val="0"/>
                <w:color w:val="000000"/>
                <w:kern w:val="0"/>
                <w:sz w:val="22"/>
                <w:szCs w:val="22"/>
                <w:highlight w:val="none"/>
                <w:u w:val="none"/>
                <w:lang w:val="en-US" w:eastAsia="zh-CN" w:bidi="ar"/>
              </w:rPr>
              <w:t>规格：≥500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*500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601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F0006">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18</w:t>
            </w:r>
          </w:p>
        </w:tc>
      </w:tr>
      <w:tr w14:paraId="24F38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29AA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1.8餐厅</w:t>
            </w:r>
          </w:p>
        </w:tc>
      </w:tr>
      <w:tr w14:paraId="541F7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99C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035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残食车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C66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1100*500*800mm±20mm，基架采用不锈钢；拆装式设计；底部设有转向轮及刹车系统</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E4B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CA8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15975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D5E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014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通斗洗手池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45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2000*500*800mm±20mm，整体为≥1.2mm厚的201不锈钢材质、侧板为≥1.0mm厚；支腿采用直径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A1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353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789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AE5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FDE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筷子消毒车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A23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电脑版全自动，采用不锈钢材料，红外线消毒，高温烘干，受热均匀，循环热风，沥水防霉，功率：≤200W，筷子容量≥300双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031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3B9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A3FC4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20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48F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热水器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0FB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级过滤：PP+颗粒活性炭+压缩活性炭；≥15寸过滤+压缩活性炭；RO200五级反渗透；水胆容量：≥27L；额定功率：≥3KW；电源：220V/50Hz；供水量：开水：≥30L/H，温开水：≥150L/H；适用水压：0.1-0.6（map）；外形尺寸：900*480*1680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8DA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367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412FD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3DA5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2.二层</w:t>
            </w:r>
          </w:p>
        </w:tc>
      </w:tr>
      <w:tr w14:paraId="714669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463E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2.1男女更衣室</w:t>
            </w:r>
          </w:p>
        </w:tc>
      </w:tr>
      <w:tr w14:paraId="5FCE5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17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E69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六门更衣柜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541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900*500*1800mm±20mm，整体为冷轧板；柜体:侧板、底板≥1.2mm厚;门板:≥1.2mm厚；</w:t>
            </w:r>
          </w:p>
          <w:p w14:paraId="7AD23D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吊装式平开门配不锈钢锁；底座安装不锈钢可调重力脚≥4个；更衣柜顶部为45度倾斜角；更衣柜门上开百叶透气孔；</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9EB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08D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AA43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BE5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2.2主副食库</w:t>
            </w:r>
          </w:p>
        </w:tc>
      </w:tr>
      <w:tr w14:paraId="5F631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5C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881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主食低架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B1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1200*500*300mm±20mm;201不锈钢材质；厚度≥1.2mm；由不小于25x25mm的矩形方管焊接</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7E6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82E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27E3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24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4AE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平板车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95B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800*500*300mm±20mm，整体采用201不锈钢,厚度≥1.2mm，侧板厚度为≥1.0mm；脚轮为耐腐软面材料；带刹车和加固支撑。</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22B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9AD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324F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38B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C97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973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1200*500*1500mm±20mm，货架全部为≥1.2mm厚的201不锈钢结构；货架≥4 层，层板采用厚度≥1.2毫米的不锈钢板制造，表面均布条形格栅孔，底层距地面≥ 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5B5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D0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5CAD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B299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2.3冷藏间</w:t>
            </w:r>
          </w:p>
        </w:tc>
      </w:tr>
      <w:tr w14:paraId="78D21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08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156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卧式冷柜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15C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≥2米</w:t>
            </w:r>
          </w:p>
          <w:p w14:paraId="5C3ECA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1.有效容积（L）：</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398L；</w:t>
            </w:r>
          </w:p>
          <w:p w14:paraId="142F2B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2.温度范围：-5℃～10℃/-15℃～-6℃；</w:t>
            </w:r>
          </w:p>
          <w:p w14:paraId="284BB5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3.箱体材料：内外箱不锈钢；</w:t>
            </w:r>
          </w:p>
          <w:p w14:paraId="4C9BDA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4.蒸发箱：铜管；</w:t>
            </w:r>
          </w:p>
          <w:p w14:paraId="684ED9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5.输入功率：≥476W。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949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B1A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A19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B9A0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2.4粗加工间</w:t>
            </w:r>
          </w:p>
        </w:tc>
      </w:tr>
      <w:tr w14:paraId="01F20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812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83B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55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90C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C85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A7F8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2F9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2D0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8FE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3D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DC0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5E68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CD2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ED7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7CF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D9C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E33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57B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F3A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AE1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50A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1200*500*1500mm±20mm，货架全部为≥1.2mm厚的201不锈钢结构；货架为≥ 4 层，层板采用厚度≥1.2毫米的不锈钢板制造，表面均布条形格栅孔，底层距地面</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150 毫米高，层间距应均分；支腿应采用直径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69E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D14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D5C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961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EA9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435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E2B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9A9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A541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EF8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270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切菜机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731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1.主要用途：叶菜类：可切芹菜、大白菜、高丽菜、菠菜、葱、大蒜、瓜类等长条状之物切成片、丝、段状。</w:t>
            </w:r>
          </w:p>
          <w:p w14:paraId="7523D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2.电源系统：电源：220V　单相。</w:t>
            </w:r>
          </w:p>
          <w:p w14:paraId="7CF9DC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3.设备材质：全不锈钢SUS201拉丝面料精制。</w:t>
            </w:r>
          </w:p>
          <w:p w14:paraId="39BD52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4.主要技术指标：</w:t>
            </w:r>
          </w:p>
          <w:p w14:paraId="2563B6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4.1落地式切菜机，带两个可移动脚轮。</w:t>
            </w:r>
          </w:p>
          <w:p w14:paraId="796900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4.2皮带送料，速度可以调节，皮带为食品级输送带。</w:t>
            </w:r>
          </w:p>
          <w:p w14:paraId="0914D7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4.3电器控制部分与切割仓完全分离，清洗的时候保证电器箱安全。</w:t>
            </w:r>
          </w:p>
          <w:p w14:paraId="768335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4.4切割刀具可以轻松拆装，以便适应不同的产品。</w:t>
            </w:r>
          </w:p>
          <w:p w14:paraId="17921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4.5输送皮带可以轻易拆装清洗。</w:t>
            </w:r>
          </w:p>
          <w:p w14:paraId="6562EE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4.6切割仓出料口有感应开关，安全防护。</w:t>
            </w:r>
          </w:p>
          <w:p w14:paraId="2C4AD4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4.7通过双调频调节输送带及动转刀速度，可切出不同规格的段状</w:t>
            </w:r>
          </w:p>
          <w:p w14:paraId="6A6117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4.8整体设计合理，与其他设备配合形成流水线操作模式。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EB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2EF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CC98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BE2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00F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脱皮机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EFF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外型尺寸：670*500*850mm±20mm效率：≥120-350kg/h</w:t>
            </w:r>
          </w:p>
          <w:p w14:paraId="50693B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功率：≥0.75kw220V</w:t>
            </w:r>
          </w:p>
          <w:p w14:paraId="0BEBA7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9CA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FAB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C1C2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0F9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054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绞切机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A6F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外观尺寸：55*38*75cm（允许误差±2cm），产品全机201不锈钢制作，电机为铜芯电机，功率：≥1.5KW，电压：220V，切丝产量：≥450KG/H，绞肉产量：≥180KG/H，整机重量≥90KG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B02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671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B619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5D86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2.5主操作间</w:t>
            </w:r>
          </w:p>
        </w:tc>
      </w:tr>
      <w:tr w14:paraId="375477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774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5C3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六门冰柜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D0F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1810*700*1900mm±20mm</w:t>
            </w:r>
          </w:p>
          <w:p w14:paraId="63D704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电压：220V功率：≥0.58kw容量：≥1380L冷藏容积≥690L冷冻容积≥690L，；制冷方式：直冷 温度范围：保鲜-5℃～+5℃冷冻0℃～-18℃。</w:t>
            </w:r>
          </w:p>
          <w:p w14:paraId="7F045A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426B52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2、釆用独立机组双压缩机双冷凝器双冷凝风机可整体抽出机组拆卸更换，到场即可修复，无需现场检修</w:t>
            </w:r>
          </w:p>
          <w:p w14:paraId="721A36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3、采用压缩机</w:t>
            </w:r>
          </w:p>
          <w:p w14:paraId="483286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4、采用微电脑温控器，温度显示精准，性能稳定，操作简单；</w:t>
            </w:r>
          </w:p>
          <w:p w14:paraId="4E3DAF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5、采用无磁不锈钢板材，全免焊设计结构；</w:t>
            </w:r>
          </w:p>
          <w:p w14:paraId="08C3A9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6、多气囊可拆卸式门封条，密封性能好，便于清洁；高效制冷；</w:t>
            </w:r>
          </w:p>
          <w:p w14:paraId="550425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7、自动回归关门设计，防止门体关不严，造成食物变质；</w:t>
            </w:r>
          </w:p>
          <w:p w14:paraId="3BB539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8、门框加热丝可更换，同时有专用开关控制，可根据温度湿度控制开关加热丝，除露除霜；</w:t>
            </w:r>
          </w:p>
          <w:p w14:paraId="73FC37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9、采用环戊烷C5H10环保发泡材料；</w:t>
            </w:r>
          </w:p>
          <w:p w14:paraId="08187E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10、接线采用JST端子插接</w:t>
            </w:r>
          </w:p>
          <w:p w14:paraId="63AB36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11、所有电器线路通过线缆槽布局，伸缩位置釆用护缆套进行保护，避免岀现电器安全。</w:t>
            </w:r>
          </w:p>
          <w:p w14:paraId="092BDC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12、纯铜蒸发器制作，采用TP2铜制作蒸发器，保证蒸发器使用寿命。</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042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036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7EAA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B0A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ACB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B72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全不锈钢制造。技术参数：功率：≥2.2KW,电压：380V，生产效率:≥50公斤/小时。外形尺寸：980*510*1010mm±20mm.带翻斗、变速箱。</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D9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1A7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2538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533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E2B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371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低噪音链条款新型压面机，生产效率≥60KG/小时，配用电机≥2.2KW，额定电压220V，出厂配3毫米圆刀，2毫米扁刀，4毫米扁刀，14毫米大盘鸡刀，双边刻度制，使两边面皮厚度一致，电机可倒转，使退换刀方便。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CEC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52D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4A8D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034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FB2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拖把池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72C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500*500*500mm±20mm</w:t>
            </w:r>
          </w:p>
          <w:p w14:paraId="0DACE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采用不锈钢板制作：</w:t>
            </w:r>
          </w:p>
          <w:p w14:paraId="44C2B6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1、台面不锈钢厚度为≥1.5mm，水槽≥1.2mm；</w:t>
            </w:r>
          </w:p>
          <w:p w14:paraId="166076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2、水槽深</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240mm；</w:t>
            </w:r>
          </w:p>
          <w:p w14:paraId="454EA3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3、恒支撑采用圆形管φ25mm厚度≥1.0mm；</w:t>
            </w:r>
          </w:p>
          <w:p w14:paraId="413C08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4、设备角φ38mm厚度≥1.2mm圆形管；</w:t>
            </w:r>
          </w:p>
          <w:p w14:paraId="3FA1B6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5、配不锈钢子弹脚d大于等于4个；</w:t>
            </w:r>
          </w:p>
          <w:p w14:paraId="670F92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6、配不锈钢下水口，带背板。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C6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55A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BCE0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49E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92F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060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3A6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41C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4EDF1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AB0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2C3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木案工作台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2CF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1800*800*800mm±20mm，木案厚度≥10cm，不锈钢架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6A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6ED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E61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0F3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6D0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6C3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097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2E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12F4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BCD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4AB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49E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096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5AB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3DF8A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666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F52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调料车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893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面板厚度≥1.2mm不锈钢板，层板厚度≥1.0mm，万向胶皮刹车轮</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EA8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E8D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08DD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071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CB5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8A4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300*1100*800mm±20mm通体采用201不锈钢，全螺丝组合设计；拆装方式简单。板面内加厚度承重≥100kg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7EE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77A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DB76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72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DE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电磁一蒸一炒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976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1、规格（长*宽*高）：2000*1100*1200mm±20mm</w:t>
            </w:r>
          </w:p>
          <w:p w14:paraId="3BC32B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2、功率/电压：≥20KW+15KW</w:t>
            </w:r>
          </w:p>
          <w:p w14:paraId="2BC93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3、采用不锈钢材质，前后板、侧板厚度≥1.0mm；面板厚度≥1.2mm；</w:t>
            </w:r>
          </w:p>
          <w:p w14:paraId="25788D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大锅小炒符合IPX6、耐潮湿、泄漏电流和电气强度标准防水设计，四面可直接喷淋；防干烧线圈盘，超温保护更灵敏；高标准防漏电处理加防静电设计，电磁炉机芯配置：采用机芯，超静音设计炉脚采用可调重力脚，每个炉头装有摇摆水龙头，精准八档定位器，电系统由电脑主板控制及具有超温保护、自动故障检测、电压过高过低及缺相保护</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035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40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8020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B20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FB1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电磁双眼大锅灶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424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1、规格2000*1100*800mm±20mm</w:t>
            </w:r>
          </w:p>
          <w:p w14:paraId="4D0721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2、锅径为Φ800，功率：≥2*20kw/380v；</w:t>
            </w:r>
          </w:p>
          <w:p w14:paraId="3096C5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3、灶面板采用一体成型面板，炉体采用不锈钢骨架。</w:t>
            </w:r>
          </w:p>
          <w:p w14:paraId="6FB5C4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▲4、双头大炒炉具有：定时关功能、定温功能、预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开功能、数码显示屏功能、电压电流传感器保护功能。</w:t>
            </w:r>
          </w:p>
          <w:p w14:paraId="5A129E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5、采用通过安全型保护测试的1-9档磁控火力开关，耐用并能很灵敏控制需求档位，火力细分让加热火力更平滑，真正达到明火仿真技术；</w:t>
            </w:r>
          </w:p>
          <w:p w14:paraId="091475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7、线盘：火力大，加热速度快，更均匀，线圈盘无盲区，内部线圈全部有防水设计，采用纯铜线编织，使用寿命长； </w:t>
            </w:r>
          </w:p>
          <w:p w14:paraId="067A9D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▲8、产品核心元器件档位开关符合GB/T2423.3-2016环境试验 第2部分：试验方法 试验Cab:恒定湿热试验的检测要求，所投电磁炉产品中使用的档位开关在温度（25±1）℃，湿度（75±3）％RH的潮湿箱内非工作恒湿放置240小时，试验后在室温放置2h，试验后样品外观、结构以及通电功能正常，通过实验要求。</w:t>
            </w:r>
          </w:p>
          <w:p w14:paraId="0CBF31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▲9、要求供应商提供电磁双头大炒炉，具有GB4706.1-2005《家用和类似用途电器的安全第1部分：通用要求》，需提供GB4706.52-2008《家用和类似用途电器的安全 商用电炉灶、烤箱、灶和灶单元的特殊要求》中的耐潮湿、防水等级≥IPX6，电气强度3000V不击穿检测报告。</w:t>
            </w:r>
          </w:p>
          <w:p w14:paraId="15F46F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▲10、商用电磁炉不锈钢板材依据GB/T10125-2021《人造气氛腐蚀试验盐雾试验》，样品通过120H盐雾试验后，样品表面无明显变化，性能等级判定为≥10级。</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42D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F6E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A65FE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43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6D1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电磁单眼大锅灶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E4C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1、规格：1100*1100*800 mm±20mm</w:t>
            </w:r>
          </w:p>
          <w:p w14:paraId="2B52A3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2、锅径为Φ800mm，功率：≥20kw/380v；</w:t>
            </w:r>
          </w:p>
          <w:p w14:paraId="1CB282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▲3、灶面板采用一体成型面板，炉体采用全不锈钢,炉灶焊接处依据GB/T 228.1-2010《金属材料拉力测试第1部分：室温试验方法》的检测要求，焊接拉力要在10000N以上，检测合格。</w:t>
            </w:r>
          </w:p>
          <w:p w14:paraId="3CE346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4、机芯采用分层次散热结构</w:t>
            </w:r>
          </w:p>
          <w:p w14:paraId="76E150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5、具有全中文显示故障代码功能，让操作更人性化，档位对应功率显示。让操作更加直观。</w:t>
            </w:r>
          </w:p>
          <w:p w14:paraId="3D132E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6、8档360度旋转档位火力调节</w:t>
            </w:r>
          </w:p>
          <w:p w14:paraId="655DC4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7、后背防水风机。</w:t>
            </w:r>
          </w:p>
          <w:p w14:paraId="28A16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8、聚能线盘节能设计，线圈盘无盲区，比传统灶节能30%以上。</w:t>
            </w:r>
          </w:p>
          <w:p w14:paraId="3A4DD1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9、移相搭桥电路控制技术，性能卓越运行稳定 </w:t>
            </w:r>
          </w:p>
          <w:p w14:paraId="0E0320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10、超宽工作电压设计，运行稳定更安全</w:t>
            </w:r>
          </w:p>
          <w:p w14:paraId="0DD0E7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11、电路防磁干扰EMC模块设计，保护电网及电器设备</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E3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602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4CF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8F3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E79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FB8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1E4450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1、不锈钢油烟净化一体排烟罩，材质为不锈钢厚度≥1.2mm。</w:t>
            </w:r>
          </w:p>
          <w:p w14:paraId="0F7752EE">
            <w:pPr>
              <w:keepNext w:val="0"/>
              <w:keepLines w:val="0"/>
              <w:widowControl/>
              <w:numPr>
                <w:ilvl w:val="0"/>
                <w:numId w:val="1"/>
              </w:numPr>
              <w:suppressLineNumbers w:val="0"/>
              <w:ind w:left="0" w:leftChars="0" w:firstLine="0" w:firstLineChars="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采用油烟净化排放一体设计，模块化组装便于维修，自带油烟净化系统，除油率≥80%。符合环保要求。自带耐高温高效排风电机，动力强劲，功率≥2.2KW/380V/三项5线制,要求节能环保。低噪音，噪音＜65分贝左右。</w:t>
            </w:r>
          </w:p>
          <w:p w14:paraId="5F7EDC7F">
            <w:pPr>
              <w:keepNext w:val="0"/>
              <w:keepLines w:val="0"/>
              <w:widowControl/>
              <w:numPr>
                <w:ilvl w:val="0"/>
                <w:numId w:val="1"/>
              </w:numPr>
              <w:suppressLineNumbers w:val="0"/>
              <w:ind w:left="0" w:leftChars="0" w:firstLine="0" w:firstLineChars="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756FEA9E">
            <w:pPr>
              <w:keepNext w:val="0"/>
              <w:keepLines w:val="0"/>
              <w:widowControl/>
              <w:numPr>
                <w:ilvl w:val="0"/>
                <w:numId w:val="1"/>
              </w:numPr>
              <w:suppressLineNumbers w:val="0"/>
              <w:ind w:left="0" w:leftChars="0" w:firstLine="0" w:firstLineChars="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1A23224D">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5、包含管道≥46米，装饰板、排风机、风机减震架及风机启动保护器。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2E9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eastAsia="宋体" w:cs="宋体"/>
                <w:i w:val="0"/>
                <w:iCs w:val="0"/>
                <w:color w:val="000000"/>
                <w:sz w:val="22"/>
                <w:szCs w:val="22"/>
                <w:highlight w:val="none"/>
                <w:u w:val="none"/>
                <w:lang w:val="en-US" w:eastAsia="zh-CN"/>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4D3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3C18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F21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9E2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电双门蒸饭车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480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380V/≥24Kw，规格1600*1200*800mm±20mm，双开门24盘，采用201不锈钢柜体，箱体发泡保温；蒸汽输入压力0.015Mpa。采用≥1.2mm厚的201不锈钢拉丝板，201不锈钢内胆，承重钢脚轮，夹层采用整体发泡，设有自动补水自动供、排水功能和自动蒸汽过压释放系统，蒸汽循环加热。蒸饭时间：35-45分钟。蒸饭量:米饭≥96kg，面粉≥60kg。配备无孔蒸盘和有孔蒸盘各≥12个。</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8EB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3C7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51C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5CA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20B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9A7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3E34C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1、不锈钢油烟净化一体排烟罩，材为不锈钢厚度≥1.2mm。</w:t>
            </w:r>
          </w:p>
          <w:p w14:paraId="605CA6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油烟净化排放一体设计，模块化组装便于维修，自带油烟净化系统，除油率≥80%。符合环保要求。自带耐高温高效排风电机，动力强劲，功率≥2.2KW/380V/三相五线制,要求节能环保。低噪音，噪音＜65分贝左右。</w:t>
            </w:r>
          </w:p>
          <w:p w14:paraId="6E9E99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05F6AE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7A9CB9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5、包含管道≥45米，装饰板、排风机、风机减震架及风机启动保护器。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7E7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lang w:val="en-US" w:eastAsia="zh-CN"/>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53A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09C67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0D45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2.6备餐间</w:t>
            </w:r>
          </w:p>
        </w:tc>
      </w:tr>
      <w:tr w14:paraId="2D1F6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84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41E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四格保温售饭台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BAB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1500*700*800mm±20mm；201不锈钢拉丝板台面厚度≥1.2㎜</w:t>
            </w:r>
          </w:p>
          <w:p w14:paraId="08F659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2.不锈钢冲孔内嵌盘≥1.2mm厚度，也可放置份数盆。</w:t>
            </w:r>
          </w:p>
          <w:p w14:paraId="549713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3.四腿直径Φ58mm，厚度≥1.2mm不锈钢管可调子弹脚，通道式拉门。</w:t>
            </w:r>
          </w:p>
          <w:p w14:paraId="2966C3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4.具有缺水断电防干烧功能。</w:t>
            </w:r>
          </w:p>
          <w:p w14:paraId="3DFBD0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5.带防护罩，照明光源。</w:t>
            </w:r>
          </w:p>
          <w:p w14:paraId="215C8D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6.产品功率:≥2500W/220V.</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AAB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352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46BEA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EBC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370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留样柜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C08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单门1.4m*0.6m*0.6m（允许误差±2cm），功率参数：≥350w/220v静音冷藏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B2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A7F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DC39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CD76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2.7洗消间</w:t>
            </w:r>
          </w:p>
        </w:tc>
      </w:tr>
      <w:tr w14:paraId="664BD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526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A1E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5F5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65D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385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BDFF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EF3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EB4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E3A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122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C86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1611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D50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9B3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热风消毒柜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C7C91">
            <w:pPr>
              <w:keepNext w:val="0"/>
              <w:keepLines w:val="0"/>
              <w:widowControl/>
              <w:numPr>
                <w:ilvl w:val="0"/>
                <w:numId w:val="2"/>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板材：外层≥1.2mm，内层不锈钢碗筐，柜体骨架≥50*50*500mm角铁，防锈处理，采用聚脂发泡填充，密度到位手柄全部采用不锈钢材料，螺丝、铆钉采用不锈钢材料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52D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EB0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6A2F3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F8A2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2.8餐厅</w:t>
            </w:r>
          </w:p>
        </w:tc>
      </w:tr>
      <w:tr w14:paraId="72363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2D4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562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残食车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435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1100*500*800mm±20mm基架采用不锈钢；拆装式设计；底部设有转向轮及刹车系统</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8E4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82E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1A033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5ED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FF6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通斗洗手池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26B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2000*500*800mm±20mm，整体为≥1.2mm厚的201不锈钢材质、侧板为≥1.0mm厚；支腿采用直径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511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6CC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21E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0ED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CD2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筷子消毒车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1DE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电脑版全自动，采用不锈钢材料，红外线消毒，高温烘干，受热均匀，循环热风，沥水防霉，功率≤200W，筷子容量：≥300双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D5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A05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AECA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F80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97B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六连位餐桌</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5ED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≥1600*1400*750（mm）±20mm，连体式桌椅，台面采用不锈钢材质，厚度≥25mm，框架500mm*500mm，±100mm，不锈钢管焊接而成。椅子尺寸：385*430*850(mm)±2mm，采用不锈钢材质，一次压制成型。</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A0D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2C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238 </w:t>
            </w:r>
          </w:p>
        </w:tc>
      </w:tr>
      <w:tr w14:paraId="0E875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51C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8C9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四人位餐桌椅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56D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钢木结构1200*600*750mm±20mm，连体式桌椅，台面采用不锈钢材质，厚度≥25mm，框架500mm*500mm，±100mm，不锈钢管焊接而成。椅子尺寸：385*430*850(mm)±2mm，采用不锈钢材质，一次压制成型。</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F58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6D1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3826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F13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3E6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热水器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3ED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级过滤：PP+颗粒活性炭+压缩活性炭；15寸过滤+压缩活性炭；RO200五级反渗透；水胆容量：≥27L；额定功率：≥3KW；电源：220V/50Hz；供水量：开水：≥30L/H，温开水：≥150L/H；适用水压：0.1-0.6（map）；外形尺寸：900*480*1680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264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5F5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A7B9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038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2.9厨房小件</w:t>
            </w:r>
          </w:p>
        </w:tc>
      </w:tr>
      <w:tr w14:paraId="1BC4D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B03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ED1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8B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通体采用201不锈钢，焊接手柄。直径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FFF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DD7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8434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D6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515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C4F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80cm，底部加厚复底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B92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C13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CAAF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7DC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BF2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9AE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60cm，底部加厚复底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28C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B67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25A8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19E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60D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AF0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627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DFE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7079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E1D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63E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油缸</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49B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29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BE4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FAD7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791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C30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调料盆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0111F">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16cm.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998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5DD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1E3AF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094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7EB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铁柄漏丝</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2F0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201不锈钢金属制造，丝网光滑，焊接处抛光处理</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994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BC2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3509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67F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780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密漏</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7D3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201不锈钢金属制造，丝网光滑，焊接处抛光处理，外接条形可承接油缸；</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605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6CA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4CC8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F0B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A22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705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采用熔钢材料，二次重熔精炼，成分均匀。刀体耐腐蚀、易复磨；手柄采用花梨木精制；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66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418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491A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805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9C0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斩骨刀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EA6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选用4Cr13材料。选用淬火、回火等热处理技术参数；刀柄选用木装嵌加工；</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CF7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618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767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A8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69F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刮皮刀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8D1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通体采用201不锈钢制造，刀体及手柄采用内嵌式设计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2A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9B9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ED78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C81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C0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大菜框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C7B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加厚塑料带孔</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660*450*200mm±</w:t>
            </w:r>
            <w:r>
              <w:rPr>
                <w:rFonts w:hint="eastAsia" w:ascii="宋体" w:hAnsi="宋体" w:cs="宋体"/>
                <w:i w:val="0"/>
                <w:iCs w:val="0"/>
                <w:color w:val="000000"/>
                <w:kern w:val="0"/>
                <w:sz w:val="22"/>
                <w:szCs w:val="22"/>
                <w:highlight w:val="none"/>
                <w:u w:val="none"/>
                <w:lang w:val="en-US" w:eastAsia="zh-CN" w:bidi="ar"/>
              </w:rPr>
              <w:t>5</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837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563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13AE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8E7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E35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364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材质：201不锈钢；规格：直径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70cm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BEC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24C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5DBD7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43E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87E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不锈钢分餐盘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4E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材质：304不锈钢；规格≥28*22*4.2cm 规格：分餐式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0F4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E05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02275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39B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B93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白金碗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4E0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材质：304不锈钢；规格：</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13cm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BF8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8FE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58B7A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0C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98C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合金筷</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2A2E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材质：合金</w:t>
            </w:r>
            <w:r>
              <w:rPr>
                <w:rFonts w:hint="eastAsia" w:ascii="宋体" w:hAnsi="宋体" w:cs="宋体"/>
                <w:i w:val="0"/>
                <w:iCs w:val="0"/>
                <w:color w:val="000000"/>
                <w:kern w:val="0"/>
                <w:sz w:val="22"/>
                <w:szCs w:val="22"/>
                <w:highlight w:val="none"/>
                <w:u w:val="none"/>
                <w:lang w:val="en-US" w:eastAsia="zh-CN" w:bidi="ar"/>
              </w:rPr>
              <w:t>；长度≥22㎝</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58C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BDE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2000 </w:t>
            </w:r>
          </w:p>
        </w:tc>
      </w:tr>
      <w:tr w14:paraId="6B626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71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27C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钢丝球</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56D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不掉渣不生锈/结实紧密100装/箱</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EF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箱</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2B1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B66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167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24B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抹布</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47B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纯棉白色，</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30*60cm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029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0DB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406C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B2C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C82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锅刷子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790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材质：竹制品，</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055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9E5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9D5E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73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319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拌面碗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5BC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材质：304不锈钢；双层保温，</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18cm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C9F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68A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03927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0B8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5A4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680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材质：涤棉</w:t>
            </w:r>
            <w:r>
              <w:rPr>
                <w:rFonts w:hint="eastAsia" w:ascii="宋体" w:hAnsi="宋体" w:cs="宋体"/>
                <w:i w:val="0"/>
                <w:iCs w:val="0"/>
                <w:color w:val="000000"/>
                <w:kern w:val="0"/>
                <w:sz w:val="22"/>
                <w:szCs w:val="22"/>
                <w:highlight w:val="none"/>
                <w:u w:val="none"/>
                <w:lang w:val="en-US" w:eastAsia="zh-CN" w:bidi="ar"/>
              </w:rPr>
              <w:t>含量不低于</w:t>
            </w:r>
            <w:r>
              <w:rPr>
                <w:rFonts w:hint="eastAsia" w:ascii="宋体" w:hAnsi="宋体" w:eastAsia="宋体" w:cs="宋体"/>
                <w:i w:val="0"/>
                <w:iCs w:val="0"/>
                <w:color w:val="000000"/>
                <w:kern w:val="0"/>
                <w:sz w:val="22"/>
                <w:szCs w:val="22"/>
                <w:highlight w:val="none"/>
                <w:u w:val="none"/>
                <w:lang w:val="en-US" w:eastAsia="zh-CN" w:bidi="ar"/>
              </w:rPr>
              <w:t>65%</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718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985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48997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226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C29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围裙</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6E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材质：涤棉</w:t>
            </w:r>
            <w:r>
              <w:rPr>
                <w:rFonts w:hint="eastAsia" w:ascii="宋体" w:hAnsi="宋体" w:cs="宋体"/>
                <w:i w:val="0"/>
                <w:iCs w:val="0"/>
                <w:color w:val="000000"/>
                <w:kern w:val="0"/>
                <w:sz w:val="22"/>
                <w:szCs w:val="22"/>
                <w:highlight w:val="none"/>
                <w:u w:val="none"/>
                <w:lang w:val="en-US" w:eastAsia="zh-CN" w:bidi="ar"/>
              </w:rPr>
              <w:t>含量不低于</w:t>
            </w:r>
            <w:r>
              <w:rPr>
                <w:rFonts w:hint="eastAsia" w:ascii="宋体" w:hAnsi="宋体" w:eastAsia="宋体" w:cs="宋体"/>
                <w:i w:val="0"/>
                <w:iCs w:val="0"/>
                <w:color w:val="000000"/>
                <w:kern w:val="0"/>
                <w:sz w:val="22"/>
                <w:szCs w:val="22"/>
                <w:highlight w:val="none"/>
                <w:u w:val="none"/>
                <w:lang w:val="en-US" w:eastAsia="zh-CN" w:bidi="ar"/>
              </w:rPr>
              <w:t>65%</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EFA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0AE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533D8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209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D63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厨师帽</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AC1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材质：一次性无纺布高帽</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709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BCF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7DF15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063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854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钢漏</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2B6C3">
            <w:pPr>
              <w:keepNext w:val="0"/>
              <w:keepLines w:val="0"/>
              <w:widowControl/>
              <w:suppressLineNumbers w:val="0"/>
              <w:jc w:val="left"/>
              <w:textAlignment w:val="center"/>
              <w:rPr>
                <w:rFonts w:hint="eastAsia" w:ascii="宋体" w:hAnsi="宋体" w:eastAsia="宋体" w:cs="宋体"/>
                <w:i w:val="0"/>
                <w:iCs w:val="0"/>
                <w:color w:val="000000"/>
                <w:sz w:val="22"/>
                <w:szCs w:val="22"/>
                <w:highlight w:val="yellow"/>
                <w:u w:val="none"/>
              </w:rPr>
            </w:pPr>
            <w:r>
              <w:rPr>
                <w:rFonts w:hint="eastAsia" w:ascii="宋体" w:hAnsi="宋体" w:cs="宋体"/>
                <w:i w:val="0"/>
                <w:iCs w:val="0"/>
                <w:color w:val="000000"/>
                <w:kern w:val="0"/>
                <w:sz w:val="22"/>
                <w:szCs w:val="22"/>
                <w:highlight w:val="none"/>
                <w:u w:val="none"/>
                <w:lang w:val="en-US" w:eastAsia="zh-CN" w:bidi="ar"/>
              </w:rPr>
              <w:t>304</w:t>
            </w:r>
            <w:r>
              <w:rPr>
                <w:rFonts w:hint="eastAsia" w:ascii="宋体" w:hAnsi="宋体" w:eastAsia="宋体" w:cs="宋体"/>
                <w:i w:val="0"/>
                <w:iCs w:val="0"/>
                <w:color w:val="000000"/>
                <w:kern w:val="0"/>
                <w:sz w:val="22"/>
                <w:szCs w:val="22"/>
                <w:highlight w:val="none"/>
                <w:u w:val="none"/>
                <w:lang w:val="en-US" w:eastAsia="zh-CN" w:bidi="ar"/>
              </w:rPr>
              <w:t>不锈钢</w:t>
            </w:r>
            <w:r>
              <w:rPr>
                <w:rFonts w:hint="eastAsia" w:ascii="宋体" w:hAnsi="宋体" w:cs="宋体"/>
                <w:i w:val="0"/>
                <w:iCs w:val="0"/>
                <w:color w:val="000000"/>
                <w:kern w:val="0"/>
                <w:sz w:val="22"/>
                <w:szCs w:val="22"/>
                <w:highlight w:val="none"/>
                <w:u w:val="none"/>
                <w:lang w:val="en-US" w:eastAsia="zh-CN" w:bidi="ar"/>
              </w:rPr>
              <w:t>，规格：直径≥22cm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562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E48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8660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954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268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周转箱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780F1">
            <w:pPr>
              <w:keepNext w:val="0"/>
              <w:keepLines w:val="0"/>
              <w:widowControl/>
              <w:suppressLineNumbers w:val="0"/>
              <w:jc w:val="left"/>
              <w:textAlignment w:val="center"/>
              <w:rPr>
                <w:rFonts w:hint="default" w:ascii="宋体" w:hAnsi="宋体" w:eastAsia="宋体" w:cs="宋体"/>
                <w:i w:val="0"/>
                <w:iCs w:val="0"/>
                <w:color w:val="000000"/>
                <w:sz w:val="22"/>
                <w:szCs w:val="22"/>
                <w:highlight w:val="yellow"/>
                <w:u w:val="none"/>
                <w:lang w:val="en-US"/>
              </w:rPr>
            </w:pPr>
            <w:r>
              <w:rPr>
                <w:rFonts w:hint="eastAsia" w:ascii="宋体" w:hAnsi="宋体" w:eastAsia="宋体" w:cs="宋体"/>
                <w:i w:val="0"/>
                <w:iCs w:val="0"/>
                <w:color w:val="000000"/>
                <w:kern w:val="0"/>
                <w:sz w:val="22"/>
                <w:szCs w:val="22"/>
                <w:highlight w:val="none"/>
                <w:u w:val="none"/>
                <w:lang w:val="en-US" w:eastAsia="zh-CN" w:bidi="ar"/>
              </w:rPr>
              <w:t>环保材料、食品级</w:t>
            </w:r>
            <w:r>
              <w:rPr>
                <w:rFonts w:hint="eastAsia" w:ascii="宋体" w:hAnsi="宋体" w:cs="宋体"/>
                <w:i w:val="0"/>
                <w:iCs w:val="0"/>
                <w:color w:val="000000"/>
                <w:kern w:val="0"/>
                <w:sz w:val="22"/>
                <w:szCs w:val="22"/>
                <w:highlight w:val="none"/>
                <w:u w:val="none"/>
                <w:lang w:val="en-US" w:eastAsia="zh-CN" w:bidi="ar"/>
              </w:rPr>
              <w:t>，规格：≥600㎜*400㎜*400㎜</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070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386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E383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E15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D71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不锈钢小勺子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E5EE2">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201不锈钢</w:t>
            </w:r>
            <w:r>
              <w:rPr>
                <w:rFonts w:hint="eastAsia" w:ascii="宋体" w:hAnsi="宋体" w:cs="宋体"/>
                <w:i w:val="0"/>
                <w:iCs w:val="0"/>
                <w:color w:val="000000"/>
                <w:kern w:val="0"/>
                <w:sz w:val="22"/>
                <w:szCs w:val="22"/>
                <w:highlight w:val="none"/>
                <w:u w:val="none"/>
                <w:lang w:val="en-US" w:eastAsia="zh-CN" w:bidi="ar"/>
              </w:rPr>
              <w:t>、长度</w:t>
            </w:r>
            <w:r>
              <w:rPr>
                <w:rFonts w:hint="eastAsia" w:ascii="宋体" w:hAnsi="宋体" w:eastAsia="宋体" w:cs="宋体"/>
                <w:i w:val="0"/>
                <w:iCs w:val="0"/>
                <w:color w:val="000000"/>
                <w:kern w:val="0"/>
                <w:sz w:val="22"/>
                <w:szCs w:val="22"/>
                <w:highlight w:val="none"/>
                <w:u w:val="none"/>
                <w:lang w:val="en-US" w:eastAsia="zh-CN" w:bidi="ar"/>
              </w:rPr>
              <w:t>18cm</w:t>
            </w:r>
            <w:r>
              <w:rPr>
                <w:rFonts w:hint="eastAsia" w:ascii="宋体" w:hAnsi="宋体" w:cs="宋体"/>
                <w:i w:val="0"/>
                <w:iCs w:val="0"/>
                <w:color w:val="000000"/>
                <w:kern w:val="0"/>
                <w:sz w:val="22"/>
                <w:szCs w:val="22"/>
                <w:highlight w:val="none"/>
                <w:u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0CA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CE3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53D28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0B8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78D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垃圾桶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7F95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材质塑料，直径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237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127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250 </w:t>
            </w:r>
          </w:p>
        </w:tc>
      </w:tr>
      <w:tr w14:paraId="48B17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C37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AC0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大垃圾桶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361ED">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底部轴轮设计</w:t>
            </w:r>
            <w:r>
              <w:rPr>
                <w:rFonts w:hint="eastAsia" w:ascii="宋体" w:hAnsi="宋体" w:cs="宋体"/>
                <w:i w:val="0"/>
                <w:iCs w:val="0"/>
                <w:color w:val="000000"/>
                <w:kern w:val="0"/>
                <w:sz w:val="22"/>
                <w:szCs w:val="22"/>
                <w:highlight w:val="none"/>
                <w:u w:val="none"/>
                <w:lang w:val="en-US" w:eastAsia="zh-CN" w:bidi="ar"/>
              </w:rPr>
              <w:t>，规格：≥180L</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4D7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59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B5FE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1E3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AA5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菜墩</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D6A56">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整料实木厚≥15cm，直径≥50cm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72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D2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0C368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B94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E23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4T超滤精滤系统</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C07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型号技术参数：占地尺寸：≥长800mm宽650mm高1600mm（允许误差±10mm）,时间型全自动控制</w:t>
            </w:r>
          </w:p>
          <w:p w14:paraId="24BE57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设计净水量：Q=4T/H主滤器：H=1400mmΦ=250mm材质：玻璃钢</w:t>
            </w:r>
          </w:p>
          <w:p w14:paraId="3DDD66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滤料：椰壳或果壳活性炭</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2A1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BC3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3298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F60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603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隔油池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08A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≥25*300*600cm±10cm全不锈钢制作带隔油网</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938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924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92CA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895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19E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摆台四件套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25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材质：骨质瓷山水画：≥12寸 骨碟：≥8寸</w:t>
            </w:r>
          </w:p>
          <w:p w14:paraId="164B36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翅碗：≥4.75寸 汤勺：≥13cm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3F1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107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 </w:t>
            </w:r>
          </w:p>
        </w:tc>
      </w:tr>
      <w:tr w14:paraId="0FA88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DB5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AB4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热菜盘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0D8B5">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材质：≥12寸强化瓷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AA5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CF9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6681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BCB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B9A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凉菜盘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B35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材质：≥10寸强化瓷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A89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A80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54B4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C62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5FA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503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材质：≥18寸强化瓷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AF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DA8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8B46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ACA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5E6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汤盘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AF7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材质：≥12寸强化瓷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6F2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D1F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983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3B9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B53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合金筷</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1BF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材质：合金银头</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27cm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FEC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96D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3FB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ABF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C78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2CA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材质：水晶无铅</w:t>
            </w:r>
          </w:p>
          <w:p w14:paraId="0ADE69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H:240mm/91/2"</w:t>
            </w:r>
          </w:p>
          <w:p w14:paraId="301F39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D:90mm/31/2"</w:t>
            </w:r>
          </w:p>
          <w:p w14:paraId="45A2D3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549ml/191/4oz</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50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66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79CA1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6DA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F76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高脚杯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DF6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材质：水晶无铅</w:t>
            </w:r>
          </w:p>
          <w:p w14:paraId="0C0E01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H:177mm/7"</w:t>
            </w:r>
          </w:p>
          <w:p w14:paraId="265128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D:73mm/23/4"</w:t>
            </w:r>
          </w:p>
          <w:p w14:paraId="2A03EA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390ml/133/4oz</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E0F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B5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39A0B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E14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B93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餐桌椅</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B99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实木桌、岩板，带转盘，≥15位。</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BDC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418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CF0D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DEA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02F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抓饭铲</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78A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201不锈钢，长度</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23cm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DE9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EBE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B0B0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3AE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6E9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炒菜铲</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C0F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201不锈钢，长度</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AF9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64A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BA2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869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43</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1A7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茶壶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3B5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16cm不锈钢材质</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DDE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E6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238 </w:t>
            </w:r>
          </w:p>
        </w:tc>
      </w:tr>
      <w:tr w14:paraId="1C55F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202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44</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61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留样盒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DAB67">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201不锈钢带盖，尺寸</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130*105mm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63F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CB8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29A14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7AB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45</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7F1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918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食品级材质，加厚，带扣盖</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DA6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AE1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3A24F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64D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46</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F48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茶汤碗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245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14cm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395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F89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2BCC4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84D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338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打饭勺</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956B9">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不锈钢</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4两</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5BA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B39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DF59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2A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2E9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保洁柜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D46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1200*600*1800mm±20mm整体采用不锈钢制作；</w:t>
            </w:r>
          </w:p>
          <w:p w14:paraId="3F5D33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顶板 ≥1.5mm 厚、层板、底板、侧板及面板采用≥1.2mm 厚并用≥1.2mm 厚不锈钢板折成加强筋加固；</w:t>
            </w:r>
          </w:p>
          <w:p w14:paraId="46DFA4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配置不锈钢可调子弹脚。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19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21B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9B4C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37D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478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灭蝇灯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8F1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材料等级：ABS 阻燃材料</w:t>
            </w:r>
          </w:p>
          <w:p w14:paraId="2D4A2C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w:t>
            </w:r>
          </w:p>
          <w:p w14:paraId="233AF6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功率：≥0.04KW</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941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7FE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01252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E1B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A3C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紫外杀菌灯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A6C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w:t>
            </w:r>
          </w:p>
          <w:p w14:paraId="6342DA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 功率：≥100W</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BA8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FFB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E37A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FE7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51</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CB8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冰箱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7A6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上下双开门</w:t>
            </w:r>
          </w:p>
          <w:p w14:paraId="0858D9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综合耗电量：0.6kw·h24h</w:t>
            </w:r>
          </w:p>
          <w:p w14:paraId="20D88F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新国标等级：≤2级</w:t>
            </w:r>
          </w:p>
          <w:p w14:paraId="6B2101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面板颜色：可选</w:t>
            </w:r>
          </w:p>
          <w:p w14:paraId="353D6D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噪音值：40dB(A)</w:t>
            </w:r>
          </w:p>
          <w:p w14:paraId="7DF22C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总容积：≥185L</w:t>
            </w:r>
          </w:p>
          <w:p w14:paraId="5E6344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冷藏室容积：≥119L</w:t>
            </w:r>
          </w:p>
          <w:p w14:paraId="5AAFA8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冷冻室容积：≥66L</w:t>
            </w:r>
          </w:p>
          <w:p w14:paraId="405548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冷冻力：≥1.5kg/12h</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545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41A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2703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BAE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FBF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水电安装</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B9F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二次水电安装</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70D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3DC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92C90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9115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2.10 男女更衣室</w:t>
            </w:r>
          </w:p>
        </w:tc>
      </w:tr>
      <w:tr w14:paraId="741D8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911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1A7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更衣柜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128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六门更衣柜，900*500*1800mm±20mm，整体为冷轧板；柜体:侧板、底板≥1.2mm厚;门板:≥1.2mm厚；</w:t>
            </w:r>
          </w:p>
          <w:p w14:paraId="794520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吊装式平开门配不锈钢锁；底座安装不锈钢可调重力脚≥4个；更衣柜顶部为45度倾斜角；更衣柜门上开百叶透气孔；</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58E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7E6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6AD0A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FD5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DB1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DF0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500*500*800mm±20mm，整体为201#≥1.2厚不锈钢材质、侧板为≥1.0mm厚；支腿采用直径≥38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BF5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0CE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ACDA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CAD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5A5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bookmarkStart w:id="191" w:name="OLE_LINK1"/>
            <w:r>
              <w:rPr>
                <w:rFonts w:hint="eastAsia" w:ascii="宋体" w:hAnsi="宋体" w:eastAsia="宋体" w:cs="宋体"/>
                <w:i w:val="0"/>
                <w:iCs w:val="0"/>
                <w:color w:val="000000"/>
                <w:kern w:val="0"/>
                <w:sz w:val="22"/>
                <w:szCs w:val="22"/>
                <w:highlight w:val="none"/>
                <w:u w:val="none"/>
                <w:lang w:val="en-US" w:eastAsia="zh-CN" w:bidi="ar"/>
              </w:rPr>
              <w:t>烘手机</w:t>
            </w:r>
            <w:bookmarkEnd w:id="191"/>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27C36">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bookmarkStart w:id="192" w:name="OLE_LINK3"/>
            <w:r>
              <w:rPr>
                <w:rFonts w:hint="eastAsia" w:ascii="宋体" w:hAnsi="宋体" w:eastAsia="宋体" w:cs="宋体"/>
                <w:i w:val="0"/>
                <w:iCs w:val="0"/>
                <w:color w:val="000000"/>
                <w:kern w:val="0"/>
                <w:sz w:val="22"/>
                <w:szCs w:val="22"/>
                <w:highlight w:val="none"/>
                <w:u w:val="none"/>
                <w:lang w:val="en-US" w:eastAsia="zh-CN" w:bidi="ar"/>
              </w:rPr>
              <w:t>电子感应式，额定电压220V,额定功率2000W，出风速度≥12m/s，防水等级≥IPX1</w:t>
            </w:r>
            <w:bookmarkEnd w:id="192"/>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EA2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128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EE191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68AF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2.11粗捡间</w:t>
            </w:r>
          </w:p>
        </w:tc>
      </w:tr>
      <w:tr w14:paraId="62D10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E43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397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F44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AEB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ABD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2596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84A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5A2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8F9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207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69A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02DE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29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8B0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232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14D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5A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DFA7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C5E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D1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绞切机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158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外观尺寸：55*38*75cm（允许误差±2cm），产品全机201不锈钢制作，电机为铜芯电机，功率：≥1.5KW，电压：220V，切丝产量：≥450KG/H，绞肉产量：≥180KG/H，整机重量≥90KG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D3A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24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70A4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147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4F6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D24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1200*500*1500mm±20mm，货架全部为≥1.2mm厚的201不锈钢结构；货架≥4层，层板采用厚度≥1.2毫米的不锈钢板制造，表面均布条形格栅孔，底层距地面≥150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034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F47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87A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1367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2.12切配间</w:t>
            </w:r>
          </w:p>
        </w:tc>
      </w:tr>
      <w:tr w14:paraId="1A9623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EBF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A16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四门冰柜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787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1210*700*1900mm±20mm</w:t>
            </w:r>
          </w:p>
          <w:p w14:paraId="05830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电压：220V功率：≥0.395kw容量≥900L冷藏容积≥450L冷冻容积≥450L，；制冷方式：直冷 温度范围：保鲜-5℃～+5℃冷冻0℃～-18℃。</w:t>
            </w:r>
          </w:p>
          <w:p w14:paraId="4D17D1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3C04A0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2、釆用独立机组双压缩机双冷凝器双冷凝风机可整体抽出机组拆卸更换，到场即可修复，无需现场检修</w:t>
            </w:r>
          </w:p>
          <w:p w14:paraId="52EDC6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3、采用压缩机</w:t>
            </w:r>
          </w:p>
          <w:p w14:paraId="71CEC3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4、采用微电脑温控器，温度显示精准，性能稳定，操作简单；</w:t>
            </w:r>
          </w:p>
          <w:p w14:paraId="76B45A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5、采用无磁不锈钢板材，全免焊设计结构；</w:t>
            </w:r>
          </w:p>
          <w:p w14:paraId="0C7F6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6、多气囊可拆卸式门封条，密封性能好，便于清洁；高效制冷；</w:t>
            </w:r>
          </w:p>
          <w:p w14:paraId="7ABB36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7、自动回归关门设计，防止门体关不严，造成食物变质；</w:t>
            </w:r>
          </w:p>
          <w:p w14:paraId="44A0BA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8、门框加热丝可更换，同时有专用开关控制，可根据温度湿度控制开关加热丝，除露除霜；</w:t>
            </w:r>
          </w:p>
          <w:p w14:paraId="27D5B6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9、采用环戊烷C5H10环保发泡材料；</w:t>
            </w:r>
          </w:p>
          <w:p w14:paraId="7338B7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10、接线采用JST端子插接</w:t>
            </w:r>
          </w:p>
          <w:p w14:paraId="77E896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11、所有电器线路通过线缆槽布局，伸缩位置釆用护缆套进行保护，避免岀现电器安全。</w:t>
            </w:r>
          </w:p>
          <w:p w14:paraId="24DC5F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12、纯铜蒸发器制作，采用TP2铜制作蒸发器，保证蒸发器使用寿命。</w:t>
            </w:r>
          </w:p>
          <w:p w14:paraId="2F8162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▲13、具有符合GB 26920.2-2015《自携式冷凝组商用冷柜能效限定值及能效等级》标准，其中满足总能量消耗≤4.711，能效指数≤53.9，能效等级判定为1级（立式冰箱）</w:t>
            </w:r>
          </w:p>
          <w:p w14:paraId="34AD14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▲14、冰箱经中性盐雾试验检测苻合：GB/T10125-2021的要求</w:t>
            </w:r>
          </w:p>
          <w:p w14:paraId="17E390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15、冰箱符合GB/T24021-2001 i dtIS014021：1999的（II型环境标志）要求；</w:t>
            </w:r>
          </w:p>
          <w:p w14:paraId="058F5F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  冰箱防腐等级：符合GB/T10125-2021；</w:t>
            </w:r>
          </w:p>
          <w:p w14:paraId="35BD7A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17、产品符合食品接触产品卫生认证</w:t>
            </w:r>
          </w:p>
          <w:p w14:paraId="3A5BC5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▲18、铜管通过依据GB/T 2423.17-2008《电工电子产品环境试验第2部分：试验方法：试验Ka盐雾》按检验标准要求不限但至少包含：盐溶液浓度（5±1）%、温度35℃、试验周期≥24h试验后符合检测结果。</w:t>
            </w:r>
          </w:p>
          <w:p w14:paraId="40D43B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具有开/关、除霜、设置功能、具有故障报警代码显示功能、具有开门报警和高、低温报警功能、具有除霜期间温度显示保持不变、除霜结束后的1小时高低温报警禁止功能，并通过检测项目不限但至少包含：①线性尺寸、面积和容积（有效容积≥800L）、②温度试验③机组工作时间系数④噪声≤46dB（A）⑤冷冻能力（冷冻负载≥51KG，冷冻负载的冷冻时间≤22h6min）单项均判定合格，符合SB/T10794.2-2012标准要求。</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6C7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9B4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8476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A58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686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12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583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82D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1B74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E3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082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FA3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1200*500*1500mm±20mm，货架全部为≥1.2mm厚的201不锈钢结构；货架≥4层，层板采用厚度≥1.2毫米的不锈钢板制造，表面均布条形格栅孔，底层距地面≥150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067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B6B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701B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A81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03F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平冷工作台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613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1800*800*800mm±20mm冷藏出厂停机温度2℃ ，开机温度5℃ ；冷冻出厂停机温度-18℃，开机温度-15℃； </w:t>
            </w:r>
          </w:p>
          <w:p w14:paraId="1BB0C9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1.8*800*800（mm）工作台内径尺寸 1400*670mm（到口框）*500（到口框）mm，中梁尺寸500*95mm±20mm，台面整体≥40mm，去脚箱体高度≥635mm，固定脚≥165mm（±20mm可调）。</w:t>
            </w:r>
          </w:p>
          <w:p w14:paraId="6FBCB2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常规窄机组（≥27cm），电源线（≥1.8米）在右侧，单个层架承重≥20KG。</w:t>
            </w:r>
          </w:p>
          <w:p w14:paraId="5D0611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内外201，双面镀锌管蒸发器，门板≥0.35mm，内胆≥0.3mm， 外壳≥0.3mm，台面板≥0.5mm。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B8A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7E5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07E7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FF9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9F6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28A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CF3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677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76DE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7A65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2.13烹饪间</w:t>
            </w:r>
          </w:p>
        </w:tc>
      </w:tr>
      <w:tr w14:paraId="33267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2A0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CC1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567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300*1100*800mm±20mm通体采用201不锈钢，全螺丝组合设计；拆装方式简单。板面内加厚度承重≥100kg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4A6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027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ED07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4E7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9CD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电磁双炒单温灶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3FF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规格（长*宽*高）：1800*1100*1200 mm±20mm</w:t>
            </w:r>
          </w:p>
          <w:p w14:paraId="3D6CB6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1、微晶锅规格：≥Φ400mm，功率：≥15KW/380V；</w:t>
            </w:r>
          </w:p>
          <w:p w14:paraId="645FBB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2、炉面板采用不锈钢板，采用一体成型面板。</w:t>
            </w:r>
          </w:p>
          <w:p w14:paraId="24D8CA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▲3、所投电磁炉核心元器件档位开关符合GB/T 4208-2017 《外壳防护等级(IP代码)》技术要求，通过防尘试验IP6X和防水试验IPX8的检测要求。</w:t>
            </w:r>
          </w:p>
          <w:p w14:paraId="02605F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4、所用线盘火力大，加热速度快，更均匀，线圈盘无盲区，内部线圈全部有防水设计，采用纯铜线编织，使用寿命长；</w:t>
            </w:r>
          </w:p>
          <w:p w14:paraId="6CA805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▲5、产品符合GB/T 17626.12-2013 《电磁兼容试验和测量技术 振铃波抗扰度试验》检测标准，</w:t>
            </w:r>
          </w:p>
          <w:p w14:paraId="7D04BF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▲6、所投电磁炉线圈盘、电路控制板、火力显示板、机芯通过GB/T 2423.11-1997 环境试验 第二部份：试验Fd:宽频带随机振动——一般要求的检测要求。</w:t>
            </w:r>
          </w:p>
          <w:p w14:paraId="4C3782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▲7、所投电磁炉核心元器件微晶板符合GB/T 242322-2012的检测要求，微晶板放置在（-55±2）℃试验箱体中10min，然后转换到（150±2）℃试验箱体中放置10min，转换时间&lt;30s，再转换到（-55±2）℃试验箱体中10min，如此循环转换50次后，常温恢复2h，试验后样品外观应完好，无裂痕。</w:t>
            </w:r>
          </w:p>
          <w:p w14:paraId="04B522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▲8、要求投标人提供2*15KW电磁双头单尾小炒炉，具有EN 62233:2008《家用及类似电器用途的电磁辐射要求及测试方法》的电磁场六个面的检测报告。</w:t>
            </w:r>
          </w:p>
          <w:p w14:paraId="11A2C1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9、系统由电脑主板控制及具有超温保护、自动故障检测、电压过高过低及缺相保护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F9A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FFA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5DD3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C9E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623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电磁单眼大锅灶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C4A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1、规格：1100*1100*800 mm±20mm</w:t>
            </w:r>
          </w:p>
          <w:p w14:paraId="0E75FF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2、锅径为Φ800mm，功率：≥20kw/380v；</w:t>
            </w:r>
          </w:p>
          <w:p w14:paraId="561946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▲3、灶面板采用一体成型面板，炉体采用全不锈钢,炉灶焊接处依据GB/T 228.1-2010《金属材料 拉力测试 第1部分：室温试验方法》的检测要求，焊接拉力要在10000N以上，检测合格。</w:t>
            </w:r>
          </w:p>
          <w:p w14:paraId="3CA1A4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4、机芯采用分层次散热结构</w:t>
            </w:r>
          </w:p>
          <w:p w14:paraId="7847D6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5、具有全中文显示故障代码功能，让操作更人性化，档位对应功率显示。让操作更加直观。</w:t>
            </w:r>
          </w:p>
          <w:p w14:paraId="3A21C2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6、8档360度旋转档位火力调节</w:t>
            </w:r>
          </w:p>
          <w:p w14:paraId="5C4EE2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7、后背防水风机。</w:t>
            </w:r>
          </w:p>
          <w:p w14:paraId="49A7BE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8、聚能线盘节能设计，线圈盘无盲区，比传统灶节能30%以上。</w:t>
            </w:r>
          </w:p>
          <w:p w14:paraId="007DE9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9、移相搭桥电路控制技术，性能卓越运行稳定 </w:t>
            </w:r>
          </w:p>
          <w:p w14:paraId="22C7AF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10、超宽工作电压设计，运行稳定更安全</w:t>
            </w:r>
          </w:p>
          <w:p w14:paraId="58F196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11、电路防磁干扰EMC模块设计，保护电网及电器设备</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54F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74A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4838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FE1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E7C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电双门蒸饭车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B4B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380V/≥24Kw，规格1600*1200*800mm±20mm，双开门≥24盘，采用201不锈钢柜体，箱体发泡保温；蒸汽输入压力≥0.015Mpa。采用≥1.2mm201不锈钢拉丝板，201不锈钢内胆，承重钢脚轮，夹层采用整体发泡，设有自动补水自动供、排水功能和自动蒸汽过压释放系统，蒸汽循环加热。蒸饭时间：35-45分钟。蒸饭量:米饭≥96kg，面粉≥60kg。配备无孔蒸盘和有孔蒸盘各12个。</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D31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FC3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EBB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57B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253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油网烟罩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A97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9300*1200*500mm±20mm，采用不锈钢板制造，其外表面磨砂贴塑，厚度为≥1.2mm厚的201不锈钢板。背面U型边压死角边形成加强筋，连接处为满焊。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0E3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CC2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1078B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86D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A6D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A63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1800*800*800mm±20mm ，整体为≥1.2mm厚的201不锈钢材质、侧板为≥1.0mm厚；支架横通应采用直径≥25毫米的圆形或矩形不锈钢管焊接成型，不锈钢管壁厚≥1.2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84D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24D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E8AE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3F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8AE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5BE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076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D55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D168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E676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2.14面点间</w:t>
            </w:r>
          </w:p>
        </w:tc>
      </w:tr>
      <w:tr w14:paraId="2AD86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3CB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2B0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四门冰柜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BA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1210*700*1900mm±20mm</w:t>
            </w:r>
          </w:p>
          <w:p w14:paraId="074417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电压：220V功率：≥0.395kw容量：≥900L冷藏容积≥450L冷冻容积≥450L，；制冷方式：直冷 温度范围：保鲜-5℃～+5℃冷冻0℃～-18℃。</w:t>
            </w:r>
          </w:p>
          <w:p w14:paraId="57504F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722FD3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2、釆用独立机组双压缩机双冷凝器双冷凝风机可整体抽出机组拆卸更换，到场即可修复，无需现场检修</w:t>
            </w:r>
          </w:p>
          <w:p w14:paraId="1D2624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3、采用微电脑温控器，温度显示精准，性能稳定，操作简单；</w:t>
            </w:r>
          </w:p>
          <w:p w14:paraId="488EEF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4、采用无磁不锈钢板材，全免焊设计结构；</w:t>
            </w:r>
          </w:p>
          <w:p w14:paraId="3A1023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5、多气囊可拆卸式门封条，密封性能好，便于清洁；高效制冷；</w:t>
            </w:r>
          </w:p>
          <w:p w14:paraId="17BE6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6、自动回归关门设计，防止门体关不严，造成食物变质；</w:t>
            </w:r>
          </w:p>
          <w:p w14:paraId="6A5A95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7、门框加热丝可更换，同时有专用开关控制，可根据温度湿度控制开关加热丝，除露除霜；</w:t>
            </w:r>
          </w:p>
          <w:p w14:paraId="2A1DF9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8、采用环戊烷C5H10环保发泡材料；</w:t>
            </w:r>
          </w:p>
          <w:p w14:paraId="73CBF7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9、接线采用JST端子插接</w:t>
            </w:r>
          </w:p>
          <w:p w14:paraId="3F415A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10、所有电器线路通过线缆槽布局，伸缩位置釆用护缆套进行保护，避免岀现电器安全。</w:t>
            </w:r>
          </w:p>
          <w:p w14:paraId="4F382B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11、纯铜蒸发器制作，采用TP2铜制作蒸发器，保证蒸发器使用寿命。</w:t>
            </w:r>
          </w:p>
          <w:p w14:paraId="042ECB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▲12、具有符合GB 26920.2-2015《自携式冷凝组商用冷柜能效限定值及能效等级》标准，其中满足总能量消耗≤4.711，能效指数≤53.9，能效等级判定为1级（立式冰箱）</w:t>
            </w:r>
          </w:p>
          <w:p w14:paraId="38D22F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▲13、冰箱经中性盐雾试验检测苻合：GB/T10125-2021的要求</w:t>
            </w:r>
          </w:p>
          <w:p w14:paraId="702016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14、冰箱符合GB/T24021-2001 i dtIS014021：1999的（II型环境标志）要求；</w:t>
            </w:r>
          </w:p>
          <w:p w14:paraId="777C31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  冰箱防腐等级：符合GB/T10125-2021；</w:t>
            </w:r>
          </w:p>
          <w:p w14:paraId="19D305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16、产品符合食品接触产品卫生认证</w:t>
            </w:r>
          </w:p>
          <w:p w14:paraId="461132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▲17、铜管通过依据GB/T 2423.17-2008《电工电子产品环境试验第2部分：试验方法：试验Ka盐雾》按检验标准要求不限但至少包含：盐溶液浓度（5±1）%、温度35℃、试验周期≥24h试验后符合检测结果。</w:t>
            </w:r>
          </w:p>
          <w:p w14:paraId="14CD2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具有开/关、除霜、设置功能、具有故障报警代码显示功能、具有开门报警和高、低温报警功能、具有除霜期间温度显示保持不变、除霜结束后的1小时高低温报警禁止功能，并通过检测项目不限但至少包含：①线性尺寸、面积和容积（有效容积≥800L）、②温度试验③机组工作时间系数④噪声≤46dB（A）⑤冷冻能力（冷冻负载51KG，冷冻负载的冷冻时间≤22h6min）单项均判定合格，符合SB/T10794.2-2012标准要求。</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11C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EC1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3F6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49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B77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A59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全不锈钢制造。技术参数：功率：≥2.2KW,电压：380V，生产效率:≥50公斤/小时。外形尺寸：980*510*1010mm±20mm.带翻斗、变速箱。</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21A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888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66C8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DCD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A9F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E3F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低噪音链条款新型压面机，生产效率≥60KG一小时，配用电机≥2.2KW，额定电压220V，出厂配3毫米圆刀，2毫米扁刀，4毫米扁刀，14毫米大盘鸡刀，双边刻度制，使两边面皮厚度一致，电机可倒转，使退换刀方便。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247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9D6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CC4C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0DD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4F4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双动双速和面机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1B392">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外型尺寸：680×550×1025mm±20mm  电压：220v/380v       功率：≥1.5kw毛重：≥182kg 不锈钢材质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26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A61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46BB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341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91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790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2AD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2BF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68E0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EFF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AA4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木案工作台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D40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 ，木案厚度≥10cm不锈钢架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0CA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508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829F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821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EB2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电饼铛</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A69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产品用途：煎饼 烙饼 包装：纸箱 适用范围：面包房设备、饮品店设备、休闲速食设备、西餐店设备、茶餐厅设备、休闲食种类。上下锅为铝制独立控温。采用带温度显示的温控仪调温，方便随时掌控锅内温度。电源电压：380v 三相。功率：≥4.5kw，尺寸：755*640*800mm±20mm。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7DF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0EC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D30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DED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082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三层电烤箱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CC2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外表面板不锈钢，温度范围：0-300℃，功率：≥20KW，电压：380V；结构类型：三层，每层配2个600*400（mm）标准的烤盘；防水等级≥IPX4，开关寿命≥10000次，温控器寿命≥10000次。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A63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7F1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98F1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AED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469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发酵箱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7AB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1、电压220V；</w:t>
            </w:r>
          </w:p>
          <w:p w14:paraId="1C80AD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2、功率≥3.5KW；</w:t>
            </w:r>
          </w:p>
          <w:p w14:paraId="7C595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3、烤盘架层数：≥13；</w:t>
            </w:r>
          </w:p>
          <w:p w14:paraId="4F92D5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4、201镀钛抗指纹面板。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370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754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69C2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760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8D6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油网烟罩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538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3200*1200*500mm±20mm，采用不锈钢板制造，其外表面磨砂贴塑，厚度为≥1.2mm厚的201不锈钢板。背面U型边压死角边形成加强筋，连接处为满焊。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79F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A12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56E43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DF2D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2.15凉菜间</w:t>
            </w:r>
          </w:p>
        </w:tc>
      </w:tr>
      <w:tr w14:paraId="33422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48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8CD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827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500*500*800mm±20mm，整体为≥1.2mm厚的201不锈钢材质、侧板为≥1.0mm厚；支腿采用直径≥38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C21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498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B1A5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604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562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烘手机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C15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电子感应式，额定电压220V,额定功率2000W，出风速度≥12m/s，防水等级≥IPX1</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122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0C5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F60C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30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B69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双门展示冰柜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357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不锈钢箱体，经久耐用；</w:t>
            </w:r>
          </w:p>
          <w:p w14:paraId="35C225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铝合金门框，中空玻璃门，物品展示效果突出；</w:t>
            </w:r>
          </w:p>
          <w:p w14:paraId="4B4F3B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可拆卸式门封条设计，更易清洗更换；</w:t>
            </w:r>
          </w:p>
          <w:p w14:paraId="1D3A5A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采用特长盘管，制冷效果好，耗电量低；</w:t>
            </w:r>
          </w:p>
          <w:p w14:paraId="0BC4E6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大容量储存空间，性价比高；</w:t>
            </w:r>
          </w:p>
          <w:p w14:paraId="1A8DC6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分层浸塑层架，高度可自由调节，坚韧耐用；</w:t>
            </w:r>
          </w:p>
          <w:p w14:paraId="66B28B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聚氨脂材料整体发泡，降低能耗，保温效果好；</w:t>
            </w:r>
          </w:p>
          <w:p w14:paraId="765867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万向轮设计，移动方便自如。</w:t>
            </w:r>
          </w:p>
          <w:p w14:paraId="64B25A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外观尺寸：1220×710×1880mm±20mm                               </w:t>
            </w:r>
          </w:p>
          <w:p w14:paraId="64A7C7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箱内温度： 2℃～10℃  </w:t>
            </w:r>
          </w:p>
          <w:p w14:paraId="5E036F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制冷剂：134a                      </w:t>
            </w:r>
          </w:p>
          <w:p w14:paraId="77F065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有效容积：≥920L                                              </w:t>
            </w:r>
          </w:p>
          <w:p w14:paraId="129C4E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耗电量KWh/24：3.5</w:t>
            </w:r>
          </w:p>
          <w:p w14:paraId="6F5081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额定电压/频率：220V/50HZ                                  </w:t>
            </w:r>
          </w:p>
          <w:p w14:paraId="7BBC0C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额定功率：≤310W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33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EB4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074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611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411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A2F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 ，整体为≥1.2mm厚的201不锈钢材质、侧板为≥1.0mm厚；支腿采用直径≥38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DBC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28D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74B4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F2B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E99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平冷工作台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F8C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1800*800*800mm±20mm冷藏出厂停机温度2℃ ，开机温度5℃ ；冷冻出厂停机温度-18℃，开机温度-15℃； </w:t>
            </w:r>
          </w:p>
          <w:p w14:paraId="760BA0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1.8*800*800mm工作台内径尺寸 1400*670（到口框）*500（到口框）mm，中梁尺寸500*95mm±20mm，台面整体≥40mm，去脚箱体高度≥635mm，固定脚≥165mm（±20mm可调）。</w:t>
            </w:r>
          </w:p>
          <w:p w14:paraId="03403C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常规窄机组（27cm），电源线（1.8米）在右侧，单个层架承重≥20KG。</w:t>
            </w:r>
          </w:p>
          <w:p w14:paraId="1B0204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内外201，双面镀锌管蒸发器，门板≥0.35mm，内胆≥0.3mm， 外壳≥0.3mm，台面板≥0.5mm。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3A9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FD0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8C3B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819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DDD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FA5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EBD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591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6E80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A89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B15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紫外线灯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AD6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≥40W，紫外线灯管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F41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FBF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D27A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ECA6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2.16备餐间</w:t>
            </w:r>
          </w:p>
        </w:tc>
      </w:tr>
      <w:tr w14:paraId="56212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0EB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7D2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E91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7EF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F91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0030B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571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3E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698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F43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B73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185C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FF3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F1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C24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400*700*800mm±20mm通体采用201不锈钢，全螺丝组合设计；拆装方式简单。板面内加厚度承重≥100kg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C71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AF6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07365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765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9F5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电磁四眼炉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92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700*700*800mm±20mm采用 201 不锈钢</w:t>
            </w:r>
          </w:p>
          <w:p w14:paraId="6FBFFB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台面厚度 ≥1.5mm；</w:t>
            </w:r>
          </w:p>
          <w:p w14:paraId="3E3AEA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层板、底板、侧板及门面采用≥ 1.2mm 厚不锈钢板制作；</w:t>
            </w:r>
          </w:p>
          <w:p w14:paraId="7D6B14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加强筋厚度 ≥1.2mm，电磁加热</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11D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04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BF8E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7C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5CD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油网烟罩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079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3000*1000*500mm±20mm，采用不锈钢板制造，其外表面磨砂贴塑，厚度为201#≥1.2mm的不锈钢板。背面U型边压死角边形成加强筋，连接处为满焊。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A0B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F0C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4F3A1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723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A5F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平冷工作台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2EB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1800*800*800mm±20mm冷藏出厂停机温度2℃ ，开机温度5℃ ；冷冻出厂停机温度-18℃，开机温度-15℃； </w:t>
            </w:r>
          </w:p>
          <w:p w14:paraId="21CE45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≥1.8*800*800mm工作台内径尺寸1400*670（到口框）*500（到口框）mm，中梁尺寸500*95mm±20mm，台面整体≥40mm，去脚箱体高度≥635mm，固定脚≥165mm（±20mm可调）。（允许误差±2mm)</w:t>
            </w:r>
          </w:p>
          <w:p w14:paraId="634C73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常规窄机组（27cm），电源线（1.8米）在右侧，单个层架承重≥20KG。</w:t>
            </w:r>
          </w:p>
          <w:p w14:paraId="073317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内外201，双面镀锌管蒸发器，门板≥0.35mm，内胆≥0.3mm， 外壳≥0.3mm，台面板≥0.5mm。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52B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638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E159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5AC8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2.17洗碗间</w:t>
            </w:r>
          </w:p>
        </w:tc>
      </w:tr>
      <w:tr w14:paraId="4F3A0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E5D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755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0E0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68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AC0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008C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697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6B7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残食台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B60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1500*700*800mm±20mm</w:t>
            </w:r>
            <w:r>
              <w:rPr>
                <w:rFonts w:hint="eastAsia" w:ascii="宋体" w:hAnsi="宋体" w:cs="宋体"/>
                <w:i w:val="0"/>
                <w:iCs w:val="0"/>
                <w:color w:val="000000"/>
                <w:kern w:val="0"/>
                <w:sz w:val="22"/>
                <w:szCs w:val="22"/>
                <w:highlight w:val="none"/>
                <w:u w:val="none"/>
                <w:lang w:val="en-US" w:eastAsia="zh-CN" w:bidi="ar"/>
              </w:rPr>
              <w:t>材质：</w:t>
            </w:r>
            <w:r>
              <w:rPr>
                <w:rFonts w:hint="eastAsia" w:ascii="宋体" w:hAnsi="宋体" w:eastAsia="宋体" w:cs="宋体"/>
                <w:i w:val="0"/>
                <w:iCs w:val="0"/>
                <w:color w:val="000000"/>
                <w:kern w:val="0"/>
                <w:sz w:val="22"/>
                <w:szCs w:val="22"/>
                <w:highlight w:val="none"/>
                <w:u w:val="none"/>
                <w:lang w:val="en-US" w:eastAsia="zh-CN" w:bidi="ar"/>
              </w:rPr>
              <w:t>不锈钢，底部带柜门内装垃圾桶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EA4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D3A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FFC0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1E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DFE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43C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17A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F05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3287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DFC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4C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热风消毒柜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2CE60">
            <w:pPr>
              <w:keepNext w:val="0"/>
              <w:keepLines w:val="0"/>
              <w:widowControl/>
              <w:numPr>
                <w:ilvl w:val="0"/>
                <w:numId w:val="3"/>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板材：外层≥1.2mm，内层不锈钢碗筐，柜体骨架≥50*50*500mm角铁，防锈处理，采用聚脂发泡填充，密度到位手柄全部采用不锈钢材料，螺丝、铆钉采用不锈钢材料，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409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053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113B24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C90C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2.18餐厅</w:t>
            </w:r>
          </w:p>
        </w:tc>
      </w:tr>
      <w:tr w14:paraId="7FE3B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906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ADB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自助餐台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A0B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1200*600*800mm±20mm，可折叠</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7C7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14C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54C4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8C3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151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方形自助餐炉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9C7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长方形，可视，电加热，整体采用不锈钢板材，全304材质，自助餐炉整体一次拉伸，尺寸：590*455*200mm±20mm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76F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25F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8C9E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23A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BF8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圆形自助餐炉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1C4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圆形，可视，电加热，自助餐炉整体采用不锈钢板材，全304材质，自助餐炉整体一次拉伸，尺寸：410*490*260mm±20mm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143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EFC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3E3D3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585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2CC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自助汤炉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C99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电加热，保温，圆形暖汤煲选用304不锈钢一体拉伸完成，完全适用于食物接触，底部带复底盘，导热速度比常规产品要快80%。</w:t>
            </w:r>
          </w:p>
          <w:p w14:paraId="013EE8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产品尺寸：410*490*260±20mm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6EC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2C5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7F13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73B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D08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筷子消毒车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D68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功率220电脑版全自动，采用不锈钢材料，红外线消毒，高温烘干，受热均匀，循环热风，沥水防霉，功率≤200W，筷子容量：≥300双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1BE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419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53DA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175F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2.19排烟管道部分</w:t>
            </w:r>
          </w:p>
        </w:tc>
      </w:tr>
      <w:tr w14:paraId="0101C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C7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635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方形变径水平方向</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33F2BBE4">
            <w:pPr>
              <w:keepNext w:val="0"/>
              <w:keepLines w:val="0"/>
              <w:widowControl/>
              <w:suppressLineNumbers w:val="0"/>
              <w:jc w:val="left"/>
              <w:textAlignment w:val="top"/>
              <w:rPr>
                <w:rFonts w:hint="eastAsia" w:ascii="宋体" w:hAnsi="宋体" w:eastAsia="宋体" w:cs="宋体"/>
                <w:i w:val="0"/>
                <w:iCs w:val="0"/>
                <w:color w:val="000000"/>
                <w:kern w:val="0"/>
                <w:sz w:val="22"/>
                <w:szCs w:val="22"/>
                <w:highlight w:val="none"/>
                <w:u w:val="none"/>
                <w:lang w:val="en-US" w:eastAsia="zh-CN" w:bidi="ar"/>
              </w:rPr>
            </w:pPr>
          </w:p>
          <w:p w14:paraId="0979A1EB">
            <w:pPr>
              <w:keepNext w:val="0"/>
              <w:keepLines w:val="0"/>
              <w:widowControl/>
              <w:suppressLineNumbers w:val="0"/>
              <w:jc w:val="left"/>
              <w:textAlignment w:val="top"/>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FFD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007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2</w:t>
            </w:r>
            <w:r>
              <w:rPr>
                <w:rFonts w:hint="eastAsia" w:ascii="宋体" w:hAnsi="宋体" w:eastAsia="宋体" w:cs="宋体"/>
                <w:i w:val="0"/>
                <w:iCs w:val="0"/>
                <w:color w:val="000000"/>
                <w:kern w:val="0"/>
                <w:sz w:val="22"/>
                <w:szCs w:val="22"/>
                <w:highlight w:val="none"/>
                <w:u w:val="none"/>
                <w:lang w:val="en-US" w:eastAsia="zh-CN" w:bidi="ar"/>
              </w:rPr>
              <w:t xml:space="preserve"> </w:t>
            </w:r>
          </w:p>
        </w:tc>
      </w:tr>
      <w:tr w14:paraId="0136F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393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5CA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风管软连接</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168FFB07">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水帆布，风管软连接作为通风系统管道组成件，用于断管道刚性连接，起到隔报或位移补偿作用，软连接应满足通风系统功能要求及安装要求。凤管软连接材料应满足防火规范的要求。软连接柔性面料宜选用防腐、不透气、不变、不产尘、不易老化、满足卫生要求、对人畜无害，且具有一定强度和柔韧性的环保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E05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CD1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r>
      <w:tr w14:paraId="04A1E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141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21B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净化器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2AB3D941">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整机外壳采用SPCC冷轧板，厚度≥1.2mm，表面静电喷涂；处理效率达90%（含）以上；符合饮食业油烟排放；≥30000风量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109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44E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r>
      <w:tr w14:paraId="77A52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51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E50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2F2EEBAA">
            <w:pPr>
              <w:keepNext w:val="0"/>
              <w:keepLines w:val="0"/>
              <w:widowControl/>
              <w:suppressLineNumbers w:val="0"/>
              <w:jc w:val="left"/>
              <w:textAlignment w:val="top"/>
              <w:rPr>
                <w:rFonts w:hint="eastAsia" w:ascii="宋体" w:hAnsi="宋体" w:eastAsia="宋体" w:cs="宋体"/>
                <w:i w:val="0"/>
                <w:iCs w:val="0"/>
                <w:color w:val="000000"/>
                <w:kern w:val="0"/>
                <w:sz w:val="22"/>
                <w:szCs w:val="22"/>
                <w:highlight w:val="none"/>
                <w:u w:val="none"/>
                <w:lang w:val="en-US" w:eastAsia="zh-CN" w:bidi="ar"/>
              </w:rPr>
            </w:pPr>
          </w:p>
          <w:p w14:paraId="1B4C4924">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1BF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B32AE">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22</w:t>
            </w:r>
          </w:p>
        </w:tc>
      </w:tr>
      <w:tr w14:paraId="44908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EF4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133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风管软连接</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19E5311A">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水帆布，风管软连接作为通风系统管道组成件，用于断管道刚性连接，起到隔报或位移补偿作用，软连接应满足通风系统功能要求及安装要求。凤管软连接材料应满足防火规范的要求。软连接柔性面料宜选用防腐、不透气、不变、不产尘、不易老化、满足卫生要求、对人畜无害，且具有一定强度和柔韧性的环保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702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727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r>
      <w:tr w14:paraId="319FA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C55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1F8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离心风柜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10739554">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箱体采用框架板式结构；采用双进风前倾多翼式叶轮；叶轮材料为冷轧板喷塑；主轴采用45#钢精工制作；柜机采用烤漆面板，柜体厚度1.2-1.2mm；柜体内部加装双层多孔加棉消音板，有效降低噪音；蜗壳采用插接式结构，简洁高效；电机底座为可调节式，方便安装调试；C式皮带传动方式，可通过改变带轮的传动比来调整风机的性能参数；设有排油咀，方便排出机壳积油。</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CA3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0CE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95D73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55B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1D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方形变径水平方向</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45F54A0D">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220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DB5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2</w:t>
            </w:r>
            <w:r>
              <w:rPr>
                <w:rFonts w:hint="eastAsia" w:ascii="宋体" w:hAnsi="宋体" w:eastAsia="宋体" w:cs="宋体"/>
                <w:i w:val="0"/>
                <w:iCs w:val="0"/>
                <w:color w:val="000000"/>
                <w:kern w:val="0"/>
                <w:sz w:val="22"/>
                <w:szCs w:val="22"/>
                <w:highlight w:val="none"/>
                <w:u w:val="none"/>
                <w:lang w:val="en-US" w:eastAsia="zh-CN" w:bidi="ar"/>
              </w:rPr>
              <w:t xml:space="preserve"> </w:t>
            </w:r>
          </w:p>
        </w:tc>
      </w:tr>
      <w:tr w14:paraId="3ADD9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FB8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E4C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竖直直通风管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246246B1">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AF9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668F7">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19</w:t>
            </w:r>
          </w:p>
        </w:tc>
      </w:tr>
      <w:tr w14:paraId="137B22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20F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A40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90度竖直弯头水平通下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63728596">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6CE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772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3</w:t>
            </w:r>
          </w:p>
        </w:tc>
      </w:tr>
      <w:tr w14:paraId="0605F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6C4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287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90度竖直弯头水平通上</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6BD999A8">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58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B41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3</w:t>
            </w:r>
          </w:p>
        </w:tc>
      </w:tr>
      <w:tr w14:paraId="339D9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F2F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8F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5184A2A6">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AD2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F60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6</w:t>
            </w:r>
          </w:p>
        </w:tc>
      </w:tr>
      <w:tr w14:paraId="6EBD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4BF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47F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90度水平弯头左通下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1132CBC3">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34F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F36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3</w:t>
            </w:r>
          </w:p>
        </w:tc>
      </w:tr>
      <w:tr w14:paraId="70F1E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AA7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3BE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90度水平弯头右通下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1FB221A7">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DAB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E4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w:t>
            </w:r>
          </w:p>
        </w:tc>
      </w:tr>
      <w:tr w14:paraId="6B9BB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7D1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BB1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465B28E8">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FC0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33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21A31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E77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7F9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90度水平弯头左通下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043DD7C1">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5B9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27A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2</w:t>
            </w:r>
          </w:p>
        </w:tc>
      </w:tr>
      <w:tr w14:paraId="4B21F9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B88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770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14EA4997">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B8D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4B4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w:t>
            </w:r>
          </w:p>
        </w:tc>
      </w:tr>
      <w:tr w14:paraId="44A3C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BFE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79B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法兰、三角架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93B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槽钢焊接，防锈处理</w:t>
            </w:r>
            <w:r>
              <w:rPr>
                <w:rFonts w:hint="eastAsia" w:ascii="宋体" w:hAnsi="宋体" w:cs="宋体"/>
                <w:i w:val="0"/>
                <w:iCs w:val="0"/>
                <w:color w:val="000000"/>
                <w:kern w:val="0"/>
                <w:sz w:val="22"/>
                <w:szCs w:val="22"/>
                <w:highlight w:val="none"/>
                <w:u w:val="none"/>
                <w:lang w:val="en-US" w:eastAsia="zh-CN" w:bidi="ar"/>
              </w:rPr>
              <w:t>，口径：≥600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8C9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61C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6A7B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88B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68B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五金配件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732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螺丝螺母，钢丝绳，花篮丝，膨胀螺丝，密封胶圈等</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589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257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0A40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794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19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隔油池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884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全不锈钢制作带隔油网</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EE3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5FD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AE79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1E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C6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传菜梯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68B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曳引式升降，全电脑控制定位启停，轿厢全不锈钢材质，外挂钢构及幕墙</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84F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FE7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0DBC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10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201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十八子菜刀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5C9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长29.5*刀刃19（cm）±0.05cm；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FD7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4F2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334AE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47C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138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十八子躲刀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406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长29.5*刀刃19（cm）±0.05cm；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F1B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F3C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0938A7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574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92B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食品级菜墩子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A3D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430*120mm±0.5mm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611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29B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6A9D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A94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D6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马碗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98E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140mm±2mm；加厚不锈钢；无磁</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295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D57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1187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5B0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8F3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中号料缸</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0B5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加厚；</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16cm±0.2cm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73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6D0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0DC7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29E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0ED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锅刷子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C25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24cm±2mm；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4EA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08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0753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5A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337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E9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≥四格带锁</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1F4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CC9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60CEF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2A8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705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钢笊篱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77F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≥9寸；</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A21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810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0625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021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1FC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油缸</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62C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28cm±0.2cm直径；</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C93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2D1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5BEE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BD8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365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钢细笊篱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7A2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≥10寸；</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2D7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1A2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644D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BF6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628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磨刀石</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AF2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20*5cm±0.2cm；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556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B66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096B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295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DFA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FF2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直径≥130cm±0.2cm；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F3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7F5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5834A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4C0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73F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不锈钢吊桶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25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30cm复合底，</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4mm厚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0A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BB3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86B5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0E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64B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5DC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1200*450*950mm±2mm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D8E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62F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0AB5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1F9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25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自助餐台布台群</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E48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长宽2m*2m（±0.02m）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984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D5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AE02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13E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027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不锈钢菜夹子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4ED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≥16寸加厚；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6CB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71F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1188D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927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0B1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餐盘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D77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≥5格，加厚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F6C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586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292B7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B56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FA1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高档筷子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29FAE">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合金筷子≥</w:t>
            </w:r>
            <w:r>
              <w:rPr>
                <w:rFonts w:hint="eastAsia" w:ascii="宋体" w:hAnsi="宋体" w:cs="宋体"/>
                <w:i w:val="0"/>
                <w:iCs w:val="0"/>
                <w:color w:val="000000"/>
                <w:kern w:val="0"/>
                <w:sz w:val="22"/>
                <w:szCs w:val="22"/>
                <w:highlight w:val="none"/>
                <w:u w:val="none"/>
                <w:lang w:val="en-US" w:eastAsia="zh-CN" w:bidi="ar"/>
              </w:rPr>
              <w:t>22㎝</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034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8C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1000 </w:t>
            </w:r>
          </w:p>
        </w:tc>
      </w:tr>
      <w:tr w14:paraId="6FEC5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BA7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C39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骨碟</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55C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≥10寸骨质瓷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2B2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BE2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0C397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23A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B88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F3D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≥385*260*140mm±2mm；带扣；加厚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B03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0F6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58E7B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CA2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F00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28F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≥330*180*130mm±2mm；带扣；加厚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1B6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470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554B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35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F61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瓷器汤碗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B8E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骨质瓷（≥5寸瓷）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1E4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32D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72C17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6FB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FD7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菜筐子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069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≥43*32*13cm±0.2cm；加厚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714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01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EBE0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E7D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29C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不锈钢打料勺子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6E6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≥24.5cm±0.2cm；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57F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627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9A95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EBD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FB0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锅圈子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C16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≥26cm±0.2cm；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B24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7F3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F91A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F9F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B84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E10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≥240 mm±2mm；（钢）（电磁炉专用）</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F31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0F7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5449F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67B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870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炒瓢锅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B3C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≥45cm±0.2cm；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C53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D5D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DDC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086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085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BDF7E">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中号</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 xml:space="preserve"> 10两；</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373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9A4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2D7C6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E63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89C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汤盅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106F1">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双耳</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4.5寸,带底碟</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9D4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1D7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2B40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B08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B7E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大砂锅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6C4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采用紫砂材质，直径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15mm±0.2mm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B06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484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21934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084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1DF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小蜡烛</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C10F4">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≥1.5cm×17cm白色蜡烛(10支装)</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FFD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3BF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6F52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849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7B3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拌面盘子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001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骨质瓷（≥8寸骨瓷）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3A4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E39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15CE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360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861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备餐柜（消毒）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56D15">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≥一米大理石面+木质。电压：220V/50Hz，功率：620w，容量：≥330L，产品尺寸 ：≥750x500x1020mm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6D7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BF1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7D5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80A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44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不锈钢送餐车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974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≥三层；整体采用304不锈钢≥1.2mm厚侧板为≥1.0mm厚；脚轮为耐腐软面材料；带刹车和加固支撑。静音轮</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FC0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197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7FF4E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EB0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0E5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保鲜膜</w:t>
            </w:r>
          </w:p>
        </w:tc>
        <w:tc>
          <w:tcPr>
            <w:tcW w:w="5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CA24D">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食品级</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≥45cm±0.2cm宽</w:t>
            </w:r>
            <w:r>
              <w:rPr>
                <w:rFonts w:hint="eastAsia" w:ascii="宋体" w:hAnsi="宋体" w:cs="宋体"/>
                <w:i w:val="0"/>
                <w:iCs w:val="0"/>
                <w:color w:val="000000"/>
                <w:kern w:val="0"/>
                <w:sz w:val="22"/>
                <w:szCs w:val="22"/>
                <w:highlight w:val="none"/>
                <w:u w:val="none"/>
                <w:lang w:val="en-US" w:eastAsia="zh-CN" w:bidi="ar"/>
              </w:rPr>
              <w:t>，长度≥300米</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45F24">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卷</w:t>
            </w:r>
          </w:p>
        </w:tc>
        <w:tc>
          <w:tcPr>
            <w:tcW w:w="9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FB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60</w:t>
            </w:r>
          </w:p>
        </w:tc>
      </w:tr>
      <w:tr w14:paraId="3D9D4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BE8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81A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高压锅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D6A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≥32cm±0.2cm防爆</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5BF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4B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1B434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4C4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C58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厨师工作服</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0B5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定制，测量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37D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1F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0C03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98F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709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厨师围裙</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883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定制，测量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9AE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098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1148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965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790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厨师帽子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97F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定制，测量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4E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58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1D40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85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r>
              <w:rPr>
                <w:rFonts w:hint="eastAsia" w:ascii="宋体" w:hAnsi="宋体" w:cs="宋体"/>
                <w:i w:val="0"/>
                <w:iCs w:val="0"/>
                <w:color w:val="000000"/>
                <w:kern w:val="0"/>
                <w:sz w:val="22"/>
                <w:szCs w:val="22"/>
                <w:highlight w:val="none"/>
                <w:u w:val="none"/>
                <w:lang w:val="en-US" w:eastAsia="zh-CN" w:bidi="ar"/>
              </w:rPr>
              <w:t>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D0D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捞面大笊篱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DB6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≥10寸；</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9F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7A7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A1C4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1A0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r>
              <w:rPr>
                <w:rFonts w:hint="eastAsia" w:ascii="宋体" w:hAnsi="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AB8A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炒菜不锈钢铲</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22C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≥中号 2#；</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FC2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D05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9313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BBF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r>
              <w:rPr>
                <w:rFonts w:hint="eastAsia" w:ascii="宋体" w:hAnsi="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CED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不锈钢大盘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7B3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≥60cm±0.2cm，无磁，加厚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927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D31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213C5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207335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2.20饮水机</w:t>
            </w:r>
          </w:p>
        </w:tc>
      </w:tr>
      <w:tr w14:paraId="3EA00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05E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60A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净水热水器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7B6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反渗透直饮制冷机，54*45*161cm±2cm，过滤方式:≥600G反渗透，热水≥78L/H(40L),常温≥90L/H(10L),冷水≥20L/H(5L),220V≥3KW。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92E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C46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 </w:t>
            </w:r>
          </w:p>
        </w:tc>
      </w:tr>
      <w:tr w14:paraId="4BA44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FF1FF70">
            <w:pPr>
              <w:pStyle w:val="3"/>
              <w:bidi w:val="0"/>
              <w:rPr>
                <w:rFonts w:hint="eastAsia" w:ascii="宋体" w:hAnsi="宋体" w:eastAsia="宋体" w:cs="宋体"/>
                <w:b/>
                <w:bCs/>
                <w:i w:val="0"/>
                <w:iCs w:val="0"/>
                <w:color w:val="000000"/>
                <w:szCs w:val="22"/>
                <w:highlight w:val="none"/>
                <w:u w:val="none"/>
              </w:rPr>
            </w:pPr>
            <w:bookmarkStart w:id="193" w:name="_Toc6385"/>
            <w:r>
              <w:rPr>
                <w:rFonts w:hint="eastAsia"/>
                <w:highlight w:val="none"/>
                <w:lang w:val="en-US" w:eastAsia="zh-CN"/>
              </w:rPr>
              <w:t>二、健身器材</w:t>
            </w:r>
            <w:bookmarkEnd w:id="193"/>
          </w:p>
        </w:tc>
      </w:tr>
      <w:tr w14:paraId="74559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2F70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3102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D978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4009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7246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8151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B0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5FD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BFB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台面：高弹性HDF密度板，符合国际赛事弹跳标准。球台台面长度2740mm±2mm；宽度1525mm±2mm；高度760mm±2mm，厚度 25mm±0.2mm。弹性：从离台300mm±2mm的地方释放乒乓球，反弹高度在230~260mm</w:t>
            </w:r>
          </w:p>
          <w:p w14:paraId="4B2709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，摩擦系数：≤0.6，反光度：在MUNSELL系统中不超过15度。栏网采用呢绒网线材质织成。整体结构为钢板弯制拼装焊</w:t>
            </w:r>
            <w:r>
              <w:rPr>
                <w:rFonts w:hint="eastAsia" w:ascii="宋体" w:hAnsi="宋体" w:eastAsia="宋体" w:cs="宋体"/>
                <w:i w:val="0"/>
                <w:iCs w:val="0"/>
                <w:color w:val="000000"/>
                <w:kern w:val="0"/>
                <w:sz w:val="22"/>
                <w:szCs w:val="22"/>
                <w:highlight w:val="none"/>
                <w:u w:val="none"/>
                <w:shd w:val="clear"/>
                <w:lang w:val="en-US" w:eastAsia="zh-CN" w:bidi="ar"/>
              </w:rPr>
              <w:t>接组成</w:t>
            </w:r>
            <w:r>
              <w:rPr>
                <w:rFonts w:hint="eastAsia" w:ascii="宋体" w:hAnsi="宋体" w:eastAsia="宋体" w:cs="宋体"/>
                <w:i w:val="0"/>
                <w:iCs w:val="0"/>
                <w:color w:val="000000"/>
                <w:kern w:val="0"/>
                <w:sz w:val="22"/>
                <w:szCs w:val="22"/>
                <w:highlight w:val="none"/>
                <w:u w:val="none"/>
                <w:lang w:val="en-US" w:eastAsia="zh-CN" w:bidi="ar"/>
              </w:rPr>
              <w:t>。钢板组成件采用先进的静电喷塑设备采用环保塑粉，对器材表面进行喷塑处里，再行烤漆工艺固色，产品不褪色、不掉漆。送2副球拍。</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C33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CEB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173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29F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FCE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智能跑步机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AB8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1.外形尺寸:2276mm*940mm*1605mm±2mm；</w:t>
            </w:r>
          </w:p>
          <w:p w14:paraId="26A6C7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2.输入功率≤2.3kw；</w:t>
            </w:r>
          </w:p>
          <w:p w14:paraId="4396E1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3.速度范围:1-20km/h；</w:t>
            </w:r>
          </w:p>
          <w:p w14:paraId="573CE6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4.跑板厚度≥25mm；</w:t>
            </w:r>
          </w:p>
          <w:p w14:paraId="77D6C3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5.电动机:交流；</w:t>
            </w:r>
          </w:p>
          <w:p w14:paraId="4288F1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6.电机功率≤2.2kw；</w:t>
            </w:r>
          </w:p>
          <w:p w14:paraId="31BBB4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7.电机持续功率：≤3hp；最大功率：7hp；</w:t>
            </w:r>
          </w:p>
          <w:p w14:paraId="2D20FE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8.坡度范围:0-20%；</w:t>
            </w:r>
          </w:p>
          <w:p w14:paraId="11DD82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9.跑步表面尺寸:1615mm*520mm±2mm；</w:t>
            </w:r>
          </w:p>
          <w:p w14:paraId="19F613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10.跑带厚度:3.1mm±2mm；</w:t>
            </w:r>
          </w:p>
          <w:p w14:paraId="10E32B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11.主立管规格:170mm*67mm*2mm±2mm；</w:t>
            </w:r>
          </w:p>
          <w:p w14:paraId="0665A1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12.底盘边管规格:170mm*67mm*2mm±2mm；</w:t>
            </w:r>
          </w:p>
          <w:p w14:paraId="58855C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13.最大人体质量≥180kg；</w:t>
            </w:r>
          </w:p>
          <w:p w14:paraId="5A2367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14.扶手长度：620mm±2mm；</w:t>
            </w:r>
          </w:p>
          <w:p w14:paraId="4B09E9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14.踏板离地高度260mm±2mm；</w:t>
            </w:r>
          </w:p>
          <w:p w14:paraId="67308A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16.升降电机推力≥450KG；</w:t>
            </w:r>
          </w:p>
          <w:p w14:paraId="20903E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17.自动润滑：是；</w:t>
            </w:r>
          </w:p>
          <w:p w14:paraId="22878D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18.心率监控：是；</w:t>
            </w:r>
          </w:p>
          <w:p w14:paraId="018D7E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19.滚筒尺寸：88*715mm±2mm；</w:t>
            </w:r>
          </w:p>
          <w:p w14:paraId="2FF8F0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20.屏幕尺寸：≥18.5寸LCD屏幕；分辨率≥1366*768</w:t>
            </w:r>
          </w:p>
          <w:p w14:paraId="52D1B9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21.预设程序：≥8种；</w:t>
            </w:r>
          </w:p>
          <w:p w14:paraId="78441E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22.电子读书：程序、距离、时间、卡路里、速度、坡度、心率；</w:t>
            </w:r>
          </w:p>
          <w:p w14:paraId="55DFB3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23.设有音频端口；</w:t>
            </w:r>
          </w:p>
          <w:p w14:paraId="509EB0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24.USB插口；</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C08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573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93E3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819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4F6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动感单车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49C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1、采用钢材，保证运动的稳定性。</w:t>
            </w:r>
          </w:p>
          <w:p w14:paraId="7A973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2、单车采用超大直径（直径≥30mm）高强度中轴和高强度大脚踏，降低故障率延长使用寿命。</w:t>
            </w:r>
          </w:p>
          <w:p w14:paraId="17958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3.、超大舒适的刹车按钮，采用下压式刹车设计，延长刹车系统使用寿命。</w:t>
            </w:r>
          </w:p>
          <w:p w14:paraId="0B2446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4、运动方向可双向运转，自行选择。</w:t>
            </w:r>
          </w:p>
          <w:p w14:paraId="177351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5、传动方式为皮带传动，大大降低骑行噪音。</w:t>
            </w:r>
          </w:p>
          <w:p w14:paraId="18E78E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6、水壶架与车把融为一体，外观更加时尚。</w:t>
            </w:r>
          </w:p>
          <w:p w14:paraId="050397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7、设备尺寸：1145*535*1125mm±2mm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921B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DF6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FF63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4B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9FD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坐姿划船训练器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43F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外形尺寸:1749mm*997mm*1598mm±2mm；</w:t>
            </w:r>
          </w:p>
          <w:p w14:paraId="400026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最大人体质量≥130kg；</w:t>
            </w:r>
          </w:p>
          <w:p w14:paraId="6939CB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最大训练载荷≥150kg；</w:t>
            </w:r>
          </w:p>
          <w:p w14:paraId="1B723A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牵索形式:钢丝绳；</w:t>
            </w:r>
          </w:p>
          <w:p w14:paraId="084258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阻力形式: 配重片；</w:t>
            </w:r>
          </w:p>
          <w:p w14:paraId="7A9139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主立管规格:T60mm*120mm*3mm±0.2mm；</w:t>
            </w:r>
          </w:p>
          <w:p w14:paraId="54AC9F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配重框主管材尺寸：50*150*2.5mm±0.2mm；</w:t>
            </w:r>
          </w:p>
          <w:p w14:paraId="0CCFDF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钢丝绳规格：4.1mm±0.2mm；</w:t>
            </w:r>
          </w:p>
          <w:p w14:paraId="5977C2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滑轮规格：106mm±0.2mm高强度铝制；</w:t>
            </w:r>
          </w:p>
          <w:p w14:paraId="304D30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训练肌群：肩背斜方肌、背阔肌、肱二头肌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649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CB5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02B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250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7CC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高位下拉训练器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F03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外形尺寸:1537mm*1957mm*1950mm±2mm；</w:t>
            </w:r>
          </w:p>
          <w:p w14:paraId="2C9CB3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最大配重≥120kg；</w:t>
            </w:r>
          </w:p>
          <w:p w14:paraId="0597A6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最大训练载荷≥150kg；</w:t>
            </w:r>
          </w:p>
          <w:p w14:paraId="409B3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牵索形式:钢丝绳；</w:t>
            </w:r>
          </w:p>
          <w:p w14:paraId="236F90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阻力形式: 配重片；</w:t>
            </w:r>
          </w:p>
          <w:p w14:paraId="288ABF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主立管规格:正椭圆120mm*60mm*2.5mm±0.02mm；</w:t>
            </w:r>
          </w:p>
          <w:p w14:paraId="52F9F6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配重框主管材尺寸：50*150*2.5mm±0.02mm；</w:t>
            </w:r>
          </w:p>
          <w:p w14:paraId="460C35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动臂: 40*80*2.5mm±0.02mm；</w:t>
            </w:r>
          </w:p>
          <w:p w14:paraId="7C91C4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压腿调节方式：插销；</w:t>
            </w:r>
          </w:p>
          <w:p w14:paraId="26E4A3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钢丝绳规格：4.1mm±0.02mm；</w:t>
            </w:r>
          </w:p>
          <w:p w14:paraId="254A04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滑轮规格：106mm±2mm高强度铝制；</w:t>
            </w:r>
          </w:p>
          <w:p w14:paraId="707D67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训练肌群：背阔三角肌肉群</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4A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BF3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A494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292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C79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其他健身器材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ED324">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排球网架（高度≥1.5M、6.1米钢丝球网）*1，国标篮球*2，国标排球*2，羽毛球双排*4（羽毛球24只），单人计数跳绳*10，4-6人跳绳*2。</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AC6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54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48EC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83DB04E">
            <w:pPr>
              <w:pStyle w:val="3"/>
              <w:bidi w:val="0"/>
              <w:rPr>
                <w:rFonts w:hint="eastAsia" w:ascii="宋体" w:hAnsi="宋体" w:eastAsia="宋体" w:cs="宋体"/>
                <w:b/>
                <w:bCs/>
                <w:i w:val="0"/>
                <w:iCs w:val="0"/>
                <w:color w:val="000000"/>
                <w:szCs w:val="22"/>
                <w:highlight w:val="none"/>
                <w:u w:val="none"/>
              </w:rPr>
            </w:pPr>
            <w:bookmarkStart w:id="194" w:name="_Toc30021"/>
            <w:r>
              <w:rPr>
                <w:rFonts w:hint="eastAsia"/>
                <w:highlight w:val="none"/>
                <w:lang w:val="en-US" w:eastAsia="zh-CN"/>
              </w:rPr>
              <w:t>三、消防设施</w:t>
            </w:r>
            <w:bookmarkEnd w:id="194"/>
          </w:p>
        </w:tc>
      </w:tr>
      <w:tr w14:paraId="51B2F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2F7F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DF77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F882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9B28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0E64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DFD1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82A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A29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微型消防站（双人）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093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消防柜*1 尺寸：长900*宽400*高1200mm±2mm</w:t>
            </w:r>
          </w:p>
          <w:p w14:paraId="6F0D3B40">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含头盔*2顶、上衣*2件、裤子*2条、手套*2双、腰带*2条、防毒面具*2具、反光背心*1件、靴子*2双、强光手电*1只、腰斧*1把、安全绳*1条、挂钩*2个、接水口*2只、灭火毯*1面、水带*1条、扳手*1把、破拆斧*1把、水枪*1个、喉箍*2个。符合消防站验收标准。</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740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A77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1B70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E620E6C">
            <w:pPr>
              <w:pStyle w:val="3"/>
              <w:bidi w:val="0"/>
              <w:rPr>
                <w:rFonts w:hint="eastAsia" w:ascii="宋体" w:hAnsi="宋体" w:eastAsia="宋体" w:cs="宋体"/>
                <w:b/>
                <w:bCs/>
                <w:i w:val="0"/>
                <w:iCs w:val="0"/>
                <w:color w:val="000000"/>
                <w:szCs w:val="22"/>
                <w:highlight w:val="none"/>
                <w:u w:val="none"/>
              </w:rPr>
            </w:pPr>
            <w:bookmarkStart w:id="195" w:name="_Toc10847"/>
            <w:r>
              <w:rPr>
                <w:rFonts w:hint="eastAsia"/>
                <w:highlight w:val="none"/>
                <w:lang w:val="en-US" w:eastAsia="zh-CN"/>
              </w:rPr>
              <w:t>四、清洁设备</w:t>
            </w:r>
            <w:bookmarkEnd w:id="195"/>
          </w:p>
        </w:tc>
      </w:tr>
      <w:tr w14:paraId="3AA4F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37F2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45E3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3C2E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30F2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D180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31DB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D3C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98AE5">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滑移扫雪机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6C784">
            <w:pPr>
              <w:keepNext w:val="0"/>
              <w:keepLines w:val="0"/>
              <w:widowControl/>
              <w:suppressLineNumbers w:val="0"/>
              <w:jc w:val="left"/>
              <w:textAlignment w:val="center"/>
              <w:rPr>
                <w:rFonts w:hint="eastAsia" w:ascii="宋体" w:hAnsi="宋体" w:eastAsia="宋体" w:cs="宋体"/>
                <w:b/>
                <w:bCs/>
                <w:i w:val="0"/>
                <w:iCs w:val="0"/>
                <w:color w:val="0D0D0D"/>
                <w:kern w:val="0"/>
                <w:sz w:val="22"/>
                <w:szCs w:val="22"/>
                <w:highlight w:val="none"/>
                <w:u w:val="none"/>
                <w:lang w:val="en-US" w:eastAsia="zh-CN" w:bidi="ar"/>
              </w:rPr>
            </w:pPr>
            <w:r>
              <w:rPr>
                <w:rFonts w:hint="eastAsia" w:ascii="宋体" w:hAnsi="宋体" w:eastAsia="宋体" w:cs="宋体"/>
                <w:b/>
                <w:bCs/>
                <w:i w:val="0"/>
                <w:iCs w:val="0"/>
                <w:color w:val="0D0D0D"/>
                <w:kern w:val="0"/>
                <w:sz w:val="22"/>
                <w:szCs w:val="22"/>
                <w:highlight w:val="none"/>
                <w:u w:val="none"/>
                <w:lang w:val="en-US" w:eastAsia="zh-CN" w:bidi="ar"/>
              </w:rPr>
              <w:t>滑移装载机主机参数：</w:t>
            </w:r>
          </w:p>
          <w:p w14:paraId="68E5520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1、额定工作载荷：≥890kg     </w:t>
            </w:r>
          </w:p>
          <w:p w14:paraId="68858C5A">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2、发动机功率：≥49hp     </w:t>
            </w:r>
          </w:p>
          <w:p w14:paraId="5E7156E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3、发动机排量：≥2.4      </w:t>
            </w:r>
          </w:p>
          <w:p w14:paraId="2B9A83EC">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4、紧急情况下逃生出口：≥2个（前窗和后窗，操作简单，无需破窗）              </w:t>
            </w:r>
          </w:p>
          <w:p w14:paraId="67E9A29C">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5、燃油箱：≥80L(采用塑料燃油箱，不生锈）</w:t>
            </w:r>
          </w:p>
          <w:p w14:paraId="569686E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6、斗容：≥0.4m³            </w:t>
            </w:r>
          </w:p>
          <w:p w14:paraId="5DFBA695">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7、卸载高度：≥2300mm</w:t>
            </w:r>
          </w:p>
          <w:p w14:paraId="7EB0E1E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8、最大卸载高度时卸载距离：≥750mm       </w:t>
            </w:r>
          </w:p>
          <w:p w14:paraId="4FF7DC8B">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9、行走系统压力：≥28MP</w:t>
            </w:r>
          </w:p>
          <w:p w14:paraId="015979B7">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10、离地间隙：≥185mm                   </w:t>
            </w:r>
          </w:p>
          <w:p w14:paraId="68B6623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11、车身宽度（不带铲斗）：≤1650mm</w:t>
            </w:r>
          </w:p>
          <w:p w14:paraId="10509EC7">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12、车身长度（不带铲斗）：≤2700mm      </w:t>
            </w:r>
          </w:p>
          <w:p w14:paraId="5DA158B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13、最大高度处可卸载角度：≥40°</w:t>
            </w:r>
          </w:p>
          <w:p w14:paraId="4AFF7BA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14、掘起力（动臂）：≥1750kg            </w:t>
            </w:r>
          </w:p>
          <w:p w14:paraId="5D853B10">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15、掘起力（铲斗）：≥1850kg</w:t>
            </w:r>
          </w:p>
          <w:p w14:paraId="5E2554E1">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16、操作重量：≤2700kg                  </w:t>
            </w:r>
          </w:p>
          <w:p w14:paraId="670B59A4">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17、运输重量：≤2500kg</w:t>
            </w:r>
          </w:p>
          <w:p w14:paraId="50BE284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18、车辆自带原厂冷暖空调    </w:t>
            </w:r>
          </w:p>
          <w:p w14:paraId="0EE999D4">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19、保养简单方便：打开尾门可直接更换柴油滤芯和机油滤芯                        </w:t>
            </w:r>
          </w:p>
          <w:p w14:paraId="6738F2A3">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20、设有安全锁，防止误操作              </w:t>
            </w:r>
          </w:p>
          <w:p w14:paraId="64629BF9">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21、免工具液压快换，液压快速接头</w:t>
            </w:r>
            <w:r>
              <w:rPr>
                <w:rFonts w:hint="eastAsia" w:ascii="宋体" w:hAnsi="宋体" w:eastAsia="宋体" w:cs="宋体"/>
                <w:i w:val="0"/>
                <w:iCs w:val="0"/>
                <w:color w:val="000000"/>
                <w:kern w:val="0"/>
                <w:sz w:val="22"/>
                <w:szCs w:val="22"/>
                <w:highlight w:val="none"/>
                <w:u w:val="none"/>
                <w:lang w:val="en-US" w:eastAsia="zh-CN" w:bidi="ar"/>
              </w:rPr>
              <w:t>≥</w:t>
            </w:r>
            <w:r>
              <w:rPr>
                <w:rStyle w:val="63"/>
                <w:highlight w:val="none"/>
                <w:lang w:val="en-US" w:eastAsia="zh-CN" w:bidi="ar"/>
              </w:rPr>
              <w:t>4个</w:t>
            </w:r>
          </w:p>
          <w:p w14:paraId="57FD3587">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22、前辅助液压快换装置位于大臂内侧        </w:t>
            </w:r>
          </w:p>
          <w:p w14:paraId="44D96CA3">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23、整机前后采用LED工作灯</w:t>
            </w:r>
          </w:p>
          <w:p w14:paraId="672B5B82">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24、整机带</w:t>
            </w:r>
            <w:r>
              <w:rPr>
                <w:rFonts w:hint="eastAsia" w:ascii="宋体" w:hAnsi="宋体" w:eastAsia="宋体" w:cs="宋体"/>
                <w:i w:val="0"/>
                <w:iCs w:val="0"/>
                <w:color w:val="000000"/>
                <w:kern w:val="0"/>
                <w:sz w:val="22"/>
                <w:szCs w:val="22"/>
                <w:highlight w:val="none"/>
                <w:u w:val="none"/>
                <w:lang w:val="en-US" w:eastAsia="zh-CN" w:bidi="ar"/>
              </w:rPr>
              <w:t>≥</w:t>
            </w:r>
            <w:r>
              <w:rPr>
                <w:rStyle w:val="63"/>
                <w:highlight w:val="none"/>
                <w:lang w:val="en-US" w:eastAsia="zh-CN" w:bidi="ar"/>
              </w:rPr>
              <w:t xml:space="preserve">2个原装后视镜           </w:t>
            </w:r>
          </w:p>
          <w:p w14:paraId="69E3B8C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25、驾驶室采用封闭式驾驶室，并安装有降噪海绵</w:t>
            </w:r>
          </w:p>
          <w:p w14:paraId="1E0AD8D6">
            <w:pPr>
              <w:keepNext w:val="0"/>
              <w:keepLines w:val="0"/>
              <w:widowControl/>
              <w:suppressLineNumbers w:val="0"/>
              <w:jc w:val="left"/>
              <w:textAlignment w:val="center"/>
              <w:rPr>
                <w:rStyle w:val="63"/>
                <w:highlight w:val="none"/>
                <w:lang w:val="en-US" w:eastAsia="zh-CN" w:bidi="ar"/>
              </w:rPr>
            </w:pPr>
          </w:p>
          <w:p w14:paraId="34E1DEB7">
            <w:pPr>
              <w:keepNext w:val="0"/>
              <w:keepLines w:val="0"/>
              <w:widowControl/>
              <w:suppressLineNumbers w:val="0"/>
              <w:jc w:val="left"/>
              <w:textAlignment w:val="center"/>
              <w:rPr>
                <w:rStyle w:val="64"/>
                <w:highlight w:val="none"/>
                <w:lang w:val="en-US" w:eastAsia="zh-CN" w:bidi="ar"/>
              </w:rPr>
            </w:pPr>
            <w:r>
              <w:rPr>
                <w:rStyle w:val="64"/>
                <w:highlight w:val="none"/>
                <w:lang w:val="en-US" w:eastAsia="zh-CN" w:bidi="ar"/>
              </w:rPr>
              <w:t>斜角清扫器参数：</w:t>
            </w:r>
          </w:p>
          <w:p w14:paraId="3B53D5F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 清扫宽度：≥1700mm      </w:t>
            </w:r>
          </w:p>
          <w:p w14:paraId="547A12CA">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 转向角：±25°      </w:t>
            </w:r>
          </w:p>
          <w:p w14:paraId="2D76406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3、 刷片直径：≥813mm</w:t>
            </w:r>
          </w:p>
          <w:p w14:paraId="6B179FAA">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4、 刷片材质：全部为聚丙烯      </w:t>
            </w:r>
          </w:p>
          <w:p w14:paraId="75168FD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5、 偏转油缸数量：双油缸</w:t>
            </w:r>
          </w:p>
          <w:p w14:paraId="76D2E83A">
            <w:pPr>
              <w:keepNext w:val="0"/>
              <w:keepLines w:val="0"/>
              <w:widowControl/>
              <w:suppressLineNumbers w:val="0"/>
              <w:jc w:val="left"/>
              <w:textAlignment w:val="center"/>
              <w:rPr>
                <w:rStyle w:val="63"/>
                <w:highlight w:val="none"/>
                <w:lang w:val="en-US" w:eastAsia="zh-CN" w:bidi="ar"/>
              </w:rPr>
            </w:pPr>
          </w:p>
          <w:p w14:paraId="30B541A5">
            <w:pPr>
              <w:keepNext w:val="0"/>
              <w:keepLines w:val="0"/>
              <w:widowControl/>
              <w:suppressLineNumbers w:val="0"/>
              <w:jc w:val="left"/>
              <w:textAlignment w:val="center"/>
              <w:rPr>
                <w:rStyle w:val="64"/>
                <w:highlight w:val="none"/>
                <w:lang w:val="en-US" w:eastAsia="zh-CN" w:bidi="ar"/>
              </w:rPr>
            </w:pPr>
            <w:r>
              <w:rPr>
                <w:rStyle w:val="64"/>
                <w:highlight w:val="none"/>
                <w:lang w:val="en-US" w:eastAsia="zh-CN" w:bidi="ar"/>
              </w:rPr>
              <w:t>抛雪机技术参数：</w:t>
            </w:r>
          </w:p>
          <w:p w14:paraId="4545A8E8">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 除雪高度：≥830mm               </w:t>
            </w:r>
          </w:p>
          <w:p w14:paraId="7DED42D8">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 除雪宽度：≥1800mm </w:t>
            </w:r>
          </w:p>
          <w:p w14:paraId="6C247835">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3、 最远抛雪距离：≥12mm            </w:t>
            </w:r>
          </w:p>
          <w:p w14:paraId="1D6B33FE">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4、 螺旋直径：≥470mm</w:t>
            </w:r>
          </w:p>
          <w:p w14:paraId="7913E824">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5、 操作方式：液压控制              </w:t>
            </w:r>
          </w:p>
          <w:p w14:paraId="3014179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6、 液压流量：120-150L/min</w:t>
            </w:r>
          </w:p>
          <w:p w14:paraId="137B3454">
            <w:pPr>
              <w:keepNext w:val="0"/>
              <w:keepLines w:val="0"/>
              <w:widowControl/>
              <w:suppressLineNumbers w:val="0"/>
              <w:jc w:val="left"/>
              <w:textAlignment w:val="center"/>
              <w:rPr>
                <w:rFonts w:hint="eastAsia" w:ascii="宋体" w:hAnsi="宋体" w:eastAsia="宋体" w:cs="宋体"/>
                <w:b/>
                <w:bCs/>
                <w:i w:val="0"/>
                <w:iCs w:val="0"/>
                <w:color w:val="0D0D0D"/>
                <w:sz w:val="22"/>
                <w:szCs w:val="22"/>
                <w:highlight w:val="none"/>
                <w:u w:val="none"/>
              </w:rPr>
            </w:pPr>
            <w:r>
              <w:rPr>
                <w:rStyle w:val="63"/>
                <w:highlight w:val="none"/>
                <w:lang w:val="en-US" w:eastAsia="zh-CN" w:bidi="ar"/>
              </w:rPr>
              <w:t>7、 工作压力：≥20Mpa</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1CA1C">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890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6654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AF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15EA4">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扫雪机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65D70">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驱动发动机:单缸风冷                          </w:t>
            </w:r>
          </w:p>
          <w:p w14:paraId="32679A48">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燃油种类：柴油                    </w:t>
            </w:r>
          </w:p>
          <w:p w14:paraId="13020E4C">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前挡雪:有</w:t>
            </w:r>
          </w:p>
          <w:p w14:paraId="2ED956F8">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发动机动力:柴油186F          </w:t>
            </w:r>
          </w:p>
          <w:p w14:paraId="51AB1E53">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机器清扫厚度(cm):≥15</w:t>
            </w:r>
          </w:p>
          <w:p w14:paraId="4858F479">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发动机油箱容量(升):≥6.5L                        </w:t>
            </w:r>
          </w:p>
          <w:p w14:paraId="1AF7B1BD">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发动机机油容量(升):≥1.1L</w:t>
            </w:r>
          </w:p>
          <w:p w14:paraId="2864B10E">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除雪铲宽度(cm):100cm±2cm                           </w:t>
            </w:r>
          </w:p>
          <w:p w14:paraId="16F3C26B">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外形尺寸(cm):107*70*55cm±2cm</w:t>
            </w:r>
          </w:p>
          <w:p w14:paraId="61B79FBF">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除雪机宽度(cm):1.1m±0.2m                </w:t>
            </w:r>
          </w:p>
          <w:p w14:paraId="34247CE8">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外形尺寸(cm):102*90*40cm±2cm</w:t>
            </w:r>
          </w:p>
          <w:p w14:paraId="71363B70">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机器除雪效率(m/h):≥4700                         </w:t>
            </w:r>
          </w:p>
          <w:p w14:paraId="0874FC4B">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机器滚刷直径(mm):550mm±2mm</w:t>
            </w:r>
          </w:p>
          <w:p w14:paraId="165081B5">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机器抛雪距离(m):10-15m±0.02m                          </w:t>
            </w:r>
          </w:p>
          <w:p w14:paraId="1BF20A41">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出雪口转动角度(°):≥180度                       </w:t>
            </w:r>
          </w:p>
          <w:p w14:paraId="4512DECB">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机器档位:3进3退</w:t>
            </w:r>
          </w:p>
          <w:p w14:paraId="369B1A7E">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机器轮胎型号:4.0-10*2                          </w:t>
            </w:r>
          </w:p>
          <w:p w14:paraId="597B4EA0">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助力转向:有                  </w:t>
            </w:r>
          </w:p>
          <w:p w14:paraId="2D100653">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传动方式:全齿轮传动</w:t>
            </w:r>
          </w:p>
          <w:p w14:paraId="719AED94">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功能:功能:扫雪，吹雪，铲雪可选                       </w:t>
            </w:r>
          </w:p>
          <w:p w14:paraId="61A9A01B">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离发动机功率:10.5kw/柴油 6.3kw(零下40度加热系统）</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680B8">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F6C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084C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E8D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82A10">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户外扫地机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415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外壳材质 ：钣金喷塑                    </w:t>
            </w:r>
          </w:p>
          <w:p w14:paraId="469460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行走转向方式 ：方向盘</w:t>
            </w:r>
          </w:p>
          <w:p w14:paraId="5938FF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制动方式 ：液压双碟刹制动              </w:t>
            </w:r>
          </w:p>
          <w:p w14:paraId="07ECF1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电控线路 ：国标集成防水线束</w:t>
            </w:r>
          </w:p>
          <w:p w14:paraId="24912B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工作控制方式 ：一键启动                </w:t>
            </w:r>
          </w:p>
          <w:p w14:paraId="2EC9A2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充电机 ：配智能充电器</w:t>
            </w:r>
          </w:p>
          <w:p w14:paraId="70C24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轮胎 ：橡胶实心轮胎                    </w:t>
            </w:r>
          </w:p>
          <w:p w14:paraId="6F4088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清扫宽度 ：2300mm±2mm</w:t>
            </w:r>
          </w:p>
          <w:p w14:paraId="56B78F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工作效率 ：≥18000 ㎡/h                </w:t>
            </w:r>
          </w:p>
          <w:p w14:paraId="5197D8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续航时间 ：≥4h</w:t>
            </w:r>
          </w:p>
          <w:p w14:paraId="25DD03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爬坡能力 ：≥30%                         </w:t>
            </w:r>
          </w:p>
          <w:p w14:paraId="4DBEBD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最大工作速度 ：≥8km/h</w:t>
            </w:r>
          </w:p>
          <w:p w14:paraId="30F488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最大行驶速度 ：≥12km/h                  </w:t>
            </w:r>
          </w:p>
          <w:p w14:paraId="3C4EC6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水箱容量 ：≥400斤</w:t>
            </w:r>
          </w:p>
          <w:p w14:paraId="4FFE13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垃圾箱容量：≥260L                    </w:t>
            </w:r>
          </w:p>
          <w:p w14:paraId="2A6418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高压泵功率 ：1.5kw</w:t>
            </w:r>
          </w:p>
          <w:p w14:paraId="7C1B70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主刷规格 ：800mm*350mm±2mm                 </w:t>
            </w:r>
          </w:p>
          <w:p w14:paraId="7E5762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驱动功率 ：≤1.5w        </w:t>
            </w:r>
          </w:p>
          <w:p w14:paraId="73FE0D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最大工作流量 ：≥8L/min                  </w:t>
            </w:r>
          </w:p>
          <w:p w14:paraId="5EB108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最大工作压力 ：≥13Mpa</w:t>
            </w:r>
          </w:p>
          <w:p w14:paraId="39A32B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高压管长度 ：≥10m，</w:t>
            </w:r>
          </w:p>
          <w:p w14:paraId="715A9E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雾炮工作动力来自高压冲洗机</w:t>
            </w:r>
            <w:r>
              <w:rPr>
                <w:rFonts w:hint="eastAsia" w:ascii="宋体" w:hAnsi="宋体" w:eastAsia="宋体" w:cs="宋体"/>
                <w:i w:val="0"/>
                <w:iCs w:val="0"/>
                <w:color w:val="000000"/>
                <w:kern w:val="0"/>
                <w:sz w:val="22"/>
                <w:szCs w:val="22"/>
                <w:highlight w:val="none"/>
                <w:u w:val="none"/>
                <w:lang w:val="en-US" w:eastAsia="zh-CN" w:bidi="ar"/>
              </w:rPr>
              <w:t>泵：射程 ≥10m</w:t>
            </w:r>
          </w:p>
          <w:p w14:paraId="3BF1AE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扫刷、风机及振尘数量 ：主刷 ×1 + 边刷 ×4 + 风机 ×1 +振尘 ×1</w:t>
            </w:r>
          </w:p>
          <w:p w14:paraId="0AA875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驱动方式 ：纯电动后轮差速驱动</w:t>
            </w:r>
          </w:p>
          <w:p w14:paraId="2FB8C1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动力源 ：48V 普通电池</w:t>
            </w:r>
          </w:p>
          <w:p w14:paraId="497F42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作业功率：1000W（主刷）+500W（风机）+100W（振尘） +100W（无刷边刷电机）X4+50W（水泵）</w:t>
            </w:r>
          </w:p>
          <w:p w14:paraId="6FDCAC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规格尺寸 ：长 X 宽 X 高 = 2900*2300*2500mm±2mm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F1A81">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C63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3978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429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BF93B">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洗地机01</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A7B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电压 VDC ：24                     </w:t>
            </w:r>
          </w:p>
          <w:p w14:paraId="704902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刷盘电机功率 W ：≤550</w:t>
            </w:r>
          </w:p>
          <w:p w14:paraId="642E5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吸水电机功率 W ：≤500              </w:t>
            </w:r>
          </w:p>
          <w:p w14:paraId="5B0D80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清水箱容量 L ：≥50</w:t>
            </w:r>
          </w:p>
          <w:p w14:paraId="597773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污水箱容量 L ：≥55                 </w:t>
            </w:r>
          </w:p>
          <w:p w14:paraId="2FCC6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洗地宽度 mm ：510mm±2mm</w:t>
            </w:r>
          </w:p>
          <w:p w14:paraId="6587AB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吸扒宽度 mm ：850mm±2mm          </w:t>
            </w:r>
          </w:p>
          <w:p w14:paraId="0497C3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工作效率 ㎡/h ：≥2000</w:t>
            </w:r>
          </w:p>
          <w:p w14:paraId="7034C2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蓄电池 V/A ：≥24/100               </w:t>
            </w:r>
          </w:p>
          <w:p w14:paraId="0D8363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充电时间 H ：≥6-8</w:t>
            </w:r>
          </w:p>
          <w:p w14:paraId="133553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工作时间 H ：≥3-4.5                </w:t>
            </w:r>
          </w:p>
          <w:p w14:paraId="25D277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刷盘压力 Kg ：≥34</w:t>
            </w:r>
          </w:p>
          <w:p w14:paraId="7B861A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尺寸 mm ：1330×850×1200mm±2mm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A8FBF">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DD4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C341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23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2DFAF">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洗地机02</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0C1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电压/驱动 ：24/500 VDC/W          </w:t>
            </w:r>
          </w:p>
          <w:p w14:paraId="157C7C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前进速度 ：≥11 Km/h</w:t>
            </w:r>
          </w:p>
          <w:p w14:paraId="7C25B0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后退速度 ：≥3.5 Km/h               </w:t>
            </w:r>
          </w:p>
          <w:p w14:paraId="6F9E71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刷盘电机功率 ：≤2×450 W</w:t>
            </w:r>
          </w:p>
          <w:p w14:paraId="06F5E0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吸水电机功率 ：≤500 W              </w:t>
            </w:r>
          </w:p>
          <w:p w14:paraId="4D71A1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清水箱容量 ：≥100 L</w:t>
            </w:r>
          </w:p>
          <w:p w14:paraId="292D5D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污水箱容量 ：≥110L                 </w:t>
            </w:r>
          </w:p>
          <w:p w14:paraId="61EB4B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洗地宽度 ：760 mm±2mm</w:t>
            </w:r>
          </w:p>
          <w:p w14:paraId="076FA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吸扒宽度 ：920mm ±2mm                 </w:t>
            </w:r>
          </w:p>
          <w:p w14:paraId="605A1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工作效率 ：≥4000 m²/h</w:t>
            </w:r>
          </w:p>
          <w:p w14:paraId="35F020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蓄电池 ：≥24/100 V/A               </w:t>
            </w:r>
          </w:p>
          <w:p w14:paraId="42CC2A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 ：1335×805×1205 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2DAC2">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60E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CAA1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EF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6B4F7">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洗地机03</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1A4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电压/驱动 ：24/1200 VDC/W          </w:t>
            </w:r>
          </w:p>
          <w:p w14:paraId="5418B9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前进速度 ：≥15Km/h</w:t>
            </w:r>
          </w:p>
          <w:p w14:paraId="2725E9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后退速度 ：≥4.6 Km/h                </w:t>
            </w:r>
          </w:p>
          <w:p w14:paraId="3E7C09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刷盘电机功率 ：≤2×450W</w:t>
            </w:r>
          </w:p>
          <w:p w14:paraId="2F4679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吸水电机功率 ：≤500 W              </w:t>
            </w:r>
          </w:p>
          <w:p w14:paraId="42B428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清水箱容量 ：≥120 L</w:t>
            </w:r>
          </w:p>
          <w:p w14:paraId="10CC24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污水箱容量 ：≥135 L                 </w:t>
            </w:r>
          </w:p>
          <w:p w14:paraId="603208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洗地宽度 ：860 mm±2mm</w:t>
            </w:r>
          </w:p>
          <w:p w14:paraId="66050E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吸扒宽度 ：1150 mm±2mm                 </w:t>
            </w:r>
          </w:p>
          <w:p w14:paraId="24DC32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工作效率 ：≥6000 m²/h</w:t>
            </w:r>
          </w:p>
          <w:p w14:paraId="29948A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蓄电池 ：≥24/200 V/A               </w:t>
            </w:r>
          </w:p>
          <w:p w14:paraId="199C79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尺寸 ：1520×1175×1350 mm ±2mm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B6C3C">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117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526B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189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4C627">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尘推车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66E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拖地宽度mm：1100mm±2mm                      </w:t>
            </w:r>
          </w:p>
          <w:p w14:paraId="696263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最大爬坡度：≥30</w:t>
            </w:r>
          </w:p>
          <w:p w14:paraId="08E630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清洁效率m/h：≥5-8千                 </w:t>
            </w:r>
          </w:p>
          <w:p w14:paraId="423DEE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驱动功率kw：≤0.5</w:t>
            </w:r>
          </w:p>
          <w:p w14:paraId="55541B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座椅：皮革座椅                     </w:t>
            </w:r>
          </w:p>
          <w:p w14:paraId="3976E4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拖布调节方式：电控自动</w:t>
            </w:r>
          </w:p>
          <w:p w14:paraId="5CEA5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速度km：≥0-20                     </w:t>
            </w:r>
          </w:p>
          <w:p w14:paraId="310DF2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续航里程km：45                     </w:t>
            </w:r>
          </w:p>
          <w:p w14:paraId="7204ED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外形材质：聚乙烯(PE)、Q235</w:t>
            </w:r>
          </w:p>
          <w:p w14:paraId="2300FF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工作时间h：≥3-4                     </w:t>
            </w:r>
          </w:p>
          <w:p w14:paraId="3EE9C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表面处理：烤漆</w:t>
            </w:r>
          </w:p>
          <w:p w14:paraId="3AE590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轮胎寸：300-8</w:t>
            </w:r>
          </w:p>
          <w:p w14:paraId="3CD357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控制器/电机功率：多功能9管/500w    </w:t>
            </w:r>
          </w:p>
          <w:p w14:paraId="44731C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驱动方式：差速后桥</w:t>
            </w:r>
          </w:p>
          <w:p w14:paraId="3A10BE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刹车方式：电磁自动刹车             </w:t>
            </w:r>
          </w:p>
          <w:p w14:paraId="100747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车身尺寸mm：1580*900*1130mm±2mm</w:t>
            </w:r>
          </w:p>
          <w:p w14:paraId="3DFD9B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转弯半径mm：1150mm±2mm                </w:t>
            </w:r>
          </w:p>
          <w:p w14:paraId="4A4061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电池型号(可选配)V/Ah：石墨烯 48V20Ah*4 锂电 48V20Ah*4</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F1CBB">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D86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0C0C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4CF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DED73">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自走式割草机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D49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机壳材料：铝合金       </w:t>
            </w:r>
          </w:p>
          <w:p w14:paraId="1C7E69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割幅：53cm±0.2cm </w:t>
            </w:r>
          </w:p>
          <w:p w14:paraId="1C481F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车轮规格：前轮8寸/后轮9寸</w:t>
            </w:r>
          </w:p>
          <w:p w14:paraId="3008F5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草框容积：≥70L  </w:t>
            </w:r>
          </w:p>
          <w:p w14:paraId="23FFFB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档位范围：可调7档  </w:t>
            </w:r>
          </w:p>
          <w:p w14:paraId="336785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刀片类型：甩刀  </w:t>
            </w:r>
          </w:p>
          <w:p w14:paraId="1BFA27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行走调速：三挡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37C31">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EC9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7F8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08BB4">
            <w:pPr>
              <w:keepNext w:val="0"/>
              <w:keepLines w:val="0"/>
              <w:widowControl/>
              <w:suppressLineNumbers w:val="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B14C3">
            <w:pPr>
              <w:keepNext w:val="0"/>
              <w:keepLines w:val="0"/>
              <w:widowControl/>
              <w:suppressLineNumbers w:val="0"/>
              <w:jc w:val="left"/>
              <w:textAlignment w:val="center"/>
              <w:rPr>
                <w:rFonts w:hint="default"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背负式割草机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642DE">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发动机排量≥34cc</w:t>
            </w:r>
          </w:p>
          <w:p w14:paraId="51F276D9">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额定功率≥1.0KW</w:t>
            </w:r>
          </w:p>
          <w:p w14:paraId="11565E86">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额定转速≥7450R/min</w:t>
            </w:r>
          </w:p>
          <w:p w14:paraId="4FE64FFA">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燃油箱容量≥0.63L</w:t>
            </w:r>
          </w:p>
          <w:p w14:paraId="56BA32A6">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燃油标准90#</w:t>
            </w:r>
          </w:p>
          <w:p w14:paraId="353C2366">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整机重量≤8KG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D922A">
            <w:pPr>
              <w:keepNext w:val="0"/>
              <w:keepLines w:val="0"/>
              <w:widowControl/>
              <w:suppressLineNumbers w:val="0"/>
              <w:jc w:val="center"/>
              <w:textAlignment w:val="center"/>
              <w:rPr>
                <w:rFonts w:hint="default"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6E382">
            <w:pPr>
              <w:keepNext w:val="0"/>
              <w:keepLines w:val="0"/>
              <w:widowControl/>
              <w:suppressLineNumbers w:val="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w:t>
            </w:r>
          </w:p>
        </w:tc>
      </w:tr>
    </w:tbl>
    <w:p w14:paraId="063D5380">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lang w:eastAsia="zh-CN"/>
        </w:rPr>
      </w:pPr>
    </w:p>
    <w:p w14:paraId="68AA1DD5">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eastAsia="zh-CN"/>
        </w:rPr>
        <w:t>备注：</w:t>
      </w:r>
      <w:r>
        <w:rPr>
          <w:rFonts w:hint="eastAsia" w:asciiTheme="minorEastAsia" w:hAnsiTheme="minorEastAsia" w:eastAsiaTheme="minorEastAsia" w:cstheme="minorEastAsia"/>
          <w:b/>
          <w:bCs/>
          <w:color w:val="auto"/>
          <w:sz w:val="21"/>
          <w:szCs w:val="21"/>
          <w:highlight w:val="none"/>
        </w:rPr>
        <w:t>1、通过篡改数据响应的按照无效标处理并追究法律责任。在交货后，发现部分不能实现，</w:t>
      </w:r>
      <w:r>
        <w:rPr>
          <w:rFonts w:hint="eastAsia" w:asciiTheme="minorEastAsia" w:hAnsiTheme="minorEastAsia" w:eastAsiaTheme="minorEastAsia" w:cstheme="minorEastAsia"/>
          <w:b/>
          <w:bCs/>
          <w:color w:val="auto"/>
          <w:sz w:val="21"/>
          <w:szCs w:val="21"/>
          <w:highlight w:val="none"/>
          <w:lang w:val="en-US" w:eastAsia="zh-CN"/>
        </w:rPr>
        <w:t>采购人</w:t>
      </w:r>
      <w:r>
        <w:rPr>
          <w:rFonts w:hint="eastAsia" w:asciiTheme="minorEastAsia" w:hAnsiTheme="minorEastAsia" w:eastAsiaTheme="minorEastAsia" w:cstheme="minorEastAsia"/>
          <w:b/>
          <w:bCs/>
          <w:color w:val="auto"/>
          <w:sz w:val="21"/>
          <w:szCs w:val="21"/>
          <w:highlight w:val="none"/>
        </w:rPr>
        <w:t>有权退货并索取赔偿。</w:t>
      </w:r>
    </w:p>
    <w:p w14:paraId="250D5905">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2、产品中标后验收过程中如果发现有不满足招标要求的、篡改参数，投标产品与交货产品不一致的，用户可以拒绝付款。</w:t>
      </w:r>
    </w:p>
    <w:p w14:paraId="489AF1DF">
      <w:pPr>
        <w:pStyle w:val="11"/>
        <w:tabs>
          <w:tab w:val="left" w:pos="600"/>
        </w:tabs>
        <w:spacing w:line="360" w:lineRule="auto"/>
        <w:ind w:firstLine="422" w:firstLineChars="200"/>
        <w:rPr>
          <w:rFonts w:hint="eastAsia" w:ascii="宋体" w:hAnsi="宋体"/>
          <w:b/>
          <w:bCs/>
          <w:color w:val="auto"/>
          <w:sz w:val="21"/>
          <w:szCs w:val="21"/>
          <w:highlight w:val="none"/>
        </w:rPr>
      </w:pPr>
      <w:r>
        <w:rPr>
          <w:rFonts w:hint="eastAsia" w:ascii="宋体" w:hAnsi="宋体"/>
          <w:b/>
          <w:bCs/>
          <w:color w:val="auto"/>
          <w:sz w:val="21"/>
          <w:szCs w:val="21"/>
          <w:highlight w:val="none"/>
        </w:rPr>
        <w:br w:type="page"/>
      </w:r>
    </w:p>
    <w:bookmarkEnd w:id="188"/>
    <w:p w14:paraId="7575E671">
      <w:pPr>
        <w:pStyle w:val="7"/>
        <w:keepNext w:val="0"/>
        <w:keepLines w:val="0"/>
        <w:pageBreakBefore w:val="0"/>
        <w:widowControl w:val="0"/>
        <w:kinsoku/>
        <w:wordWrap/>
        <w:overflowPunct/>
        <w:topLinePunct w:val="0"/>
        <w:autoSpaceDE/>
        <w:autoSpaceDN/>
        <w:bidi w:val="0"/>
        <w:adjustRightInd/>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lang w:val="en-US" w:eastAsia="zh-CN"/>
        </w:rPr>
      </w:pPr>
      <w:bookmarkStart w:id="196" w:name="_Toc11440"/>
      <w:r>
        <w:rPr>
          <w:rFonts w:hint="eastAsia" w:ascii="黑体" w:hAnsi="宋体" w:eastAsia="黑体" w:cs="Times New Roman"/>
          <w:b/>
          <w:color w:val="auto"/>
          <w:kern w:val="44"/>
          <w:sz w:val="36"/>
          <w:szCs w:val="36"/>
          <w:highlight w:val="none"/>
          <w:lang w:val="en-US" w:eastAsia="zh-CN"/>
        </w:rPr>
        <w:t>第二部分 商务条款</w:t>
      </w:r>
      <w:bookmarkEnd w:id="196"/>
    </w:p>
    <w:p w14:paraId="6D0FC0BA">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1.付款方式：</w:t>
      </w:r>
      <w:r>
        <w:rPr>
          <w:rFonts w:hint="eastAsia" w:asciiTheme="minorEastAsia" w:hAnsiTheme="minorEastAsia" w:eastAsiaTheme="minorEastAsia" w:cstheme="minorEastAsia"/>
          <w:b w:val="0"/>
          <w:bCs w:val="0"/>
          <w:color w:val="auto"/>
          <w:sz w:val="21"/>
          <w:szCs w:val="21"/>
          <w:highlight w:val="none"/>
          <w:lang w:val="en-US" w:eastAsia="zh-CN"/>
        </w:rPr>
        <w:t>签订合同后支付合同总价的30%，</w:t>
      </w:r>
      <w:r>
        <w:rPr>
          <w:rFonts w:hint="eastAsia" w:asciiTheme="minorEastAsia" w:hAnsiTheme="minorEastAsia" w:eastAsiaTheme="minorEastAsia" w:cstheme="minorEastAsia"/>
          <w:b w:val="0"/>
          <w:bCs w:val="0"/>
          <w:color w:val="auto"/>
          <w:sz w:val="21"/>
          <w:szCs w:val="21"/>
          <w:highlight w:val="none"/>
          <w:lang w:val="zh-CN" w:eastAsia="zh-CN"/>
        </w:rPr>
        <w:t>产品</w:t>
      </w:r>
      <w:r>
        <w:rPr>
          <w:rFonts w:hint="eastAsia" w:asciiTheme="minorEastAsia" w:hAnsiTheme="minorEastAsia" w:eastAsiaTheme="minorEastAsia" w:cstheme="minorEastAsia"/>
          <w:b w:val="0"/>
          <w:bCs w:val="0"/>
          <w:color w:val="auto"/>
          <w:sz w:val="21"/>
          <w:szCs w:val="21"/>
          <w:highlight w:val="none"/>
          <w:lang w:val="en-US" w:eastAsia="zh-CN"/>
        </w:rPr>
        <w:t>到货甲方初验合格后支付同总价的40%，货物终验验收</w:t>
      </w:r>
      <w:r>
        <w:rPr>
          <w:rFonts w:hint="eastAsia" w:asciiTheme="minorEastAsia" w:hAnsiTheme="minorEastAsia" w:eastAsiaTheme="minorEastAsia" w:cstheme="minorEastAsia"/>
          <w:b w:val="0"/>
          <w:bCs w:val="0"/>
          <w:color w:val="auto"/>
          <w:sz w:val="21"/>
          <w:szCs w:val="21"/>
          <w:highlight w:val="none"/>
          <w:lang w:val="zh-CN" w:eastAsia="zh-CN"/>
        </w:rPr>
        <w:t>合格后支付</w:t>
      </w:r>
      <w:r>
        <w:rPr>
          <w:rFonts w:hint="eastAsia" w:asciiTheme="minorEastAsia" w:hAnsiTheme="minorEastAsia" w:eastAsiaTheme="minorEastAsia" w:cstheme="minorEastAsia"/>
          <w:b w:val="0"/>
          <w:bCs w:val="0"/>
          <w:color w:val="auto"/>
          <w:sz w:val="21"/>
          <w:szCs w:val="21"/>
          <w:highlight w:val="none"/>
          <w:lang w:val="en-US" w:eastAsia="zh-CN"/>
        </w:rPr>
        <w:t>合同总价的30</w:t>
      </w:r>
      <w:r>
        <w:rPr>
          <w:rFonts w:hint="eastAsia" w:asciiTheme="minorEastAsia" w:hAnsiTheme="minorEastAsia" w:eastAsiaTheme="minorEastAsia" w:cstheme="minorEastAsia"/>
          <w:b w:val="0"/>
          <w:bCs w:val="0"/>
          <w:color w:val="auto"/>
          <w:sz w:val="21"/>
          <w:szCs w:val="21"/>
          <w:highlight w:val="none"/>
          <w:lang w:val="zh-CN" w:eastAsia="zh-CN"/>
        </w:rPr>
        <w:t>％。（具体与甲方签订为准）</w:t>
      </w:r>
    </w:p>
    <w:p w14:paraId="1DF90B9B">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2.付款程序：</w:t>
      </w:r>
      <w:r>
        <w:rPr>
          <w:rFonts w:hint="eastAsia" w:asciiTheme="minorEastAsia" w:hAnsiTheme="minorEastAsia" w:eastAsiaTheme="minorEastAsia" w:cstheme="minorEastAsia"/>
          <w:b w:val="0"/>
          <w:bCs w:val="0"/>
          <w:color w:val="auto"/>
          <w:sz w:val="21"/>
          <w:szCs w:val="21"/>
          <w:highlight w:val="none"/>
          <w:lang w:val="en-US" w:eastAsia="zh-CN"/>
        </w:rPr>
        <w:t>所有货款均以人民币支付，由采购人办理具体付款手续 。</w:t>
      </w:r>
    </w:p>
    <w:p w14:paraId="326DFE88">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3.质量保证期</w:t>
      </w:r>
    </w:p>
    <w:p w14:paraId="79E63F9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3.1技术参数中具有单独售后服务要求、提供认证证书、提供检测报告、附白皮书证明、附图、提供第三方出具的证明材料或者截图证明等的按照技术参数中的要求提供并单独承诺说明。</w:t>
      </w:r>
    </w:p>
    <w:p w14:paraId="7D306A7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3.2技术参数中未单独提出要求的按以下要求做承诺说明：</w:t>
      </w:r>
    </w:p>
    <w:p w14:paraId="5A02D7F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3.2.1质保期：本项目中标人应至少提供所有软件、硬件</w:t>
      </w:r>
      <w:r>
        <w:rPr>
          <w:rFonts w:hint="eastAsia" w:asciiTheme="minorEastAsia" w:hAnsiTheme="minorEastAsia" w:eastAsiaTheme="minorEastAsia" w:cstheme="minorEastAsia"/>
          <w:b w:val="0"/>
          <w:bCs w:val="0"/>
          <w:color w:val="auto"/>
          <w:sz w:val="21"/>
          <w:szCs w:val="21"/>
          <w:highlight w:val="none"/>
          <w:u w:val="single"/>
          <w:lang w:val="en-US" w:eastAsia="zh-CN"/>
        </w:rPr>
        <w:t>3</w:t>
      </w:r>
      <w:r>
        <w:rPr>
          <w:rFonts w:hint="eastAsia" w:asciiTheme="minorEastAsia" w:hAnsiTheme="minorEastAsia" w:eastAsiaTheme="minorEastAsia" w:cstheme="minorEastAsia"/>
          <w:b w:val="0"/>
          <w:bCs w:val="0"/>
          <w:color w:val="auto"/>
          <w:sz w:val="21"/>
          <w:szCs w:val="21"/>
          <w:highlight w:val="none"/>
          <w:lang w:val="en-US" w:eastAsia="zh-CN"/>
        </w:rPr>
        <w:t>年免费质保期（质保期起始日期为货物验收合格后第二天起开始）。国家主管部门或者行业标准对货物本身有更高要求的，从其规定并在合同中约定，供应商亦可提报更长的质保期。</w:t>
      </w:r>
    </w:p>
    <w:p w14:paraId="6FEB07A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3.2.2质量保证期内，如果证实货物是有缺陷的，包括潜在的缺陷或者使用不符合要求的材料等，中标供应商应立即免费维修或者更换有缺陷的货物或者部件，保证达到合同规定的技术以及性能要求。如果中标供应商在收到通知后5天内没有弥补缺陷，采购人可自行采取必要的补救措施，但风险和费用由中标供应商承担，采购人同时保留通过法律途径进行索赔的权利。</w:t>
      </w:r>
    </w:p>
    <w:p w14:paraId="16D73CA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3.2.3产品验收合格，在质量保证（修）期前三个月内，凡属产品本身引起的故障，供应商需更换新的且与原产品型号规格都一样的产品；在质量保证（修）期的第四个月至质量保证（修）期结束期间，凡属产品本身引起的故障，供应商负责免费维修，所有费用由供应商承担；产品质量保证（修）期按生产厂家标准执行，</w:t>
      </w:r>
      <w:r>
        <w:rPr>
          <w:rFonts w:hint="eastAsia" w:asciiTheme="minorEastAsia" w:hAnsiTheme="minorEastAsia" w:eastAsiaTheme="minorEastAsia" w:cstheme="minorEastAsia"/>
          <w:b/>
          <w:bCs/>
          <w:color w:val="auto"/>
          <w:sz w:val="21"/>
          <w:szCs w:val="21"/>
          <w:highlight w:val="none"/>
          <w:lang w:val="en-US" w:eastAsia="zh-CN"/>
        </w:rPr>
        <w:t>均有原厂维修保养，但不得少于3年，</w:t>
      </w:r>
      <w:r>
        <w:rPr>
          <w:rFonts w:hint="eastAsia" w:asciiTheme="minorEastAsia" w:hAnsiTheme="minorEastAsia" w:eastAsiaTheme="minorEastAsia" w:cstheme="minorEastAsia"/>
          <w:b w:val="0"/>
          <w:bCs w:val="0"/>
          <w:color w:val="auto"/>
          <w:sz w:val="21"/>
          <w:szCs w:val="21"/>
          <w:highlight w:val="none"/>
          <w:lang w:val="en-US" w:eastAsia="zh-CN"/>
        </w:rPr>
        <w:t>产品质量保证（修）期自全面验收合格之日起计算。</w:t>
      </w:r>
    </w:p>
    <w:p w14:paraId="6848DB3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3.2.4设备出现故障要在1小时内响应，2小时内到场进行维修维护，故障排除时间不超过24小时，24小时电话服务支持。同时保证提供设备所需的备品、备件和易损件为原厂全新件。</w:t>
      </w:r>
    </w:p>
    <w:p w14:paraId="20EED87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3.2.5安装调试：供应商必须在合同签订后将所有的安装调试条件、需采购方配合的事项以书面方式通知用户，提供必备的技术资料，产品用户手册、特殊件及配套件的清单。并负责项目内所有软硬件设备的免费安装、调试。</w:t>
      </w:r>
    </w:p>
    <w:p w14:paraId="49F12E84">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4.其他要求</w:t>
      </w:r>
    </w:p>
    <w:p w14:paraId="5F791B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4.1在交付使用后，供应商应对保修期及其以后的服务做出承诺，并具有切实可行的服务措施；</w:t>
      </w:r>
    </w:p>
    <w:p w14:paraId="42B7FC5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4.2不能及时兑现服务承诺内容而影响采购方使用时，供应商应给予补偿的承诺，在投标文件中均应明确说明。</w:t>
      </w:r>
    </w:p>
    <w:p w14:paraId="087A9A1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4.3卖方负责设备安装和调试以及操作人员培训，并制定详细的培训计划，现场培训操作。使操作人员能独立进行管理、操作、维护和故障处理等工作，做好相关记录及技术文档收集整理，待验收合格后移交给采购方。</w:t>
      </w:r>
    </w:p>
    <w:p w14:paraId="18F9DBA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4.4国家相关部门出台硬性规定的，需免费提供系统升级和接口。</w:t>
      </w:r>
    </w:p>
    <w:p w14:paraId="0E9D5E4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4.5若因中标单位原因未能在工期内完成合同规定的义务，由此对采购人造成的延误和一切损失，由中标单位人承担和赔偿。</w:t>
      </w:r>
    </w:p>
    <w:p w14:paraId="29D4EE3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4.6本次项目此次投标若涉及到系统需要与采购人原有系统进行匹配对接,如对接不成功，所造成的损失全部由中标供应商承担。</w:t>
      </w:r>
    </w:p>
    <w:p w14:paraId="56FF4957">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5.违约责任：</w:t>
      </w:r>
    </w:p>
    <w:p w14:paraId="06679ED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5.1按《中华人民共和国民法典》中的相关条款执行。</w:t>
      </w:r>
    </w:p>
    <w:p w14:paraId="0BCC8B5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5.2未按合同要求提供产品或产品质量不能满足技术要求，采购人有权终止合同，并对供方违约行为进行追究，同时按《政府采购法》的有关规定进行处罚。</w:t>
      </w:r>
    </w:p>
    <w:p w14:paraId="42809FD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注：本项目商务条款全部为重要指标（实质性要求），不得负偏离，投标人在响应文件中必须对商务条款进行一一正面响应，若不响应、逃避响应或模糊混淆概念响应，按照负偏离处理（不符合招标文件实质性要求），不能提供证明文件的不予认可。在交货后，发现部分不能实现，采购人有权退货并索取赔偿。产品中标后签订合同、验收过程中如果发现有不满足招标要求的、篡改商务条款的，用户可以拒绝付款。</w:t>
      </w:r>
    </w:p>
    <w:p w14:paraId="78C840DA">
      <w:pPr>
        <w:pStyle w:val="33"/>
        <w:rPr>
          <w:color w:val="auto"/>
          <w:highlight w:val="none"/>
        </w:rPr>
      </w:pPr>
    </w:p>
    <w:p w14:paraId="7AFDD312">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r>
        <w:rPr>
          <w:rFonts w:ascii="黑体" w:hAnsi="宋体" w:eastAsia="黑体"/>
          <w:b/>
          <w:color w:val="auto"/>
          <w:sz w:val="44"/>
          <w:szCs w:val="44"/>
          <w:highlight w:val="none"/>
        </w:rPr>
        <w:br w:type="page"/>
      </w:r>
      <w:bookmarkStart w:id="197" w:name="_Toc15292"/>
      <w:r>
        <w:rPr>
          <w:rFonts w:hint="eastAsia" w:ascii="黑体" w:hAnsi="宋体" w:eastAsia="黑体" w:cs="Times New Roman"/>
          <w:b/>
          <w:color w:val="auto"/>
          <w:kern w:val="44"/>
          <w:sz w:val="44"/>
          <w:szCs w:val="44"/>
          <w:highlight w:val="none"/>
          <w:lang w:val="en-US" w:eastAsia="zh-CN" w:bidi="ar-SA"/>
        </w:rPr>
        <w:t>第五章 采购合同格式（仅供参考）</w:t>
      </w:r>
      <w:bookmarkEnd w:id="197"/>
    </w:p>
    <w:p w14:paraId="54278AD2">
      <w:pPr>
        <w:pStyle w:val="38"/>
        <w:keepNext w:val="0"/>
        <w:keepLines w:val="0"/>
        <w:pageBreakBefore w:val="0"/>
        <w:kinsoku/>
        <w:wordWrap/>
        <w:overflowPunct/>
        <w:topLinePunct w:val="0"/>
        <w:autoSpaceDE/>
        <w:autoSpaceDN/>
        <w:bidi w:val="0"/>
        <w:adjustRightInd/>
        <w:snapToGrid/>
        <w:spacing w:before="240" w:beforeLines="10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合同编号： </w:t>
      </w:r>
    </w:p>
    <w:p w14:paraId="69BE9EE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签订地点： </w:t>
      </w:r>
    </w:p>
    <w:p w14:paraId="7814604C">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签订时间:</w:t>
      </w:r>
    </w:p>
    <w:p w14:paraId="53600765">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p>
    <w:p w14:paraId="72794D37">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采购人（甲方）：</w:t>
      </w:r>
    </w:p>
    <w:p w14:paraId="7FBF8CD7">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投标人（乙方）：</w:t>
      </w:r>
    </w:p>
    <w:p w14:paraId="3875E7C5">
      <w:pPr>
        <w:pStyle w:val="38"/>
        <w:keepNext w:val="0"/>
        <w:keepLines w:val="0"/>
        <w:pageBreakBefore w:val="0"/>
        <w:kinsoku/>
        <w:wordWrap/>
        <w:overflowPunct/>
        <w:topLinePunct w:val="0"/>
        <w:autoSpaceDE/>
        <w:autoSpaceDN/>
        <w:bidi w:val="0"/>
        <w:adjustRightInd/>
        <w:snapToGrid/>
        <w:spacing w:before="120" w:beforeLines="5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根据《</w:t>
      </w:r>
      <w:r>
        <w:rPr>
          <w:rFonts w:hint="eastAsia" w:ascii="宋体" w:hAnsi="宋体"/>
          <w:color w:val="auto"/>
          <w:sz w:val="21"/>
          <w:szCs w:val="21"/>
          <w:highlight w:val="none"/>
          <w:lang w:eastAsia="zh-CN"/>
        </w:rPr>
        <w:t>中华人民共和国民法典</w:t>
      </w:r>
      <w:r>
        <w:rPr>
          <w:rFonts w:hint="eastAsia" w:ascii="宋体" w:hAnsi="宋体"/>
          <w:color w:val="auto"/>
          <w:sz w:val="21"/>
          <w:szCs w:val="21"/>
          <w:highlight w:val="none"/>
        </w:rPr>
        <w:t>》和甲方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采购项目（采购项目编号：</w:t>
      </w:r>
      <w:r>
        <w:rPr>
          <w:rFonts w:hint="eastAsia" w:ascii="宋体" w:hAnsi="宋体" w:eastAsia="宋体"/>
          <w:color w:val="auto"/>
          <w:sz w:val="21"/>
          <w:szCs w:val="21"/>
          <w:highlight w:val="none"/>
          <w:lang w:val="en-US" w:eastAsia="zh-CN"/>
        </w:rPr>
        <w:t xml:space="preserve">   </w:t>
      </w:r>
      <w:r>
        <w:rPr>
          <w:rFonts w:hint="eastAsia" w:ascii="宋体" w:hAnsi="宋体"/>
          <w:color w:val="auto"/>
          <w:sz w:val="21"/>
          <w:szCs w:val="21"/>
          <w:highlight w:val="none"/>
        </w:rPr>
        <w:t xml:space="preserve"> ）的招标文件、投标文件等有关规定，为确保甲方采购项目的顺利实施，甲、乙双方在平等自愿原则下签订本合同，并共同遵守如下条款：</w:t>
      </w:r>
    </w:p>
    <w:p w14:paraId="784219AF">
      <w:pPr>
        <w:pStyle w:val="38"/>
        <w:keepNext w:val="0"/>
        <w:keepLines w:val="0"/>
        <w:pageBreakBefore w:val="0"/>
        <w:kinsoku/>
        <w:wordWrap/>
        <w:overflowPunct/>
        <w:topLinePunct w:val="0"/>
        <w:autoSpaceDE/>
        <w:autoSpaceDN/>
        <w:bidi w:val="0"/>
        <w:adjustRightInd/>
        <w:snapToGrid/>
        <w:spacing w:before="120" w:beforeLines="50" w:line="480" w:lineRule="exact"/>
        <w:ind w:firstLine="452" w:firstLineChars="150"/>
        <w:textAlignment w:val="auto"/>
        <w:outlineLvl w:val="1"/>
        <w:rPr>
          <w:rFonts w:hint="eastAsia"/>
          <w:b/>
          <w:color w:val="auto"/>
          <w:sz w:val="30"/>
          <w:szCs w:val="30"/>
          <w:highlight w:val="none"/>
        </w:rPr>
      </w:pPr>
      <w:bookmarkStart w:id="198" w:name="_Toc28733"/>
      <w:r>
        <w:rPr>
          <w:rFonts w:hint="eastAsia"/>
          <w:b/>
          <w:color w:val="auto"/>
          <w:sz w:val="30"/>
          <w:szCs w:val="30"/>
          <w:highlight w:val="none"/>
        </w:rPr>
        <w:t>第一条 合同标的及数量</w:t>
      </w:r>
      <w:bookmarkEnd w:id="198"/>
    </w:p>
    <w:p w14:paraId="06E48EF4">
      <w:pPr>
        <w:pStyle w:val="38"/>
        <w:keepNext w:val="0"/>
        <w:keepLines w:val="0"/>
        <w:pageBreakBefore w:val="0"/>
        <w:kinsoku/>
        <w:wordWrap/>
        <w:overflowPunct/>
        <w:topLinePunct w:val="0"/>
        <w:autoSpaceDE/>
        <w:autoSpaceDN/>
        <w:bidi w:val="0"/>
        <w:adjustRightInd/>
        <w:snapToGrid/>
        <w:spacing w:before="120" w:beforeLines="50" w:line="480" w:lineRule="exact"/>
        <w:ind w:firstLine="525" w:firstLineChars="250"/>
        <w:textAlignment w:val="auto"/>
        <w:rPr>
          <w:rFonts w:hint="eastAsia" w:ascii="宋体" w:hAnsi="宋体"/>
          <w:b/>
          <w:color w:val="auto"/>
          <w:sz w:val="21"/>
          <w:szCs w:val="21"/>
          <w:highlight w:val="none"/>
        </w:rPr>
      </w:pPr>
      <w:r>
        <w:rPr>
          <w:rFonts w:hint="eastAsia"/>
          <w:color w:val="auto"/>
          <w:sz w:val="21"/>
          <w:szCs w:val="21"/>
          <w:highlight w:val="none"/>
        </w:rPr>
        <w:t>乙方向甲方提供下列货物（产品）：</w:t>
      </w:r>
    </w:p>
    <w:p w14:paraId="5ED87D59">
      <w:pPr>
        <w:pStyle w:val="7"/>
        <w:keepNext w:val="0"/>
        <w:keepLines w:val="0"/>
        <w:pageBreakBefore w:val="0"/>
        <w:kinsoku/>
        <w:wordWrap/>
        <w:overflowPunct/>
        <w:topLinePunct w:val="0"/>
        <w:autoSpaceDE/>
        <w:autoSpaceDN/>
        <w:bidi w:val="0"/>
        <w:adjustRightInd/>
        <w:snapToGrid/>
        <w:spacing w:before="120" w:beforeLines="50" w:after="120" w:afterLines="50" w:line="480" w:lineRule="exact"/>
        <w:ind w:firstLine="0"/>
        <w:jc w:val="center"/>
        <w:textAlignment w:val="auto"/>
        <w:rPr>
          <w:rFonts w:hint="eastAsia" w:ascii="宋体" w:hAnsi="宋体"/>
          <w:b/>
          <w:color w:val="auto"/>
          <w:sz w:val="30"/>
          <w:szCs w:val="30"/>
          <w:highlight w:val="none"/>
        </w:rPr>
      </w:pPr>
      <w:r>
        <w:rPr>
          <w:rFonts w:hint="eastAsia" w:ascii="宋体" w:hAnsi="宋体"/>
          <w:b/>
          <w:color w:val="auto"/>
          <w:sz w:val="30"/>
          <w:szCs w:val="30"/>
          <w:highlight w:val="none"/>
        </w:rPr>
        <w:t>供货一览表</w:t>
      </w:r>
    </w:p>
    <w:tbl>
      <w:tblPr>
        <w:tblStyle w:val="23"/>
        <w:tblpPr w:leftFromText="180" w:rightFromText="180" w:vertAnchor="text" w:horzAnchor="margin" w:tblpXSpec="center" w:tblpY="309"/>
        <w:tblW w:w="97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478"/>
        <w:gridCol w:w="1408"/>
        <w:gridCol w:w="1211"/>
        <w:gridCol w:w="846"/>
        <w:gridCol w:w="1072"/>
        <w:gridCol w:w="964"/>
        <w:gridCol w:w="964"/>
        <w:gridCol w:w="986"/>
      </w:tblGrid>
      <w:tr w14:paraId="4F3F4D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center"/>
          </w:tcPr>
          <w:p w14:paraId="7E03C213">
            <w:pPr>
              <w:pStyle w:val="3"/>
              <w:spacing w:before="0" w:after="0"/>
              <w:jc w:val="center"/>
              <w:rPr>
                <w:rFonts w:hint="eastAsia" w:ascii="宋体" w:hAnsi="宋体" w:eastAsia="宋体" w:cs="宋体"/>
                <w:color w:val="auto"/>
                <w:sz w:val="21"/>
                <w:szCs w:val="21"/>
                <w:highlight w:val="none"/>
              </w:rPr>
            </w:pPr>
            <w:bookmarkStart w:id="199" w:name="_Toc12479"/>
            <w:r>
              <w:rPr>
                <w:rFonts w:hint="eastAsia" w:ascii="宋体" w:hAnsi="宋体" w:eastAsia="宋体" w:cs="宋体"/>
                <w:color w:val="auto"/>
                <w:sz w:val="21"/>
                <w:szCs w:val="21"/>
                <w:highlight w:val="none"/>
              </w:rPr>
              <w:t>序号</w:t>
            </w:r>
            <w:bookmarkEnd w:id="199"/>
          </w:p>
        </w:tc>
        <w:tc>
          <w:tcPr>
            <w:tcW w:w="1478" w:type="dxa"/>
            <w:noWrap w:val="0"/>
            <w:vAlign w:val="center"/>
          </w:tcPr>
          <w:p w14:paraId="405DE228">
            <w:pPr>
              <w:pStyle w:val="3"/>
              <w:spacing w:before="0" w:after="0"/>
              <w:jc w:val="center"/>
              <w:rPr>
                <w:rFonts w:hint="eastAsia" w:ascii="宋体" w:hAnsi="宋体" w:eastAsia="宋体" w:cs="宋体"/>
                <w:color w:val="auto"/>
                <w:sz w:val="21"/>
                <w:szCs w:val="21"/>
                <w:highlight w:val="none"/>
              </w:rPr>
            </w:pPr>
            <w:bookmarkStart w:id="200" w:name="_Toc3165"/>
            <w:r>
              <w:rPr>
                <w:rFonts w:hint="eastAsia" w:ascii="宋体" w:hAnsi="宋体" w:eastAsia="宋体" w:cs="宋体"/>
                <w:color w:val="auto"/>
                <w:sz w:val="21"/>
                <w:szCs w:val="21"/>
                <w:highlight w:val="none"/>
              </w:rPr>
              <w:t>货物名称</w:t>
            </w:r>
            <w:bookmarkEnd w:id="200"/>
          </w:p>
        </w:tc>
        <w:tc>
          <w:tcPr>
            <w:tcW w:w="1408" w:type="dxa"/>
            <w:noWrap w:val="0"/>
            <w:vAlign w:val="center"/>
          </w:tcPr>
          <w:p w14:paraId="7538215D">
            <w:pPr>
              <w:pStyle w:val="3"/>
              <w:spacing w:before="0" w:after="0"/>
              <w:jc w:val="center"/>
              <w:rPr>
                <w:rFonts w:hint="eastAsia" w:ascii="宋体" w:hAnsi="宋体" w:eastAsia="宋体" w:cs="宋体"/>
                <w:color w:val="auto"/>
                <w:sz w:val="21"/>
                <w:szCs w:val="21"/>
                <w:highlight w:val="none"/>
              </w:rPr>
            </w:pPr>
            <w:bookmarkStart w:id="201" w:name="_Toc15495"/>
            <w:r>
              <w:rPr>
                <w:rFonts w:hint="eastAsia" w:ascii="宋体" w:hAnsi="宋体" w:eastAsia="宋体" w:cs="宋体"/>
                <w:color w:val="auto"/>
                <w:sz w:val="21"/>
                <w:szCs w:val="21"/>
                <w:highlight w:val="none"/>
              </w:rPr>
              <w:t>品牌/型号</w:t>
            </w:r>
            <w:bookmarkEnd w:id="201"/>
          </w:p>
        </w:tc>
        <w:tc>
          <w:tcPr>
            <w:tcW w:w="1211" w:type="dxa"/>
            <w:noWrap w:val="0"/>
            <w:vAlign w:val="center"/>
          </w:tcPr>
          <w:p w14:paraId="74DE0E89">
            <w:pPr>
              <w:pStyle w:val="3"/>
              <w:spacing w:before="0" w:after="0"/>
              <w:jc w:val="center"/>
              <w:rPr>
                <w:rFonts w:hint="eastAsia" w:ascii="宋体" w:hAnsi="宋体" w:eastAsia="宋体" w:cs="宋体"/>
                <w:color w:val="auto"/>
                <w:sz w:val="21"/>
                <w:szCs w:val="21"/>
                <w:highlight w:val="none"/>
                <w:lang w:val="en-US" w:eastAsia="zh-CN"/>
              </w:rPr>
            </w:pPr>
            <w:bookmarkStart w:id="202" w:name="_Toc21420"/>
            <w:r>
              <w:rPr>
                <w:rFonts w:hint="eastAsia" w:ascii="宋体" w:hAnsi="宋体" w:eastAsia="宋体" w:cs="宋体"/>
                <w:color w:val="auto"/>
                <w:sz w:val="21"/>
                <w:szCs w:val="21"/>
                <w:highlight w:val="none"/>
                <w:lang w:val="en-US" w:eastAsia="zh-CN"/>
              </w:rPr>
              <w:t>制造商</w:t>
            </w:r>
          </w:p>
        </w:tc>
        <w:tc>
          <w:tcPr>
            <w:tcW w:w="846" w:type="dxa"/>
            <w:noWrap w:val="0"/>
            <w:vAlign w:val="center"/>
          </w:tcPr>
          <w:p w14:paraId="7E45D9A1">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规格</w:t>
            </w:r>
            <w:bookmarkEnd w:id="202"/>
          </w:p>
        </w:tc>
        <w:tc>
          <w:tcPr>
            <w:tcW w:w="1072" w:type="dxa"/>
            <w:noWrap w:val="0"/>
            <w:vAlign w:val="center"/>
          </w:tcPr>
          <w:p w14:paraId="5F9D238C">
            <w:pPr>
              <w:pStyle w:val="3"/>
              <w:spacing w:before="0" w:after="0" w:line="240" w:lineRule="auto"/>
              <w:jc w:val="center"/>
              <w:rPr>
                <w:rFonts w:hint="eastAsia" w:ascii="宋体" w:hAnsi="宋体" w:eastAsia="宋体" w:cs="宋体"/>
                <w:color w:val="auto"/>
                <w:sz w:val="21"/>
                <w:szCs w:val="21"/>
                <w:highlight w:val="none"/>
              </w:rPr>
            </w:pPr>
            <w:bookmarkStart w:id="203" w:name="_Toc1347"/>
          </w:p>
          <w:p w14:paraId="6C33E392">
            <w:pPr>
              <w:pStyle w:val="3"/>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计量单位</w:t>
            </w:r>
            <w:bookmarkEnd w:id="203"/>
          </w:p>
        </w:tc>
        <w:tc>
          <w:tcPr>
            <w:tcW w:w="964" w:type="dxa"/>
            <w:noWrap w:val="0"/>
            <w:vAlign w:val="center"/>
          </w:tcPr>
          <w:p w14:paraId="6015BC4C">
            <w:pPr>
              <w:pStyle w:val="3"/>
              <w:spacing w:before="0" w:after="0"/>
              <w:jc w:val="center"/>
              <w:rPr>
                <w:rFonts w:hint="eastAsia" w:ascii="宋体" w:hAnsi="宋体" w:eastAsia="宋体" w:cs="宋体"/>
                <w:color w:val="auto"/>
                <w:sz w:val="21"/>
                <w:szCs w:val="21"/>
                <w:highlight w:val="none"/>
              </w:rPr>
            </w:pPr>
            <w:bookmarkStart w:id="204" w:name="_Toc407"/>
            <w:r>
              <w:rPr>
                <w:rFonts w:hint="eastAsia" w:ascii="宋体" w:hAnsi="宋体" w:eastAsia="宋体" w:cs="宋体"/>
                <w:color w:val="auto"/>
                <w:sz w:val="21"/>
                <w:szCs w:val="21"/>
                <w:highlight w:val="none"/>
              </w:rPr>
              <w:t>数量</w:t>
            </w:r>
            <w:bookmarkEnd w:id="204"/>
          </w:p>
        </w:tc>
        <w:tc>
          <w:tcPr>
            <w:tcW w:w="964" w:type="dxa"/>
            <w:noWrap w:val="0"/>
            <w:vAlign w:val="center"/>
          </w:tcPr>
          <w:p w14:paraId="7066D925">
            <w:pPr>
              <w:pStyle w:val="3"/>
              <w:spacing w:before="0" w:after="0"/>
              <w:jc w:val="center"/>
              <w:rPr>
                <w:rFonts w:hint="eastAsia" w:ascii="宋体" w:hAnsi="宋体" w:eastAsia="宋体" w:cs="宋体"/>
                <w:color w:val="auto"/>
                <w:sz w:val="21"/>
                <w:szCs w:val="21"/>
                <w:highlight w:val="none"/>
              </w:rPr>
            </w:pPr>
            <w:bookmarkStart w:id="205" w:name="_Toc14017"/>
          </w:p>
          <w:p w14:paraId="7FC363B4">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单价（元）</w:t>
            </w:r>
            <w:bookmarkEnd w:id="205"/>
          </w:p>
        </w:tc>
        <w:tc>
          <w:tcPr>
            <w:tcW w:w="986" w:type="dxa"/>
            <w:noWrap w:val="0"/>
            <w:vAlign w:val="center"/>
          </w:tcPr>
          <w:p w14:paraId="409DF5C3">
            <w:pPr>
              <w:pStyle w:val="3"/>
              <w:spacing w:before="0" w:after="0"/>
              <w:ind w:left="207" w:hanging="207" w:hangingChars="98"/>
              <w:jc w:val="center"/>
              <w:rPr>
                <w:rFonts w:hint="eastAsia" w:ascii="宋体" w:hAnsi="宋体" w:eastAsia="宋体" w:cs="宋体"/>
                <w:color w:val="auto"/>
                <w:sz w:val="21"/>
                <w:szCs w:val="21"/>
                <w:highlight w:val="none"/>
              </w:rPr>
            </w:pPr>
            <w:bookmarkStart w:id="206" w:name="_Toc16513"/>
          </w:p>
          <w:p w14:paraId="35FE18A3">
            <w:pPr>
              <w:pStyle w:val="3"/>
              <w:spacing w:before="0" w:after="0"/>
              <w:ind w:left="207" w:hanging="207" w:hangingChars="98"/>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金额 (元)</w:t>
            </w:r>
            <w:bookmarkEnd w:id="206"/>
          </w:p>
        </w:tc>
      </w:tr>
      <w:tr w14:paraId="519F10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767B33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5BEA7F5">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3BA7931">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F64727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430E3A7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DA489B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4C0FBE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6CF9114">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897A65A">
            <w:pPr>
              <w:pStyle w:val="3"/>
              <w:spacing w:before="0" w:after="0" w:line="360" w:lineRule="auto"/>
              <w:outlineLvl w:val="9"/>
              <w:rPr>
                <w:rFonts w:hint="eastAsia" w:ascii="宋体" w:hAnsi="宋体" w:eastAsia="宋体" w:cs="宋体"/>
                <w:color w:val="auto"/>
                <w:sz w:val="24"/>
                <w:szCs w:val="24"/>
                <w:highlight w:val="none"/>
              </w:rPr>
            </w:pPr>
          </w:p>
        </w:tc>
      </w:tr>
      <w:tr w14:paraId="4CB65E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60D0521">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17CF3E5B">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7ED194E0">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34B46911">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A5C644C">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BBE378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68F529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03C1F7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6D4AF49">
            <w:pPr>
              <w:pStyle w:val="3"/>
              <w:spacing w:before="0" w:after="0" w:line="360" w:lineRule="auto"/>
              <w:outlineLvl w:val="9"/>
              <w:rPr>
                <w:rFonts w:hint="eastAsia" w:ascii="宋体" w:hAnsi="宋体" w:eastAsia="宋体" w:cs="宋体"/>
                <w:color w:val="auto"/>
                <w:sz w:val="24"/>
                <w:szCs w:val="24"/>
                <w:highlight w:val="none"/>
              </w:rPr>
            </w:pPr>
          </w:p>
        </w:tc>
      </w:tr>
      <w:tr w14:paraId="611D1E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7EE68F3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541F2EF9">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658D458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3EB45F9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4DB9BF9F">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D1D9AE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B93CD9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6A18CAEE">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F930F49">
            <w:pPr>
              <w:pStyle w:val="3"/>
              <w:spacing w:before="0" w:after="0" w:line="360" w:lineRule="auto"/>
              <w:outlineLvl w:val="9"/>
              <w:rPr>
                <w:rFonts w:hint="eastAsia" w:ascii="宋体" w:hAnsi="宋体" w:eastAsia="宋体" w:cs="宋体"/>
                <w:color w:val="auto"/>
                <w:sz w:val="24"/>
                <w:szCs w:val="24"/>
                <w:highlight w:val="none"/>
              </w:rPr>
            </w:pPr>
          </w:p>
        </w:tc>
      </w:tr>
      <w:tr w14:paraId="704A95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6140BF5">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6393C0E5">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18D09B8">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708F6E1">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7E030CA">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36719E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1BBB47E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797B8CB">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1584194C">
            <w:pPr>
              <w:pStyle w:val="3"/>
              <w:spacing w:before="0" w:after="0" w:line="360" w:lineRule="auto"/>
              <w:outlineLvl w:val="9"/>
              <w:rPr>
                <w:rFonts w:hint="eastAsia" w:ascii="宋体" w:hAnsi="宋体" w:eastAsia="宋体" w:cs="宋体"/>
                <w:color w:val="auto"/>
                <w:sz w:val="24"/>
                <w:szCs w:val="24"/>
                <w:highlight w:val="none"/>
              </w:rPr>
            </w:pPr>
          </w:p>
        </w:tc>
      </w:tr>
      <w:tr w14:paraId="78B99E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E31E050">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9C16953">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2ECCF158">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041009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753C08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94FB33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1C7987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F567448">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093DBD0C">
            <w:pPr>
              <w:pStyle w:val="3"/>
              <w:spacing w:before="0" w:after="0" w:line="360" w:lineRule="auto"/>
              <w:outlineLvl w:val="9"/>
              <w:rPr>
                <w:rFonts w:hint="eastAsia" w:ascii="宋体" w:hAnsi="宋体" w:eastAsia="宋体" w:cs="宋体"/>
                <w:color w:val="auto"/>
                <w:sz w:val="24"/>
                <w:szCs w:val="24"/>
                <w:highlight w:val="none"/>
              </w:rPr>
            </w:pPr>
          </w:p>
        </w:tc>
      </w:tr>
      <w:tr w14:paraId="28377B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192C097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9372198">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89E3C0A">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13268B1">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9ED0FBE">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077F43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1C4CF4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8D2D7DE">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79A8B3E">
            <w:pPr>
              <w:pStyle w:val="3"/>
              <w:spacing w:before="0" w:after="0" w:line="360" w:lineRule="auto"/>
              <w:outlineLvl w:val="9"/>
              <w:rPr>
                <w:rFonts w:hint="eastAsia" w:ascii="宋体" w:hAnsi="宋体" w:eastAsia="宋体" w:cs="宋体"/>
                <w:color w:val="auto"/>
                <w:sz w:val="24"/>
                <w:szCs w:val="24"/>
                <w:highlight w:val="none"/>
              </w:rPr>
            </w:pPr>
          </w:p>
        </w:tc>
      </w:tr>
      <w:tr w14:paraId="690CB8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4114A31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1D10E488">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30B87CF0">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653D9D9">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696BC6CA">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680EA35">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44FF51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BE0B28F">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7162C56">
            <w:pPr>
              <w:pStyle w:val="3"/>
              <w:spacing w:before="0" w:after="0" w:line="360" w:lineRule="auto"/>
              <w:outlineLvl w:val="9"/>
              <w:rPr>
                <w:rFonts w:hint="eastAsia" w:ascii="宋体" w:hAnsi="宋体" w:eastAsia="宋体" w:cs="宋体"/>
                <w:color w:val="auto"/>
                <w:sz w:val="24"/>
                <w:szCs w:val="24"/>
                <w:highlight w:val="none"/>
              </w:rPr>
            </w:pPr>
          </w:p>
        </w:tc>
      </w:tr>
      <w:tr w14:paraId="5E92A7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F3A00E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F6D3129">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17B0150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7000F4AF">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4B46C2F">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627E62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243F9F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28E4624">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7067427">
            <w:pPr>
              <w:pStyle w:val="3"/>
              <w:spacing w:before="0" w:after="0" w:line="360" w:lineRule="auto"/>
              <w:outlineLvl w:val="9"/>
              <w:rPr>
                <w:rFonts w:hint="eastAsia" w:ascii="宋体" w:hAnsi="宋体" w:eastAsia="宋体" w:cs="宋体"/>
                <w:color w:val="auto"/>
                <w:sz w:val="24"/>
                <w:szCs w:val="24"/>
                <w:highlight w:val="none"/>
              </w:rPr>
            </w:pPr>
          </w:p>
        </w:tc>
      </w:tr>
      <w:tr w14:paraId="4F3B56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60DCCC32">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center"/>
          </w:tcPr>
          <w:p w14:paraId="33F3AE0C">
            <w:pPr>
              <w:pStyle w:val="3"/>
              <w:spacing w:before="0" w:after="0" w:line="240" w:lineRule="auto"/>
              <w:ind w:firstLine="310" w:firstLineChars="147"/>
              <w:rPr>
                <w:rFonts w:hint="eastAsia" w:ascii="宋体" w:hAnsi="宋体" w:eastAsia="宋体" w:cs="宋体"/>
                <w:color w:val="auto"/>
                <w:sz w:val="21"/>
                <w:szCs w:val="21"/>
                <w:highlight w:val="none"/>
              </w:rPr>
            </w:pPr>
            <w:bookmarkStart w:id="207" w:name="_Toc28793"/>
            <w:r>
              <w:rPr>
                <w:rFonts w:hint="eastAsia" w:ascii="宋体" w:hAnsi="宋体" w:eastAsia="宋体" w:cs="宋体"/>
                <w:color w:val="auto"/>
                <w:sz w:val="21"/>
                <w:szCs w:val="21"/>
                <w:highlight w:val="none"/>
              </w:rPr>
              <w:t>合计</w:t>
            </w:r>
            <w:bookmarkEnd w:id="207"/>
          </w:p>
        </w:tc>
        <w:tc>
          <w:tcPr>
            <w:tcW w:w="4537" w:type="dxa"/>
            <w:gridSpan w:val="4"/>
            <w:noWrap w:val="0"/>
            <w:vAlign w:val="center"/>
          </w:tcPr>
          <w:p w14:paraId="7C221BBE">
            <w:pPr>
              <w:pStyle w:val="3"/>
              <w:spacing w:before="0" w:after="0" w:line="240" w:lineRule="auto"/>
              <w:rPr>
                <w:rFonts w:hint="eastAsia" w:ascii="宋体" w:hAnsi="宋体" w:eastAsia="宋体" w:cs="宋体"/>
                <w:color w:val="auto"/>
                <w:sz w:val="21"/>
                <w:szCs w:val="21"/>
                <w:highlight w:val="none"/>
              </w:rPr>
            </w:pPr>
            <w:bookmarkStart w:id="208" w:name="_Toc24091"/>
            <w:r>
              <w:rPr>
                <w:rFonts w:hint="eastAsia" w:ascii="宋体" w:hAnsi="宋体" w:eastAsia="宋体" w:cs="宋体"/>
                <w:color w:val="auto"/>
                <w:sz w:val="21"/>
                <w:szCs w:val="21"/>
                <w:highlight w:val="none"/>
              </w:rPr>
              <w:t>大写</w:t>
            </w:r>
            <w:bookmarkEnd w:id="208"/>
          </w:p>
        </w:tc>
        <w:tc>
          <w:tcPr>
            <w:tcW w:w="964" w:type="dxa"/>
            <w:noWrap w:val="0"/>
            <w:vAlign w:val="center"/>
          </w:tcPr>
          <w:p w14:paraId="47966B18">
            <w:pPr>
              <w:pStyle w:val="3"/>
              <w:spacing w:before="0" w:after="0" w:line="240" w:lineRule="auto"/>
              <w:rPr>
                <w:rFonts w:hint="eastAsia" w:ascii="宋体" w:hAnsi="宋体" w:eastAsia="宋体" w:cs="宋体"/>
                <w:color w:val="auto"/>
                <w:sz w:val="21"/>
                <w:szCs w:val="21"/>
                <w:highlight w:val="none"/>
              </w:rPr>
            </w:pPr>
            <w:bookmarkStart w:id="209" w:name="_Toc11528"/>
          </w:p>
        </w:tc>
        <w:tc>
          <w:tcPr>
            <w:tcW w:w="1950" w:type="dxa"/>
            <w:gridSpan w:val="2"/>
            <w:noWrap w:val="0"/>
            <w:vAlign w:val="center"/>
          </w:tcPr>
          <w:p w14:paraId="5777DCBD">
            <w:pPr>
              <w:pStyle w:val="3"/>
              <w:spacing w:before="0" w:after="0" w:line="24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bookmarkEnd w:id="209"/>
          </w:p>
        </w:tc>
      </w:tr>
    </w:tbl>
    <w:p w14:paraId="4B806644">
      <w:pPr>
        <w:pStyle w:val="3"/>
        <w:pageBreakBefore w:val="0"/>
        <w:kinsoku/>
        <w:wordWrap/>
        <w:overflowPunct/>
        <w:topLinePunct w:val="0"/>
        <w:autoSpaceDE/>
        <w:autoSpaceDN/>
        <w:bidi w:val="0"/>
        <w:adjustRightInd/>
        <w:spacing w:before="0" w:after="120" w:afterLines="50" w:line="480" w:lineRule="exact"/>
        <w:ind w:firstLine="602" w:firstLineChars="200"/>
        <w:rPr>
          <w:rFonts w:hint="eastAsia" w:ascii="宋体" w:hAnsi="宋体" w:eastAsia="宋体"/>
          <w:color w:val="auto"/>
          <w:sz w:val="30"/>
          <w:szCs w:val="30"/>
          <w:highlight w:val="none"/>
        </w:rPr>
      </w:pPr>
      <w:bookmarkStart w:id="210" w:name="_Toc1908"/>
      <w:r>
        <w:rPr>
          <w:rFonts w:hint="eastAsia" w:ascii="宋体" w:hAnsi="宋体" w:eastAsia="宋体"/>
          <w:color w:val="auto"/>
          <w:sz w:val="30"/>
          <w:szCs w:val="30"/>
          <w:highlight w:val="none"/>
        </w:rPr>
        <w:t>第二条 合同价款</w:t>
      </w:r>
      <w:bookmarkEnd w:id="210"/>
    </w:p>
    <w:p w14:paraId="466A03EA">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1" w:name="_Toc13956"/>
      <w:r>
        <w:rPr>
          <w:rFonts w:hint="eastAsia" w:ascii="宋体" w:hAnsi="宋体" w:eastAsia="宋体"/>
          <w:b w:val="0"/>
          <w:color w:val="auto"/>
          <w:sz w:val="21"/>
          <w:szCs w:val="21"/>
          <w:highlight w:val="none"/>
        </w:rPr>
        <w:t>1.合同总价：人民币（大写）</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元，（￥</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w:t>
      </w:r>
      <w:bookmarkEnd w:id="211"/>
    </w:p>
    <w:p w14:paraId="3C47AB13">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2" w:name="_Toc29324"/>
      <w:r>
        <w:rPr>
          <w:rFonts w:hint="eastAsia" w:ascii="宋体" w:hAnsi="宋体" w:eastAsia="宋体"/>
          <w:b w:val="0"/>
          <w:color w:val="auto"/>
          <w:sz w:val="21"/>
          <w:szCs w:val="21"/>
          <w:highlight w:val="none"/>
        </w:rPr>
        <w:t>2.本合同总价是货物（产品）设计、材料、制造、包装、运输、验收合格交付使用之前及保修期内保修服务与备用物件等其他有关各项的含税费用。</w:t>
      </w:r>
      <w:bookmarkEnd w:id="212"/>
    </w:p>
    <w:p w14:paraId="74772454">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3" w:name="_Toc5696"/>
      <w:r>
        <w:rPr>
          <w:rFonts w:hint="eastAsia" w:ascii="宋体" w:hAnsi="宋体" w:eastAsia="宋体"/>
          <w:b w:val="0"/>
          <w:color w:val="auto"/>
          <w:sz w:val="21"/>
          <w:szCs w:val="21"/>
          <w:highlight w:val="none"/>
        </w:rPr>
        <w:t>3.本合同总价还包含乙方应当提供的伴随服务和售后服务费用。</w:t>
      </w:r>
      <w:bookmarkEnd w:id="213"/>
    </w:p>
    <w:p w14:paraId="08434695">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4" w:name="_Toc18794"/>
      <w:r>
        <w:rPr>
          <w:rFonts w:hint="eastAsia" w:ascii="宋体" w:hAnsi="宋体" w:eastAsia="宋体"/>
          <w:b w:val="0"/>
          <w:color w:val="auto"/>
          <w:sz w:val="21"/>
          <w:szCs w:val="21"/>
          <w:highlight w:val="none"/>
        </w:rPr>
        <w:t>4.本合同执行期间合同总价不变，甲方无须另向乙方支付本合同规定之外的其他任何费用。</w:t>
      </w:r>
      <w:bookmarkEnd w:id="214"/>
    </w:p>
    <w:p w14:paraId="540C4B35">
      <w:pPr>
        <w:pStyle w:val="3"/>
        <w:pageBreakBefore w:val="0"/>
        <w:kinsoku/>
        <w:wordWrap/>
        <w:overflowPunct/>
        <w:topLinePunct w:val="0"/>
        <w:autoSpaceDE/>
        <w:autoSpaceDN/>
        <w:bidi w:val="0"/>
        <w:adjustRightInd/>
        <w:spacing w:before="120" w:beforeLines="50" w:after="120" w:afterLines="50" w:line="480" w:lineRule="exact"/>
        <w:ind w:firstLine="602" w:firstLineChars="200"/>
        <w:rPr>
          <w:rFonts w:hint="eastAsia" w:ascii="宋体" w:hAnsi="宋体" w:eastAsia="宋体"/>
          <w:color w:val="auto"/>
          <w:sz w:val="30"/>
          <w:szCs w:val="30"/>
          <w:highlight w:val="none"/>
        </w:rPr>
      </w:pPr>
      <w:bookmarkStart w:id="215" w:name="_Toc9225"/>
      <w:r>
        <w:rPr>
          <w:rFonts w:hint="eastAsia" w:ascii="宋体" w:hAnsi="宋体" w:eastAsia="宋体"/>
          <w:color w:val="auto"/>
          <w:sz w:val="30"/>
          <w:szCs w:val="30"/>
          <w:highlight w:val="none"/>
        </w:rPr>
        <w:t>第三条 货款支付</w:t>
      </w:r>
      <w:bookmarkEnd w:id="215"/>
    </w:p>
    <w:p w14:paraId="45E0C36D">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宋体" w:hAnsi="宋体"/>
          <w:color w:val="auto"/>
          <w:sz w:val="21"/>
          <w:szCs w:val="21"/>
          <w:highlight w:val="none"/>
          <w:u w:val="single"/>
          <w:lang w:val="en-US" w:eastAsia="zh-CN"/>
        </w:rPr>
      </w:pPr>
      <w:r>
        <w:rPr>
          <w:rFonts w:hint="eastAsia" w:ascii="宋体" w:hAnsi="宋体"/>
          <w:color w:val="auto"/>
          <w:sz w:val="21"/>
          <w:szCs w:val="21"/>
          <w:highlight w:val="none"/>
        </w:rPr>
        <w:t>1.货物（产品）按下列比例支付价款：</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60D0F34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2.乙方须向甲方出具合法有效的完税发票，甲方进行支付结算。</w:t>
      </w:r>
    </w:p>
    <w:p w14:paraId="36DCADCC">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3.结算方式：银行转账。</w:t>
      </w:r>
    </w:p>
    <w:p w14:paraId="40899253">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16" w:name="_Toc2826"/>
      <w:r>
        <w:rPr>
          <w:rFonts w:hint="eastAsia" w:ascii="宋体" w:hAnsi="宋体"/>
          <w:b/>
          <w:color w:val="auto"/>
          <w:sz w:val="30"/>
          <w:szCs w:val="30"/>
          <w:highlight w:val="none"/>
        </w:rPr>
        <w:t>第四条 交货时间与地点</w:t>
      </w:r>
      <w:bookmarkEnd w:id="216"/>
    </w:p>
    <w:p w14:paraId="673EACE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乙方在合同签订生效之日起，按甲方指定时间、地点交货。</w:t>
      </w:r>
    </w:p>
    <w:p w14:paraId="7AD05699">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u w:val="single"/>
          <w:lang w:val="en-US" w:eastAsia="zh-CN"/>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合同履行期限：</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2BDBD1BA">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2.交货地点：甲方指定地点</w:t>
      </w:r>
      <w:r>
        <w:rPr>
          <w:rFonts w:hint="eastAsia" w:ascii="宋体" w:hAnsi="宋体"/>
          <w:color w:val="auto"/>
          <w:sz w:val="21"/>
          <w:szCs w:val="21"/>
          <w:highlight w:val="none"/>
          <w:lang w:eastAsia="zh-CN"/>
        </w:rPr>
        <w:t>。</w:t>
      </w:r>
    </w:p>
    <w:p w14:paraId="62A52D95">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17" w:name="_Toc14297"/>
      <w:r>
        <w:rPr>
          <w:rFonts w:hint="eastAsia" w:ascii="宋体" w:hAnsi="宋体"/>
          <w:b/>
          <w:color w:val="auto"/>
          <w:sz w:val="30"/>
          <w:szCs w:val="30"/>
          <w:highlight w:val="none"/>
        </w:rPr>
        <w:t>第五条 质量保证</w:t>
      </w:r>
      <w:bookmarkEnd w:id="217"/>
    </w:p>
    <w:p w14:paraId="0A6B17B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1.乙方须提供全新的、未使用过的合格正品货物（含零部件、配件等），完全符合合同规定的质量、规格和性能的要求。</w:t>
      </w:r>
    </w:p>
    <w:p w14:paraId="0BE7BD0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2.乙方提供的节能和环保产品必须是列入节能、环保标志产品品目清单中的产品。</w:t>
      </w:r>
    </w:p>
    <w:p w14:paraId="2412CB0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3.质量标准按照最新颁布的国家标准、行业标准或制造商企业标准确定，上述标准不一致的，以严格标准为准。</w:t>
      </w:r>
    </w:p>
    <w:p w14:paraId="5954E0A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4.货物制造质量出现问题，乙方应负责三包（包修、包换、包退），费用由乙方负担，甲方有权到乙方生产场地检查货物质量和生产进度。</w:t>
      </w:r>
    </w:p>
    <w:p w14:paraId="3FAC5A2C">
      <w:pPr>
        <w:pStyle w:val="38"/>
        <w:pageBreakBefore w:val="0"/>
        <w:kinsoku/>
        <w:wordWrap/>
        <w:overflowPunct/>
        <w:topLinePunct w:val="0"/>
        <w:autoSpaceDE/>
        <w:autoSpaceDN/>
        <w:bidi w:val="0"/>
        <w:adjustRightInd/>
        <w:spacing w:before="120" w:beforeLines="50" w:after="120" w:afterLines="50" w:line="480" w:lineRule="exact"/>
        <w:ind w:firstLine="602"/>
        <w:outlineLvl w:val="1"/>
        <w:rPr>
          <w:rFonts w:hint="eastAsia" w:ascii="宋体" w:hAnsi="宋体"/>
          <w:b/>
          <w:color w:val="auto"/>
          <w:sz w:val="30"/>
          <w:szCs w:val="30"/>
          <w:highlight w:val="none"/>
        </w:rPr>
      </w:pPr>
      <w:bookmarkStart w:id="218" w:name="_Toc30883"/>
      <w:r>
        <w:rPr>
          <w:rFonts w:hint="eastAsia" w:ascii="宋体" w:hAnsi="宋体"/>
          <w:b/>
          <w:color w:val="auto"/>
          <w:sz w:val="30"/>
          <w:szCs w:val="30"/>
          <w:highlight w:val="none"/>
        </w:rPr>
        <w:t>第六条 权利保证</w:t>
      </w:r>
      <w:bookmarkEnd w:id="218"/>
    </w:p>
    <w:p w14:paraId="75F5876C">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1.乙方保证对其出售的货物享有合法的权利。</w:t>
      </w:r>
    </w:p>
    <w:p w14:paraId="4AF803F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2.乙方保证对其出售的货物上不存在任何未曾向甲方透露的担保物权，如抵押权、质押权、留置权。</w:t>
      </w:r>
    </w:p>
    <w:p w14:paraId="47C6C68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3.乙方保证对其出售的货物或其任何一部分没有侵犯第三方的专利权、版权、商标权或其他权利。</w:t>
      </w:r>
    </w:p>
    <w:p w14:paraId="3A4CCE0B">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4.如甲方在使用该货物构成上述侵权的，则由乙方承担全部责任。</w:t>
      </w:r>
    </w:p>
    <w:p w14:paraId="76712231">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9" w:name="_Toc23187"/>
      <w:r>
        <w:rPr>
          <w:rFonts w:hint="eastAsia" w:ascii="宋体" w:hAnsi="宋体"/>
          <w:b/>
          <w:color w:val="auto"/>
          <w:sz w:val="30"/>
          <w:szCs w:val="30"/>
          <w:highlight w:val="none"/>
        </w:rPr>
        <w:t>第七条 包装要求与运输方式</w:t>
      </w:r>
      <w:bookmarkEnd w:id="219"/>
      <w:r>
        <w:rPr>
          <w:rFonts w:hint="eastAsia" w:ascii="宋体" w:hAnsi="宋体"/>
          <w:b/>
          <w:color w:val="auto"/>
          <w:sz w:val="30"/>
          <w:szCs w:val="30"/>
          <w:highlight w:val="none"/>
        </w:rPr>
        <w:t xml:space="preserve">  </w:t>
      </w:r>
      <w:r>
        <w:rPr>
          <w:rFonts w:hint="eastAsia" w:ascii="宋体" w:hAnsi="宋体"/>
          <w:color w:val="auto"/>
          <w:sz w:val="30"/>
          <w:szCs w:val="30"/>
          <w:highlight w:val="none"/>
        </w:rPr>
        <w:t xml:space="preserve"> </w:t>
      </w:r>
    </w:p>
    <w:p w14:paraId="73423654">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1.除合同另有规定外，乙方提供的全部货物均应按标准保护措施进行包装，该包装应适应于远距离运输、防潮、防震、防锈和防野蛮装卸，以确保货物安全运抵指定地点。</w:t>
      </w:r>
    </w:p>
    <w:p w14:paraId="06F6824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2.每一包装单元应附详细的装箱单和质量合格证。</w:t>
      </w:r>
    </w:p>
    <w:p w14:paraId="4EEF3272">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3.货物（产品）运输方式：             。</w:t>
      </w:r>
    </w:p>
    <w:p w14:paraId="102F1043">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4.乙方负责货物（产品）运输，货物运输的合理损耗及计算方法。</w:t>
      </w:r>
    </w:p>
    <w:p w14:paraId="24C28B6E">
      <w:pPr>
        <w:pStyle w:val="38"/>
        <w:pageBreakBefore w:val="0"/>
        <w:kinsoku/>
        <w:wordWrap/>
        <w:overflowPunct/>
        <w:topLinePunct w:val="0"/>
        <w:autoSpaceDE/>
        <w:autoSpaceDN/>
        <w:bidi w:val="0"/>
        <w:adjustRightInd/>
        <w:spacing w:before="120" w:beforeLines="50" w:after="120" w:afterLines="50" w:line="480" w:lineRule="exact"/>
        <w:ind w:firstLine="349" w:firstLineChars="116"/>
        <w:outlineLvl w:val="1"/>
        <w:rPr>
          <w:rFonts w:hint="eastAsia" w:ascii="宋体" w:hAnsi="宋体"/>
          <w:color w:val="auto"/>
          <w:sz w:val="30"/>
          <w:szCs w:val="30"/>
          <w:highlight w:val="none"/>
        </w:rPr>
      </w:pPr>
      <w:bookmarkStart w:id="220" w:name="_Toc6663"/>
      <w:r>
        <w:rPr>
          <w:rFonts w:hint="eastAsia" w:ascii="宋体" w:hAnsi="宋体"/>
          <w:b/>
          <w:color w:val="auto"/>
          <w:sz w:val="30"/>
          <w:szCs w:val="30"/>
          <w:highlight w:val="none"/>
        </w:rPr>
        <w:t>第八条 货物验收</w:t>
      </w:r>
      <w:bookmarkEnd w:id="220"/>
    </w:p>
    <w:p w14:paraId="4C87D78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1.货物验收由甲方组织，乙方配合，并按下列程序进行：</w:t>
      </w:r>
    </w:p>
    <w:p w14:paraId="18785CB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交货验收时，乙方须提供质检部门产品抽样检查合格的检测报告（或生产厂家自检报告）及所提供货物（产品）的合格证、装箱清单、配件、随机工具、用户使用手册（产品使用说明书）、保修卡等资料交付给甲方；</w:t>
      </w:r>
    </w:p>
    <w:p w14:paraId="64ECDE1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（2）到货验收 ：货物到达后，按合同第一条款的货物清单和装箱单经行逐一核对，同时检查货物外观，是否有划痕或破损的，并做好相应记录；</w:t>
      </w:r>
    </w:p>
    <w:p w14:paraId="1BBA00C1">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（3）货物初验：乙方应在货物到货之日起，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日内全部完成</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；乙方</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日内完成初步验收；初步验收合格后，进入</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日试用期；试用期间发生重大质量问题，修复后试用期相应顺延；</w:t>
      </w:r>
    </w:p>
    <w:p w14:paraId="6A17C3D9">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（4）货物终验：试用期结束后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日内完成最终验收；</w:t>
      </w:r>
    </w:p>
    <w:p w14:paraId="08F66E6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（5）质量验收合格，双方签署质量验收报告。</w:t>
      </w:r>
    </w:p>
    <w:p w14:paraId="3DFF343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2.货物验收依据：</w:t>
      </w:r>
    </w:p>
    <w:p w14:paraId="4A48E41E">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（1）招标文件；</w:t>
      </w:r>
    </w:p>
    <w:p w14:paraId="0EC23E22">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（2）投标文件；</w:t>
      </w:r>
    </w:p>
    <w:p w14:paraId="09C099EE">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（3）采购合同及补充协议；</w:t>
      </w:r>
    </w:p>
    <w:p w14:paraId="5AEFA4DD">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（4）质检部门抽样检查货物（产品）合格的检测报告。</w:t>
      </w:r>
    </w:p>
    <w:p w14:paraId="5D55C49E">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3.货物验收时发现问题的处理办法：</w:t>
      </w:r>
    </w:p>
    <w:p w14:paraId="30DB961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（1）乙方提供不符合招标文件和本合同规定的货物（产品），甲方有权拒绝接受；</w:t>
      </w:r>
    </w:p>
    <w:p w14:paraId="29613751">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如发现所交付的货物有短装、次品、损坏或其它不符合标准及本合同规定之情形者，甲方有权要求更换货物（产品），同时做出详尽的现场记录，或由甲乙双方签署备忘录，此现场记录或备忘录可用作补充、缺失和更换损坏部件或更换整个货物（产品）有效证据，由此产生的时间延误与有关费用由乙方承担，验收期限相应顺延；</w:t>
      </w:r>
    </w:p>
    <w:p w14:paraId="57FDAB78">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（3）如货物经乙方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次维修仍不能达到合同</w:t>
      </w:r>
      <w:r>
        <w:rPr>
          <w:rFonts w:hint="eastAsia" w:ascii="宋体" w:hAnsi="宋体"/>
          <w:color w:val="auto"/>
          <w:sz w:val="21"/>
          <w:szCs w:val="21"/>
          <w:highlight w:val="none"/>
          <w:lang w:eastAsia="zh-CN"/>
        </w:rPr>
        <w:t>约</w:t>
      </w:r>
      <w:r>
        <w:rPr>
          <w:rFonts w:hint="eastAsia" w:ascii="宋体" w:hAnsi="宋体"/>
          <w:color w:val="auto"/>
          <w:sz w:val="21"/>
          <w:szCs w:val="21"/>
          <w:highlight w:val="none"/>
        </w:rPr>
        <w:t>定的质量标准，甲方有权退货，并视作乙方不能交付货物而须支付违</w:t>
      </w:r>
      <w:r>
        <w:rPr>
          <w:rFonts w:hint="eastAsia" w:ascii="宋体" w:hAnsi="宋体"/>
          <w:color w:val="auto"/>
          <w:sz w:val="21"/>
          <w:szCs w:val="21"/>
          <w:highlight w:val="none"/>
          <w:lang w:eastAsia="zh-CN"/>
        </w:rPr>
        <w:t>约</w:t>
      </w:r>
      <w:r>
        <w:rPr>
          <w:rFonts w:hint="eastAsia" w:ascii="宋体" w:hAnsi="宋体"/>
          <w:color w:val="auto"/>
          <w:sz w:val="21"/>
          <w:szCs w:val="21"/>
          <w:highlight w:val="none"/>
        </w:rPr>
        <w:t>赔偿金给甲方，甲方还可依法追究乙方的违</w:t>
      </w:r>
      <w:r>
        <w:rPr>
          <w:rFonts w:hint="eastAsia" w:ascii="宋体" w:hAnsi="宋体"/>
          <w:color w:val="auto"/>
          <w:sz w:val="21"/>
          <w:szCs w:val="21"/>
          <w:highlight w:val="none"/>
          <w:lang w:eastAsia="zh-CN"/>
        </w:rPr>
        <w:t>约</w:t>
      </w:r>
      <w:r>
        <w:rPr>
          <w:rFonts w:hint="eastAsia" w:ascii="宋体" w:hAnsi="宋体"/>
          <w:color w:val="auto"/>
          <w:sz w:val="21"/>
          <w:szCs w:val="21"/>
          <w:highlight w:val="none"/>
        </w:rPr>
        <w:t>责任； </w:t>
      </w:r>
    </w:p>
    <w:p w14:paraId="4B93E07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日内，甲方无故不进行验收工作并已使用货物的，视同已</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完成并验收合格；</w:t>
      </w:r>
    </w:p>
    <w:p w14:paraId="3FEB9B6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（5）乙方不能完整交付货物及本条第一款规定的单证和工具的，必须负责补齐，否则视为未按合同</w:t>
      </w:r>
      <w:r>
        <w:rPr>
          <w:rFonts w:hint="eastAsia" w:ascii="宋体" w:hAnsi="宋体"/>
          <w:color w:val="auto"/>
          <w:sz w:val="21"/>
          <w:szCs w:val="21"/>
          <w:highlight w:val="none"/>
          <w:lang w:eastAsia="zh-CN"/>
        </w:rPr>
        <w:t>约</w:t>
      </w:r>
      <w:r>
        <w:rPr>
          <w:rFonts w:hint="eastAsia" w:ascii="宋体" w:hAnsi="宋体"/>
          <w:color w:val="auto"/>
          <w:sz w:val="21"/>
          <w:szCs w:val="21"/>
          <w:highlight w:val="none"/>
        </w:rPr>
        <w:t>定交货；</w:t>
      </w:r>
    </w:p>
    <w:p w14:paraId="052BA019">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（6）超出合理磅差的处理方法：</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5AE7F8BB">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21" w:name="_Toc30032"/>
      <w:r>
        <w:rPr>
          <w:rFonts w:hint="eastAsia"/>
          <w:b/>
          <w:color w:val="auto"/>
          <w:sz w:val="30"/>
          <w:szCs w:val="30"/>
          <w:highlight w:val="none"/>
        </w:rPr>
        <w:t>第九条 售后服务</w:t>
      </w:r>
      <w:bookmarkEnd w:id="221"/>
    </w:p>
    <w:p w14:paraId="40EBCF57">
      <w:pPr>
        <w:pStyle w:val="38"/>
        <w:pageBreakBefore w:val="0"/>
        <w:kinsoku/>
        <w:wordWrap/>
        <w:overflowPunct/>
        <w:topLinePunct w:val="0"/>
        <w:autoSpaceDE/>
        <w:autoSpaceDN/>
        <w:bidi w:val="0"/>
        <w:adjustRightInd/>
        <w:spacing w:line="480" w:lineRule="exact"/>
        <w:ind w:firstLine="420"/>
        <w:rPr>
          <w:color w:val="auto"/>
          <w:kern w:val="0"/>
          <w:sz w:val="21"/>
          <w:szCs w:val="21"/>
          <w:highlight w:val="none"/>
        </w:rPr>
      </w:pPr>
      <w:r>
        <w:rPr>
          <w:rFonts w:hint="eastAsia"/>
          <w:color w:val="auto"/>
          <w:kern w:val="0"/>
          <w:sz w:val="21"/>
          <w:szCs w:val="21"/>
          <w:highlight w:val="none"/>
        </w:rPr>
        <w:t>质保期</w:t>
      </w:r>
      <w:r>
        <w:rPr>
          <w:rFonts w:hint="eastAsia"/>
          <w:i/>
          <w:iCs/>
          <w:color w:val="auto"/>
          <w:kern w:val="0"/>
          <w:sz w:val="21"/>
          <w:szCs w:val="21"/>
          <w:highlight w:val="none"/>
          <w:u w:val="single"/>
          <w:lang w:val="en-US" w:eastAsia="zh-CN"/>
        </w:rPr>
        <w:t xml:space="preserve">      </w:t>
      </w:r>
      <w:r>
        <w:rPr>
          <w:rFonts w:hint="eastAsia"/>
          <w:color w:val="auto"/>
          <w:kern w:val="0"/>
          <w:sz w:val="21"/>
          <w:szCs w:val="21"/>
          <w:highlight w:val="none"/>
        </w:rPr>
        <w:t>年。乙方应按照国家有关法律法规和“三包”规定以及招标文件要求和投标文件的“服务承诺”提供服务。</w:t>
      </w:r>
    </w:p>
    <w:p w14:paraId="5F9D9D89">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22" w:name="_Toc31285"/>
      <w:r>
        <w:rPr>
          <w:rFonts w:hint="eastAsia"/>
          <w:b/>
          <w:color w:val="auto"/>
          <w:kern w:val="0"/>
          <w:sz w:val="30"/>
          <w:szCs w:val="30"/>
          <w:highlight w:val="none"/>
        </w:rPr>
        <w:t xml:space="preserve">第十条 </w:t>
      </w:r>
      <w:r>
        <w:rPr>
          <w:rFonts w:hint="eastAsia"/>
          <w:b/>
          <w:color w:val="auto"/>
          <w:sz w:val="30"/>
          <w:szCs w:val="30"/>
          <w:highlight w:val="none"/>
        </w:rPr>
        <w:t>履约保证金</w:t>
      </w:r>
      <w:bookmarkEnd w:id="222"/>
    </w:p>
    <w:p w14:paraId="7DE9829F">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1.乙方在签订本合同之前，向甲方提交履</w:t>
      </w:r>
      <w:r>
        <w:rPr>
          <w:rFonts w:hint="eastAsia" w:ascii="宋体" w:hAnsi="宋体" w:cs="宋体"/>
          <w:color w:val="auto"/>
          <w:kern w:val="0"/>
          <w:szCs w:val="21"/>
          <w:highlight w:val="none"/>
          <w:lang w:eastAsia="zh-CN"/>
        </w:rPr>
        <w:t>约</w:t>
      </w:r>
      <w:r>
        <w:rPr>
          <w:rFonts w:hint="eastAsia" w:ascii="宋体" w:hAnsi="宋体" w:cs="宋体"/>
          <w:color w:val="auto"/>
          <w:kern w:val="0"/>
          <w:szCs w:val="21"/>
          <w:highlight w:val="none"/>
        </w:rPr>
        <w:t>保证金人民币（大写）</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元，￥</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303E382C">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2.履</w:t>
      </w:r>
      <w:r>
        <w:rPr>
          <w:rFonts w:hint="eastAsia" w:ascii="宋体" w:hAnsi="宋体" w:cs="宋体"/>
          <w:color w:val="auto"/>
          <w:kern w:val="0"/>
          <w:szCs w:val="21"/>
          <w:highlight w:val="none"/>
          <w:lang w:eastAsia="zh-CN"/>
        </w:rPr>
        <w:t>约</w:t>
      </w:r>
      <w:r>
        <w:rPr>
          <w:rFonts w:hint="eastAsia" w:ascii="宋体" w:hAnsi="宋体" w:cs="宋体"/>
          <w:color w:val="auto"/>
          <w:kern w:val="0"/>
          <w:szCs w:val="21"/>
          <w:highlight w:val="none"/>
        </w:rPr>
        <w:t>保证金的有效期为乙方承诺的货物（产品）质保期。</w:t>
      </w:r>
    </w:p>
    <w:p w14:paraId="06AAF1C8">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3.如乙方未能履行合同规定的义务，甲方有权从履</w:t>
      </w:r>
      <w:r>
        <w:rPr>
          <w:rFonts w:hint="eastAsia" w:ascii="宋体" w:hAnsi="宋体" w:cs="宋体"/>
          <w:color w:val="auto"/>
          <w:kern w:val="0"/>
          <w:szCs w:val="21"/>
          <w:highlight w:val="none"/>
          <w:lang w:eastAsia="zh-CN"/>
        </w:rPr>
        <w:t>约</w:t>
      </w:r>
      <w:r>
        <w:rPr>
          <w:rFonts w:hint="eastAsia" w:ascii="宋体" w:hAnsi="宋体" w:cs="宋体"/>
          <w:color w:val="auto"/>
          <w:kern w:val="0"/>
          <w:szCs w:val="21"/>
          <w:highlight w:val="none"/>
        </w:rPr>
        <w:t>保证金中取得补偿。</w:t>
      </w:r>
    </w:p>
    <w:p w14:paraId="1962A08F">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hint="eastAsia" w:ascii="宋体" w:hAnsi="宋体"/>
          <w:color w:val="auto"/>
          <w:szCs w:val="21"/>
          <w:highlight w:val="none"/>
        </w:rPr>
        <w:t>货物（产品）质保期结束后，甲方财务部门接到甲方确认本合同货物质量与服务等</w:t>
      </w:r>
      <w:r>
        <w:rPr>
          <w:rFonts w:hint="eastAsia" w:ascii="宋体" w:hAnsi="宋体"/>
          <w:color w:val="auto"/>
          <w:szCs w:val="21"/>
          <w:highlight w:val="none"/>
          <w:lang w:eastAsia="zh-CN"/>
        </w:rPr>
        <w:t>约</w:t>
      </w:r>
      <w:r>
        <w:rPr>
          <w:rFonts w:hint="eastAsia" w:ascii="宋体" w:hAnsi="宋体"/>
          <w:color w:val="auto"/>
          <w:szCs w:val="21"/>
          <w:highlight w:val="none"/>
        </w:rPr>
        <w:t>定事项已经履行完毕的正式书面文件后的</w:t>
      </w:r>
      <w:r>
        <w:rPr>
          <w:rFonts w:hint="eastAsia" w:ascii="宋体" w:hAnsi="宋体"/>
          <w:color w:val="auto"/>
          <w:szCs w:val="21"/>
          <w:highlight w:val="none"/>
          <w:u w:val="single"/>
        </w:rPr>
        <w:t xml:space="preserve">   </w:t>
      </w:r>
      <w:r>
        <w:rPr>
          <w:rFonts w:hint="eastAsia" w:ascii="宋体" w:hAnsi="宋体"/>
          <w:color w:val="auto"/>
          <w:szCs w:val="21"/>
          <w:highlight w:val="none"/>
        </w:rPr>
        <w:t>日内，向乙方退还履</w:t>
      </w:r>
      <w:r>
        <w:rPr>
          <w:rFonts w:hint="eastAsia" w:ascii="宋体" w:hAnsi="宋体"/>
          <w:color w:val="auto"/>
          <w:szCs w:val="21"/>
          <w:highlight w:val="none"/>
          <w:lang w:eastAsia="zh-CN"/>
        </w:rPr>
        <w:t>约</w:t>
      </w:r>
      <w:r>
        <w:rPr>
          <w:rFonts w:hint="eastAsia" w:ascii="宋体" w:hAnsi="宋体"/>
          <w:color w:val="auto"/>
          <w:szCs w:val="21"/>
          <w:highlight w:val="none"/>
        </w:rPr>
        <w:t>保证金。</w:t>
      </w:r>
    </w:p>
    <w:p w14:paraId="74CA711D">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bCs/>
          <w:color w:val="auto"/>
          <w:szCs w:val="21"/>
          <w:highlight w:val="none"/>
        </w:rPr>
      </w:pPr>
      <w:r>
        <w:rPr>
          <w:rFonts w:hint="eastAsia" w:ascii="宋体" w:hAnsi="宋体"/>
          <w:color w:val="auto"/>
          <w:szCs w:val="21"/>
          <w:highlight w:val="none"/>
        </w:rPr>
        <w:t>5.乙方可以履</w:t>
      </w:r>
      <w:r>
        <w:rPr>
          <w:rFonts w:hint="eastAsia" w:ascii="宋体" w:hAnsi="宋体"/>
          <w:color w:val="auto"/>
          <w:szCs w:val="21"/>
          <w:highlight w:val="none"/>
          <w:lang w:eastAsia="zh-CN"/>
        </w:rPr>
        <w:t>约</w:t>
      </w:r>
      <w:r>
        <w:rPr>
          <w:rFonts w:hint="eastAsia" w:ascii="宋体" w:hAnsi="宋体"/>
          <w:color w:val="auto"/>
          <w:szCs w:val="21"/>
          <w:highlight w:val="none"/>
        </w:rPr>
        <w:t>担保函的形式交纳履</w:t>
      </w:r>
      <w:r>
        <w:rPr>
          <w:rFonts w:hint="eastAsia" w:ascii="宋体" w:hAnsi="宋体"/>
          <w:color w:val="auto"/>
          <w:szCs w:val="21"/>
          <w:highlight w:val="none"/>
          <w:lang w:eastAsia="zh-CN"/>
        </w:rPr>
        <w:t>约</w:t>
      </w:r>
      <w:r>
        <w:rPr>
          <w:rFonts w:hint="eastAsia" w:ascii="宋体" w:hAnsi="宋体"/>
          <w:color w:val="auto"/>
          <w:szCs w:val="21"/>
          <w:highlight w:val="none"/>
        </w:rPr>
        <w:t>保证金（格式见附件1）。</w:t>
      </w:r>
    </w:p>
    <w:p w14:paraId="2CCA6F35">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23" w:name="_Toc15414"/>
      <w:r>
        <w:rPr>
          <w:rFonts w:hint="eastAsia" w:ascii="宋体" w:hAnsi="宋体"/>
          <w:b/>
          <w:color w:val="auto"/>
          <w:sz w:val="30"/>
          <w:szCs w:val="30"/>
          <w:highlight w:val="none"/>
        </w:rPr>
        <w:t>第十一条 违</w:t>
      </w:r>
      <w:r>
        <w:rPr>
          <w:rFonts w:hint="eastAsia" w:ascii="宋体" w:hAnsi="宋体"/>
          <w:b/>
          <w:color w:val="auto"/>
          <w:sz w:val="30"/>
          <w:szCs w:val="30"/>
          <w:highlight w:val="none"/>
          <w:lang w:eastAsia="zh-CN"/>
        </w:rPr>
        <w:t>约</w:t>
      </w:r>
      <w:r>
        <w:rPr>
          <w:rFonts w:hint="eastAsia" w:ascii="宋体" w:hAnsi="宋体"/>
          <w:b/>
          <w:color w:val="auto"/>
          <w:sz w:val="30"/>
          <w:szCs w:val="30"/>
          <w:highlight w:val="none"/>
        </w:rPr>
        <w:t>责任</w:t>
      </w:r>
      <w:bookmarkEnd w:id="223"/>
    </w:p>
    <w:p w14:paraId="7171E732">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1.甲方违</w:t>
      </w:r>
      <w:r>
        <w:rPr>
          <w:rFonts w:hint="eastAsia" w:ascii="宋体" w:hAnsi="宋体"/>
          <w:color w:val="auto"/>
          <w:sz w:val="21"/>
          <w:szCs w:val="21"/>
          <w:highlight w:val="none"/>
          <w:lang w:val="en-US" w:eastAsia="zh-CN"/>
        </w:rPr>
        <w:t>约</w:t>
      </w:r>
      <w:r>
        <w:rPr>
          <w:rFonts w:hint="eastAsia" w:ascii="宋体" w:hAnsi="宋体"/>
          <w:color w:val="auto"/>
          <w:sz w:val="21"/>
          <w:szCs w:val="21"/>
          <w:highlight w:val="none"/>
        </w:rPr>
        <w:t>责任</w:t>
      </w:r>
    </w:p>
    <w:p w14:paraId="3965B4CC">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（1）甲方无正当理由拒收货物的，甲方应偿付合同总价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%的违</w:t>
      </w:r>
      <w:r>
        <w:rPr>
          <w:rFonts w:hint="eastAsia" w:ascii="宋体" w:hAnsi="宋体"/>
          <w:color w:val="auto"/>
          <w:sz w:val="21"/>
          <w:szCs w:val="21"/>
          <w:highlight w:val="none"/>
          <w:lang w:val="en-US" w:eastAsia="zh-CN"/>
        </w:rPr>
        <w:t>约</w:t>
      </w:r>
      <w:r>
        <w:rPr>
          <w:rFonts w:hint="eastAsia" w:ascii="宋体" w:hAnsi="宋体"/>
          <w:color w:val="auto"/>
          <w:sz w:val="21"/>
          <w:szCs w:val="21"/>
          <w:highlight w:val="none"/>
        </w:rPr>
        <w:t>金；</w:t>
      </w:r>
    </w:p>
    <w:p w14:paraId="4F74DDC7">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（2）甲方逾期支付货款的，除应及时付足货款外，应向乙方每天支付欠款总额</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‰的滞纳金；但累计滞纳金总额不超过欠款总额的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91B8F6E">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2.乙方违</w:t>
      </w:r>
      <w:r>
        <w:rPr>
          <w:rFonts w:hint="eastAsia" w:ascii="宋体" w:hAnsi="宋体"/>
          <w:color w:val="auto"/>
          <w:sz w:val="21"/>
          <w:szCs w:val="21"/>
          <w:highlight w:val="none"/>
          <w:lang w:val="en-US" w:eastAsia="zh-CN"/>
        </w:rPr>
        <w:t>约</w:t>
      </w:r>
      <w:r>
        <w:rPr>
          <w:rFonts w:hint="eastAsia" w:ascii="宋体" w:hAnsi="宋体"/>
          <w:color w:val="auto"/>
          <w:sz w:val="21"/>
          <w:szCs w:val="21"/>
          <w:highlight w:val="none"/>
        </w:rPr>
        <w:t>责任</w:t>
      </w:r>
    </w:p>
    <w:p w14:paraId="392EF4B2">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（1）如乙方不能交付货物，甲方有权扣留全部履</w:t>
      </w:r>
      <w:r>
        <w:rPr>
          <w:rFonts w:hint="eastAsia" w:ascii="宋体" w:hAnsi="宋体"/>
          <w:color w:val="auto"/>
          <w:sz w:val="21"/>
          <w:szCs w:val="21"/>
          <w:highlight w:val="none"/>
          <w:lang w:val="en-US" w:eastAsia="zh-CN"/>
        </w:rPr>
        <w:t>约</w:t>
      </w:r>
      <w:r>
        <w:rPr>
          <w:rFonts w:hint="eastAsia" w:ascii="宋体" w:hAnsi="宋体" w:cs="宋体"/>
          <w:color w:val="auto"/>
          <w:kern w:val="0"/>
          <w:szCs w:val="21"/>
          <w:highlight w:val="none"/>
        </w:rPr>
        <w:t>保证金；同时乙方应向甲方支付合同总价</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w:t>
      </w:r>
      <w:r>
        <w:rPr>
          <w:rFonts w:hint="eastAsia" w:ascii="宋体" w:hAnsi="宋体"/>
          <w:color w:val="auto"/>
          <w:sz w:val="21"/>
          <w:szCs w:val="21"/>
          <w:highlight w:val="none"/>
          <w:lang w:val="en-US" w:eastAsia="zh-CN"/>
        </w:rPr>
        <w:t>约</w:t>
      </w:r>
      <w:r>
        <w:rPr>
          <w:rFonts w:hint="eastAsia" w:ascii="宋体" w:hAnsi="宋体" w:cs="宋体"/>
          <w:color w:val="auto"/>
          <w:kern w:val="0"/>
          <w:szCs w:val="21"/>
          <w:highlight w:val="none"/>
        </w:rPr>
        <w:t>金；</w:t>
      </w:r>
    </w:p>
    <w:p w14:paraId="4CA72E55">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（2）乙方逾期交付货物的，每逾期1天，乙方向甲方偿付逾期交货部分货款总额的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‰的滞纳金。如乙方逾期交货达___天，甲方有权解除合同，解除合同的通知自到达乙方时生效；</w:t>
      </w:r>
    </w:p>
    <w:p w14:paraId="18C2DB23">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 xml:space="preserve">（3）乙方所交付的货物品种、型号、规格不符合合同规定的，甲方有权拒收。甲方拒收的，乙方应向甲方支付货款总额 </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w:t>
      </w:r>
      <w:r>
        <w:rPr>
          <w:rFonts w:hint="eastAsia" w:ascii="宋体" w:hAnsi="宋体"/>
          <w:color w:val="auto"/>
          <w:sz w:val="21"/>
          <w:szCs w:val="21"/>
          <w:highlight w:val="none"/>
          <w:lang w:val="en-US" w:eastAsia="zh-CN"/>
        </w:rPr>
        <w:t>约</w:t>
      </w:r>
      <w:r>
        <w:rPr>
          <w:rFonts w:hint="eastAsia" w:ascii="宋体" w:hAnsi="宋体" w:cs="宋体"/>
          <w:color w:val="auto"/>
          <w:kern w:val="0"/>
          <w:szCs w:val="21"/>
          <w:highlight w:val="none"/>
        </w:rPr>
        <w:t>金；</w:t>
      </w:r>
    </w:p>
    <w:p w14:paraId="4DF00B48">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（4）乙方货物经甲方送交具有法定资格条件的质量技术监督机构检测后，如检测结果认定货物质量不符合本合同规定标准的，则视为乙方没有按时交货而违</w:t>
      </w:r>
      <w:r>
        <w:rPr>
          <w:rFonts w:hint="eastAsia" w:ascii="宋体" w:hAnsi="宋体"/>
          <w:color w:val="auto"/>
          <w:sz w:val="21"/>
          <w:szCs w:val="21"/>
          <w:highlight w:val="none"/>
          <w:lang w:val="en-US" w:eastAsia="zh-CN"/>
        </w:rPr>
        <w:t>约</w:t>
      </w:r>
      <w:r>
        <w:rPr>
          <w:rFonts w:hint="eastAsia" w:ascii="宋体" w:hAnsi="宋体"/>
          <w:color w:val="auto"/>
          <w:sz w:val="21"/>
          <w:szCs w:val="21"/>
          <w:highlight w:val="none"/>
        </w:rPr>
        <w:t>，乙方须在</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天内无条件更换合格的货物，如逾期不能更换合格的货物，甲方有权终止本合同，乙方应另向甲方支付货款总额的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%的违</w:t>
      </w:r>
      <w:r>
        <w:rPr>
          <w:rFonts w:hint="eastAsia" w:ascii="宋体" w:hAnsi="宋体"/>
          <w:color w:val="auto"/>
          <w:sz w:val="21"/>
          <w:szCs w:val="21"/>
          <w:highlight w:val="none"/>
          <w:lang w:val="en-US" w:eastAsia="zh-CN"/>
        </w:rPr>
        <w:t>约</w:t>
      </w:r>
      <w:r>
        <w:rPr>
          <w:rFonts w:hint="eastAsia" w:ascii="宋体" w:hAnsi="宋体"/>
          <w:color w:val="auto"/>
          <w:sz w:val="21"/>
          <w:szCs w:val="21"/>
          <w:highlight w:val="none"/>
        </w:rPr>
        <w:t>金；</w:t>
      </w:r>
    </w:p>
    <w:p w14:paraId="6E389C50">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（5）在乙方承诺的或国家规定的质量保证期内（取两者中最长的期限），如经乙方两次维修或更换，货物仍不能达到合同</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定的质量标准，甲方有权退货，乙方应退回全部货款，并按第3款处理，同时，乙方还须赔偿甲方因此遭受的损失；</w:t>
      </w:r>
    </w:p>
    <w:p w14:paraId="1370F2AD">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（6）乙方未按本合同第十条的规定向甲方交付履</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保证金的，应按应交付履</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保证金的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%向甲方支付违</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金，该违</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金的支付不影响乙方应承担的其他违</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责任；</w:t>
      </w:r>
    </w:p>
    <w:p w14:paraId="09A853A4">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（7）乙方未按本合同的规定和“服务承诺”提供伴随服务/售后服务的，应按合同总价款的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%向甲方承担违</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责任；</w:t>
      </w:r>
    </w:p>
    <w:p w14:paraId="2ABF59ED">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（8）乙方在承担上述1-7款一项或多项违</w:t>
      </w:r>
      <w:r>
        <w:rPr>
          <w:rFonts w:hint="eastAsia" w:ascii="宋体" w:hAnsi="宋体"/>
          <w:color w:val="auto"/>
          <w:kern w:val="0"/>
          <w:sz w:val="21"/>
          <w:szCs w:val="21"/>
          <w:highlight w:val="none"/>
          <w:lang w:eastAsia="zh-CN"/>
        </w:rPr>
        <w:t>约</w:t>
      </w:r>
      <w:r>
        <w:rPr>
          <w:rFonts w:hint="eastAsia" w:ascii="宋体" w:hAnsi="宋体"/>
          <w:color w:val="auto"/>
          <w:kern w:val="0"/>
          <w:sz w:val="21"/>
          <w:szCs w:val="21"/>
          <w:highlight w:val="none"/>
        </w:rPr>
        <w:t>责任后，仍应继续履行合同规定的义务（甲方解除合同的除外）。甲方未能及时追究乙方的任何一项违</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责任并不表明甲方放弃追究乙方该项或其他违</w:t>
      </w:r>
      <w:r>
        <w:rPr>
          <w:rFonts w:hint="eastAsia" w:ascii="宋体" w:hAnsi="宋体"/>
          <w:color w:val="auto"/>
          <w:kern w:val="0"/>
          <w:sz w:val="21"/>
          <w:szCs w:val="21"/>
          <w:highlight w:val="none"/>
          <w:lang w:val="en-US" w:eastAsia="zh-CN"/>
        </w:rPr>
        <w:t>约</w:t>
      </w:r>
      <w:r>
        <w:rPr>
          <w:rFonts w:hint="eastAsia" w:ascii="宋体" w:hAnsi="宋体"/>
          <w:color w:val="auto"/>
          <w:kern w:val="0"/>
          <w:sz w:val="21"/>
          <w:szCs w:val="21"/>
          <w:highlight w:val="none"/>
        </w:rPr>
        <w:t>责任；</w:t>
      </w:r>
    </w:p>
    <w:p w14:paraId="7F8471D8">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（9）乙方偿付的违</w:t>
      </w:r>
      <w:r>
        <w:rPr>
          <w:rFonts w:hint="eastAsia" w:ascii="宋体" w:hAnsi="宋体"/>
          <w:color w:val="auto"/>
          <w:sz w:val="21"/>
          <w:szCs w:val="21"/>
          <w:highlight w:val="none"/>
          <w:lang w:eastAsia="zh-CN"/>
        </w:rPr>
        <w:t>约</w:t>
      </w:r>
      <w:r>
        <w:rPr>
          <w:rFonts w:hint="eastAsia" w:ascii="宋体" w:hAnsi="宋体"/>
          <w:color w:val="auto"/>
          <w:sz w:val="21"/>
          <w:szCs w:val="21"/>
          <w:highlight w:val="none"/>
        </w:rPr>
        <w:t>金不足以弥补甲方损失的，还应按甲方损失尚未弥补的部分，支付赔偿金给甲方。</w:t>
      </w:r>
    </w:p>
    <w:p w14:paraId="5D329BEC">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color w:val="auto"/>
          <w:kern w:val="0"/>
          <w:sz w:val="30"/>
          <w:szCs w:val="30"/>
          <w:highlight w:val="none"/>
        </w:rPr>
      </w:pPr>
      <w:bookmarkStart w:id="224" w:name="_Toc1366"/>
      <w:r>
        <w:rPr>
          <w:rFonts w:hint="eastAsia" w:ascii="宋体" w:hAnsi="宋体"/>
          <w:b/>
          <w:color w:val="auto"/>
          <w:sz w:val="30"/>
          <w:szCs w:val="30"/>
          <w:highlight w:val="none"/>
        </w:rPr>
        <w:t xml:space="preserve">第十二条 </w:t>
      </w:r>
      <w:r>
        <w:rPr>
          <w:rFonts w:hint="eastAsia" w:ascii="宋体" w:hAnsi="宋体" w:cs="宋体"/>
          <w:b/>
          <w:color w:val="auto"/>
          <w:kern w:val="0"/>
          <w:sz w:val="30"/>
          <w:szCs w:val="30"/>
          <w:highlight w:val="none"/>
        </w:rPr>
        <w:t>合同的变更和终止</w:t>
      </w:r>
      <w:bookmarkEnd w:id="224"/>
    </w:p>
    <w:p w14:paraId="07E8DAEF">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除《中华人民共和国政府采购法》第49条、第50条第二款规定的情形外，本合同一经签订，甲乙双方不得擅自变更、中止或终止合同。</w:t>
      </w:r>
    </w:p>
    <w:p w14:paraId="3F5CF1AF">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b/>
          <w:color w:val="auto"/>
          <w:kern w:val="0"/>
          <w:sz w:val="30"/>
          <w:szCs w:val="30"/>
          <w:highlight w:val="none"/>
        </w:rPr>
      </w:pPr>
      <w:bookmarkStart w:id="225" w:name="_Toc14585"/>
      <w:r>
        <w:rPr>
          <w:rFonts w:hint="eastAsia" w:ascii="宋体" w:hAnsi="宋体" w:cs="宋体"/>
          <w:b/>
          <w:color w:val="auto"/>
          <w:kern w:val="0"/>
          <w:sz w:val="30"/>
          <w:szCs w:val="30"/>
          <w:highlight w:val="none"/>
        </w:rPr>
        <w:t>第十三条 争议的解决</w:t>
      </w:r>
      <w:bookmarkEnd w:id="225"/>
    </w:p>
    <w:p w14:paraId="1F302B45">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1.因货物的质量问题发生争议，由质量技术监督部门或其指定的质量鉴定机构进行质量鉴定。货物符合标准的，鉴定费由甲方承担；货物不符合质量标准的，鉴定费由乙方承担。</w:t>
      </w:r>
    </w:p>
    <w:p w14:paraId="0FBC8ECC">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2.因履行本合同引起的或与本合同有关的争议，甲、乙双方应首先通过友好协商解决，如果协商不成，则采取以下第（1）种方式解决争议：</w:t>
      </w:r>
    </w:p>
    <w:p w14:paraId="4BFF7F00">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（1）向甲方所在地有管辖权的人民法院提起诉讼；</w:t>
      </w:r>
    </w:p>
    <w:p w14:paraId="0BDD40E8">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3.在仲裁期间，本合同应继续履行。</w:t>
      </w:r>
    </w:p>
    <w:p w14:paraId="552EC7B1">
      <w:pPr>
        <w:pageBreakBefore w:val="0"/>
        <w:kinsoku/>
        <w:wordWrap/>
        <w:overflowPunct/>
        <w:topLinePunct w:val="0"/>
        <w:autoSpaceDE/>
        <w:autoSpaceDN/>
        <w:bidi w:val="0"/>
        <w:adjustRightInd/>
        <w:snapToGrid w:val="0"/>
        <w:spacing w:before="120" w:beforeLines="50" w:after="120" w:afterLines="50" w:line="480" w:lineRule="exact"/>
        <w:ind w:firstLine="602" w:firstLineChars="200"/>
        <w:textAlignment w:val="baseline"/>
        <w:outlineLvl w:val="1"/>
        <w:rPr>
          <w:rFonts w:hint="eastAsia" w:ascii="宋体" w:hAnsi="宋体"/>
          <w:b/>
          <w:color w:val="auto"/>
          <w:sz w:val="30"/>
          <w:szCs w:val="30"/>
          <w:highlight w:val="none"/>
        </w:rPr>
      </w:pPr>
      <w:bookmarkStart w:id="226" w:name="_Toc31673"/>
      <w:r>
        <w:rPr>
          <w:rFonts w:hint="eastAsia" w:ascii="宋体" w:hAnsi="宋体"/>
          <w:b/>
          <w:color w:val="auto"/>
          <w:sz w:val="30"/>
          <w:szCs w:val="30"/>
          <w:highlight w:val="none"/>
        </w:rPr>
        <w:t>第十四条</w:t>
      </w:r>
      <w:r>
        <w:rPr>
          <w:rFonts w:hint="eastAsia" w:ascii="宋体" w:hAnsi="宋体"/>
          <w:color w:val="auto"/>
          <w:sz w:val="30"/>
          <w:szCs w:val="30"/>
          <w:highlight w:val="none"/>
        </w:rPr>
        <w:t xml:space="preserve"> </w:t>
      </w:r>
      <w:r>
        <w:rPr>
          <w:rFonts w:hint="eastAsia" w:ascii="宋体" w:hAnsi="宋体"/>
          <w:b/>
          <w:color w:val="auto"/>
          <w:sz w:val="30"/>
          <w:szCs w:val="30"/>
          <w:highlight w:val="none"/>
        </w:rPr>
        <w:t>合同文件</w:t>
      </w:r>
      <w:bookmarkEnd w:id="226"/>
    </w:p>
    <w:p w14:paraId="0FC5A26B">
      <w:pPr>
        <w:pageBreakBefore w:val="0"/>
        <w:kinsoku/>
        <w:wordWrap/>
        <w:overflowPunct/>
        <w:topLinePunct w:val="0"/>
        <w:autoSpaceDE/>
        <w:autoSpaceDN/>
        <w:bidi w:val="0"/>
        <w:adjustRightInd/>
        <w:snapToGrid w:val="0"/>
        <w:spacing w:before="120" w:beforeLines="50" w:after="120" w:afterLines="50" w:line="480" w:lineRule="exact"/>
        <w:ind w:firstLine="420" w:firstLineChars="200"/>
        <w:textAlignment w:val="baseline"/>
        <w:rPr>
          <w:rFonts w:hint="eastAsia" w:ascii="宋体" w:hAnsi="宋体"/>
          <w:color w:val="auto"/>
          <w:szCs w:val="21"/>
          <w:highlight w:val="none"/>
        </w:rPr>
      </w:pPr>
      <w:r>
        <w:rPr>
          <w:rFonts w:hint="eastAsia" w:ascii="宋体" w:hAnsi="宋体"/>
          <w:color w:val="auto"/>
          <w:szCs w:val="21"/>
          <w:highlight w:val="none"/>
        </w:rPr>
        <w:t>详细技术说明及其他有关合同项目的特定信息由合同附件予以说明，下列文件构成本合同的组成部分，应该认为是一个整体，彼此相互解释，相互补充。组成合同的多个文件的优先支配地位的次序如下：</w:t>
      </w:r>
    </w:p>
    <w:p w14:paraId="25DB045E">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1.本合同书</w:t>
      </w:r>
    </w:p>
    <w:p w14:paraId="44CBBFD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2.中标通知书</w:t>
      </w:r>
      <w:r>
        <w:rPr>
          <w:rFonts w:hint="eastAsia" w:ascii="宋体" w:hAnsi="宋体"/>
          <w:color w:val="auto"/>
          <w:szCs w:val="21"/>
          <w:highlight w:val="none"/>
        </w:rPr>
        <w:tab/>
      </w:r>
    </w:p>
    <w:p w14:paraId="48BE747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3.协议</w:t>
      </w:r>
    </w:p>
    <w:p w14:paraId="1FA0447F">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4.招标文件(含澄清或者修改文件)</w:t>
      </w:r>
    </w:p>
    <w:p w14:paraId="466C43E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5.投标文件</w:t>
      </w:r>
    </w:p>
    <w:p w14:paraId="0D749065">
      <w:pPr>
        <w:pageBreakBefore w:val="0"/>
        <w:kinsoku/>
        <w:wordWrap/>
        <w:overflowPunct/>
        <w:topLinePunct w:val="0"/>
        <w:autoSpaceDE/>
        <w:autoSpaceDN/>
        <w:bidi w:val="0"/>
        <w:adjustRightInd/>
        <w:snapToGrid w:val="0"/>
        <w:spacing w:before="120" w:beforeLines="50" w:after="120" w:afterLines="50" w:line="480" w:lineRule="exact"/>
        <w:ind w:firstLine="452" w:firstLineChars="150"/>
        <w:outlineLvl w:val="1"/>
        <w:rPr>
          <w:rFonts w:hint="eastAsia"/>
          <w:b/>
          <w:color w:val="auto"/>
          <w:kern w:val="0"/>
          <w:sz w:val="30"/>
          <w:szCs w:val="30"/>
          <w:highlight w:val="none"/>
        </w:rPr>
      </w:pPr>
      <w:bookmarkStart w:id="227" w:name="_Toc14963"/>
      <w:r>
        <w:rPr>
          <w:rFonts w:hint="eastAsia"/>
          <w:b/>
          <w:color w:val="auto"/>
          <w:sz w:val="30"/>
          <w:szCs w:val="30"/>
          <w:highlight w:val="none"/>
        </w:rPr>
        <w:t xml:space="preserve">第十五条 </w:t>
      </w:r>
      <w:r>
        <w:rPr>
          <w:rFonts w:hint="eastAsia"/>
          <w:b/>
          <w:color w:val="auto"/>
          <w:kern w:val="0"/>
          <w:sz w:val="30"/>
          <w:szCs w:val="30"/>
          <w:highlight w:val="none"/>
        </w:rPr>
        <w:t>合同生效及其他</w:t>
      </w:r>
      <w:bookmarkEnd w:id="227"/>
    </w:p>
    <w:p w14:paraId="794273E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s="宋体"/>
          <w:color w:val="auto"/>
          <w:kern w:val="0"/>
          <w:szCs w:val="21"/>
          <w:highlight w:val="none"/>
        </w:rPr>
        <w:t>1.</w:t>
      </w:r>
      <w:r>
        <w:rPr>
          <w:rFonts w:hint="eastAsia" w:ascii="宋体" w:hAnsi="宋体"/>
          <w:color w:val="auto"/>
          <w:szCs w:val="21"/>
          <w:highlight w:val="none"/>
        </w:rPr>
        <w:t>如有未尽事宜，由双方依法订立补充合同。</w:t>
      </w:r>
    </w:p>
    <w:p w14:paraId="32D88462">
      <w:pPr>
        <w:pageBreakBefore w:val="0"/>
        <w:kinsoku/>
        <w:wordWrap/>
        <w:overflowPunct/>
        <w:topLinePunct w:val="0"/>
        <w:autoSpaceDE/>
        <w:autoSpaceDN/>
        <w:bidi w:val="0"/>
        <w:adjustRightInd/>
        <w:snapToGrid w:val="0"/>
        <w:spacing w:line="480" w:lineRule="exact"/>
        <w:ind w:firstLine="539"/>
        <w:rPr>
          <w:rFonts w:hint="eastAsia" w:ascii="宋体" w:hAnsi="宋体"/>
          <w:color w:val="auto"/>
          <w:kern w:val="0"/>
          <w:szCs w:val="21"/>
          <w:highlight w:val="none"/>
        </w:rPr>
      </w:pPr>
      <w:r>
        <w:rPr>
          <w:rFonts w:hint="eastAsia" w:ascii="宋体" w:hAnsi="宋体"/>
          <w:color w:val="auto"/>
          <w:kern w:val="0"/>
          <w:szCs w:val="21"/>
          <w:highlight w:val="none"/>
        </w:rPr>
        <w:t>2.本合同自签订之日起生效。</w:t>
      </w:r>
    </w:p>
    <w:p w14:paraId="2B31871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kern w:val="0"/>
          <w:szCs w:val="21"/>
          <w:highlight w:val="none"/>
        </w:rPr>
        <w:t>3.本合同一式___份，具有同等法律效力，甲乙双方各执____份，___份报送监督管理部门备案，一份采购代理机构存档。</w:t>
      </w:r>
    </w:p>
    <w:p w14:paraId="754277DB">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1C020E82">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5C9613E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甲方：   （盖章）   </w:t>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 xml:space="preserve">   乙方：   （盖章）</w:t>
      </w:r>
    </w:p>
    <w:p w14:paraId="0F73876C">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法定代表人/委托代理人：            法定代表人/委托代理人：</w:t>
      </w:r>
    </w:p>
    <w:p w14:paraId="519DEA99">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地    址：                         地    址：</w:t>
      </w:r>
    </w:p>
    <w:p w14:paraId="5F40F247">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开户银行：                         开户银行：</w:t>
      </w:r>
    </w:p>
    <w:p w14:paraId="2887FA5C">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账    号：                         账    号：</w:t>
      </w:r>
    </w:p>
    <w:p w14:paraId="658ACE1A">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电    话：                         电    话：</w:t>
      </w:r>
    </w:p>
    <w:p w14:paraId="7326AC1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传    真：                         传    真：</w:t>
      </w:r>
    </w:p>
    <w:p w14:paraId="78D1DEC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签</w:t>
      </w:r>
      <w:r>
        <w:rPr>
          <w:rFonts w:hint="eastAsia" w:ascii="宋体" w:hAnsi="宋体"/>
          <w:color w:val="auto"/>
          <w:szCs w:val="21"/>
          <w:highlight w:val="none"/>
          <w:lang w:val="en-US" w:eastAsia="zh-CN"/>
        </w:rPr>
        <w:t>约</w:t>
      </w:r>
      <w:r>
        <w:rPr>
          <w:rFonts w:hint="eastAsia" w:ascii="宋体" w:hAnsi="宋体"/>
          <w:color w:val="auto"/>
          <w:szCs w:val="21"/>
          <w:highlight w:val="none"/>
        </w:rPr>
        <w:t>日期：    年  月  日           签</w:t>
      </w:r>
      <w:r>
        <w:rPr>
          <w:rFonts w:hint="eastAsia" w:ascii="宋体" w:hAnsi="宋体"/>
          <w:color w:val="auto"/>
          <w:szCs w:val="21"/>
          <w:highlight w:val="none"/>
          <w:lang w:val="en-US" w:eastAsia="zh-CN"/>
        </w:rPr>
        <w:t>约</w:t>
      </w:r>
      <w:r>
        <w:rPr>
          <w:rFonts w:hint="eastAsia" w:ascii="宋体" w:hAnsi="宋体"/>
          <w:color w:val="auto"/>
          <w:szCs w:val="21"/>
          <w:highlight w:val="none"/>
        </w:rPr>
        <w:t>日期：    年  月  日</w:t>
      </w:r>
    </w:p>
    <w:p w14:paraId="4420F5A8">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4391A011">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542B46FA">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390C2CC4">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黑体" w:hAnsi="宋体" w:eastAsia="黑体"/>
          <w:color w:val="auto"/>
          <w:sz w:val="28"/>
          <w:szCs w:val="28"/>
          <w:highlight w:val="none"/>
        </w:rPr>
      </w:pPr>
      <w:r>
        <w:rPr>
          <w:rFonts w:ascii="黑体" w:hAnsi="宋体" w:eastAsia="黑体"/>
          <w:color w:val="auto"/>
          <w:sz w:val="28"/>
          <w:szCs w:val="28"/>
          <w:highlight w:val="none"/>
        </w:rPr>
        <w:br w:type="page"/>
      </w:r>
      <w:r>
        <w:rPr>
          <w:rFonts w:hint="eastAsia" w:ascii="黑体" w:hAnsi="宋体" w:eastAsia="黑体"/>
          <w:color w:val="auto"/>
          <w:sz w:val="28"/>
          <w:szCs w:val="28"/>
          <w:highlight w:val="none"/>
        </w:rPr>
        <w:t>附件1：</w:t>
      </w:r>
    </w:p>
    <w:p w14:paraId="28F31D4F">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b/>
          <w:color w:val="auto"/>
          <w:sz w:val="36"/>
          <w:szCs w:val="36"/>
          <w:highlight w:val="none"/>
          <w:lang w:eastAsia="zh-CN"/>
        </w:rPr>
      </w:pPr>
      <w:r>
        <w:rPr>
          <w:rFonts w:hint="eastAsia" w:ascii="宋体" w:hAnsi="宋体"/>
          <w:b/>
          <w:color w:val="auto"/>
          <w:sz w:val="36"/>
          <w:szCs w:val="36"/>
          <w:highlight w:val="none"/>
        </w:rPr>
        <w:t>采购履</w:t>
      </w:r>
      <w:r>
        <w:rPr>
          <w:rFonts w:hint="eastAsia" w:ascii="宋体" w:hAnsi="宋体"/>
          <w:b/>
          <w:color w:val="auto"/>
          <w:sz w:val="36"/>
          <w:szCs w:val="36"/>
          <w:highlight w:val="none"/>
          <w:lang w:eastAsia="zh-CN"/>
        </w:rPr>
        <w:t>约</w:t>
      </w:r>
      <w:r>
        <w:rPr>
          <w:rFonts w:hint="eastAsia" w:ascii="宋体" w:hAnsi="宋体"/>
          <w:b/>
          <w:color w:val="auto"/>
          <w:sz w:val="36"/>
          <w:szCs w:val="36"/>
          <w:highlight w:val="none"/>
        </w:rPr>
        <w:t>担保函</w:t>
      </w:r>
      <w:r>
        <w:rPr>
          <w:rFonts w:hint="eastAsia" w:ascii="宋体" w:hAnsi="宋体"/>
          <w:b/>
          <w:color w:val="auto"/>
          <w:sz w:val="36"/>
          <w:szCs w:val="36"/>
          <w:highlight w:val="none"/>
          <w:lang w:eastAsia="zh-CN"/>
        </w:rPr>
        <w:t>（</w:t>
      </w:r>
      <w:r>
        <w:rPr>
          <w:rFonts w:hint="eastAsia" w:ascii="宋体" w:hAnsi="宋体"/>
          <w:b/>
          <w:color w:val="auto"/>
          <w:sz w:val="36"/>
          <w:szCs w:val="36"/>
          <w:highlight w:val="none"/>
          <w:lang w:val="en-US" w:eastAsia="zh-CN"/>
        </w:rPr>
        <w:t>仅供参考</w:t>
      </w:r>
      <w:r>
        <w:rPr>
          <w:rFonts w:hint="eastAsia" w:ascii="宋体" w:hAnsi="宋体"/>
          <w:b/>
          <w:color w:val="auto"/>
          <w:sz w:val="36"/>
          <w:szCs w:val="36"/>
          <w:highlight w:val="none"/>
          <w:lang w:eastAsia="zh-CN"/>
        </w:rPr>
        <w:t>）</w:t>
      </w:r>
    </w:p>
    <w:p w14:paraId="18AC34FB">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color w:val="auto"/>
          <w:highlight w:val="none"/>
        </w:rPr>
      </w:pPr>
    </w:p>
    <w:p w14:paraId="22D9D747">
      <w:pPr>
        <w:keepNext w:val="0"/>
        <w:keepLines w:val="0"/>
        <w:pageBreakBefore w:val="0"/>
        <w:widowControl w:val="0"/>
        <w:kinsoku/>
        <w:wordWrap/>
        <w:overflowPunct/>
        <w:topLinePunct w:val="0"/>
        <w:autoSpaceDE/>
        <w:autoSpaceDN/>
        <w:bidi w:val="0"/>
        <w:adjustRightInd/>
        <w:snapToGrid/>
        <w:spacing w:line="480" w:lineRule="exact"/>
        <w:ind w:firstLine="6615" w:firstLineChars="3150"/>
        <w:textAlignment w:val="auto"/>
        <w:rPr>
          <w:rFonts w:hint="eastAsia"/>
          <w:color w:val="auto"/>
          <w:szCs w:val="21"/>
          <w:highlight w:val="none"/>
        </w:rPr>
      </w:pPr>
      <w:r>
        <w:rPr>
          <w:rFonts w:hint="eastAsia"/>
          <w:color w:val="auto"/>
          <w:szCs w:val="21"/>
          <w:highlight w:val="none"/>
        </w:rPr>
        <w:t xml:space="preserve"> 编号：</w:t>
      </w:r>
    </w:p>
    <w:p w14:paraId="6D2F3BC2">
      <w:pPr>
        <w:keepNext w:val="0"/>
        <w:keepLines w:val="0"/>
        <w:pageBreakBefore w:val="0"/>
        <w:widowControl w:val="0"/>
        <w:kinsoku/>
        <w:wordWrap/>
        <w:overflowPunct/>
        <w:topLinePunct w:val="0"/>
        <w:autoSpaceDE/>
        <w:autoSpaceDN/>
        <w:bidi w:val="0"/>
        <w:adjustRightInd/>
        <w:snapToGrid/>
        <w:spacing w:line="480" w:lineRule="exact"/>
        <w:textAlignment w:val="auto"/>
        <w:rPr>
          <w:color w:val="auto"/>
          <w:szCs w:val="21"/>
          <w:highlight w:val="none"/>
        </w:rPr>
      </w:pPr>
    </w:p>
    <w:p w14:paraId="65BBCA7F">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p>
    <w:p w14:paraId="032D0C57">
      <w:pPr>
        <w:keepNext w:val="0"/>
        <w:keepLines w:val="0"/>
        <w:pageBreakBefore w:val="0"/>
        <w:widowControl w:val="0"/>
        <w:kinsoku/>
        <w:wordWrap/>
        <w:overflowPunct/>
        <w:topLinePunct w:val="0"/>
        <w:autoSpaceDE/>
        <w:autoSpaceDN/>
        <w:bidi w:val="0"/>
        <w:adjustRightInd/>
        <w:snapToGrid/>
        <w:spacing w:line="480" w:lineRule="exact"/>
        <w:textAlignment w:val="auto"/>
        <w:rPr>
          <w:rFonts w:ascii="宋体" w:hAnsi="宋体"/>
          <w:color w:val="auto"/>
          <w:szCs w:val="21"/>
          <w:highlight w:val="none"/>
        </w:rPr>
      </w:pPr>
    </w:p>
    <w:p w14:paraId="186EA81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鉴于你方与</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（以下简称中标人）于</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日签定编号为</w:t>
      </w:r>
      <w:r>
        <w:rPr>
          <w:rFonts w:hint="eastAsia" w:ascii="宋体" w:hAnsi="宋体"/>
          <w:color w:val="auto"/>
          <w:szCs w:val="21"/>
          <w:highlight w:val="none"/>
          <w:u w:val="single"/>
        </w:rPr>
        <w:t xml:space="preserve">   </w:t>
      </w:r>
      <w:r>
        <w:rPr>
          <w:rFonts w:hint="eastAsia" w:ascii="宋体" w:hAnsi="宋体"/>
          <w:color w:val="auto"/>
          <w:szCs w:val="21"/>
          <w:highlight w:val="none"/>
        </w:rPr>
        <w:t>的《</w:t>
      </w:r>
      <w:r>
        <w:rPr>
          <w:rFonts w:hint="eastAsia" w:ascii="宋体" w:hAnsi="宋体"/>
          <w:color w:val="auto"/>
          <w:szCs w:val="21"/>
          <w:highlight w:val="none"/>
          <w:u w:val="single"/>
        </w:rPr>
        <w:t xml:space="preserve">           </w:t>
      </w:r>
      <w:r>
        <w:rPr>
          <w:rFonts w:hint="eastAsia" w:ascii="宋体" w:hAnsi="宋体"/>
          <w:color w:val="auto"/>
          <w:szCs w:val="21"/>
          <w:highlight w:val="none"/>
        </w:rPr>
        <w:t>采购合同》（以下简称主合同），且依据该合同的</w:t>
      </w:r>
      <w:r>
        <w:rPr>
          <w:rFonts w:hint="eastAsia" w:ascii="宋体" w:hAnsi="宋体"/>
          <w:color w:val="auto"/>
          <w:szCs w:val="21"/>
          <w:highlight w:val="none"/>
          <w:lang w:eastAsia="zh-CN"/>
        </w:rPr>
        <w:t>约</w:t>
      </w:r>
      <w:r>
        <w:rPr>
          <w:rFonts w:hint="eastAsia" w:ascii="宋体" w:hAnsi="宋体"/>
          <w:color w:val="auto"/>
          <w:szCs w:val="21"/>
          <w:highlight w:val="none"/>
        </w:rPr>
        <w:t>定，中标人应在</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日前向你方交纳履</w:t>
      </w:r>
      <w:r>
        <w:rPr>
          <w:rFonts w:hint="eastAsia" w:ascii="宋体" w:hAnsi="宋体"/>
          <w:color w:val="auto"/>
          <w:szCs w:val="21"/>
          <w:highlight w:val="none"/>
          <w:lang w:eastAsia="zh-CN"/>
        </w:rPr>
        <w:t>约</w:t>
      </w:r>
      <w:r>
        <w:rPr>
          <w:rFonts w:hint="eastAsia" w:ascii="宋体" w:hAnsi="宋体"/>
          <w:color w:val="auto"/>
          <w:szCs w:val="21"/>
          <w:highlight w:val="none"/>
        </w:rPr>
        <w:t>保证金，且可以履</w:t>
      </w:r>
      <w:r>
        <w:rPr>
          <w:rFonts w:hint="eastAsia" w:ascii="宋体" w:hAnsi="宋体"/>
          <w:color w:val="auto"/>
          <w:szCs w:val="21"/>
          <w:highlight w:val="none"/>
          <w:lang w:eastAsia="zh-CN"/>
        </w:rPr>
        <w:t>约</w:t>
      </w:r>
      <w:r>
        <w:rPr>
          <w:rFonts w:hint="eastAsia" w:ascii="宋体" w:hAnsi="宋体"/>
          <w:color w:val="auto"/>
          <w:szCs w:val="21"/>
          <w:highlight w:val="none"/>
        </w:rPr>
        <w:t>担保函的形式交纳履</w:t>
      </w:r>
      <w:r>
        <w:rPr>
          <w:rFonts w:hint="eastAsia" w:ascii="宋体" w:hAnsi="宋体"/>
          <w:color w:val="auto"/>
          <w:szCs w:val="21"/>
          <w:highlight w:val="none"/>
          <w:lang w:eastAsia="zh-CN"/>
        </w:rPr>
        <w:t>约</w:t>
      </w:r>
      <w:r>
        <w:rPr>
          <w:rFonts w:hint="eastAsia" w:ascii="宋体" w:hAnsi="宋体"/>
          <w:color w:val="auto"/>
          <w:szCs w:val="21"/>
          <w:highlight w:val="none"/>
        </w:rPr>
        <w:t>保证金。应中标人的申请，我方以保证的方式向你方提供如下履</w:t>
      </w:r>
      <w:r>
        <w:rPr>
          <w:rFonts w:hint="eastAsia" w:ascii="宋体" w:hAnsi="宋体"/>
          <w:color w:val="auto"/>
          <w:szCs w:val="21"/>
          <w:highlight w:val="none"/>
          <w:lang w:eastAsia="zh-CN"/>
        </w:rPr>
        <w:t>约</w:t>
      </w:r>
      <w:r>
        <w:rPr>
          <w:rFonts w:hint="eastAsia" w:ascii="宋体" w:hAnsi="宋体"/>
          <w:color w:val="auto"/>
          <w:szCs w:val="21"/>
          <w:highlight w:val="none"/>
        </w:rPr>
        <w:t>保证金担保：</w:t>
      </w:r>
    </w:p>
    <w:p w14:paraId="6725850C">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一、保证责任的情形及保证金额</w:t>
      </w:r>
    </w:p>
    <w:p w14:paraId="64F04A7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（一）在中标人出现下列情形之一时，我方承担保证责任：</w:t>
      </w:r>
    </w:p>
    <w:p w14:paraId="0C93078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1.将中标项目转让给他人，或者在投标文件中未说明，且未经采购招标机构人同意，将中标项目分包给他人的；</w:t>
      </w:r>
    </w:p>
    <w:p w14:paraId="6C419716">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2.主合同</w:t>
      </w:r>
      <w:r>
        <w:rPr>
          <w:rFonts w:hint="eastAsia" w:ascii="宋体" w:hAnsi="宋体"/>
          <w:color w:val="auto"/>
          <w:szCs w:val="21"/>
          <w:highlight w:val="none"/>
          <w:lang w:eastAsia="zh-CN"/>
        </w:rPr>
        <w:t>约</w:t>
      </w:r>
      <w:r>
        <w:rPr>
          <w:rFonts w:hint="eastAsia" w:ascii="宋体" w:hAnsi="宋体"/>
          <w:color w:val="auto"/>
          <w:szCs w:val="21"/>
          <w:highlight w:val="none"/>
        </w:rPr>
        <w:t>定的应当缴纳履</w:t>
      </w:r>
      <w:r>
        <w:rPr>
          <w:rFonts w:hint="eastAsia" w:ascii="宋体" w:hAnsi="宋体"/>
          <w:color w:val="auto"/>
          <w:szCs w:val="21"/>
          <w:highlight w:val="none"/>
          <w:lang w:eastAsia="zh-CN"/>
        </w:rPr>
        <w:t>约</w:t>
      </w:r>
      <w:r>
        <w:rPr>
          <w:rFonts w:hint="eastAsia" w:ascii="宋体" w:hAnsi="宋体"/>
          <w:color w:val="auto"/>
          <w:szCs w:val="21"/>
          <w:highlight w:val="none"/>
        </w:rPr>
        <w:t xml:space="preserve">保证金的情形: </w:t>
      </w:r>
    </w:p>
    <w:p w14:paraId="57A1165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（1）未按主合同</w:t>
      </w:r>
      <w:r>
        <w:rPr>
          <w:rFonts w:hint="eastAsia" w:ascii="宋体" w:hAnsi="宋体"/>
          <w:color w:val="auto"/>
          <w:szCs w:val="21"/>
          <w:highlight w:val="none"/>
          <w:lang w:eastAsia="zh-CN"/>
        </w:rPr>
        <w:t>约</w:t>
      </w:r>
      <w:r>
        <w:rPr>
          <w:rFonts w:hint="eastAsia" w:ascii="宋体" w:hAnsi="宋体"/>
          <w:color w:val="auto"/>
          <w:szCs w:val="21"/>
          <w:highlight w:val="none"/>
        </w:rPr>
        <w:t>定的质量、数量和期限供应货物/提供服务/完成工程的；</w:t>
      </w:r>
    </w:p>
    <w:p w14:paraId="527267C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59EC6B0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（二）我方的保证范围是主合同</w:t>
      </w:r>
      <w:r>
        <w:rPr>
          <w:rFonts w:hint="eastAsia" w:ascii="宋体" w:hAnsi="宋体"/>
          <w:color w:val="auto"/>
          <w:szCs w:val="21"/>
          <w:highlight w:val="none"/>
          <w:lang w:val="en-US" w:eastAsia="zh-CN"/>
        </w:rPr>
        <w:t>约</w:t>
      </w:r>
      <w:r>
        <w:rPr>
          <w:rFonts w:hint="eastAsia" w:ascii="宋体" w:hAnsi="宋体"/>
          <w:color w:val="auto"/>
          <w:szCs w:val="21"/>
          <w:highlight w:val="none"/>
        </w:rPr>
        <w:t>定的合同价款总额的</w:t>
      </w:r>
      <w:r>
        <w:rPr>
          <w:rFonts w:hint="eastAsia" w:ascii="宋体" w:hAnsi="宋体"/>
          <w:color w:val="auto"/>
          <w:szCs w:val="21"/>
          <w:highlight w:val="none"/>
          <w:u w:val="single"/>
        </w:rPr>
        <w:t xml:space="preserve">        </w:t>
      </w:r>
      <w:r>
        <w:rPr>
          <w:rFonts w:hint="eastAsia" w:ascii="宋体" w:hAnsi="宋体"/>
          <w:color w:val="auto"/>
          <w:szCs w:val="21"/>
          <w:highlight w:val="none"/>
        </w:rPr>
        <w:t>%数额为</w:t>
      </w:r>
      <w:r>
        <w:rPr>
          <w:rFonts w:hint="eastAsia" w:ascii="宋体" w:hAnsi="宋体"/>
          <w:color w:val="auto"/>
          <w:szCs w:val="21"/>
          <w:highlight w:val="none"/>
          <w:u w:val="single"/>
        </w:rPr>
        <w:t xml:space="preserve">         </w:t>
      </w:r>
      <w:r>
        <w:rPr>
          <w:rFonts w:hint="eastAsia" w:ascii="宋体" w:hAnsi="宋体"/>
          <w:color w:val="auto"/>
          <w:szCs w:val="21"/>
          <w:highlight w:val="none"/>
        </w:rPr>
        <w:t>元（大写</w:t>
      </w:r>
      <w:r>
        <w:rPr>
          <w:rFonts w:hint="eastAsia" w:ascii="宋体" w:hAnsi="宋体"/>
          <w:color w:val="auto"/>
          <w:szCs w:val="21"/>
          <w:highlight w:val="none"/>
          <w:u w:val="single"/>
        </w:rPr>
        <w:t xml:space="preserve">           </w:t>
      </w:r>
      <w:r>
        <w:rPr>
          <w:rFonts w:hint="eastAsia" w:ascii="宋体" w:hAnsi="宋体"/>
          <w:color w:val="auto"/>
          <w:szCs w:val="21"/>
          <w:highlight w:val="none"/>
        </w:rPr>
        <w:t>），币种为</w:t>
      </w:r>
      <w:r>
        <w:rPr>
          <w:rFonts w:hint="eastAsia" w:ascii="宋体" w:hAnsi="宋体"/>
          <w:color w:val="auto"/>
          <w:szCs w:val="21"/>
          <w:highlight w:val="none"/>
          <w:u w:val="single"/>
        </w:rPr>
        <w:t xml:space="preserve">        </w:t>
      </w:r>
      <w:r>
        <w:rPr>
          <w:rFonts w:hint="eastAsia" w:ascii="宋体" w:hAnsi="宋体"/>
          <w:color w:val="auto"/>
          <w:szCs w:val="21"/>
          <w:highlight w:val="none"/>
        </w:rPr>
        <w:t>。（即主合同履</w:t>
      </w:r>
      <w:r>
        <w:rPr>
          <w:rFonts w:hint="eastAsia" w:ascii="宋体" w:hAnsi="宋体"/>
          <w:color w:val="auto"/>
          <w:szCs w:val="21"/>
          <w:highlight w:val="none"/>
          <w:lang w:val="en-US" w:eastAsia="zh-CN"/>
        </w:rPr>
        <w:t>约</w:t>
      </w:r>
      <w:r>
        <w:rPr>
          <w:rFonts w:hint="eastAsia" w:ascii="宋体" w:hAnsi="宋体"/>
          <w:color w:val="auto"/>
          <w:szCs w:val="21"/>
          <w:highlight w:val="none"/>
        </w:rPr>
        <w:t>保证金金额）</w:t>
      </w:r>
    </w:p>
    <w:p w14:paraId="26B452E1">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二、保证的方式及保证期间</w:t>
      </w:r>
    </w:p>
    <w:p w14:paraId="47E1D6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我方保证的方式为：连带责任保证。</w:t>
      </w:r>
    </w:p>
    <w:p w14:paraId="7715AF5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我方保证的期间为：自本合同生效之日起至中标人按照主合同</w:t>
      </w:r>
      <w:r>
        <w:rPr>
          <w:rFonts w:hint="eastAsia" w:ascii="宋体" w:hAnsi="宋体"/>
          <w:color w:val="auto"/>
          <w:szCs w:val="21"/>
          <w:highlight w:val="none"/>
          <w:lang w:eastAsia="zh-CN"/>
        </w:rPr>
        <w:t>约</w:t>
      </w:r>
      <w:r>
        <w:rPr>
          <w:rFonts w:hint="eastAsia" w:ascii="宋体" w:hAnsi="宋体"/>
          <w:color w:val="auto"/>
          <w:szCs w:val="21"/>
          <w:highlight w:val="none"/>
        </w:rPr>
        <w:t>定的供货/完工期限届满后</w:t>
      </w:r>
      <w:r>
        <w:rPr>
          <w:rFonts w:hint="eastAsia" w:ascii="宋体" w:hAnsi="宋体"/>
          <w:color w:val="auto"/>
          <w:szCs w:val="21"/>
          <w:highlight w:val="none"/>
          <w:u w:val="single"/>
        </w:rPr>
        <w:t xml:space="preserve">     </w:t>
      </w:r>
      <w:r>
        <w:rPr>
          <w:rFonts w:hint="eastAsia" w:ascii="宋体" w:hAnsi="宋体"/>
          <w:color w:val="auto"/>
          <w:szCs w:val="21"/>
          <w:highlight w:val="none"/>
        </w:rPr>
        <w:t>日内。</w:t>
      </w:r>
    </w:p>
    <w:p w14:paraId="7B2189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如果中标人未按主合同</w:t>
      </w:r>
      <w:r>
        <w:rPr>
          <w:rFonts w:hint="eastAsia" w:ascii="宋体" w:hAnsi="宋体"/>
          <w:color w:val="auto"/>
          <w:szCs w:val="21"/>
          <w:highlight w:val="none"/>
          <w:lang w:eastAsia="zh-CN"/>
        </w:rPr>
        <w:t>约</w:t>
      </w:r>
      <w:r>
        <w:rPr>
          <w:rFonts w:hint="eastAsia" w:ascii="宋体" w:hAnsi="宋体"/>
          <w:color w:val="auto"/>
          <w:szCs w:val="21"/>
          <w:highlight w:val="none"/>
        </w:rPr>
        <w:t>定向贵方供应货物/提供服务/完成工程的，由我方在保证金额内向你方支付上述款项。</w:t>
      </w:r>
    </w:p>
    <w:p w14:paraId="671685DE">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82" w:firstLineChars="150"/>
        <w:textAlignment w:val="auto"/>
        <w:rPr>
          <w:rFonts w:hint="eastAsia" w:ascii="宋体" w:hAnsi="宋体"/>
          <w:b/>
          <w:color w:val="auto"/>
          <w:sz w:val="32"/>
          <w:szCs w:val="32"/>
          <w:highlight w:val="none"/>
        </w:rPr>
      </w:pPr>
      <w:r>
        <w:rPr>
          <w:rFonts w:hint="eastAsia" w:ascii="宋体" w:hAnsi="宋体"/>
          <w:b/>
          <w:color w:val="auto"/>
          <w:sz w:val="32"/>
          <w:szCs w:val="32"/>
          <w:highlight w:val="none"/>
        </w:rPr>
        <w:t>三、承担保证责任的程序</w:t>
      </w:r>
    </w:p>
    <w:p w14:paraId="7C5572F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1.你方要求我方承担保证责任的，应在本保函保证期间内向我方发出书面索赔通知。索赔通知应写明要求索赔的金额，支付款项应到达的帐号。并附有证明中标人违</w:t>
      </w:r>
      <w:r>
        <w:rPr>
          <w:rFonts w:hint="eastAsia" w:ascii="宋体" w:hAnsi="宋体"/>
          <w:color w:val="auto"/>
          <w:szCs w:val="21"/>
          <w:highlight w:val="none"/>
          <w:lang w:val="en-US" w:eastAsia="zh-CN"/>
        </w:rPr>
        <w:t>约</w:t>
      </w:r>
      <w:r>
        <w:rPr>
          <w:rFonts w:hint="eastAsia" w:ascii="宋体" w:hAnsi="宋体"/>
          <w:color w:val="auto"/>
          <w:szCs w:val="21"/>
          <w:highlight w:val="none"/>
        </w:rPr>
        <w:t>事实的证明材料。</w:t>
      </w:r>
    </w:p>
    <w:p w14:paraId="34667AE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如果你方与中标人因货物质量问题产生争议，你方还需同时提供</w:t>
      </w:r>
      <w:r>
        <w:rPr>
          <w:rFonts w:hint="eastAsia" w:ascii="宋体" w:hAnsi="宋体"/>
          <w:color w:val="auto"/>
          <w:szCs w:val="21"/>
          <w:highlight w:val="none"/>
          <w:u w:val="single"/>
        </w:rPr>
        <w:t xml:space="preserve">        </w:t>
      </w:r>
      <w:r>
        <w:rPr>
          <w:rFonts w:hint="eastAsia" w:ascii="宋体" w:hAnsi="宋体"/>
          <w:color w:val="auto"/>
          <w:szCs w:val="21"/>
          <w:highlight w:val="none"/>
        </w:rPr>
        <w:t>部门出具的质量检测报告，或经诉讼（仲裁）程序裁决后的裁决书、调解书，本保证人即按照检测结果或裁决书、调解书决定是否承担保证责任。</w:t>
      </w:r>
    </w:p>
    <w:p w14:paraId="74AC8B8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2.我方收到你方的书面索赔通知及相应证明材料，在</w:t>
      </w:r>
      <w:r>
        <w:rPr>
          <w:rFonts w:hint="eastAsia" w:ascii="宋体" w:hAnsi="宋体"/>
          <w:color w:val="auto"/>
          <w:szCs w:val="21"/>
          <w:highlight w:val="none"/>
          <w:u w:val="single"/>
        </w:rPr>
        <w:t xml:space="preserve">     </w:t>
      </w:r>
      <w:r>
        <w:rPr>
          <w:rFonts w:hint="eastAsia" w:ascii="宋体" w:hAnsi="宋体"/>
          <w:color w:val="auto"/>
          <w:szCs w:val="21"/>
          <w:highlight w:val="none"/>
        </w:rPr>
        <w:t>工作日内进行核定后按照本保函的承诺承担保证责任。</w:t>
      </w:r>
    </w:p>
    <w:p w14:paraId="6F919CE2">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四、保证责任的终止</w:t>
      </w:r>
    </w:p>
    <w:p w14:paraId="7A22049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1.保证期间届满你方未向我方书面主张保证责任的，自保证期间届满次日起，我方保证责任自动终止。保证期间届满前，主合同</w:t>
      </w:r>
      <w:r>
        <w:rPr>
          <w:rFonts w:hint="eastAsia" w:ascii="宋体" w:hAnsi="宋体"/>
          <w:color w:val="auto"/>
          <w:szCs w:val="21"/>
          <w:highlight w:val="none"/>
          <w:lang w:eastAsia="zh-CN"/>
        </w:rPr>
        <w:t>约</w:t>
      </w:r>
      <w:r>
        <w:rPr>
          <w:rFonts w:hint="eastAsia" w:ascii="宋体" w:hAnsi="宋体"/>
          <w:color w:val="auto"/>
          <w:szCs w:val="21"/>
          <w:highlight w:val="none"/>
        </w:rPr>
        <w:t>定的货物\工程\服务全部验收合格的，自验收合格日起，我方保证责任自动终止。</w:t>
      </w:r>
    </w:p>
    <w:p w14:paraId="7316F59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2.我方按照本保函向你方履行了保证责任后，自我方向你方支付款项（支付款项从我方账户划出）之日起，保证责任即终止。</w:t>
      </w:r>
    </w:p>
    <w:p w14:paraId="4EB57A9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3.按照法律法规的规定或出现应终止我方保证责任的其它情形的，我方在本保函项下的保证责任亦终止。</w:t>
      </w:r>
    </w:p>
    <w:p w14:paraId="241D30B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4.你方与中标人修改主合同，加重我方保证责任的，我方对加重部分不承担保证责任，但该等修改事先经我方书面同意的除外；你方与中标人修改主合同履行期限，我方保证期间仍依修改前的履行期限计算，但该等修改事先经我方书面同意的除外。</w:t>
      </w:r>
    </w:p>
    <w:p w14:paraId="6D4DFA78">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五、免责条款</w:t>
      </w:r>
    </w:p>
    <w:p w14:paraId="123F5F4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1.因你方违反主合同</w:t>
      </w:r>
      <w:r>
        <w:rPr>
          <w:rFonts w:hint="eastAsia" w:ascii="宋体" w:hAnsi="宋体"/>
          <w:color w:val="auto"/>
          <w:szCs w:val="21"/>
          <w:highlight w:val="none"/>
          <w:lang w:eastAsia="zh-CN"/>
        </w:rPr>
        <w:t>约</w:t>
      </w:r>
      <w:r>
        <w:rPr>
          <w:rFonts w:hint="eastAsia" w:ascii="宋体" w:hAnsi="宋体"/>
          <w:color w:val="auto"/>
          <w:szCs w:val="21"/>
          <w:highlight w:val="none"/>
        </w:rPr>
        <w:t>定致使中标人不能履行义务的，我方不承担保证责任。</w:t>
      </w:r>
    </w:p>
    <w:p w14:paraId="76A7A5F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2.依照法律法规的规定或你方与中标人的另行</w:t>
      </w:r>
      <w:r>
        <w:rPr>
          <w:rFonts w:hint="eastAsia" w:ascii="宋体" w:hAnsi="宋体"/>
          <w:color w:val="auto"/>
          <w:szCs w:val="21"/>
          <w:highlight w:val="none"/>
          <w:lang w:eastAsia="zh-CN"/>
        </w:rPr>
        <w:t>约</w:t>
      </w:r>
      <w:r>
        <w:rPr>
          <w:rFonts w:hint="eastAsia" w:ascii="宋体" w:hAnsi="宋体"/>
          <w:color w:val="auto"/>
          <w:szCs w:val="21"/>
          <w:highlight w:val="none"/>
        </w:rPr>
        <w:t>定，全部或者部分免除中标人应缴纳的保证金义务的，我方亦免除相应的保证责任。</w:t>
      </w:r>
    </w:p>
    <w:p w14:paraId="550BF7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3.因不可抗力造成中标人不能履行供货义务的，我方不承担保证责任。</w:t>
      </w:r>
    </w:p>
    <w:p w14:paraId="5B1C0B36">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六、争议的解决</w:t>
      </w:r>
    </w:p>
    <w:p w14:paraId="356C023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因本保函发生的纠纷，由你我双方协商解决，协商不成的，通过诉讼程序解决，诉讼管辖地法院为</w:t>
      </w:r>
      <w:r>
        <w:rPr>
          <w:rFonts w:hint="eastAsia" w:ascii="宋体" w:hAnsi="宋体"/>
          <w:color w:val="auto"/>
          <w:szCs w:val="21"/>
          <w:highlight w:val="none"/>
          <w:u w:val="single"/>
        </w:rPr>
        <w:t xml:space="preserve">        </w:t>
      </w:r>
      <w:r>
        <w:rPr>
          <w:rFonts w:hint="eastAsia" w:ascii="宋体" w:hAnsi="宋体"/>
          <w:color w:val="auto"/>
          <w:szCs w:val="21"/>
          <w:highlight w:val="none"/>
        </w:rPr>
        <w:t>法院。</w:t>
      </w:r>
    </w:p>
    <w:p w14:paraId="580FF066">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301" w:firstLineChars="10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七、保函的生效</w:t>
      </w:r>
    </w:p>
    <w:p w14:paraId="4F453E2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ascii="宋体" w:hAnsi="宋体"/>
          <w:color w:val="auto"/>
          <w:szCs w:val="21"/>
          <w:highlight w:val="none"/>
        </w:rPr>
      </w:pPr>
      <w:r>
        <w:rPr>
          <w:rFonts w:hint="eastAsia" w:ascii="宋体" w:hAnsi="宋体"/>
          <w:color w:val="auto"/>
          <w:szCs w:val="21"/>
          <w:highlight w:val="none"/>
        </w:rPr>
        <w:t>本保函自我方加盖公章之日起生效。</w:t>
      </w:r>
      <w:r>
        <w:rPr>
          <w:rFonts w:ascii="宋体" w:hAnsi="宋体"/>
          <w:color w:val="auto"/>
          <w:szCs w:val="21"/>
          <w:highlight w:val="none"/>
        </w:rPr>
        <w:t xml:space="preserve">                                 </w:t>
      </w:r>
    </w:p>
    <w:p w14:paraId="30AB3771">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p>
    <w:p w14:paraId="2C145527">
      <w:pPr>
        <w:keepNext w:val="0"/>
        <w:keepLines w:val="0"/>
        <w:pageBreakBefore w:val="0"/>
        <w:widowControl w:val="0"/>
        <w:kinsoku/>
        <w:wordWrap/>
        <w:overflowPunct/>
        <w:topLinePunct w:val="0"/>
        <w:autoSpaceDE/>
        <w:autoSpaceDN/>
        <w:bidi w:val="0"/>
        <w:adjustRightInd/>
        <w:snapToGrid/>
        <w:spacing w:line="480" w:lineRule="exact"/>
        <w:ind w:firstLine="5250" w:firstLineChars="2500"/>
        <w:textAlignment w:val="auto"/>
        <w:rPr>
          <w:rFonts w:hint="eastAsia" w:ascii="宋体" w:hAnsi="宋体"/>
          <w:color w:val="auto"/>
          <w:szCs w:val="21"/>
          <w:highlight w:val="none"/>
        </w:rPr>
      </w:pPr>
      <w:r>
        <w:rPr>
          <w:rFonts w:hint="eastAsia" w:ascii="宋体" w:hAnsi="宋体"/>
          <w:color w:val="auto"/>
          <w:szCs w:val="21"/>
          <w:highlight w:val="none"/>
        </w:rPr>
        <w:t>保证人：（盖单位章）</w:t>
      </w:r>
    </w:p>
    <w:p w14:paraId="5F0C2808">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年  月  日</w:t>
      </w:r>
    </w:p>
    <w:p w14:paraId="30AB6F0E">
      <w:pPr>
        <w:spacing w:before="120" w:beforeLines="50" w:line="520" w:lineRule="exact"/>
        <w:jc w:val="center"/>
        <w:rPr>
          <w:rFonts w:hint="eastAsia" w:ascii="宋体" w:hAnsi="宋体"/>
          <w:b/>
          <w:color w:val="auto"/>
          <w:sz w:val="44"/>
          <w:szCs w:val="44"/>
          <w:highlight w:val="none"/>
        </w:rPr>
      </w:pPr>
    </w:p>
    <w:p w14:paraId="6B73085E">
      <w:pPr>
        <w:spacing w:before="120" w:beforeLines="50" w:line="520" w:lineRule="exact"/>
        <w:jc w:val="center"/>
        <w:rPr>
          <w:rFonts w:hint="eastAsia" w:ascii="黑体" w:hAnsi="宋体" w:eastAsia="黑体"/>
          <w:b/>
          <w:color w:val="auto"/>
          <w:sz w:val="44"/>
          <w:szCs w:val="44"/>
          <w:highlight w:val="none"/>
        </w:rPr>
      </w:pPr>
    </w:p>
    <w:p w14:paraId="2BA491E5">
      <w:pPr>
        <w:pStyle w:val="30"/>
        <w:rPr>
          <w:rFonts w:hint="eastAsia" w:ascii="黑体" w:hAnsi="宋体" w:eastAsia="黑体"/>
          <w:b/>
          <w:color w:val="auto"/>
          <w:sz w:val="44"/>
          <w:szCs w:val="44"/>
          <w:highlight w:val="none"/>
        </w:rPr>
      </w:pPr>
    </w:p>
    <w:p w14:paraId="3A74C523">
      <w:pPr>
        <w:pStyle w:val="30"/>
        <w:rPr>
          <w:rFonts w:hint="eastAsia" w:ascii="黑体" w:hAnsi="宋体" w:eastAsia="黑体"/>
          <w:b/>
          <w:color w:val="auto"/>
          <w:sz w:val="44"/>
          <w:szCs w:val="44"/>
          <w:highlight w:val="none"/>
        </w:rPr>
      </w:pPr>
    </w:p>
    <w:p w14:paraId="09464CBE">
      <w:pPr>
        <w:pStyle w:val="30"/>
        <w:rPr>
          <w:rFonts w:hint="eastAsia" w:ascii="黑体" w:hAnsi="宋体" w:eastAsia="黑体"/>
          <w:b/>
          <w:color w:val="auto"/>
          <w:sz w:val="44"/>
          <w:szCs w:val="44"/>
          <w:highlight w:val="none"/>
        </w:rPr>
      </w:pPr>
    </w:p>
    <w:p w14:paraId="6276108D">
      <w:pPr>
        <w:pStyle w:val="30"/>
        <w:rPr>
          <w:rFonts w:hint="eastAsia" w:ascii="黑体" w:hAnsi="宋体" w:eastAsia="黑体"/>
          <w:b/>
          <w:color w:val="auto"/>
          <w:sz w:val="44"/>
          <w:szCs w:val="44"/>
          <w:highlight w:val="none"/>
        </w:rPr>
      </w:pPr>
    </w:p>
    <w:p w14:paraId="64124223">
      <w:pPr>
        <w:pStyle w:val="30"/>
        <w:rPr>
          <w:rFonts w:hint="eastAsia" w:ascii="黑体" w:hAnsi="宋体" w:eastAsia="黑体"/>
          <w:b/>
          <w:color w:val="auto"/>
          <w:sz w:val="44"/>
          <w:szCs w:val="44"/>
          <w:highlight w:val="none"/>
        </w:rPr>
      </w:pPr>
    </w:p>
    <w:p w14:paraId="5923673C">
      <w:pPr>
        <w:pStyle w:val="30"/>
        <w:rPr>
          <w:rFonts w:hint="eastAsia" w:ascii="黑体" w:hAnsi="宋体" w:eastAsia="黑体"/>
          <w:b/>
          <w:color w:val="auto"/>
          <w:sz w:val="44"/>
          <w:szCs w:val="44"/>
          <w:highlight w:val="none"/>
        </w:rPr>
      </w:pPr>
    </w:p>
    <w:p w14:paraId="7DBCF39B">
      <w:pPr>
        <w:pStyle w:val="30"/>
        <w:rPr>
          <w:rFonts w:hint="eastAsia" w:ascii="黑体" w:hAnsi="宋体" w:eastAsia="黑体"/>
          <w:b/>
          <w:color w:val="auto"/>
          <w:sz w:val="44"/>
          <w:szCs w:val="44"/>
          <w:highlight w:val="none"/>
        </w:rPr>
      </w:pPr>
    </w:p>
    <w:p w14:paraId="765622B9">
      <w:pPr>
        <w:pStyle w:val="30"/>
        <w:rPr>
          <w:rFonts w:hint="eastAsia" w:ascii="黑体" w:hAnsi="宋体" w:eastAsia="黑体"/>
          <w:b/>
          <w:color w:val="auto"/>
          <w:sz w:val="44"/>
          <w:szCs w:val="44"/>
          <w:highlight w:val="none"/>
        </w:rPr>
      </w:pPr>
    </w:p>
    <w:p w14:paraId="729DEC62">
      <w:pPr>
        <w:pStyle w:val="30"/>
        <w:rPr>
          <w:rFonts w:hint="eastAsia" w:ascii="黑体" w:hAnsi="宋体" w:eastAsia="黑体"/>
          <w:b/>
          <w:color w:val="auto"/>
          <w:sz w:val="44"/>
          <w:szCs w:val="44"/>
          <w:highlight w:val="none"/>
        </w:rPr>
      </w:pPr>
    </w:p>
    <w:p w14:paraId="635E9671">
      <w:pPr>
        <w:pStyle w:val="30"/>
        <w:rPr>
          <w:rFonts w:hint="eastAsia" w:ascii="黑体" w:hAnsi="宋体" w:eastAsia="黑体"/>
          <w:b/>
          <w:color w:val="auto"/>
          <w:sz w:val="44"/>
          <w:szCs w:val="44"/>
          <w:highlight w:val="none"/>
        </w:rPr>
      </w:pPr>
    </w:p>
    <w:p w14:paraId="70BC988D">
      <w:pPr>
        <w:pStyle w:val="30"/>
        <w:rPr>
          <w:rFonts w:hint="eastAsia" w:ascii="黑体" w:hAnsi="宋体" w:eastAsia="黑体"/>
          <w:b/>
          <w:color w:val="auto"/>
          <w:sz w:val="44"/>
          <w:szCs w:val="44"/>
          <w:highlight w:val="none"/>
        </w:rPr>
      </w:pPr>
    </w:p>
    <w:p w14:paraId="0508865C">
      <w:pPr>
        <w:pStyle w:val="30"/>
        <w:rPr>
          <w:rFonts w:hint="eastAsia" w:ascii="黑体" w:hAnsi="宋体" w:eastAsia="黑体"/>
          <w:b/>
          <w:color w:val="auto"/>
          <w:sz w:val="44"/>
          <w:szCs w:val="44"/>
          <w:highlight w:val="none"/>
        </w:rPr>
      </w:pPr>
    </w:p>
    <w:p w14:paraId="7489CDF9">
      <w:pPr>
        <w:pStyle w:val="30"/>
        <w:rPr>
          <w:rFonts w:hint="eastAsia" w:ascii="黑体" w:hAnsi="宋体" w:eastAsia="黑体"/>
          <w:b/>
          <w:color w:val="auto"/>
          <w:sz w:val="44"/>
          <w:szCs w:val="44"/>
          <w:highlight w:val="none"/>
        </w:rPr>
      </w:pPr>
    </w:p>
    <w:p w14:paraId="0EF5F71E">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bookmarkStart w:id="228" w:name="_Toc18821"/>
      <w:r>
        <w:rPr>
          <w:rFonts w:hint="eastAsia" w:ascii="黑体" w:hAnsi="宋体" w:eastAsia="黑体" w:cs="Times New Roman"/>
          <w:b/>
          <w:color w:val="auto"/>
          <w:kern w:val="44"/>
          <w:sz w:val="44"/>
          <w:szCs w:val="44"/>
          <w:highlight w:val="none"/>
          <w:lang w:val="en-US" w:eastAsia="zh-CN" w:bidi="ar-SA"/>
        </w:rPr>
        <w:t>第六章 投标文件格式</w:t>
      </w:r>
      <w:bookmarkEnd w:id="178"/>
      <w:bookmarkEnd w:id="228"/>
    </w:p>
    <w:p w14:paraId="5D6F74D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仿宋_GB2312" w:hAnsi="宋体" w:eastAsia="仿宋_GB2312"/>
          <w:b/>
          <w:color w:val="auto"/>
          <w:sz w:val="28"/>
          <w:szCs w:val="28"/>
          <w:highlight w:val="none"/>
        </w:rPr>
      </w:pPr>
      <w:r>
        <w:rPr>
          <w:rFonts w:hint="eastAsia" w:ascii="宋体" w:hAnsi="宋体"/>
          <w:color w:val="auto"/>
          <w:szCs w:val="21"/>
          <w:highlight w:val="none"/>
        </w:rPr>
        <w:t>投标文件格式是投标人的部分投标文件格式，投标人应当严格按照这些格式编制投标文件。编制投标文件前，请详细阅读招标文件，理解文件中的每一项要求，做出逐一实质性响应，认为有必要，可做补充说明。</w:t>
      </w:r>
    </w:p>
    <w:p w14:paraId="7DBE7BC4">
      <w:pPr>
        <w:spacing w:line="400" w:lineRule="exact"/>
        <w:ind w:firstLine="570"/>
        <w:rPr>
          <w:rFonts w:hint="eastAsia" w:ascii="仿宋_GB2312" w:hAnsi="宋体" w:eastAsia="仿宋_GB2312"/>
          <w:color w:val="auto"/>
          <w:sz w:val="28"/>
          <w:szCs w:val="28"/>
          <w:highlight w:val="none"/>
        </w:rPr>
      </w:pPr>
    </w:p>
    <w:p w14:paraId="7492DF75">
      <w:pPr>
        <w:spacing w:line="400" w:lineRule="exact"/>
        <w:ind w:firstLine="570"/>
        <w:rPr>
          <w:rFonts w:hint="eastAsia" w:ascii="仿宋_GB2312" w:hAnsi="宋体" w:eastAsia="仿宋_GB2312"/>
          <w:color w:val="auto"/>
          <w:sz w:val="28"/>
          <w:szCs w:val="28"/>
          <w:highlight w:val="none"/>
        </w:rPr>
      </w:pPr>
    </w:p>
    <w:p w14:paraId="586453F2">
      <w:pPr>
        <w:spacing w:line="400" w:lineRule="exact"/>
        <w:ind w:firstLine="570"/>
        <w:rPr>
          <w:rFonts w:hint="eastAsia" w:ascii="仿宋_GB2312" w:hAnsi="宋体" w:eastAsia="仿宋_GB2312"/>
          <w:color w:val="auto"/>
          <w:sz w:val="28"/>
          <w:szCs w:val="28"/>
          <w:highlight w:val="none"/>
        </w:rPr>
      </w:pPr>
    </w:p>
    <w:p w14:paraId="60F5B97A">
      <w:pPr>
        <w:spacing w:line="400" w:lineRule="exact"/>
        <w:ind w:firstLine="570"/>
        <w:rPr>
          <w:rFonts w:hint="eastAsia" w:ascii="仿宋_GB2312" w:hAnsi="宋体" w:eastAsia="仿宋_GB2312"/>
          <w:color w:val="auto"/>
          <w:sz w:val="28"/>
          <w:szCs w:val="28"/>
          <w:highlight w:val="none"/>
        </w:rPr>
      </w:pPr>
    </w:p>
    <w:p w14:paraId="3F252ADC">
      <w:pPr>
        <w:spacing w:line="400" w:lineRule="exact"/>
        <w:ind w:firstLine="570"/>
        <w:rPr>
          <w:rFonts w:hint="eastAsia" w:ascii="仿宋_GB2312" w:hAnsi="宋体" w:eastAsia="仿宋_GB2312"/>
          <w:color w:val="auto"/>
          <w:sz w:val="28"/>
          <w:szCs w:val="28"/>
          <w:highlight w:val="none"/>
        </w:rPr>
      </w:pPr>
    </w:p>
    <w:p w14:paraId="7F87AAA8">
      <w:pPr>
        <w:spacing w:line="400" w:lineRule="exact"/>
        <w:ind w:firstLine="570"/>
        <w:rPr>
          <w:rFonts w:hint="eastAsia" w:ascii="仿宋_GB2312" w:hAnsi="宋体" w:eastAsia="仿宋_GB2312"/>
          <w:color w:val="auto"/>
          <w:sz w:val="28"/>
          <w:szCs w:val="28"/>
          <w:highlight w:val="none"/>
        </w:rPr>
      </w:pPr>
    </w:p>
    <w:p w14:paraId="24A6F772">
      <w:pPr>
        <w:spacing w:line="400" w:lineRule="exact"/>
        <w:ind w:firstLine="570"/>
        <w:rPr>
          <w:rFonts w:hint="eastAsia" w:ascii="仿宋_GB2312" w:hAnsi="宋体" w:eastAsia="仿宋_GB2312"/>
          <w:color w:val="auto"/>
          <w:sz w:val="28"/>
          <w:szCs w:val="28"/>
          <w:highlight w:val="none"/>
        </w:rPr>
      </w:pPr>
    </w:p>
    <w:p w14:paraId="0359AE1A">
      <w:pPr>
        <w:spacing w:line="400" w:lineRule="exact"/>
        <w:ind w:firstLine="570"/>
        <w:rPr>
          <w:rFonts w:hint="eastAsia" w:ascii="仿宋_GB2312" w:hAnsi="宋体" w:eastAsia="仿宋_GB2312"/>
          <w:color w:val="auto"/>
          <w:sz w:val="28"/>
          <w:szCs w:val="28"/>
          <w:highlight w:val="none"/>
        </w:rPr>
      </w:pPr>
    </w:p>
    <w:p w14:paraId="331557DD">
      <w:pPr>
        <w:spacing w:line="400" w:lineRule="exact"/>
        <w:ind w:firstLine="570"/>
        <w:rPr>
          <w:rFonts w:hint="eastAsia" w:ascii="仿宋_GB2312" w:hAnsi="宋体" w:eastAsia="仿宋_GB2312"/>
          <w:color w:val="auto"/>
          <w:sz w:val="28"/>
          <w:szCs w:val="28"/>
          <w:highlight w:val="none"/>
        </w:rPr>
      </w:pPr>
    </w:p>
    <w:p w14:paraId="473AAFEA">
      <w:pPr>
        <w:spacing w:line="400" w:lineRule="exact"/>
        <w:ind w:firstLine="570"/>
        <w:rPr>
          <w:rFonts w:hint="eastAsia" w:ascii="仿宋_GB2312" w:hAnsi="宋体" w:eastAsia="仿宋_GB2312"/>
          <w:color w:val="auto"/>
          <w:sz w:val="28"/>
          <w:szCs w:val="28"/>
          <w:highlight w:val="none"/>
        </w:rPr>
      </w:pPr>
    </w:p>
    <w:p w14:paraId="7CFADB6E">
      <w:pPr>
        <w:spacing w:line="400" w:lineRule="exact"/>
        <w:ind w:firstLine="570"/>
        <w:rPr>
          <w:rFonts w:hint="eastAsia" w:ascii="仿宋_GB2312" w:hAnsi="宋体" w:eastAsia="仿宋_GB2312"/>
          <w:color w:val="auto"/>
          <w:sz w:val="28"/>
          <w:szCs w:val="28"/>
          <w:highlight w:val="none"/>
        </w:rPr>
      </w:pPr>
    </w:p>
    <w:p w14:paraId="47C0A9C8">
      <w:pPr>
        <w:spacing w:line="400" w:lineRule="exact"/>
        <w:ind w:firstLine="570"/>
        <w:rPr>
          <w:rFonts w:hint="eastAsia" w:ascii="仿宋_GB2312" w:hAnsi="宋体" w:eastAsia="仿宋_GB2312"/>
          <w:color w:val="auto"/>
          <w:sz w:val="28"/>
          <w:szCs w:val="28"/>
          <w:highlight w:val="none"/>
        </w:rPr>
      </w:pPr>
    </w:p>
    <w:p w14:paraId="2A345BAE">
      <w:pPr>
        <w:spacing w:line="400" w:lineRule="exact"/>
        <w:ind w:firstLine="570"/>
        <w:rPr>
          <w:rFonts w:hint="eastAsia" w:ascii="仿宋_GB2312" w:hAnsi="宋体" w:eastAsia="仿宋_GB2312"/>
          <w:b/>
          <w:color w:val="auto"/>
          <w:sz w:val="28"/>
          <w:szCs w:val="28"/>
          <w:highlight w:val="none"/>
        </w:rPr>
      </w:pPr>
    </w:p>
    <w:p w14:paraId="740AAF71">
      <w:pPr>
        <w:spacing w:line="400" w:lineRule="exact"/>
        <w:ind w:firstLine="570"/>
        <w:rPr>
          <w:rFonts w:hint="eastAsia" w:ascii="仿宋_GB2312" w:hAnsi="宋体" w:eastAsia="仿宋_GB2312"/>
          <w:b/>
          <w:color w:val="auto"/>
          <w:sz w:val="28"/>
          <w:szCs w:val="28"/>
          <w:highlight w:val="none"/>
        </w:rPr>
      </w:pPr>
    </w:p>
    <w:p w14:paraId="20FBA30E">
      <w:pPr>
        <w:spacing w:line="400" w:lineRule="exact"/>
        <w:ind w:firstLine="570"/>
        <w:rPr>
          <w:rFonts w:hint="eastAsia" w:ascii="仿宋_GB2312" w:hAnsi="宋体" w:eastAsia="仿宋_GB2312"/>
          <w:b/>
          <w:color w:val="auto"/>
          <w:sz w:val="28"/>
          <w:szCs w:val="28"/>
          <w:highlight w:val="none"/>
        </w:rPr>
      </w:pPr>
    </w:p>
    <w:p w14:paraId="29A77347">
      <w:pPr>
        <w:spacing w:line="400" w:lineRule="exact"/>
        <w:ind w:firstLine="570"/>
        <w:rPr>
          <w:rFonts w:hint="eastAsia" w:ascii="仿宋_GB2312" w:hAnsi="宋体" w:eastAsia="仿宋_GB2312"/>
          <w:b/>
          <w:color w:val="auto"/>
          <w:sz w:val="28"/>
          <w:szCs w:val="28"/>
          <w:highlight w:val="none"/>
        </w:rPr>
      </w:pPr>
    </w:p>
    <w:p w14:paraId="41E8143E">
      <w:pPr>
        <w:spacing w:line="400" w:lineRule="exact"/>
        <w:ind w:firstLine="570"/>
        <w:rPr>
          <w:rFonts w:hint="eastAsia" w:ascii="仿宋_GB2312" w:hAnsi="宋体" w:eastAsia="仿宋_GB2312"/>
          <w:b/>
          <w:color w:val="auto"/>
          <w:sz w:val="28"/>
          <w:szCs w:val="28"/>
          <w:highlight w:val="none"/>
        </w:rPr>
      </w:pPr>
    </w:p>
    <w:p w14:paraId="278C17E2">
      <w:pPr>
        <w:spacing w:line="400" w:lineRule="exact"/>
        <w:ind w:firstLine="570"/>
        <w:rPr>
          <w:rFonts w:hint="eastAsia" w:ascii="仿宋_GB2312" w:hAnsi="宋体" w:eastAsia="仿宋_GB2312"/>
          <w:b/>
          <w:color w:val="auto"/>
          <w:sz w:val="28"/>
          <w:szCs w:val="28"/>
          <w:highlight w:val="none"/>
        </w:rPr>
      </w:pPr>
    </w:p>
    <w:p w14:paraId="7F956650">
      <w:pPr>
        <w:spacing w:line="400" w:lineRule="exact"/>
        <w:ind w:firstLine="570"/>
        <w:rPr>
          <w:rFonts w:hint="eastAsia" w:ascii="仿宋_GB2312" w:hAnsi="宋体" w:eastAsia="仿宋_GB2312"/>
          <w:b/>
          <w:color w:val="auto"/>
          <w:sz w:val="28"/>
          <w:szCs w:val="28"/>
          <w:highlight w:val="none"/>
        </w:rPr>
      </w:pPr>
    </w:p>
    <w:p w14:paraId="678733CB">
      <w:pPr>
        <w:spacing w:line="400" w:lineRule="exact"/>
        <w:ind w:firstLine="570"/>
        <w:rPr>
          <w:rFonts w:hint="eastAsia" w:ascii="仿宋_GB2312" w:hAnsi="宋体" w:eastAsia="仿宋_GB2312"/>
          <w:b/>
          <w:color w:val="auto"/>
          <w:sz w:val="28"/>
          <w:szCs w:val="28"/>
          <w:highlight w:val="none"/>
        </w:rPr>
      </w:pPr>
    </w:p>
    <w:p w14:paraId="3452063D">
      <w:pPr>
        <w:pStyle w:val="30"/>
        <w:rPr>
          <w:rFonts w:hint="eastAsia" w:ascii="仿宋_GB2312" w:hAnsi="宋体" w:eastAsia="仿宋_GB2312"/>
          <w:b/>
          <w:color w:val="auto"/>
          <w:sz w:val="28"/>
          <w:szCs w:val="28"/>
          <w:highlight w:val="none"/>
        </w:rPr>
      </w:pPr>
    </w:p>
    <w:p w14:paraId="44CA7ED4">
      <w:pPr>
        <w:pStyle w:val="30"/>
        <w:rPr>
          <w:rFonts w:hint="eastAsia" w:ascii="仿宋_GB2312" w:hAnsi="宋体" w:eastAsia="仿宋_GB2312"/>
          <w:b/>
          <w:color w:val="auto"/>
          <w:sz w:val="28"/>
          <w:szCs w:val="28"/>
          <w:highlight w:val="none"/>
        </w:rPr>
      </w:pPr>
    </w:p>
    <w:p w14:paraId="7BE92F82">
      <w:pPr>
        <w:spacing w:line="400" w:lineRule="exact"/>
        <w:ind w:firstLine="570"/>
        <w:rPr>
          <w:rFonts w:hint="eastAsia" w:ascii="仿宋_GB2312" w:hAnsi="宋体" w:eastAsia="仿宋_GB2312"/>
          <w:b/>
          <w:color w:val="auto"/>
          <w:sz w:val="28"/>
          <w:szCs w:val="28"/>
          <w:highlight w:val="none"/>
        </w:rPr>
      </w:pPr>
    </w:p>
    <w:p w14:paraId="6D100971">
      <w:pPr>
        <w:spacing w:line="400" w:lineRule="exact"/>
        <w:ind w:firstLine="570"/>
        <w:rPr>
          <w:rFonts w:hint="eastAsia" w:ascii="仿宋_GB2312" w:hAnsi="宋体" w:eastAsia="仿宋_GB2312"/>
          <w:b/>
          <w:color w:val="auto"/>
          <w:sz w:val="28"/>
          <w:szCs w:val="28"/>
          <w:highlight w:val="none"/>
        </w:rPr>
      </w:pPr>
    </w:p>
    <w:p w14:paraId="494AED5C">
      <w:pPr>
        <w:pStyle w:val="3"/>
        <w:spacing w:before="120" w:after="120" w:line="400" w:lineRule="exact"/>
        <w:rPr>
          <w:rFonts w:hint="eastAsia" w:ascii="宋体" w:hAnsi="宋体" w:eastAsia="宋体"/>
          <w:color w:val="auto"/>
          <w:szCs w:val="28"/>
          <w:highlight w:val="none"/>
        </w:rPr>
      </w:pPr>
      <w:bookmarkStart w:id="229" w:name="_Toc23035"/>
      <w:bookmarkStart w:id="230" w:name="_Toc217446082"/>
      <w:r>
        <w:rPr>
          <w:rFonts w:hint="eastAsia" w:ascii="宋体" w:hAnsi="宋体" w:eastAsia="宋体"/>
          <w:color w:val="auto"/>
          <w:szCs w:val="28"/>
          <w:highlight w:val="none"/>
          <w:lang w:val="en-US" w:eastAsia="zh-CN"/>
        </w:rPr>
        <w:t>采购</w:t>
      </w:r>
      <w:r>
        <w:rPr>
          <w:rFonts w:hint="eastAsia" w:ascii="宋体" w:hAnsi="宋体" w:eastAsia="宋体"/>
          <w:color w:val="auto"/>
          <w:szCs w:val="28"/>
          <w:highlight w:val="none"/>
        </w:rPr>
        <w:t>项目编号：</w:t>
      </w:r>
      <w:bookmarkEnd w:id="229"/>
      <w:r>
        <w:rPr>
          <w:rFonts w:hint="eastAsia" w:ascii="宋体" w:hAnsi="宋体" w:eastAsia="宋体"/>
          <w:color w:val="auto"/>
          <w:szCs w:val="28"/>
          <w:highlight w:val="none"/>
        </w:rPr>
        <w:t xml:space="preserve"> </w:t>
      </w:r>
    </w:p>
    <w:p w14:paraId="35EFA9E1">
      <w:pPr>
        <w:pStyle w:val="3"/>
        <w:spacing w:line="400" w:lineRule="exact"/>
        <w:outlineLvl w:val="9"/>
        <w:rPr>
          <w:rFonts w:hint="eastAsia" w:ascii="仿宋_GB2312" w:eastAsia="仿宋_GB2312"/>
          <w:color w:val="auto"/>
          <w:szCs w:val="28"/>
          <w:highlight w:val="none"/>
        </w:rPr>
      </w:pPr>
      <w:r>
        <w:rPr>
          <w:rFonts w:hint="eastAsia" w:ascii="仿宋_GB2312" w:eastAsia="仿宋_GB2312"/>
          <w:color w:val="auto"/>
          <w:szCs w:val="28"/>
          <w:highlight w:val="none"/>
        </w:rPr>
        <w:t xml:space="preserve">                           </w:t>
      </w:r>
    </w:p>
    <w:p w14:paraId="363145CC">
      <w:pPr>
        <w:pStyle w:val="3"/>
        <w:spacing w:line="400" w:lineRule="exact"/>
        <w:jc w:val="center"/>
        <w:outlineLvl w:val="9"/>
        <w:rPr>
          <w:rFonts w:hint="eastAsia" w:ascii="仿宋_GB2312" w:eastAsia="仿宋_GB2312"/>
          <w:color w:val="auto"/>
          <w:szCs w:val="28"/>
          <w:highlight w:val="none"/>
        </w:rPr>
      </w:pPr>
    </w:p>
    <w:p w14:paraId="2B2E31B8">
      <w:pPr>
        <w:snapToGrid w:val="0"/>
        <w:spacing w:before="480" w:beforeLines="200" w:line="360" w:lineRule="auto"/>
        <w:jc w:val="center"/>
        <w:rPr>
          <w:rFonts w:hint="eastAsia" w:eastAsia="黑体"/>
          <w:b/>
          <w:color w:val="auto"/>
          <w:sz w:val="44"/>
          <w:szCs w:val="44"/>
          <w:highlight w:val="none"/>
          <w:lang w:eastAsia="zh-CN"/>
        </w:rPr>
      </w:pPr>
      <w:r>
        <w:rPr>
          <w:rFonts w:hint="eastAsia" w:eastAsia="黑体"/>
          <w:b/>
          <w:color w:val="auto"/>
          <w:sz w:val="44"/>
          <w:szCs w:val="44"/>
          <w:highlight w:val="none"/>
          <w:lang w:eastAsia="zh-CN"/>
        </w:rPr>
        <w:t>伊宁县第六中学教学仪器设备采购项目（五标段）</w:t>
      </w:r>
    </w:p>
    <w:p w14:paraId="74BDA11F">
      <w:pPr>
        <w:pStyle w:val="3"/>
        <w:spacing w:line="680" w:lineRule="exact"/>
        <w:jc w:val="center"/>
        <w:outlineLvl w:val="9"/>
        <w:rPr>
          <w:rFonts w:hint="eastAsia" w:ascii="宋体" w:hAnsi="宋体" w:eastAsia="宋体"/>
          <w:b w:val="0"/>
          <w:color w:val="auto"/>
          <w:sz w:val="44"/>
          <w:szCs w:val="44"/>
          <w:highlight w:val="none"/>
        </w:rPr>
      </w:pPr>
    </w:p>
    <w:p w14:paraId="75B7C413">
      <w:pPr>
        <w:pStyle w:val="3"/>
        <w:spacing w:line="400" w:lineRule="exact"/>
        <w:jc w:val="center"/>
        <w:outlineLvl w:val="9"/>
        <w:rPr>
          <w:rFonts w:hint="eastAsia" w:ascii="宋体" w:hAnsi="宋体" w:eastAsia="宋体"/>
          <w:color w:val="auto"/>
          <w:sz w:val="44"/>
          <w:szCs w:val="44"/>
          <w:highlight w:val="none"/>
        </w:rPr>
      </w:pPr>
    </w:p>
    <w:p w14:paraId="2BA2ABB8">
      <w:pPr>
        <w:pStyle w:val="3"/>
        <w:spacing w:line="900" w:lineRule="exact"/>
        <w:jc w:val="center"/>
        <w:rPr>
          <w:rFonts w:hint="eastAsia" w:ascii="微软雅黑" w:hAnsi="宋体" w:eastAsia="微软雅黑"/>
          <w:b w:val="0"/>
          <w:color w:val="auto"/>
          <w:sz w:val="84"/>
          <w:szCs w:val="84"/>
          <w:highlight w:val="none"/>
        </w:rPr>
      </w:pPr>
      <w:bookmarkStart w:id="231" w:name="_Toc20804"/>
      <w:r>
        <w:rPr>
          <w:rFonts w:hint="eastAsia" w:ascii="微软雅黑" w:hAnsi="宋体" w:eastAsia="微软雅黑"/>
          <w:b w:val="0"/>
          <w:color w:val="auto"/>
          <w:sz w:val="84"/>
          <w:szCs w:val="84"/>
          <w:highlight w:val="none"/>
        </w:rPr>
        <w:t>投标文件</w:t>
      </w:r>
      <w:bookmarkEnd w:id="231"/>
    </w:p>
    <w:p w14:paraId="03C00DB9">
      <w:pPr>
        <w:pStyle w:val="7"/>
        <w:ind w:firstLine="0"/>
        <w:jc w:val="center"/>
        <w:rPr>
          <w:rFonts w:hint="eastAsia"/>
          <w:color w:val="auto"/>
          <w:sz w:val="32"/>
          <w:szCs w:val="32"/>
          <w:highlight w:val="none"/>
        </w:rPr>
      </w:pPr>
    </w:p>
    <w:p w14:paraId="028830A5">
      <w:pPr>
        <w:pStyle w:val="7"/>
        <w:rPr>
          <w:rFonts w:hint="eastAsia"/>
          <w:color w:val="auto"/>
          <w:sz w:val="28"/>
          <w:szCs w:val="28"/>
          <w:highlight w:val="none"/>
        </w:rPr>
      </w:pPr>
    </w:p>
    <w:p w14:paraId="6A7AFF73">
      <w:pPr>
        <w:pStyle w:val="7"/>
        <w:rPr>
          <w:rFonts w:hint="eastAsia"/>
          <w:color w:val="auto"/>
          <w:sz w:val="28"/>
          <w:szCs w:val="28"/>
          <w:highlight w:val="none"/>
        </w:rPr>
      </w:pPr>
    </w:p>
    <w:p w14:paraId="325A7FF2">
      <w:pPr>
        <w:pStyle w:val="7"/>
        <w:rPr>
          <w:rFonts w:hint="eastAsia"/>
          <w:color w:val="auto"/>
          <w:sz w:val="28"/>
          <w:szCs w:val="28"/>
          <w:highlight w:val="none"/>
        </w:rPr>
      </w:pPr>
    </w:p>
    <w:p w14:paraId="417658AA">
      <w:pPr>
        <w:pStyle w:val="7"/>
        <w:rPr>
          <w:rFonts w:hint="eastAsia"/>
          <w:color w:val="auto"/>
          <w:sz w:val="28"/>
          <w:szCs w:val="28"/>
          <w:highlight w:val="none"/>
        </w:rPr>
      </w:pPr>
    </w:p>
    <w:p w14:paraId="21E3314F">
      <w:pPr>
        <w:pStyle w:val="7"/>
        <w:rPr>
          <w:rFonts w:hint="eastAsia"/>
          <w:color w:val="auto"/>
          <w:sz w:val="28"/>
          <w:szCs w:val="28"/>
          <w:highlight w:val="none"/>
        </w:rPr>
      </w:pPr>
    </w:p>
    <w:p w14:paraId="356BDECE">
      <w:pPr>
        <w:pStyle w:val="7"/>
        <w:rPr>
          <w:rFonts w:hint="eastAsia"/>
          <w:color w:val="auto"/>
          <w:sz w:val="28"/>
          <w:szCs w:val="28"/>
          <w:highlight w:val="none"/>
        </w:rPr>
      </w:pPr>
    </w:p>
    <w:p w14:paraId="08B4DF66">
      <w:pPr>
        <w:pStyle w:val="7"/>
        <w:spacing w:before="120" w:beforeLines="50"/>
        <w:ind w:firstLine="0"/>
        <w:rPr>
          <w:rFonts w:hint="eastAsia" w:ascii="宋体" w:hAnsi="宋体"/>
          <w:b/>
          <w:color w:val="auto"/>
          <w:sz w:val="28"/>
          <w:szCs w:val="28"/>
          <w:highlight w:val="none"/>
        </w:rPr>
      </w:pPr>
    </w:p>
    <w:p w14:paraId="23DC7647">
      <w:pPr>
        <w:pStyle w:val="7"/>
        <w:spacing w:before="120" w:beforeLines="50"/>
        <w:ind w:firstLine="0"/>
        <w:rPr>
          <w:rFonts w:hint="eastAsia" w:ascii="宋体" w:hAnsi="宋体"/>
          <w:b/>
          <w:color w:val="auto"/>
          <w:sz w:val="28"/>
          <w:szCs w:val="28"/>
          <w:highlight w:val="none"/>
        </w:rPr>
      </w:pPr>
    </w:p>
    <w:p w14:paraId="45C37268">
      <w:pPr>
        <w:pStyle w:val="7"/>
        <w:spacing w:before="120" w:beforeLines="50"/>
        <w:ind w:firstLine="1630" w:firstLineChars="580"/>
        <w:rPr>
          <w:rFonts w:hint="eastAsia" w:ascii="宋体" w:hAnsi="宋体"/>
          <w:b/>
          <w:color w:val="auto"/>
          <w:sz w:val="28"/>
          <w:szCs w:val="28"/>
          <w:highlight w:val="none"/>
        </w:rPr>
      </w:pPr>
    </w:p>
    <w:p w14:paraId="1C824CAB">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投标人：                        </w:t>
      </w:r>
      <w:r>
        <w:rPr>
          <w:rFonts w:hint="eastAsia" w:ascii="宋体" w:hAnsi="宋体"/>
          <w:color w:val="auto"/>
          <w:sz w:val="28"/>
          <w:szCs w:val="28"/>
          <w:highlight w:val="none"/>
        </w:rPr>
        <w:t>（盖单位章）</w:t>
      </w:r>
    </w:p>
    <w:p w14:paraId="2422CCBB">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法定代表人或委托代理人：        </w:t>
      </w:r>
      <w:r>
        <w:rPr>
          <w:rFonts w:hint="eastAsia" w:ascii="宋体" w:hAnsi="宋体"/>
          <w:color w:val="auto"/>
          <w:sz w:val="28"/>
          <w:szCs w:val="28"/>
          <w:highlight w:val="none"/>
        </w:rPr>
        <w:t>（签字）</w:t>
      </w:r>
    </w:p>
    <w:p w14:paraId="333CEEDC">
      <w:pPr>
        <w:pStyle w:val="7"/>
        <w:spacing w:before="120" w:beforeLines="50"/>
        <w:ind w:firstLine="1630" w:firstLineChars="580"/>
        <w:rPr>
          <w:rFonts w:hint="eastAsia" w:ascii="宋体" w:hAnsi="宋体"/>
          <w:color w:val="auto"/>
          <w:sz w:val="28"/>
          <w:szCs w:val="28"/>
          <w:highlight w:val="none"/>
        </w:rPr>
      </w:pPr>
      <w:r>
        <w:rPr>
          <w:rFonts w:hint="eastAsia"/>
          <w:b/>
          <w:color w:val="auto"/>
          <w:sz w:val="28"/>
          <w:szCs w:val="28"/>
          <w:highlight w:val="none"/>
        </w:rPr>
        <w:t xml:space="preserve">时  间：    </w:t>
      </w:r>
      <w:r>
        <w:rPr>
          <w:rFonts w:hint="eastAsia" w:ascii="宋体" w:hAnsi="宋体"/>
          <w:color w:val="auto"/>
          <w:sz w:val="28"/>
          <w:szCs w:val="28"/>
          <w:highlight w:val="none"/>
        </w:rPr>
        <w:t>20    年  月  日</w:t>
      </w:r>
    </w:p>
    <w:p w14:paraId="04505E44">
      <w:pPr>
        <w:pStyle w:val="7"/>
        <w:spacing w:before="120" w:beforeLines="50" w:after="120" w:afterLines="50"/>
        <w:ind w:firstLine="0"/>
        <w:jc w:val="center"/>
        <w:rPr>
          <w:rFonts w:hint="eastAsia"/>
          <w:color w:val="auto"/>
          <w:sz w:val="32"/>
          <w:szCs w:val="32"/>
          <w:highlight w:val="none"/>
        </w:rPr>
      </w:pPr>
    </w:p>
    <w:p w14:paraId="43DFC62C">
      <w:pPr>
        <w:pStyle w:val="7"/>
        <w:spacing w:before="120" w:beforeLines="50" w:after="120" w:afterLines="50"/>
        <w:ind w:firstLine="0"/>
        <w:jc w:val="center"/>
        <w:rPr>
          <w:rFonts w:hint="eastAsia"/>
          <w:b/>
          <w:bCs/>
          <w:color w:val="auto"/>
          <w:sz w:val="32"/>
          <w:szCs w:val="32"/>
          <w:highlight w:val="none"/>
        </w:rPr>
      </w:pPr>
    </w:p>
    <w:p w14:paraId="7456ED4F">
      <w:pPr>
        <w:pStyle w:val="7"/>
        <w:spacing w:before="120" w:beforeLines="50" w:after="120" w:afterLines="50"/>
        <w:ind w:firstLine="0"/>
        <w:jc w:val="center"/>
        <w:rPr>
          <w:rFonts w:hint="eastAsia"/>
          <w:b/>
          <w:bCs/>
          <w:color w:val="auto"/>
          <w:sz w:val="32"/>
          <w:szCs w:val="32"/>
          <w:highlight w:val="none"/>
        </w:rPr>
      </w:pPr>
    </w:p>
    <w:p w14:paraId="219C1B81">
      <w:pPr>
        <w:pStyle w:val="30"/>
        <w:rPr>
          <w:rFonts w:hint="eastAsia"/>
          <w:color w:val="auto"/>
          <w:highlight w:val="none"/>
        </w:rPr>
      </w:pPr>
    </w:p>
    <w:p w14:paraId="483B2019">
      <w:pPr>
        <w:pStyle w:val="7"/>
        <w:spacing w:before="120" w:beforeLines="50" w:after="120" w:afterLines="50"/>
        <w:ind w:firstLine="0"/>
        <w:jc w:val="center"/>
        <w:rPr>
          <w:rFonts w:hint="eastAsia"/>
          <w:b/>
          <w:bCs/>
          <w:color w:val="auto"/>
          <w:sz w:val="36"/>
          <w:szCs w:val="36"/>
          <w:highlight w:val="none"/>
        </w:rPr>
      </w:pPr>
      <w:r>
        <w:rPr>
          <w:rFonts w:hint="eastAsia"/>
          <w:b/>
          <w:bCs/>
          <w:color w:val="auto"/>
          <w:sz w:val="36"/>
          <w:szCs w:val="36"/>
          <w:highlight w:val="none"/>
        </w:rPr>
        <w:t>（资格审查部分）</w:t>
      </w:r>
    </w:p>
    <w:p w14:paraId="5B6BC56E">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07D527CA">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3FA61622">
      <w:pPr>
        <w:pStyle w:val="7"/>
        <w:spacing w:before="120" w:beforeLines="50" w:line="360" w:lineRule="auto"/>
        <w:ind w:firstLine="0"/>
        <w:rPr>
          <w:rFonts w:hint="eastAsia"/>
          <w:color w:val="auto"/>
          <w:sz w:val="24"/>
          <w:szCs w:val="24"/>
          <w:highlight w:val="none"/>
        </w:rPr>
      </w:pPr>
    </w:p>
    <w:p w14:paraId="0B9209F5">
      <w:pPr>
        <w:rPr>
          <w:rFonts w:hint="eastAsia"/>
          <w:color w:val="auto"/>
          <w:highlight w:val="none"/>
        </w:rPr>
      </w:pPr>
    </w:p>
    <w:p w14:paraId="148571DD">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1.投标人基本情况表…………………………………………………………………………页码</w:t>
      </w:r>
    </w:p>
    <w:p w14:paraId="60FDF36A">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2.法定代表人身份证明………………………………………………………………………页码</w:t>
      </w:r>
    </w:p>
    <w:p w14:paraId="591E6421">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3.法定代表人授权书…………………………………………………………………………页码</w:t>
      </w:r>
    </w:p>
    <w:p w14:paraId="624797E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.投标人</w:t>
      </w:r>
      <w:r>
        <w:rPr>
          <w:rFonts w:hint="eastAsia" w:ascii="宋体" w:hAnsi="宋体"/>
          <w:color w:val="auto"/>
          <w:szCs w:val="21"/>
          <w:highlight w:val="none"/>
          <w:lang w:val="zh-CN"/>
        </w:rPr>
        <w:t>营业执照等证明文件，自然人的身份证明</w:t>
      </w:r>
      <w:r>
        <w:rPr>
          <w:rFonts w:hint="eastAsia" w:ascii="宋体" w:hAnsi="宋体"/>
          <w:color w:val="auto"/>
          <w:szCs w:val="21"/>
          <w:highlight w:val="none"/>
        </w:rPr>
        <w:t>………………………………………页码</w:t>
      </w:r>
    </w:p>
    <w:p w14:paraId="30BCD854">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color w:val="auto"/>
          <w:highlight w:val="none"/>
        </w:rPr>
        <w:t>财务状况报告</w:t>
      </w:r>
      <w:r>
        <w:rPr>
          <w:rFonts w:hint="eastAsia" w:ascii="宋体" w:hAnsi="宋体"/>
          <w:color w:val="auto"/>
          <w:szCs w:val="21"/>
          <w:highlight w:val="none"/>
        </w:rPr>
        <w:t>………………………………………………………………………………页码</w:t>
      </w:r>
    </w:p>
    <w:p w14:paraId="4AEFDA6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.税收缴纳证明………………………………………………………………………………页码</w:t>
      </w:r>
    </w:p>
    <w:p w14:paraId="1A66CB9C">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.社会保障资金缴纳证明……………………………………………………………………页码</w:t>
      </w:r>
    </w:p>
    <w:p w14:paraId="208CC43A">
      <w:pPr>
        <w:spacing w:line="480" w:lineRule="auto"/>
        <w:ind w:firstLine="525" w:firstLineChars="25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8</w:t>
      </w:r>
      <w:r>
        <w:rPr>
          <w:rFonts w:hint="eastAsia" w:ascii="宋体" w:hAnsi="宋体"/>
          <w:color w:val="auto"/>
          <w:szCs w:val="21"/>
          <w:highlight w:val="none"/>
        </w:rPr>
        <w:t>.</w:t>
      </w:r>
      <w:r>
        <w:rPr>
          <w:rFonts w:hint="eastAsia" w:ascii="宋体" w:hAnsi="宋体" w:eastAsia="宋体"/>
          <w:color w:val="auto"/>
          <w:szCs w:val="21"/>
          <w:highlight w:val="none"/>
          <w:lang w:val="en-US" w:eastAsia="zh-CN"/>
        </w:rPr>
        <w:t>信用中国和中国政府采购网截图</w:t>
      </w:r>
      <w:r>
        <w:rPr>
          <w:rFonts w:hint="eastAsia" w:ascii="宋体" w:hAnsi="宋体"/>
          <w:color w:val="auto"/>
          <w:szCs w:val="21"/>
          <w:highlight w:val="none"/>
        </w:rPr>
        <w:t>…………………………………………………………页码</w:t>
      </w:r>
    </w:p>
    <w:p w14:paraId="31832A9F">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w:t>
      </w:r>
      <w:r>
        <w:rPr>
          <w:rFonts w:hint="eastAsia" w:ascii="宋体" w:hAnsi="宋体"/>
          <w:color w:val="auto"/>
          <w:szCs w:val="21"/>
          <w:highlight w:val="none"/>
          <w:lang w:val="zh-CN"/>
        </w:rPr>
        <w:t>具备履行合同所必需的设备和专业技术能力的证明</w:t>
      </w:r>
      <w:r>
        <w:rPr>
          <w:rFonts w:hint="eastAsia" w:ascii="宋体" w:hAnsi="宋体"/>
          <w:color w:val="auto"/>
          <w:szCs w:val="21"/>
          <w:highlight w:val="none"/>
        </w:rPr>
        <w:t>……………………………………页码</w:t>
      </w:r>
    </w:p>
    <w:p w14:paraId="3779AF28">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10</w:t>
      </w:r>
      <w:r>
        <w:rPr>
          <w:rFonts w:hint="eastAsia" w:ascii="宋体" w:hAnsi="宋体"/>
          <w:color w:val="auto"/>
          <w:szCs w:val="21"/>
          <w:highlight w:val="none"/>
        </w:rPr>
        <w:t>.投标声明书…………………………………………………………………………………页码</w:t>
      </w:r>
    </w:p>
    <w:p w14:paraId="283FC89B">
      <w:pPr>
        <w:spacing w:line="480" w:lineRule="auto"/>
        <w:ind w:firstLine="525" w:firstLineChars="25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11.提供投标人享受政府采购优惠政策的证明材料</w:t>
      </w:r>
      <w:r>
        <w:rPr>
          <w:rFonts w:hint="eastAsia" w:ascii="宋体" w:hAnsi="宋体"/>
          <w:color w:val="auto"/>
          <w:szCs w:val="21"/>
          <w:highlight w:val="none"/>
        </w:rPr>
        <w:t>…………………………………………页码</w:t>
      </w:r>
    </w:p>
    <w:p w14:paraId="1F6C8FCA">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12</w:t>
      </w:r>
      <w:r>
        <w:rPr>
          <w:rFonts w:hint="eastAsia" w:ascii="宋体" w:hAnsi="宋体"/>
          <w:color w:val="auto"/>
          <w:szCs w:val="21"/>
          <w:highlight w:val="none"/>
        </w:rPr>
        <w:t>.投标保证金</w:t>
      </w:r>
      <w:r>
        <w:rPr>
          <w:rFonts w:hint="eastAsia" w:ascii="宋体" w:hAnsi="宋体"/>
          <w:color w:val="auto"/>
          <w:szCs w:val="21"/>
          <w:highlight w:val="none"/>
          <w:lang w:eastAsia="zh-CN"/>
        </w:rPr>
        <w:t>凭证</w:t>
      </w:r>
      <w:r>
        <w:rPr>
          <w:rFonts w:hint="eastAsia" w:ascii="宋体" w:hAnsi="宋体"/>
          <w:color w:val="auto"/>
          <w:szCs w:val="21"/>
          <w:highlight w:val="none"/>
        </w:rPr>
        <w:t>……………………………………………………………………………页码</w:t>
      </w:r>
    </w:p>
    <w:p w14:paraId="32F3F820">
      <w:pPr>
        <w:pStyle w:val="7"/>
        <w:spacing w:before="120" w:beforeLines="50" w:after="120" w:afterLines="50"/>
        <w:ind w:firstLine="0"/>
        <w:jc w:val="center"/>
        <w:rPr>
          <w:rFonts w:hint="eastAsia"/>
          <w:b/>
          <w:color w:val="auto"/>
          <w:sz w:val="44"/>
          <w:szCs w:val="44"/>
          <w:highlight w:val="none"/>
        </w:rPr>
      </w:pPr>
    </w:p>
    <w:p w14:paraId="51F01C8E">
      <w:pPr>
        <w:pStyle w:val="7"/>
        <w:spacing w:before="120" w:beforeLines="50" w:after="120" w:afterLines="50"/>
        <w:ind w:firstLine="0"/>
        <w:jc w:val="center"/>
        <w:rPr>
          <w:rFonts w:hint="eastAsia"/>
          <w:b/>
          <w:color w:val="auto"/>
          <w:sz w:val="44"/>
          <w:szCs w:val="44"/>
          <w:highlight w:val="none"/>
        </w:rPr>
      </w:pPr>
    </w:p>
    <w:p w14:paraId="1FDC47E2">
      <w:pPr>
        <w:pStyle w:val="7"/>
        <w:spacing w:before="120" w:beforeLines="50" w:after="120" w:afterLines="50"/>
        <w:ind w:firstLine="0"/>
        <w:jc w:val="center"/>
        <w:rPr>
          <w:rFonts w:hint="eastAsia"/>
          <w:b/>
          <w:color w:val="auto"/>
          <w:sz w:val="44"/>
          <w:szCs w:val="44"/>
          <w:highlight w:val="none"/>
        </w:rPr>
      </w:pPr>
    </w:p>
    <w:p w14:paraId="0CB188FB">
      <w:pPr>
        <w:pStyle w:val="7"/>
        <w:spacing w:before="120" w:beforeLines="50" w:after="120" w:afterLines="50"/>
        <w:ind w:firstLine="0"/>
        <w:rPr>
          <w:rFonts w:hint="eastAsia" w:ascii="仿宋_GB2312" w:eastAsia="仿宋_GB2312"/>
          <w:b/>
          <w:color w:val="auto"/>
          <w:szCs w:val="21"/>
          <w:highlight w:val="none"/>
        </w:rPr>
      </w:pPr>
    </w:p>
    <w:p w14:paraId="76BF69B1">
      <w:pPr>
        <w:pStyle w:val="7"/>
        <w:spacing w:before="120" w:beforeLines="50" w:after="120" w:afterLines="50"/>
        <w:ind w:firstLine="0"/>
        <w:rPr>
          <w:rFonts w:hint="eastAsia" w:ascii="仿宋_GB2312" w:eastAsia="仿宋_GB2312"/>
          <w:b/>
          <w:color w:val="auto"/>
          <w:szCs w:val="21"/>
          <w:highlight w:val="none"/>
        </w:rPr>
      </w:pPr>
    </w:p>
    <w:p w14:paraId="04D7E945">
      <w:pPr>
        <w:adjustRightInd w:val="0"/>
        <w:snapToGrid w:val="0"/>
        <w:spacing w:line="360" w:lineRule="auto"/>
        <w:jc w:val="center"/>
        <w:rPr>
          <w:rFonts w:ascii="宋体" w:hAnsi="宋体"/>
          <w:b/>
          <w:color w:val="auto"/>
          <w:sz w:val="36"/>
          <w:szCs w:val="36"/>
          <w:highlight w:val="none"/>
        </w:rPr>
      </w:pPr>
    </w:p>
    <w:p w14:paraId="53C0A6DF">
      <w:pPr>
        <w:adjustRightInd w:val="0"/>
        <w:snapToGrid w:val="0"/>
        <w:spacing w:line="360" w:lineRule="auto"/>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32" w:name="_Toc3164"/>
      <w:r>
        <w:rPr>
          <w:rFonts w:hint="eastAsia" w:ascii="宋体" w:hAnsi="宋体"/>
          <w:b/>
          <w:color w:val="auto"/>
          <w:sz w:val="36"/>
          <w:szCs w:val="36"/>
          <w:highlight w:val="none"/>
        </w:rPr>
        <w:t>1.投标人基本情况表</w:t>
      </w:r>
      <w:bookmarkEnd w:id="232"/>
    </w:p>
    <w:tbl>
      <w:tblPr>
        <w:tblStyle w:val="23"/>
        <w:tblW w:w="0" w:type="auto"/>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4"/>
        <w:gridCol w:w="1416"/>
        <w:gridCol w:w="208"/>
        <w:gridCol w:w="1068"/>
        <w:gridCol w:w="143"/>
        <w:gridCol w:w="1418"/>
        <w:gridCol w:w="140"/>
        <w:gridCol w:w="427"/>
        <w:gridCol w:w="814"/>
        <w:gridCol w:w="1382"/>
      </w:tblGrid>
      <w:tr w14:paraId="045939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84" w:type="dxa"/>
            <w:noWrap w:val="0"/>
            <w:vAlign w:val="center"/>
          </w:tcPr>
          <w:p w14:paraId="684A25E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投标人名称</w:t>
            </w:r>
          </w:p>
        </w:tc>
        <w:tc>
          <w:tcPr>
            <w:tcW w:w="7016" w:type="dxa"/>
            <w:gridSpan w:val="9"/>
            <w:noWrap w:val="0"/>
            <w:vAlign w:val="center"/>
          </w:tcPr>
          <w:p w14:paraId="54D2984D">
            <w:pPr>
              <w:topLinePunct/>
              <w:spacing w:line="440" w:lineRule="exact"/>
              <w:jc w:val="center"/>
              <w:rPr>
                <w:rFonts w:hint="eastAsia" w:asciiTheme="minorEastAsia" w:hAnsiTheme="minorEastAsia" w:eastAsiaTheme="minorEastAsia" w:cstheme="minorEastAsia"/>
                <w:color w:val="auto"/>
                <w:szCs w:val="21"/>
                <w:highlight w:val="none"/>
              </w:rPr>
            </w:pPr>
          </w:p>
        </w:tc>
      </w:tr>
      <w:tr w14:paraId="73F47B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3" w:hRule="atLeast"/>
        </w:trPr>
        <w:tc>
          <w:tcPr>
            <w:tcW w:w="1984" w:type="dxa"/>
            <w:noWrap w:val="0"/>
            <w:vAlign w:val="center"/>
          </w:tcPr>
          <w:p w14:paraId="67D97EC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统一社会信用代码</w:t>
            </w:r>
          </w:p>
        </w:tc>
        <w:tc>
          <w:tcPr>
            <w:tcW w:w="1416" w:type="dxa"/>
            <w:noWrap w:val="0"/>
            <w:vAlign w:val="center"/>
          </w:tcPr>
          <w:p w14:paraId="4BE58D57">
            <w:pPr>
              <w:topLinePunct/>
              <w:spacing w:line="440" w:lineRule="exa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02DC8C1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注册资金</w:t>
            </w:r>
          </w:p>
        </w:tc>
        <w:tc>
          <w:tcPr>
            <w:tcW w:w="1418" w:type="dxa"/>
            <w:noWrap w:val="0"/>
            <w:vAlign w:val="center"/>
          </w:tcPr>
          <w:p w14:paraId="1C4C76AE">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53F7CD9C">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成立时间</w:t>
            </w:r>
          </w:p>
        </w:tc>
        <w:tc>
          <w:tcPr>
            <w:tcW w:w="1382" w:type="dxa"/>
            <w:noWrap w:val="0"/>
            <w:vAlign w:val="center"/>
          </w:tcPr>
          <w:p w14:paraId="31C12089">
            <w:pPr>
              <w:topLinePunct/>
              <w:spacing w:line="440" w:lineRule="exact"/>
              <w:jc w:val="center"/>
              <w:rPr>
                <w:rFonts w:hint="eastAsia" w:asciiTheme="minorEastAsia" w:hAnsiTheme="minorEastAsia" w:eastAsiaTheme="minorEastAsia" w:cstheme="minorEastAsia"/>
                <w:color w:val="auto"/>
                <w:szCs w:val="21"/>
                <w:highlight w:val="none"/>
              </w:rPr>
            </w:pPr>
          </w:p>
        </w:tc>
      </w:tr>
      <w:tr w14:paraId="41445C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1984" w:type="dxa"/>
            <w:noWrap w:val="0"/>
            <w:vAlign w:val="center"/>
          </w:tcPr>
          <w:p w14:paraId="18DBB2E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注册地址</w:t>
            </w:r>
          </w:p>
        </w:tc>
        <w:tc>
          <w:tcPr>
            <w:tcW w:w="4253" w:type="dxa"/>
            <w:gridSpan w:val="5"/>
            <w:noWrap w:val="0"/>
            <w:vAlign w:val="center"/>
          </w:tcPr>
          <w:p w14:paraId="62078DDD">
            <w:pPr>
              <w:topLinePunct/>
              <w:spacing w:line="440" w:lineRule="exa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65EAC0D5">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资产总额</w:t>
            </w:r>
          </w:p>
        </w:tc>
        <w:tc>
          <w:tcPr>
            <w:tcW w:w="1382" w:type="dxa"/>
            <w:noWrap w:val="0"/>
            <w:vAlign w:val="center"/>
          </w:tcPr>
          <w:p w14:paraId="38AFC959">
            <w:pPr>
              <w:topLinePunct/>
              <w:spacing w:line="440" w:lineRule="exact"/>
              <w:jc w:val="center"/>
              <w:rPr>
                <w:rFonts w:hint="eastAsia" w:asciiTheme="minorEastAsia" w:hAnsiTheme="minorEastAsia" w:eastAsiaTheme="minorEastAsia" w:cstheme="minorEastAsia"/>
                <w:color w:val="auto"/>
                <w:szCs w:val="21"/>
                <w:highlight w:val="none"/>
              </w:rPr>
            </w:pPr>
          </w:p>
        </w:tc>
      </w:tr>
      <w:tr w14:paraId="787F33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noWrap w:val="0"/>
            <w:vAlign w:val="center"/>
          </w:tcPr>
          <w:p w14:paraId="01AF2FD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上年营业额</w:t>
            </w:r>
          </w:p>
        </w:tc>
        <w:tc>
          <w:tcPr>
            <w:tcW w:w="1416" w:type="dxa"/>
            <w:noWrap w:val="0"/>
            <w:vAlign w:val="center"/>
          </w:tcPr>
          <w:p w14:paraId="4C7F7189">
            <w:pPr>
              <w:topLinePun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6162B59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员工总人数</w:t>
            </w:r>
          </w:p>
        </w:tc>
        <w:tc>
          <w:tcPr>
            <w:tcW w:w="1418" w:type="dxa"/>
            <w:noWrap w:val="0"/>
            <w:vAlign w:val="center"/>
          </w:tcPr>
          <w:p w14:paraId="202F424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32F89400">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企业类型</w:t>
            </w:r>
          </w:p>
        </w:tc>
        <w:tc>
          <w:tcPr>
            <w:tcW w:w="1382" w:type="dxa"/>
            <w:noWrap w:val="0"/>
            <w:vAlign w:val="center"/>
          </w:tcPr>
          <w:p w14:paraId="77A68669">
            <w:pPr>
              <w:topLinePunct/>
              <w:spacing w:line="440" w:lineRule="exact"/>
              <w:jc w:val="center"/>
              <w:rPr>
                <w:rFonts w:hint="eastAsia" w:asciiTheme="minorEastAsia" w:hAnsiTheme="minorEastAsia" w:eastAsiaTheme="minorEastAsia" w:cstheme="minorEastAsia"/>
                <w:color w:val="auto"/>
                <w:szCs w:val="21"/>
                <w:highlight w:val="none"/>
              </w:rPr>
            </w:pPr>
          </w:p>
        </w:tc>
      </w:tr>
      <w:tr w14:paraId="7E4327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0C20936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法定代表人</w:t>
            </w:r>
          </w:p>
          <w:p w14:paraId="52E333D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 （单位负责人）</w:t>
            </w:r>
          </w:p>
        </w:tc>
        <w:tc>
          <w:tcPr>
            <w:tcW w:w="1416" w:type="dxa"/>
            <w:vMerge w:val="restart"/>
            <w:noWrap w:val="0"/>
            <w:vAlign w:val="center"/>
          </w:tcPr>
          <w:p w14:paraId="018ACEB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姓名</w:t>
            </w:r>
          </w:p>
        </w:tc>
        <w:tc>
          <w:tcPr>
            <w:tcW w:w="1419" w:type="dxa"/>
            <w:gridSpan w:val="3"/>
            <w:vMerge w:val="restart"/>
            <w:noWrap w:val="0"/>
            <w:vAlign w:val="center"/>
          </w:tcPr>
          <w:p w14:paraId="33DD754B">
            <w:pPr>
              <w:topLinePunct/>
              <w:jc w:val="center"/>
              <w:rPr>
                <w:rFonts w:hint="eastAsia" w:asciiTheme="minorEastAsia" w:hAnsiTheme="minorEastAsia" w:eastAsiaTheme="minorEastAsia" w:cstheme="minorEastAsia"/>
                <w:color w:val="auto"/>
                <w:szCs w:val="21"/>
                <w:highlight w:val="none"/>
              </w:rPr>
            </w:pPr>
          </w:p>
        </w:tc>
        <w:tc>
          <w:tcPr>
            <w:tcW w:w="1418" w:type="dxa"/>
            <w:vMerge w:val="restart"/>
            <w:noWrap w:val="0"/>
            <w:vAlign w:val="center"/>
          </w:tcPr>
          <w:p w14:paraId="70BD03F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1381" w:type="dxa"/>
            <w:gridSpan w:val="3"/>
            <w:noWrap w:val="0"/>
            <w:vAlign w:val="center"/>
          </w:tcPr>
          <w:p w14:paraId="3D6BC84F">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手机</w:t>
            </w:r>
          </w:p>
        </w:tc>
        <w:tc>
          <w:tcPr>
            <w:tcW w:w="1382" w:type="dxa"/>
            <w:noWrap w:val="0"/>
            <w:vAlign w:val="center"/>
          </w:tcPr>
          <w:p w14:paraId="457B2529">
            <w:pPr>
              <w:topLinePunct/>
              <w:spacing w:line="440" w:lineRule="exact"/>
              <w:jc w:val="center"/>
              <w:rPr>
                <w:rFonts w:hint="eastAsia" w:asciiTheme="minorEastAsia" w:hAnsiTheme="minorEastAsia" w:eastAsiaTheme="minorEastAsia" w:cstheme="minorEastAsia"/>
                <w:color w:val="auto"/>
                <w:szCs w:val="21"/>
                <w:highlight w:val="none"/>
              </w:rPr>
            </w:pPr>
          </w:p>
        </w:tc>
      </w:tr>
      <w:tr w14:paraId="42CD99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2E670FA0">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0D331D45">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4F6BC772">
            <w:pPr>
              <w:topLinePunct/>
              <w:jc w:val="center"/>
              <w:rPr>
                <w:rFonts w:hint="eastAsia" w:asciiTheme="minorEastAsia" w:hAnsiTheme="minorEastAsia" w:eastAsiaTheme="minorEastAsia" w:cstheme="minorEastAsia"/>
                <w:color w:val="auto"/>
                <w:szCs w:val="21"/>
                <w:highlight w:val="none"/>
              </w:rPr>
            </w:pPr>
          </w:p>
        </w:tc>
        <w:tc>
          <w:tcPr>
            <w:tcW w:w="1418" w:type="dxa"/>
            <w:vMerge w:val="continue"/>
            <w:noWrap w:val="0"/>
            <w:vAlign w:val="center"/>
          </w:tcPr>
          <w:p w14:paraId="535DBCC9">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5F814A7B">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办公</w:t>
            </w:r>
          </w:p>
        </w:tc>
        <w:tc>
          <w:tcPr>
            <w:tcW w:w="1382" w:type="dxa"/>
            <w:noWrap w:val="0"/>
            <w:vAlign w:val="center"/>
          </w:tcPr>
          <w:p w14:paraId="45C2A2A5">
            <w:pPr>
              <w:topLinePunct/>
              <w:spacing w:line="440" w:lineRule="exact"/>
              <w:jc w:val="center"/>
              <w:rPr>
                <w:rFonts w:hint="eastAsia" w:asciiTheme="minorEastAsia" w:hAnsiTheme="minorEastAsia" w:eastAsiaTheme="minorEastAsia" w:cstheme="minorEastAsia"/>
                <w:color w:val="auto"/>
                <w:szCs w:val="21"/>
                <w:highlight w:val="none"/>
              </w:rPr>
            </w:pPr>
          </w:p>
        </w:tc>
      </w:tr>
      <w:tr w14:paraId="5BD749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2AE9300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联系方式</w:t>
            </w:r>
          </w:p>
        </w:tc>
        <w:tc>
          <w:tcPr>
            <w:tcW w:w="1416" w:type="dxa"/>
            <w:vMerge w:val="restart"/>
            <w:noWrap w:val="0"/>
            <w:vAlign w:val="center"/>
          </w:tcPr>
          <w:p w14:paraId="6DC374D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联系人</w:t>
            </w:r>
          </w:p>
        </w:tc>
        <w:tc>
          <w:tcPr>
            <w:tcW w:w="1419" w:type="dxa"/>
            <w:gridSpan w:val="3"/>
            <w:vMerge w:val="restart"/>
            <w:noWrap w:val="0"/>
            <w:vAlign w:val="center"/>
          </w:tcPr>
          <w:p w14:paraId="046C7BB3">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627B789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2763" w:type="dxa"/>
            <w:gridSpan w:val="4"/>
            <w:noWrap w:val="0"/>
            <w:vAlign w:val="center"/>
          </w:tcPr>
          <w:p w14:paraId="572D16BD">
            <w:pPr>
              <w:topLinePunct/>
              <w:spacing w:line="440" w:lineRule="exact"/>
              <w:jc w:val="center"/>
              <w:rPr>
                <w:rFonts w:hint="eastAsia" w:asciiTheme="minorEastAsia" w:hAnsiTheme="minorEastAsia" w:eastAsiaTheme="minorEastAsia" w:cstheme="minorEastAsia"/>
                <w:color w:val="auto"/>
                <w:szCs w:val="21"/>
                <w:highlight w:val="none"/>
              </w:rPr>
            </w:pPr>
          </w:p>
        </w:tc>
      </w:tr>
      <w:tr w14:paraId="0F12E0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66092585">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0D85F50D">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2872B3A3">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29D7F50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邮箱</w:t>
            </w:r>
          </w:p>
        </w:tc>
        <w:tc>
          <w:tcPr>
            <w:tcW w:w="2763" w:type="dxa"/>
            <w:gridSpan w:val="4"/>
            <w:noWrap w:val="0"/>
            <w:vAlign w:val="center"/>
          </w:tcPr>
          <w:p w14:paraId="05237F61">
            <w:pPr>
              <w:topLinePunct/>
              <w:spacing w:line="440" w:lineRule="exact"/>
              <w:jc w:val="center"/>
              <w:rPr>
                <w:rFonts w:hint="eastAsia" w:asciiTheme="minorEastAsia" w:hAnsiTheme="minorEastAsia" w:eastAsiaTheme="minorEastAsia" w:cstheme="minorEastAsia"/>
                <w:color w:val="auto"/>
                <w:szCs w:val="21"/>
                <w:highlight w:val="none"/>
              </w:rPr>
            </w:pPr>
          </w:p>
        </w:tc>
      </w:tr>
      <w:tr w14:paraId="43E43E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 w:hRule="atLeast"/>
        </w:trPr>
        <w:tc>
          <w:tcPr>
            <w:tcW w:w="1984" w:type="dxa"/>
            <w:noWrap w:val="0"/>
            <w:vAlign w:val="center"/>
          </w:tcPr>
          <w:p w14:paraId="1F7D07D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基本账户开</w:t>
            </w:r>
            <w:r>
              <w:rPr>
                <w:rFonts w:hint="eastAsia" w:asciiTheme="minorEastAsia" w:hAnsiTheme="minorEastAsia" w:eastAsiaTheme="minorEastAsia" w:cstheme="minorEastAsia"/>
                <w:color w:val="auto"/>
                <w:szCs w:val="21"/>
                <w:highlight w:val="none"/>
                <w:lang w:val="en-US" w:eastAsia="zh-CN"/>
              </w:rPr>
              <w:t>户银</w:t>
            </w:r>
            <w:r>
              <w:rPr>
                <w:rFonts w:hint="eastAsia" w:asciiTheme="minorEastAsia" w:hAnsiTheme="minorEastAsia" w:eastAsiaTheme="minorEastAsia" w:cstheme="minorEastAsia"/>
                <w:color w:val="auto"/>
                <w:szCs w:val="21"/>
                <w:highlight w:val="none"/>
              </w:rPr>
              <w:t>行</w:t>
            </w:r>
          </w:p>
        </w:tc>
        <w:tc>
          <w:tcPr>
            <w:tcW w:w="2835" w:type="dxa"/>
            <w:gridSpan w:val="4"/>
            <w:noWrap w:val="0"/>
            <w:vAlign w:val="center"/>
          </w:tcPr>
          <w:p w14:paraId="6FFC4D2C">
            <w:pPr>
              <w:topLinePunct/>
              <w:spacing w:line="440" w:lineRule="exact"/>
              <w:jc w:val="center"/>
              <w:rPr>
                <w:rFonts w:hint="eastAsia" w:asciiTheme="minorEastAsia" w:hAnsiTheme="minorEastAsia" w:eastAsiaTheme="minorEastAsia" w:cstheme="minorEastAsia"/>
                <w:color w:val="auto"/>
                <w:szCs w:val="21"/>
                <w:highlight w:val="none"/>
              </w:rPr>
            </w:pPr>
          </w:p>
        </w:tc>
        <w:tc>
          <w:tcPr>
            <w:tcW w:w="1985" w:type="dxa"/>
            <w:gridSpan w:val="3"/>
            <w:noWrap w:val="0"/>
            <w:vAlign w:val="center"/>
          </w:tcPr>
          <w:p w14:paraId="343008C9">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基本账户银行账号</w:t>
            </w:r>
          </w:p>
        </w:tc>
        <w:tc>
          <w:tcPr>
            <w:tcW w:w="2196" w:type="dxa"/>
            <w:gridSpan w:val="2"/>
            <w:noWrap w:val="0"/>
            <w:vAlign w:val="center"/>
          </w:tcPr>
          <w:p w14:paraId="7212FA16">
            <w:pPr>
              <w:topLinePunct/>
              <w:spacing w:line="440" w:lineRule="exact"/>
              <w:jc w:val="center"/>
              <w:rPr>
                <w:rFonts w:hint="eastAsia" w:asciiTheme="minorEastAsia" w:hAnsiTheme="minorEastAsia" w:eastAsiaTheme="minorEastAsia" w:cstheme="minorEastAsia"/>
                <w:color w:val="auto"/>
                <w:szCs w:val="21"/>
                <w:highlight w:val="none"/>
              </w:rPr>
            </w:pPr>
          </w:p>
        </w:tc>
      </w:tr>
      <w:tr w14:paraId="13D56C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888" w:hRule="atLeast"/>
        </w:trPr>
        <w:tc>
          <w:tcPr>
            <w:tcW w:w="1984" w:type="dxa"/>
            <w:noWrap w:val="0"/>
            <w:vAlign w:val="center"/>
          </w:tcPr>
          <w:p w14:paraId="5539E807">
            <w:pPr>
              <w:topLinePunct/>
              <w:spacing w:line="360" w:lineRule="exac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投标人关联企业情况（包括但不限于与投标人法定代表人为同一人或者存在控股、管理关系的不同单位）</w:t>
            </w:r>
          </w:p>
        </w:tc>
        <w:tc>
          <w:tcPr>
            <w:tcW w:w="7016" w:type="dxa"/>
            <w:gridSpan w:val="9"/>
            <w:noWrap w:val="0"/>
            <w:vAlign w:val="center"/>
          </w:tcPr>
          <w:p w14:paraId="14CFC19D">
            <w:pPr>
              <w:topLinePunct/>
              <w:spacing w:line="440" w:lineRule="exact"/>
              <w:jc w:val="center"/>
              <w:rPr>
                <w:rFonts w:hint="eastAsia" w:asciiTheme="minorEastAsia" w:hAnsiTheme="minorEastAsia" w:eastAsiaTheme="minorEastAsia" w:cstheme="minorEastAsia"/>
                <w:color w:val="auto"/>
                <w:szCs w:val="21"/>
                <w:highlight w:val="none"/>
              </w:rPr>
            </w:pPr>
          </w:p>
        </w:tc>
      </w:tr>
      <w:tr w14:paraId="10C21BD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9" w:hRule="atLeast"/>
        </w:trPr>
        <w:tc>
          <w:tcPr>
            <w:tcW w:w="3608" w:type="dxa"/>
            <w:gridSpan w:val="3"/>
            <w:noWrap w:val="0"/>
            <w:vAlign w:val="center"/>
          </w:tcPr>
          <w:p w14:paraId="7B2E97E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投标人需具有的资质证书</w:t>
            </w:r>
          </w:p>
        </w:tc>
        <w:tc>
          <w:tcPr>
            <w:tcW w:w="1068" w:type="dxa"/>
            <w:noWrap w:val="0"/>
            <w:vAlign w:val="center"/>
          </w:tcPr>
          <w:p w14:paraId="404B135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53DDBD27">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1979E14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3C6286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74" w:hRule="atLeast"/>
        </w:trPr>
        <w:tc>
          <w:tcPr>
            <w:tcW w:w="3608" w:type="dxa"/>
            <w:gridSpan w:val="3"/>
            <w:noWrap w:val="0"/>
            <w:vAlign w:val="center"/>
          </w:tcPr>
          <w:p w14:paraId="7935C3AF">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3F756E37">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23C70D5A">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0070E35">
            <w:pPr>
              <w:topLinePunct/>
              <w:jc w:val="center"/>
              <w:rPr>
                <w:rFonts w:hint="eastAsia" w:asciiTheme="minorEastAsia" w:hAnsiTheme="minorEastAsia" w:eastAsiaTheme="minorEastAsia" w:cstheme="minorEastAsia"/>
                <w:color w:val="auto"/>
                <w:szCs w:val="21"/>
                <w:highlight w:val="none"/>
              </w:rPr>
            </w:pPr>
          </w:p>
        </w:tc>
      </w:tr>
      <w:tr w14:paraId="3809D6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04" w:hRule="atLeast"/>
        </w:trPr>
        <w:tc>
          <w:tcPr>
            <w:tcW w:w="3608" w:type="dxa"/>
            <w:gridSpan w:val="3"/>
            <w:noWrap w:val="0"/>
            <w:vAlign w:val="center"/>
          </w:tcPr>
          <w:p w14:paraId="3BA0E03F">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E33925D">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95E35E8">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FC6C675">
            <w:pPr>
              <w:topLinePunct/>
              <w:jc w:val="center"/>
              <w:rPr>
                <w:rFonts w:hint="eastAsia" w:asciiTheme="minorEastAsia" w:hAnsiTheme="minorEastAsia" w:eastAsiaTheme="minorEastAsia" w:cstheme="minorEastAsia"/>
                <w:color w:val="auto"/>
                <w:szCs w:val="21"/>
                <w:highlight w:val="none"/>
              </w:rPr>
            </w:pPr>
          </w:p>
        </w:tc>
      </w:tr>
      <w:tr w14:paraId="264996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8" w:hRule="atLeast"/>
        </w:trPr>
        <w:tc>
          <w:tcPr>
            <w:tcW w:w="3608" w:type="dxa"/>
            <w:gridSpan w:val="3"/>
            <w:noWrap w:val="0"/>
            <w:vAlign w:val="center"/>
          </w:tcPr>
          <w:p w14:paraId="45C3BABD">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D48B46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771220F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6CCA5A17">
            <w:pPr>
              <w:topLinePunct/>
              <w:jc w:val="center"/>
              <w:rPr>
                <w:rFonts w:hint="eastAsia" w:asciiTheme="minorEastAsia" w:hAnsiTheme="minorEastAsia" w:eastAsiaTheme="minorEastAsia" w:cstheme="minorEastAsia"/>
                <w:color w:val="auto"/>
                <w:szCs w:val="21"/>
                <w:highlight w:val="none"/>
              </w:rPr>
            </w:pPr>
          </w:p>
        </w:tc>
      </w:tr>
      <w:tr w14:paraId="382219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66" w:hRule="atLeast"/>
        </w:trPr>
        <w:tc>
          <w:tcPr>
            <w:tcW w:w="3608" w:type="dxa"/>
            <w:gridSpan w:val="3"/>
            <w:noWrap w:val="0"/>
            <w:vAlign w:val="center"/>
          </w:tcPr>
          <w:p w14:paraId="5EFF9EA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投标产品制造商名称</w:t>
            </w:r>
          </w:p>
        </w:tc>
        <w:tc>
          <w:tcPr>
            <w:tcW w:w="5392" w:type="dxa"/>
            <w:gridSpan w:val="7"/>
            <w:noWrap w:val="0"/>
            <w:vAlign w:val="center"/>
          </w:tcPr>
          <w:p w14:paraId="0B4448D4">
            <w:pPr>
              <w:topLinePunct/>
              <w:jc w:val="center"/>
              <w:rPr>
                <w:rFonts w:hint="eastAsia" w:asciiTheme="minorEastAsia" w:hAnsiTheme="minorEastAsia" w:eastAsiaTheme="minorEastAsia" w:cstheme="minorEastAsia"/>
                <w:color w:val="auto"/>
                <w:szCs w:val="21"/>
                <w:highlight w:val="none"/>
              </w:rPr>
            </w:pPr>
          </w:p>
        </w:tc>
      </w:tr>
      <w:tr w14:paraId="7E1A18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2" w:hRule="atLeast"/>
        </w:trPr>
        <w:tc>
          <w:tcPr>
            <w:tcW w:w="3608" w:type="dxa"/>
            <w:gridSpan w:val="3"/>
            <w:noWrap w:val="0"/>
            <w:vAlign w:val="center"/>
          </w:tcPr>
          <w:p w14:paraId="4AC0DDF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投标产品制造商需具有的资质证书</w:t>
            </w:r>
          </w:p>
        </w:tc>
        <w:tc>
          <w:tcPr>
            <w:tcW w:w="1068" w:type="dxa"/>
            <w:noWrap w:val="0"/>
            <w:vAlign w:val="center"/>
          </w:tcPr>
          <w:p w14:paraId="3B7306F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3D0018AE">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3B6C248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49694B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2" w:hRule="atLeast"/>
        </w:trPr>
        <w:tc>
          <w:tcPr>
            <w:tcW w:w="3608" w:type="dxa"/>
            <w:gridSpan w:val="3"/>
            <w:noWrap w:val="0"/>
            <w:vAlign w:val="center"/>
          </w:tcPr>
          <w:p w14:paraId="5BFF6022">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7A5335E4">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19BF45C7">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699887AA">
            <w:pPr>
              <w:topLinePunct/>
              <w:jc w:val="center"/>
              <w:rPr>
                <w:rFonts w:hint="eastAsia" w:asciiTheme="minorEastAsia" w:hAnsiTheme="minorEastAsia" w:eastAsiaTheme="minorEastAsia" w:cstheme="minorEastAsia"/>
                <w:color w:val="auto"/>
                <w:szCs w:val="21"/>
                <w:highlight w:val="none"/>
              </w:rPr>
            </w:pPr>
          </w:p>
        </w:tc>
      </w:tr>
      <w:tr w14:paraId="06F3C5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3608" w:type="dxa"/>
            <w:gridSpan w:val="3"/>
            <w:noWrap w:val="0"/>
            <w:vAlign w:val="center"/>
          </w:tcPr>
          <w:p w14:paraId="06EDBDE9">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30EB67A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41A4E18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0EA4F746">
            <w:pPr>
              <w:topLinePunct/>
              <w:jc w:val="center"/>
              <w:rPr>
                <w:rFonts w:hint="eastAsia" w:asciiTheme="minorEastAsia" w:hAnsiTheme="minorEastAsia" w:eastAsiaTheme="minorEastAsia" w:cstheme="minorEastAsia"/>
                <w:color w:val="auto"/>
                <w:szCs w:val="21"/>
                <w:highlight w:val="none"/>
              </w:rPr>
            </w:pPr>
          </w:p>
        </w:tc>
      </w:tr>
      <w:tr w14:paraId="31CB98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4" w:hRule="atLeast"/>
        </w:trPr>
        <w:tc>
          <w:tcPr>
            <w:tcW w:w="3608" w:type="dxa"/>
            <w:gridSpan w:val="3"/>
            <w:noWrap w:val="0"/>
            <w:vAlign w:val="center"/>
          </w:tcPr>
          <w:p w14:paraId="6C6512CF">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6883201E">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34199B61">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3E9CCE5">
            <w:pPr>
              <w:topLinePunct/>
              <w:jc w:val="center"/>
              <w:rPr>
                <w:rFonts w:hint="eastAsia" w:asciiTheme="minorEastAsia" w:hAnsiTheme="minorEastAsia" w:eastAsiaTheme="minorEastAsia" w:cstheme="minorEastAsia"/>
                <w:color w:val="auto"/>
                <w:szCs w:val="21"/>
                <w:highlight w:val="none"/>
              </w:rPr>
            </w:pPr>
          </w:p>
        </w:tc>
      </w:tr>
    </w:tbl>
    <w:p w14:paraId="23B6145E">
      <w:pPr>
        <w:adjustRightInd w:val="0"/>
        <w:snapToGrid w:val="0"/>
        <w:spacing w:before="120" w:beforeLines="50"/>
        <w:ind w:left="630" w:hanging="630" w:hangingChars="3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说明：企业类型指大型、中型、小型、微型；上年营业收入、资产总额应与财务报表中的数据一致， 金额单位为万元。</w:t>
      </w:r>
    </w:p>
    <w:p w14:paraId="0AE56453">
      <w:pPr>
        <w:adjustRightInd w:val="0"/>
        <w:snapToGrid w:val="0"/>
        <w:spacing w:before="240" w:beforeLines="100" w:line="360" w:lineRule="auto"/>
        <w:ind w:firstLine="388" w:firstLineChars="185"/>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投  标  人：</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（盖单位章）</w:t>
      </w:r>
    </w:p>
    <w:p w14:paraId="0B1568D7">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法定代表人或委托代理人：</w:t>
      </w:r>
      <w:r>
        <w:rPr>
          <w:rFonts w:hint="eastAsia" w:asciiTheme="minorEastAsia" w:hAnsiTheme="minorEastAsia" w:eastAsiaTheme="minorEastAsia" w:cstheme="minorEastAsia"/>
          <w:color w:val="auto"/>
          <w:szCs w:val="21"/>
          <w:highlight w:val="none"/>
          <w:u w:val="single"/>
        </w:rPr>
        <w:t xml:space="preserve">            </w:t>
      </w:r>
      <w:r>
        <w:rPr>
          <w:rFonts w:hint="eastAsia" w:asciiTheme="minorEastAsia" w:hAnsiTheme="minorEastAsia" w:eastAsiaTheme="minorEastAsia" w:cstheme="minorEastAsia"/>
          <w:color w:val="auto"/>
          <w:szCs w:val="21"/>
          <w:highlight w:val="none"/>
        </w:rPr>
        <w:t>（签字）</w:t>
      </w:r>
    </w:p>
    <w:p w14:paraId="618B52D2">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日      期:20</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年</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月</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日</w:t>
      </w:r>
    </w:p>
    <w:p w14:paraId="1F2C0F00">
      <w:pPr>
        <w:adjustRightInd w:val="0"/>
        <w:snapToGrid w:val="0"/>
        <w:spacing w:line="360" w:lineRule="auto"/>
        <w:jc w:val="center"/>
        <w:rPr>
          <w:rFonts w:hint="eastAsia" w:ascii="宋体" w:hAnsi="宋体"/>
          <w:b/>
          <w:color w:val="auto"/>
          <w:sz w:val="36"/>
          <w:szCs w:val="36"/>
          <w:highlight w:val="none"/>
        </w:rPr>
      </w:pPr>
    </w:p>
    <w:p w14:paraId="54487DEB">
      <w:pPr>
        <w:adjustRightInd w:val="0"/>
        <w:snapToGrid w:val="0"/>
        <w:spacing w:line="360" w:lineRule="auto"/>
        <w:jc w:val="center"/>
        <w:outlineLvl w:val="1"/>
        <w:rPr>
          <w:rFonts w:hint="eastAsia" w:ascii="宋体" w:hAnsi="宋体"/>
          <w:color w:val="auto"/>
          <w:szCs w:val="21"/>
          <w:highlight w:val="none"/>
        </w:rPr>
      </w:pPr>
      <w:bookmarkStart w:id="233" w:name="_Toc26477"/>
      <w:r>
        <w:rPr>
          <w:rFonts w:hint="eastAsia" w:ascii="宋体" w:hAnsi="宋体"/>
          <w:b/>
          <w:color w:val="auto"/>
          <w:sz w:val="36"/>
          <w:szCs w:val="36"/>
          <w:highlight w:val="none"/>
        </w:rPr>
        <w:t>2.法定代表人（单位负责人）身份证明</w:t>
      </w:r>
      <w:bookmarkEnd w:id="233"/>
    </w:p>
    <w:p w14:paraId="38EBE000">
      <w:pPr>
        <w:snapToGrid w:val="0"/>
        <w:spacing w:line="480" w:lineRule="auto"/>
        <w:rPr>
          <w:rFonts w:hint="eastAsia" w:ascii="宋体" w:hAnsi="宋体"/>
          <w:color w:val="auto"/>
          <w:szCs w:val="21"/>
          <w:highlight w:val="none"/>
        </w:rPr>
      </w:pPr>
    </w:p>
    <w:p w14:paraId="5FCCD2B5">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投标人</w:t>
      </w:r>
      <w:r>
        <w:rPr>
          <w:rFonts w:hint="eastAsia" w:ascii="宋体" w:hAnsi="宋体" w:cs="宋体"/>
          <w:color w:val="auto"/>
          <w:kern w:val="0"/>
          <w:szCs w:val="21"/>
          <w:highlight w:val="none"/>
        </w:rPr>
        <w:t>名称：</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245F7707">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统一社会信用代码：</w:t>
      </w:r>
      <w:r>
        <w:rPr>
          <w:rFonts w:hint="eastAsia" w:ascii="宋体" w:hAnsi="宋体" w:cs="宋体"/>
          <w:color w:val="auto"/>
          <w:kern w:val="0"/>
          <w:szCs w:val="21"/>
          <w:highlight w:val="none"/>
          <w:u w:val="single"/>
        </w:rPr>
        <w:t xml:space="preserve">                </w:t>
      </w:r>
    </w:p>
    <w:p w14:paraId="44D0ED21">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姓名：</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性别：</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年龄：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职务：</w:t>
      </w:r>
      <w:r>
        <w:rPr>
          <w:rFonts w:hint="eastAsia" w:ascii="宋体" w:hAnsi="宋体" w:cs="宋体"/>
          <w:color w:val="auto"/>
          <w:kern w:val="0"/>
          <w:szCs w:val="21"/>
          <w:highlight w:val="none"/>
          <w:u w:val="single"/>
        </w:rPr>
        <w:t xml:space="preserve">             </w:t>
      </w:r>
    </w:p>
    <w:p w14:paraId="5DC9950F">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系</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（投标</w:t>
      </w:r>
      <w:r>
        <w:rPr>
          <w:rFonts w:hint="eastAsia" w:ascii="宋体" w:hAnsi="宋体"/>
          <w:color w:val="auto"/>
          <w:szCs w:val="21"/>
          <w:highlight w:val="none"/>
        </w:rPr>
        <w:t>人</w:t>
      </w:r>
      <w:r>
        <w:rPr>
          <w:rFonts w:hint="eastAsia" w:ascii="宋体" w:hAnsi="宋体" w:cs="宋体"/>
          <w:color w:val="auto"/>
          <w:kern w:val="0"/>
          <w:szCs w:val="21"/>
          <w:highlight w:val="none"/>
        </w:rPr>
        <w:t>名称）的法定代表人（单位负责人）。</w:t>
      </w:r>
    </w:p>
    <w:p w14:paraId="41220D52">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特此证明。</w:t>
      </w:r>
    </w:p>
    <w:p w14:paraId="2D07029B">
      <w:pPr>
        <w:autoSpaceDE w:val="0"/>
        <w:autoSpaceDN w:val="0"/>
        <w:adjustRightInd w:val="0"/>
        <w:snapToGrid w:val="0"/>
        <w:spacing w:before="120" w:beforeLines="50" w:line="360" w:lineRule="auto"/>
        <w:jc w:val="left"/>
        <w:rPr>
          <w:rFonts w:hint="eastAsia" w:ascii="宋体" w:hAnsi="宋体"/>
          <w:color w:val="auto"/>
          <w:szCs w:val="21"/>
          <w:highlight w:val="none"/>
        </w:rPr>
      </w:pPr>
    </w:p>
    <w:p w14:paraId="3C6510F3">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附：法定代表人身份证复印件</w:t>
      </w:r>
    </w:p>
    <w:p w14:paraId="189843D9">
      <w:pPr>
        <w:snapToGrid w:val="0"/>
        <w:spacing w:line="480" w:lineRule="auto"/>
        <w:rPr>
          <w:rFonts w:ascii="宋体" w:hAnsi="宋体"/>
          <w:color w:val="auto"/>
          <w:szCs w:val="21"/>
          <w:highlight w:val="none"/>
        </w:rPr>
      </w:pPr>
    </w:p>
    <w:tbl>
      <w:tblPr>
        <w:tblStyle w:val="23"/>
        <w:tblpPr w:leftFromText="180" w:rightFromText="180" w:vertAnchor="text" w:horzAnchor="margin" w:tblpXSpec="center" w:tblpY="10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68"/>
      </w:tblGrid>
      <w:tr w14:paraId="24D05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55" w:hRule="atLeast"/>
        </w:trPr>
        <w:tc>
          <w:tcPr>
            <w:tcW w:w="5868" w:type="dxa"/>
            <w:noWrap w:val="0"/>
            <w:vAlign w:val="center"/>
          </w:tcPr>
          <w:p w14:paraId="537D8E46">
            <w:pPr>
              <w:snapToGrid w:val="0"/>
              <w:spacing w:line="480" w:lineRule="auto"/>
              <w:jc w:val="center"/>
              <w:rPr>
                <w:rFonts w:hint="eastAsia" w:ascii="宋体" w:hAnsi="宋体"/>
                <w:color w:val="auto"/>
                <w:szCs w:val="21"/>
                <w:highlight w:val="none"/>
              </w:rPr>
            </w:pPr>
          </w:p>
          <w:p w14:paraId="1FAFF8E9">
            <w:pPr>
              <w:snapToGrid w:val="0"/>
              <w:spacing w:line="480" w:lineRule="auto"/>
              <w:jc w:val="center"/>
              <w:rPr>
                <w:rFonts w:hint="eastAsia" w:ascii="宋体" w:hAnsi="宋体"/>
                <w:color w:val="auto"/>
                <w:szCs w:val="21"/>
                <w:highlight w:val="none"/>
              </w:rPr>
            </w:pPr>
          </w:p>
          <w:p w14:paraId="0BFE1A0B">
            <w:pPr>
              <w:autoSpaceDE w:val="0"/>
              <w:autoSpaceDN w:val="0"/>
              <w:adjustRightInd w:val="0"/>
              <w:snapToGrid w:val="0"/>
              <w:spacing w:before="120" w:beforeLines="50" w:line="360" w:lineRule="auto"/>
              <w:jc w:val="center"/>
              <w:rPr>
                <w:rFonts w:hint="eastAsia" w:ascii="宋体" w:hAnsi="宋体" w:cs="宋体"/>
                <w:color w:val="auto"/>
                <w:kern w:val="0"/>
                <w:szCs w:val="21"/>
                <w:highlight w:val="none"/>
              </w:rPr>
            </w:pPr>
            <w:r>
              <w:rPr>
                <w:rFonts w:hint="eastAsia" w:ascii="宋体" w:hAnsi="宋体"/>
                <w:color w:val="auto"/>
                <w:szCs w:val="21"/>
                <w:highlight w:val="none"/>
              </w:rPr>
              <w:t>法定代表人身份证复印件粘贴处</w:t>
            </w:r>
          </w:p>
          <w:p w14:paraId="12E24AF1">
            <w:pPr>
              <w:snapToGrid w:val="0"/>
              <w:spacing w:line="480" w:lineRule="auto"/>
              <w:jc w:val="center"/>
              <w:rPr>
                <w:rFonts w:hint="eastAsia" w:ascii="宋体" w:hAnsi="宋体"/>
                <w:color w:val="auto"/>
                <w:szCs w:val="21"/>
                <w:highlight w:val="none"/>
              </w:rPr>
            </w:pPr>
          </w:p>
          <w:p w14:paraId="532B2805">
            <w:pPr>
              <w:snapToGrid w:val="0"/>
              <w:spacing w:line="480" w:lineRule="auto"/>
              <w:jc w:val="center"/>
              <w:rPr>
                <w:rFonts w:hint="eastAsia" w:ascii="宋体" w:hAnsi="宋体"/>
                <w:color w:val="auto"/>
                <w:szCs w:val="21"/>
                <w:highlight w:val="none"/>
              </w:rPr>
            </w:pPr>
          </w:p>
        </w:tc>
      </w:tr>
    </w:tbl>
    <w:p w14:paraId="63E70A22">
      <w:pPr>
        <w:snapToGrid w:val="0"/>
        <w:spacing w:line="480" w:lineRule="auto"/>
        <w:rPr>
          <w:rFonts w:hint="eastAsia" w:ascii="宋体" w:hAnsi="宋体"/>
          <w:color w:val="auto"/>
          <w:szCs w:val="21"/>
          <w:highlight w:val="none"/>
        </w:rPr>
      </w:pPr>
    </w:p>
    <w:p w14:paraId="6B9605F9">
      <w:pPr>
        <w:snapToGrid w:val="0"/>
        <w:rPr>
          <w:rFonts w:hint="eastAsia" w:ascii="宋体" w:hAnsi="宋体"/>
          <w:color w:val="auto"/>
          <w:szCs w:val="21"/>
          <w:highlight w:val="none"/>
        </w:rPr>
      </w:pPr>
    </w:p>
    <w:p w14:paraId="470C5760">
      <w:pPr>
        <w:snapToGrid w:val="0"/>
        <w:rPr>
          <w:rFonts w:hint="eastAsia" w:ascii="宋体" w:hAnsi="宋体"/>
          <w:color w:val="auto"/>
          <w:szCs w:val="21"/>
          <w:highlight w:val="none"/>
        </w:rPr>
      </w:pPr>
    </w:p>
    <w:p w14:paraId="096284FA">
      <w:pPr>
        <w:snapToGrid w:val="0"/>
        <w:rPr>
          <w:rFonts w:hint="eastAsia" w:ascii="宋体" w:hAnsi="宋体"/>
          <w:color w:val="auto"/>
          <w:szCs w:val="21"/>
          <w:highlight w:val="none"/>
        </w:rPr>
      </w:pPr>
    </w:p>
    <w:p w14:paraId="1822F466">
      <w:pPr>
        <w:adjustRightInd w:val="0"/>
        <w:snapToGrid w:val="0"/>
        <w:spacing w:line="360" w:lineRule="auto"/>
        <w:rPr>
          <w:rFonts w:hint="eastAsia" w:ascii="宋体" w:hAnsi="宋体"/>
          <w:color w:val="auto"/>
          <w:szCs w:val="21"/>
          <w:highlight w:val="none"/>
        </w:rPr>
      </w:pPr>
    </w:p>
    <w:p w14:paraId="14F22D2A">
      <w:pPr>
        <w:adjustRightInd w:val="0"/>
        <w:snapToGrid w:val="0"/>
        <w:spacing w:line="360" w:lineRule="auto"/>
        <w:ind w:right="420"/>
        <w:rPr>
          <w:rFonts w:hint="eastAsia" w:ascii="宋体" w:hAnsi="宋体"/>
          <w:color w:val="auto"/>
          <w:szCs w:val="21"/>
          <w:highlight w:val="none"/>
        </w:rPr>
      </w:pPr>
    </w:p>
    <w:p w14:paraId="1369448C">
      <w:pPr>
        <w:adjustRightInd w:val="0"/>
        <w:snapToGrid w:val="0"/>
        <w:spacing w:line="360" w:lineRule="auto"/>
        <w:ind w:right="420"/>
        <w:rPr>
          <w:rFonts w:hint="eastAsia" w:ascii="宋体" w:hAnsi="宋体"/>
          <w:color w:val="auto"/>
          <w:szCs w:val="21"/>
          <w:highlight w:val="none"/>
        </w:rPr>
      </w:pPr>
    </w:p>
    <w:p w14:paraId="3D8DAFD7">
      <w:pPr>
        <w:adjustRightInd w:val="0"/>
        <w:snapToGrid w:val="0"/>
        <w:spacing w:line="360" w:lineRule="auto"/>
        <w:ind w:right="420"/>
        <w:rPr>
          <w:rFonts w:hint="eastAsia" w:ascii="宋体" w:hAnsi="宋体"/>
          <w:color w:val="auto"/>
          <w:szCs w:val="21"/>
          <w:highlight w:val="none"/>
        </w:rPr>
      </w:pPr>
    </w:p>
    <w:p w14:paraId="16E093C9">
      <w:pPr>
        <w:adjustRightInd w:val="0"/>
        <w:snapToGrid w:val="0"/>
        <w:spacing w:line="360" w:lineRule="auto"/>
        <w:ind w:right="420"/>
        <w:rPr>
          <w:rFonts w:hint="eastAsia" w:ascii="宋体" w:hAnsi="宋体"/>
          <w:color w:val="auto"/>
          <w:szCs w:val="21"/>
          <w:highlight w:val="none"/>
        </w:rPr>
      </w:pPr>
    </w:p>
    <w:p w14:paraId="75A8FEAF">
      <w:pPr>
        <w:adjustRightInd w:val="0"/>
        <w:snapToGrid w:val="0"/>
        <w:spacing w:line="360" w:lineRule="auto"/>
        <w:ind w:right="420" w:firstLine="210" w:firstLineChars="100"/>
        <w:rPr>
          <w:rFonts w:hint="eastAsia" w:ascii="宋体" w:hAnsi="宋体"/>
          <w:color w:val="auto"/>
          <w:szCs w:val="21"/>
          <w:highlight w:val="none"/>
        </w:rPr>
      </w:pPr>
    </w:p>
    <w:p w14:paraId="1C9F0B45">
      <w:pPr>
        <w:adjustRightInd w:val="0"/>
        <w:snapToGrid w:val="0"/>
        <w:spacing w:line="360" w:lineRule="auto"/>
        <w:ind w:right="420" w:firstLine="3255" w:firstLineChars="1550"/>
        <w:rPr>
          <w:rFonts w:hint="eastAsia" w:ascii="宋体" w:hAnsi="宋体"/>
          <w:color w:val="auto"/>
          <w:szCs w:val="21"/>
          <w:highlight w:val="none"/>
        </w:rPr>
      </w:pPr>
    </w:p>
    <w:p w14:paraId="2AA070C5">
      <w:pPr>
        <w:adjustRightInd w:val="0"/>
        <w:snapToGrid w:val="0"/>
        <w:spacing w:line="360" w:lineRule="auto"/>
        <w:ind w:right="420" w:firstLine="3465" w:firstLineChars="1650"/>
        <w:rPr>
          <w:rFonts w:hint="eastAsia" w:ascii="宋体" w:hAnsi="宋体"/>
          <w:color w:val="auto"/>
          <w:szCs w:val="21"/>
          <w:highlight w:val="none"/>
        </w:rPr>
      </w:pPr>
      <w:r>
        <w:rPr>
          <w:rFonts w:hint="eastAsia" w:ascii="宋体" w:hAnsi="宋体"/>
          <w:color w:val="auto"/>
          <w:szCs w:val="21"/>
          <w:highlight w:val="none"/>
        </w:rPr>
        <w:t>投标人名称：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FACEA65">
      <w:pPr>
        <w:adjustRightInd w:val="0"/>
        <w:snapToGrid w:val="0"/>
        <w:spacing w:line="360" w:lineRule="auto"/>
        <w:ind w:right="420" w:firstLine="3570" w:firstLineChars="1700"/>
        <w:rPr>
          <w:rFonts w:hint="eastAsia" w:ascii="宋体" w:hAnsi="宋体"/>
          <w:color w:val="auto"/>
          <w:szCs w:val="21"/>
          <w:highlight w:val="none"/>
        </w:rPr>
      </w:pPr>
      <w:r>
        <w:rPr>
          <w:rFonts w:hint="eastAsia" w:ascii="宋体" w:hAnsi="宋体"/>
          <w:color w:val="auto"/>
          <w:szCs w:val="21"/>
          <w:highlight w:val="none"/>
        </w:rPr>
        <w:t>日期：20  年  月  日</w:t>
      </w:r>
    </w:p>
    <w:p w14:paraId="0F2B0116">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4DFFF040">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716FF930">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7367D0AF">
      <w:pPr>
        <w:adjustRightInd w:val="0"/>
        <w:snapToGrid w:val="0"/>
        <w:spacing w:line="360" w:lineRule="auto"/>
        <w:ind w:right="420"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说明：仅限法定代表人参加投标时提供</w:t>
      </w:r>
    </w:p>
    <w:p w14:paraId="38FC6FA3">
      <w:pPr>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34" w:name="_Toc9116"/>
      <w:r>
        <w:rPr>
          <w:rFonts w:hint="eastAsia" w:ascii="宋体" w:hAnsi="宋体"/>
          <w:b/>
          <w:color w:val="auto"/>
          <w:sz w:val="36"/>
          <w:szCs w:val="36"/>
          <w:highlight w:val="none"/>
        </w:rPr>
        <w:t>3.授权委托书</w:t>
      </w:r>
      <w:bookmarkEnd w:id="234"/>
    </w:p>
    <w:p w14:paraId="632224F2">
      <w:pPr>
        <w:spacing w:line="400" w:lineRule="exact"/>
        <w:ind w:firstLine="560" w:firstLineChars="200"/>
        <w:rPr>
          <w:rFonts w:hint="eastAsia" w:ascii="仿宋_GB2312" w:hAnsi="宋体" w:eastAsia="仿宋_GB2312"/>
          <w:color w:val="auto"/>
          <w:sz w:val="28"/>
          <w:szCs w:val="28"/>
          <w:highlight w:val="none"/>
        </w:rPr>
      </w:pPr>
    </w:p>
    <w:p w14:paraId="1B6B26B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本人</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（姓名）系</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（投标人名称）的法定代表人（单位负责人），现委托</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（姓名）为我方代理人。代理人根据授权，以我方的名义签署、澄清确认、递交、撤回、修改</w:t>
      </w:r>
      <w:r>
        <w:rPr>
          <w:rFonts w:hint="eastAsia" w:ascii="宋体" w:hAnsi="宋体"/>
          <w:color w:val="auto"/>
          <w:szCs w:val="21"/>
          <w:highlight w:val="none"/>
          <w:u w:val="single"/>
          <w:lang w:val="zh-CN"/>
        </w:rPr>
        <w:t xml:space="preserve">         （采购项目</w:t>
      </w:r>
      <w:r>
        <w:rPr>
          <w:rFonts w:hint="eastAsia" w:ascii="宋体" w:hAnsi="宋体"/>
          <w:color w:val="auto"/>
          <w:szCs w:val="21"/>
          <w:highlight w:val="none"/>
          <w:u w:val="single"/>
          <w:lang w:val="en-US" w:eastAsia="zh-CN"/>
        </w:rPr>
        <w:t>名称</w:t>
      </w:r>
      <w:r>
        <w:rPr>
          <w:rFonts w:hint="eastAsia" w:ascii="宋体" w:hAnsi="宋体"/>
          <w:color w:val="auto"/>
          <w:szCs w:val="21"/>
          <w:highlight w:val="none"/>
          <w:u w:val="single"/>
          <w:lang w:val="zh-CN"/>
        </w:rPr>
        <w:t>）</w:t>
      </w:r>
      <w:r>
        <w:rPr>
          <w:rFonts w:hint="eastAsia" w:ascii="宋体" w:hAnsi="宋体"/>
          <w:color w:val="auto"/>
          <w:szCs w:val="21"/>
          <w:highlight w:val="none"/>
          <w:lang w:val="zh-CN"/>
        </w:rPr>
        <w:t>投标文件、签订合同和全权处理一切与之有关的事宜，</w:t>
      </w:r>
      <w:r>
        <w:rPr>
          <w:rFonts w:hint="eastAsia" w:ascii="宋体" w:hAnsi="宋体" w:cs="宋体"/>
          <w:color w:val="auto"/>
          <w:kern w:val="0"/>
          <w:szCs w:val="21"/>
          <w:highlight w:val="none"/>
        </w:rPr>
        <w:t>其法律后果由我方承担。</w:t>
      </w:r>
    </w:p>
    <w:p w14:paraId="03793EE9">
      <w:pPr>
        <w:spacing w:line="48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委托期限</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日至</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w:t>
      </w:r>
    </w:p>
    <w:p w14:paraId="1CDC3C62">
      <w:pPr>
        <w:spacing w:line="480" w:lineRule="auto"/>
        <w:ind w:firstLine="420" w:firstLineChars="200"/>
        <w:rPr>
          <w:rFonts w:hint="eastAsia" w:ascii="宋体" w:hAnsi="宋体"/>
          <w:b/>
          <w:bCs/>
          <w:color w:val="auto"/>
          <w:szCs w:val="21"/>
          <w:highlight w:val="none"/>
        </w:rPr>
      </w:pPr>
      <w:r>
        <w:rPr>
          <w:rFonts w:hint="eastAsia" w:ascii="宋体" w:hAnsi="宋体"/>
          <w:color w:val="auto"/>
          <w:szCs w:val="21"/>
          <w:highlight w:val="none"/>
        </w:rPr>
        <w:t>代理人无转委托权。</w:t>
      </w:r>
    </w:p>
    <w:p w14:paraId="1A2DC76F">
      <w:pPr>
        <w:spacing w:line="360" w:lineRule="auto"/>
        <w:ind w:firstLine="420" w:firstLineChars="200"/>
        <w:rPr>
          <w:rFonts w:hint="eastAsia" w:ascii="宋体" w:hAnsi="宋体"/>
          <w:color w:val="auto"/>
          <w:szCs w:val="21"/>
          <w:highlight w:val="none"/>
        </w:rPr>
      </w:pPr>
    </w:p>
    <w:p w14:paraId="024A7B29">
      <w:pPr>
        <w:spacing w:line="360" w:lineRule="auto"/>
        <w:ind w:firstLine="210" w:firstLineChars="100"/>
        <w:rPr>
          <w:rFonts w:hint="eastAsia" w:ascii="宋体" w:hAnsi="宋体"/>
          <w:color w:val="auto"/>
          <w:szCs w:val="21"/>
          <w:highlight w:val="none"/>
          <w:u w:val="single"/>
        </w:rPr>
      </w:pPr>
      <w:r>
        <w:rPr>
          <w:rFonts w:hint="eastAsia" w:ascii="宋体" w:hAnsi="宋体"/>
          <w:color w:val="auto"/>
          <w:szCs w:val="21"/>
          <w:highlight w:val="none"/>
          <w:lang w:val="zh-CN"/>
        </w:rPr>
        <w:t>附：法定代表人（单位负责人）身份证复印件</w:t>
      </w:r>
      <w:r>
        <w:rPr>
          <w:rFonts w:hint="eastAsia" w:ascii="宋体" w:hAnsi="宋体"/>
          <w:color w:val="auto"/>
          <w:szCs w:val="21"/>
          <w:highlight w:val="none"/>
        </w:rPr>
        <w:t>、</w:t>
      </w:r>
      <w:r>
        <w:rPr>
          <w:rFonts w:hint="eastAsia" w:ascii="宋体" w:hAnsi="宋体"/>
          <w:color w:val="auto"/>
          <w:szCs w:val="21"/>
          <w:highlight w:val="none"/>
          <w:lang w:val="zh-CN"/>
        </w:rPr>
        <w:t>委托代理人身份证复印件</w:t>
      </w:r>
    </w:p>
    <w:tbl>
      <w:tblPr>
        <w:tblStyle w:val="23"/>
        <w:tblW w:w="0" w:type="auto"/>
        <w:tblInd w:w="359" w:type="dxa"/>
        <w:tblLayout w:type="fixed"/>
        <w:tblCellMar>
          <w:top w:w="0" w:type="dxa"/>
          <w:left w:w="108" w:type="dxa"/>
          <w:bottom w:w="0" w:type="dxa"/>
          <w:right w:w="108" w:type="dxa"/>
        </w:tblCellMar>
      </w:tblPr>
      <w:tblGrid>
        <w:gridCol w:w="4262"/>
        <w:gridCol w:w="3915"/>
      </w:tblGrid>
      <w:tr w14:paraId="00B39273">
        <w:tblPrEx>
          <w:tblCellMar>
            <w:top w:w="0" w:type="dxa"/>
            <w:left w:w="108" w:type="dxa"/>
            <w:bottom w:w="0" w:type="dxa"/>
            <w:right w:w="108" w:type="dxa"/>
          </w:tblCellMar>
        </w:tblPrEx>
        <w:trPr>
          <w:trHeight w:val="3117" w:hRule="atLeast"/>
        </w:trPr>
        <w:tc>
          <w:tcPr>
            <w:tcW w:w="4262" w:type="dxa"/>
            <w:tcBorders>
              <w:top w:val="single" w:color="auto" w:sz="6" w:space="0"/>
              <w:left w:val="single" w:color="auto" w:sz="6" w:space="0"/>
              <w:bottom w:val="single" w:color="auto" w:sz="6" w:space="0"/>
              <w:right w:val="single" w:color="auto" w:sz="6" w:space="0"/>
            </w:tcBorders>
            <w:noWrap w:val="0"/>
            <w:vAlign w:val="center"/>
          </w:tcPr>
          <w:p w14:paraId="035DB72D">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法定代表人（单位负责人）身份证复印件</w:t>
            </w:r>
          </w:p>
        </w:tc>
        <w:tc>
          <w:tcPr>
            <w:tcW w:w="3915" w:type="dxa"/>
            <w:tcBorders>
              <w:top w:val="single" w:color="auto" w:sz="6" w:space="0"/>
              <w:left w:val="single" w:color="auto" w:sz="6" w:space="0"/>
              <w:bottom w:val="single" w:color="auto" w:sz="6" w:space="0"/>
              <w:right w:val="single" w:color="auto" w:sz="6" w:space="0"/>
            </w:tcBorders>
            <w:noWrap w:val="0"/>
            <w:vAlign w:val="center"/>
          </w:tcPr>
          <w:p w14:paraId="059B6A7C">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委托代理人身份证复印件</w:t>
            </w:r>
          </w:p>
        </w:tc>
      </w:tr>
    </w:tbl>
    <w:p w14:paraId="0DABB147">
      <w:pPr>
        <w:ind w:firstLine="420" w:firstLineChars="200"/>
        <w:rPr>
          <w:rFonts w:hint="eastAsia" w:ascii="宋体" w:hAnsi="宋体"/>
          <w:color w:val="auto"/>
          <w:szCs w:val="21"/>
          <w:highlight w:val="none"/>
        </w:rPr>
      </w:pPr>
    </w:p>
    <w:p w14:paraId="6A7FFE5A">
      <w:pPr>
        <w:ind w:firstLine="420" w:firstLineChars="200"/>
        <w:rPr>
          <w:rFonts w:hint="eastAsia" w:ascii="宋体" w:hAnsi="宋体"/>
          <w:color w:val="auto"/>
          <w:szCs w:val="21"/>
          <w:highlight w:val="none"/>
        </w:rPr>
      </w:pPr>
    </w:p>
    <w:p w14:paraId="78FFB1FB">
      <w:pPr>
        <w:ind w:firstLine="420" w:firstLineChars="200"/>
        <w:rPr>
          <w:rFonts w:hint="eastAsia" w:ascii="宋体" w:hAnsi="宋体"/>
          <w:color w:val="auto"/>
          <w:szCs w:val="21"/>
          <w:highlight w:val="none"/>
        </w:rPr>
      </w:pPr>
    </w:p>
    <w:p w14:paraId="0B4A7BAE">
      <w:pPr>
        <w:ind w:firstLine="2835" w:firstLineChars="1350"/>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5082DADF">
      <w:pPr>
        <w:ind w:firstLine="420" w:firstLineChars="200"/>
        <w:rPr>
          <w:rFonts w:hint="eastAsia" w:ascii="宋体" w:hAnsi="宋体"/>
          <w:color w:val="auto"/>
          <w:szCs w:val="21"/>
          <w:highlight w:val="none"/>
        </w:rPr>
      </w:pPr>
    </w:p>
    <w:p w14:paraId="111B3845">
      <w:pPr>
        <w:ind w:firstLine="2835" w:firstLineChars="1350"/>
        <w:rPr>
          <w:rFonts w:hint="eastAsia" w:ascii="宋体" w:hAnsi="宋体"/>
          <w:color w:val="auto"/>
          <w:szCs w:val="21"/>
          <w:highlight w:val="none"/>
        </w:rPr>
      </w:pPr>
      <w:r>
        <w:rPr>
          <w:rFonts w:hint="eastAsia" w:ascii="宋体" w:hAnsi="宋体"/>
          <w:color w:val="auto"/>
          <w:szCs w:val="21"/>
          <w:highlight w:val="none"/>
        </w:rPr>
        <w:t xml:space="preserve">法定代表人（单位负责人）: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466AB500">
      <w:pPr>
        <w:ind w:firstLine="3465" w:firstLineChars="1650"/>
        <w:rPr>
          <w:rFonts w:hint="eastAsia" w:ascii="宋体" w:hAnsi="宋体"/>
          <w:color w:val="auto"/>
          <w:szCs w:val="21"/>
          <w:highlight w:val="none"/>
        </w:rPr>
      </w:pPr>
    </w:p>
    <w:p w14:paraId="3FBF7130">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46848D70">
      <w:pPr>
        <w:ind w:firstLine="3465" w:firstLineChars="1650"/>
        <w:rPr>
          <w:rFonts w:hint="eastAsia" w:ascii="宋体" w:hAnsi="宋体"/>
          <w:color w:val="auto"/>
          <w:szCs w:val="21"/>
          <w:highlight w:val="none"/>
        </w:rPr>
      </w:pPr>
    </w:p>
    <w:p w14:paraId="0E0D4831">
      <w:pPr>
        <w:ind w:firstLine="2835" w:firstLineChars="1350"/>
        <w:rPr>
          <w:rFonts w:hint="eastAsia" w:ascii="宋体" w:hAnsi="宋体"/>
          <w:color w:val="auto"/>
          <w:szCs w:val="21"/>
          <w:highlight w:val="none"/>
        </w:rPr>
      </w:pPr>
      <w:r>
        <w:rPr>
          <w:rFonts w:hint="eastAsia" w:ascii="宋体" w:hAnsi="宋体"/>
          <w:color w:val="auto"/>
          <w:szCs w:val="21"/>
          <w:highlight w:val="none"/>
        </w:rPr>
        <w:t>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（签字）     </w:t>
      </w:r>
    </w:p>
    <w:p w14:paraId="4F7F2DCF">
      <w:pPr>
        <w:ind w:firstLine="2835" w:firstLineChars="1350"/>
        <w:jc w:val="left"/>
        <w:rPr>
          <w:rFonts w:hint="eastAsia" w:ascii="宋体" w:hAnsi="宋体"/>
          <w:color w:val="auto"/>
          <w:szCs w:val="21"/>
          <w:highlight w:val="none"/>
        </w:rPr>
      </w:pPr>
    </w:p>
    <w:p w14:paraId="082EAAD0">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0056F957">
      <w:pPr>
        <w:ind w:firstLine="420" w:firstLineChars="200"/>
        <w:rPr>
          <w:rFonts w:hint="eastAsia" w:ascii="宋体" w:hAnsi="宋体"/>
          <w:color w:val="auto"/>
          <w:szCs w:val="21"/>
          <w:highlight w:val="none"/>
        </w:rPr>
      </w:pPr>
    </w:p>
    <w:p w14:paraId="1FA6137C">
      <w:pPr>
        <w:ind w:firstLine="2730" w:firstLineChars="1300"/>
        <w:rPr>
          <w:rFonts w:hint="eastAsia" w:ascii="仿宋_GB2312" w:eastAsia="仿宋_GB2312"/>
          <w:color w:val="auto"/>
          <w:szCs w:val="21"/>
          <w:highlight w:val="none"/>
          <w:lang w:val="zh-CN"/>
        </w:rPr>
      </w:pPr>
      <w:r>
        <w:rPr>
          <w:rFonts w:hint="eastAsia" w:ascii="宋体" w:hAnsi="宋体"/>
          <w:color w:val="auto"/>
          <w:szCs w:val="21"/>
          <w:highlight w:val="none"/>
        </w:rPr>
        <w:t xml:space="preserve"> 授权委托日期：20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p>
    <w:p w14:paraId="0958A1CF">
      <w:pPr>
        <w:ind w:firstLine="420" w:firstLineChars="200"/>
        <w:rPr>
          <w:rFonts w:hint="eastAsia" w:ascii="仿宋_GB2312" w:eastAsia="仿宋_GB2312"/>
          <w:color w:val="auto"/>
          <w:highlight w:val="none"/>
          <w:lang w:val="zh-CN"/>
        </w:rPr>
      </w:pPr>
    </w:p>
    <w:p w14:paraId="1E61B7B7">
      <w:pPr>
        <w:ind w:firstLine="420" w:firstLineChars="200"/>
        <w:rPr>
          <w:rFonts w:hint="eastAsia" w:ascii="仿宋_GB2312" w:eastAsia="仿宋_GB2312"/>
          <w:color w:val="auto"/>
          <w:highlight w:val="none"/>
          <w:lang w:val="zh-CN"/>
        </w:rPr>
      </w:pPr>
    </w:p>
    <w:p w14:paraId="04B453BE">
      <w:pPr>
        <w:ind w:firstLine="420" w:firstLineChars="200"/>
        <w:rPr>
          <w:rFonts w:hint="eastAsia" w:ascii="仿宋_GB2312" w:eastAsia="仿宋_GB2312"/>
          <w:color w:val="auto"/>
          <w:highlight w:val="none"/>
          <w:lang w:val="zh-CN"/>
        </w:rPr>
      </w:pPr>
    </w:p>
    <w:p w14:paraId="168BA5E8">
      <w:pPr>
        <w:ind w:firstLine="420" w:firstLineChars="200"/>
        <w:rPr>
          <w:rFonts w:hint="eastAsia" w:ascii="仿宋_GB2312" w:eastAsia="仿宋_GB2312"/>
          <w:color w:val="auto"/>
          <w:highlight w:val="none"/>
          <w:lang w:val="zh-CN"/>
        </w:rPr>
      </w:pPr>
    </w:p>
    <w:p w14:paraId="17856762">
      <w:pPr>
        <w:rPr>
          <w:rFonts w:hint="eastAsia" w:ascii="楷体" w:hAnsi="楷体" w:eastAsia="楷体"/>
          <w:color w:val="auto"/>
          <w:highlight w:val="none"/>
          <w:lang w:val="zh-CN"/>
        </w:rPr>
      </w:pPr>
      <w:r>
        <w:rPr>
          <w:rFonts w:hint="eastAsia" w:ascii="楷体" w:hAnsi="楷体" w:eastAsia="楷体"/>
          <w:color w:val="auto"/>
          <w:highlight w:val="none"/>
          <w:lang w:val="zh-CN"/>
        </w:rPr>
        <w:t>说明：本授权委托书有效期自开标之日起不得少于</w:t>
      </w:r>
      <w:r>
        <w:rPr>
          <w:rFonts w:hint="eastAsia" w:ascii="楷体" w:hAnsi="楷体" w:eastAsia="楷体"/>
          <w:color w:val="auto"/>
          <w:highlight w:val="none"/>
        </w:rPr>
        <w:t>90</w:t>
      </w:r>
      <w:r>
        <w:rPr>
          <w:rFonts w:hint="eastAsia" w:ascii="楷体" w:hAnsi="楷体" w:eastAsia="楷体"/>
          <w:color w:val="auto"/>
          <w:highlight w:val="none"/>
          <w:lang w:val="zh-CN"/>
        </w:rPr>
        <w:t>天，仅限委托代理人参加投标时提供。</w:t>
      </w:r>
    </w:p>
    <w:p w14:paraId="528A7622">
      <w:pPr>
        <w:jc w:val="center"/>
        <w:rPr>
          <w:rFonts w:hint="eastAsia" w:ascii="宋体" w:hAnsi="宋体"/>
          <w:b/>
          <w:color w:val="auto"/>
          <w:sz w:val="36"/>
          <w:szCs w:val="36"/>
          <w:highlight w:val="none"/>
        </w:rPr>
      </w:pPr>
    </w:p>
    <w:p w14:paraId="1E4464DC">
      <w:pPr>
        <w:rPr>
          <w:rFonts w:hint="eastAsia" w:ascii="宋体" w:hAnsi="宋体"/>
          <w:b/>
          <w:color w:val="auto"/>
          <w:sz w:val="36"/>
          <w:szCs w:val="36"/>
          <w:highlight w:val="none"/>
        </w:rPr>
      </w:pPr>
    </w:p>
    <w:p w14:paraId="59CB699F">
      <w:pPr>
        <w:jc w:val="center"/>
        <w:outlineLvl w:val="1"/>
        <w:rPr>
          <w:rFonts w:hint="eastAsia" w:hAnsi="宋体"/>
          <w:color w:val="auto"/>
          <w:sz w:val="24"/>
          <w:szCs w:val="24"/>
          <w:highlight w:val="none"/>
        </w:rPr>
      </w:pPr>
      <w:bookmarkStart w:id="235" w:name="_Toc28569"/>
      <w:r>
        <w:rPr>
          <w:rFonts w:hint="eastAsia" w:ascii="宋体" w:hAnsi="宋体"/>
          <w:b/>
          <w:color w:val="auto"/>
          <w:sz w:val="36"/>
          <w:szCs w:val="36"/>
          <w:highlight w:val="none"/>
        </w:rPr>
        <w:t>4.</w:t>
      </w:r>
      <w:r>
        <w:rPr>
          <w:rFonts w:hint="eastAsia" w:ascii="宋体" w:hAnsi="宋体" w:cs="宋体"/>
          <w:b/>
          <w:color w:val="auto"/>
          <w:kern w:val="0"/>
          <w:sz w:val="36"/>
          <w:szCs w:val="36"/>
          <w:highlight w:val="none"/>
          <w:lang w:val="zh-CN"/>
        </w:rPr>
        <w:t>投标人的营业执照等证明文件，自然人的身份证明</w:t>
      </w:r>
      <w:bookmarkEnd w:id="235"/>
    </w:p>
    <w:p w14:paraId="30B748BE">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32BB8633">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投标人为企业法人应提供合法有效的标识有统一社会信用代码的营业执照；事业法人应提供事业单位法人证书；其他组织应提供合法登记证明文件；</w:t>
      </w:r>
    </w:p>
    <w:p w14:paraId="1E43AC24">
      <w:pPr>
        <w:pStyle w:val="12"/>
        <w:adjustRightInd w:val="0"/>
        <w:snapToGrid w:val="0"/>
        <w:spacing w:line="360" w:lineRule="auto"/>
        <w:ind w:firstLine="420" w:firstLineChars="200"/>
        <w:rPr>
          <w:rFonts w:hint="eastAsia" w:ascii="楷体" w:hAnsi="楷体" w:eastAsia="楷体"/>
          <w:color w:val="auto"/>
          <w:highlight w:val="none"/>
        </w:rPr>
      </w:pPr>
    </w:p>
    <w:p w14:paraId="090EC242">
      <w:pPr>
        <w:pStyle w:val="12"/>
        <w:adjustRightInd w:val="0"/>
        <w:snapToGrid w:val="0"/>
        <w:spacing w:line="360" w:lineRule="auto"/>
        <w:jc w:val="center"/>
        <w:rPr>
          <w:rFonts w:hint="eastAsia"/>
          <w:b/>
          <w:color w:val="auto"/>
          <w:sz w:val="36"/>
          <w:szCs w:val="36"/>
          <w:highlight w:val="none"/>
        </w:rPr>
      </w:pPr>
    </w:p>
    <w:p w14:paraId="510A5B47">
      <w:pPr>
        <w:pStyle w:val="12"/>
        <w:adjustRightInd w:val="0"/>
        <w:snapToGrid w:val="0"/>
        <w:spacing w:line="360" w:lineRule="auto"/>
        <w:jc w:val="center"/>
        <w:rPr>
          <w:rFonts w:hint="eastAsia"/>
          <w:b/>
          <w:color w:val="auto"/>
          <w:sz w:val="36"/>
          <w:szCs w:val="36"/>
          <w:highlight w:val="none"/>
        </w:rPr>
      </w:pPr>
    </w:p>
    <w:p w14:paraId="46DFBF25">
      <w:pPr>
        <w:pStyle w:val="12"/>
        <w:adjustRightInd w:val="0"/>
        <w:snapToGrid w:val="0"/>
        <w:spacing w:line="360" w:lineRule="auto"/>
        <w:jc w:val="center"/>
        <w:rPr>
          <w:rFonts w:hint="eastAsia"/>
          <w:b/>
          <w:color w:val="auto"/>
          <w:sz w:val="36"/>
          <w:szCs w:val="36"/>
          <w:highlight w:val="none"/>
        </w:rPr>
      </w:pPr>
    </w:p>
    <w:p w14:paraId="47A92C3C">
      <w:pPr>
        <w:pStyle w:val="12"/>
        <w:adjustRightInd w:val="0"/>
        <w:snapToGrid w:val="0"/>
        <w:spacing w:line="360" w:lineRule="auto"/>
        <w:jc w:val="center"/>
        <w:rPr>
          <w:rFonts w:hint="eastAsia"/>
          <w:b/>
          <w:color w:val="auto"/>
          <w:sz w:val="36"/>
          <w:szCs w:val="36"/>
          <w:highlight w:val="none"/>
        </w:rPr>
      </w:pPr>
    </w:p>
    <w:p w14:paraId="58CDDE60">
      <w:pPr>
        <w:pStyle w:val="12"/>
        <w:adjustRightInd w:val="0"/>
        <w:snapToGrid w:val="0"/>
        <w:spacing w:line="360" w:lineRule="auto"/>
        <w:jc w:val="center"/>
        <w:rPr>
          <w:rFonts w:hint="eastAsia"/>
          <w:b/>
          <w:color w:val="auto"/>
          <w:sz w:val="36"/>
          <w:szCs w:val="36"/>
          <w:highlight w:val="none"/>
        </w:rPr>
      </w:pPr>
    </w:p>
    <w:p w14:paraId="799ADBF8">
      <w:pPr>
        <w:pStyle w:val="12"/>
        <w:adjustRightInd w:val="0"/>
        <w:snapToGrid w:val="0"/>
        <w:spacing w:line="360" w:lineRule="auto"/>
        <w:jc w:val="center"/>
        <w:rPr>
          <w:rFonts w:hint="eastAsia"/>
          <w:b/>
          <w:color w:val="auto"/>
          <w:sz w:val="36"/>
          <w:szCs w:val="36"/>
          <w:highlight w:val="none"/>
        </w:rPr>
      </w:pPr>
    </w:p>
    <w:p w14:paraId="5CF3D10E">
      <w:pPr>
        <w:pStyle w:val="12"/>
        <w:adjustRightInd w:val="0"/>
        <w:snapToGrid w:val="0"/>
        <w:spacing w:line="360" w:lineRule="auto"/>
        <w:jc w:val="center"/>
        <w:rPr>
          <w:rFonts w:hint="eastAsia"/>
          <w:b/>
          <w:color w:val="auto"/>
          <w:sz w:val="36"/>
          <w:szCs w:val="36"/>
          <w:highlight w:val="none"/>
        </w:rPr>
      </w:pPr>
    </w:p>
    <w:p w14:paraId="7FC2F76A">
      <w:pPr>
        <w:pStyle w:val="12"/>
        <w:adjustRightInd w:val="0"/>
        <w:snapToGrid w:val="0"/>
        <w:spacing w:line="360" w:lineRule="auto"/>
        <w:jc w:val="center"/>
        <w:rPr>
          <w:rFonts w:hint="eastAsia"/>
          <w:b/>
          <w:color w:val="auto"/>
          <w:sz w:val="36"/>
          <w:szCs w:val="36"/>
          <w:highlight w:val="none"/>
        </w:rPr>
      </w:pPr>
    </w:p>
    <w:p w14:paraId="7665491A">
      <w:pPr>
        <w:pStyle w:val="12"/>
        <w:adjustRightInd w:val="0"/>
        <w:snapToGrid w:val="0"/>
        <w:spacing w:line="360" w:lineRule="auto"/>
        <w:jc w:val="center"/>
        <w:rPr>
          <w:rFonts w:hint="eastAsia"/>
          <w:b/>
          <w:color w:val="auto"/>
          <w:sz w:val="36"/>
          <w:szCs w:val="36"/>
          <w:highlight w:val="none"/>
        </w:rPr>
      </w:pPr>
    </w:p>
    <w:p w14:paraId="63283CF0">
      <w:pPr>
        <w:pStyle w:val="12"/>
        <w:adjustRightInd w:val="0"/>
        <w:snapToGrid w:val="0"/>
        <w:spacing w:line="360" w:lineRule="auto"/>
        <w:jc w:val="center"/>
        <w:rPr>
          <w:rFonts w:hint="eastAsia"/>
          <w:b/>
          <w:color w:val="auto"/>
          <w:sz w:val="36"/>
          <w:szCs w:val="36"/>
          <w:highlight w:val="none"/>
        </w:rPr>
      </w:pPr>
    </w:p>
    <w:p w14:paraId="08A1B2DD">
      <w:pPr>
        <w:pStyle w:val="12"/>
        <w:adjustRightInd w:val="0"/>
        <w:snapToGrid w:val="0"/>
        <w:spacing w:line="360" w:lineRule="auto"/>
        <w:jc w:val="center"/>
        <w:rPr>
          <w:rFonts w:hint="eastAsia"/>
          <w:b/>
          <w:color w:val="auto"/>
          <w:sz w:val="36"/>
          <w:szCs w:val="36"/>
          <w:highlight w:val="none"/>
        </w:rPr>
      </w:pPr>
    </w:p>
    <w:p w14:paraId="7BBE22A4">
      <w:pPr>
        <w:pStyle w:val="12"/>
        <w:adjustRightInd w:val="0"/>
        <w:snapToGrid w:val="0"/>
        <w:spacing w:line="360" w:lineRule="auto"/>
        <w:jc w:val="center"/>
        <w:rPr>
          <w:rFonts w:hint="eastAsia"/>
          <w:b/>
          <w:color w:val="auto"/>
          <w:sz w:val="36"/>
          <w:szCs w:val="36"/>
          <w:highlight w:val="none"/>
        </w:rPr>
      </w:pPr>
    </w:p>
    <w:p w14:paraId="0ECD0C5F">
      <w:pPr>
        <w:pStyle w:val="12"/>
        <w:adjustRightInd w:val="0"/>
        <w:snapToGrid w:val="0"/>
        <w:spacing w:line="360" w:lineRule="auto"/>
        <w:jc w:val="center"/>
        <w:rPr>
          <w:rFonts w:hint="eastAsia"/>
          <w:b/>
          <w:color w:val="auto"/>
          <w:sz w:val="36"/>
          <w:szCs w:val="36"/>
          <w:highlight w:val="none"/>
        </w:rPr>
      </w:pPr>
    </w:p>
    <w:p w14:paraId="77E8D2FC">
      <w:pPr>
        <w:pStyle w:val="12"/>
        <w:adjustRightInd w:val="0"/>
        <w:snapToGrid w:val="0"/>
        <w:spacing w:line="360" w:lineRule="auto"/>
        <w:jc w:val="center"/>
        <w:rPr>
          <w:rFonts w:hint="eastAsia"/>
          <w:b/>
          <w:color w:val="auto"/>
          <w:sz w:val="36"/>
          <w:szCs w:val="36"/>
          <w:highlight w:val="none"/>
        </w:rPr>
      </w:pPr>
    </w:p>
    <w:p w14:paraId="341CED40">
      <w:pPr>
        <w:pStyle w:val="12"/>
        <w:adjustRightInd w:val="0"/>
        <w:snapToGrid w:val="0"/>
        <w:spacing w:line="360" w:lineRule="auto"/>
        <w:jc w:val="center"/>
        <w:rPr>
          <w:b/>
          <w:color w:val="auto"/>
          <w:sz w:val="36"/>
          <w:szCs w:val="36"/>
          <w:highlight w:val="none"/>
        </w:rPr>
      </w:pPr>
      <w:r>
        <w:rPr>
          <w:b/>
          <w:color w:val="auto"/>
          <w:sz w:val="36"/>
          <w:szCs w:val="36"/>
          <w:highlight w:val="none"/>
        </w:rPr>
        <w:br w:type="page"/>
      </w:r>
    </w:p>
    <w:p w14:paraId="4E3E2132">
      <w:pPr>
        <w:pStyle w:val="12"/>
        <w:adjustRightInd w:val="0"/>
        <w:snapToGrid w:val="0"/>
        <w:spacing w:line="360" w:lineRule="auto"/>
        <w:jc w:val="center"/>
        <w:outlineLvl w:val="1"/>
        <w:rPr>
          <w:rFonts w:hint="eastAsia"/>
          <w:b/>
          <w:color w:val="auto"/>
          <w:sz w:val="36"/>
          <w:szCs w:val="36"/>
          <w:highlight w:val="none"/>
        </w:rPr>
      </w:pPr>
      <w:bookmarkStart w:id="236" w:name="_Toc4088"/>
      <w:r>
        <w:rPr>
          <w:rFonts w:hint="eastAsia"/>
          <w:b/>
          <w:color w:val="auto"/>
          <w:sz w:val="36"/>
          <w:szCs w:val="36"/>
          <w:highlight w:val="none"/>
          <w:lang w:val="en-US" w:eastAsia="zh-CN"/>
        </w:rPr>
        <w:t>5</w:t>
      </w:r>
      <w:r>
        <w:rPr>
          <w:rFonts w:hint="eastAsia"/>
          <w:b/>
          <w:color w:val="auto"/>
          <w:sz w:val="36"/>
          <w:szCs w:val="36"/>
          <w:highlight w:val="none"/>
        </w:rPr>
        <w:t>.财务状况报告</w:t>
      </w:r>
      <w:bookmarkEnd w:id="236"/>
    </w:p>
    <w:p w14:paraId="7116DE04">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56CD148C">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投标人提供202</w:t>
      </w:r>
      <w:r>
        <w:rPr>
          <w:rFonts w:hint="eastAsia" w:ascii="楷体" w:hAnsi="楷体" w:eastAsia="楷体"/>
          <w:color w:val="auto"/>
          <w:highlight w:val="none"/>
          <w:lang w:val="en-US" w:eastAsia="zh-CN"/>
        </w:rPr>
        <w:t>2（或2023）</w:t>
      </w:r>
      <w:r>
        <w:rPr>
          <w:rFonts w:hint="eastAsia" w:ascii="楷体" w:hAnsi="楷体" w:eastAsia="楷体"/>
          <w:color w:val="auto"/>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17872CD6">
      <w:pPr>
        <w:pStyle w:val="12"/>
        <w:adjustRightInd w:val="0"/>
        <w:snapToGrid w:val="0"/>
        <w:spacing w:line="360" w:lineRule="auto"/>
        <w:jc w:val="left"/>
        <w:rPr>
          <w:rFonts w:hint="eastAsia"/>
          <w:b/>
          <w:color w:val="auto"/>
          <w:sz w:val="24"/>
          <w:szCs w:val="24"/>
          <w:highlight w:val="none"/>
        </w:rPr>
      </w:pPr>
    </w:p>
    <w:p w14:paraId="4BD13F02">
      <w:pPr>
        <w:pStyle w:val="12"/>
        <w:adjustRightInd w:val="0"/>
        <w:snapToGrid w:val="0"/>
        <w:spacing w:line="360" w:lineRule="auto"/>
        <w:jc w:val="left"/>
        <w:rPr>
          <w:rFonts w:hint="eastAsia"/>
          <w:b/>
          <w:color w:val="auto"/>
          <w:sz w:val="24"/>
          <w:szCs w:val="24"/>
          <w:highlight w:val="none"/>
        </w:rPr>
      </w:pPr>
    </w:p>
    <w:p w14:paraId="4066DA79">
      <w:pPr>
        <w:pStyle w:val="12"/>
        <w:adjustRightInd w:val="0"/>
        <w:snapToGrid w:val="0"/>
        <w:spacing w:line="360" w:lineRule="auto"/>
        <w:jc w:val="left"/>
        <w:rPr>
          <w:rFonts w:hint="eastAsia"/>
          <w:b/>
          <w:color w:val="auto"/>
          <w:sz w:val="24"/>
          <w:szCs w:val="24"/>
          <w:highlight w:val="none"/>
        </w:rPr>
      </w:pPr>
    </w:p>
    <w:p w14:paraId="6BB36377">
      <w:pPr>
        <w:pStyle w:val="12"/>
        <w:adjustRightInd w:val="0"/>
        <w:snapToGrid w:val="0"/>
        <w:spacing w:line="360" w:lineRule="auto"/>
        <w:jc w:val="left"/>
        <w:rPr>
          <w:rFonts w:hint="eastAsia"/>
          <w:b/>
          <w:color w:val="auto"/>
          <w:sz w:val="24"/>
          <w:szCs w:val="24"/>
          <w:highlight w:val="none"/>
        </w:rPr>
      </w:pPr>
    </w:p>
    <w:p w14:paraId="7CFBD08A">
      <w:pPr>
        <w:pStyle w:val="12"/>
        <w:adjustRightInd w:val="0"/>
        <w:snapToGrid w:val="0"/>
        <w:spacing w:line="360" w:lineRule="auto"/>
        <w:jc w:val="left"/>
        <w:rPr>
          <w:rFonts w:hint="eastAsia"/>
          <w:b/>
          <w:color w:val="auto"/>
          <w:sz w:val="24"/>
          <w:szCs w:val="24"/>
          <w:highlight w:val="none"/>
        </w:rPr>
      </w:pPr>
    </w:p>
    <w:p w14:paraId="5BC2B88B">
      <w:pPr>
        <w:pStyle w:val="12"/>
        <w:adjustRightInd w:val="0"/>
        <w:snapToGrid w:val="0"/>
        <w:spacing w:line="360" w:lineRule="auto"/>
        <w:jc w:val="left"/>
        <w:rPr>
          <w:rFonts w:hint="eastAsia"/>
          <w:b/>
          <w:color w:val="auto"/>
          <w:sz w:val="24"/>
          <w:szCs w:val="24"/>
          <w:highlight w:val="none"/>
        </w:rPr>
      </w:pPr>
    </w:p>
    <w:p w14:paraId="3D4C608C">
      <w:pPr>
        <w:pStyle w:val="12"/>
        <w:adjustRightInd w:val="0"/>
        <w:snapToGrid w:val="0"/>
        <w:spacing w:line="360" w:lineRule="auto"/>
        <w:jc w:val="left"/>
        <w:rPr>
          <w:rFonts w:hint="eastAsia"/>
          <w:b/>
          <w:color w:val="auto"/>
          <w:sz w:val="24"/>
          <w:szCs w:val="24"/>
          <w:highlight w:val="none"/>
        </w:rPr>
      </w:pPr>
    </w:p>
    <w:p w14:paraId="3E42834B">
      <w:pPr>
        <w:pStyle w:val="12"/>
        <w:adjustRightInd w:val="0"/>
        <w:snapToGrid w:val="0"/>
        <w:spacing w:line="360" w:lineRule="auto"/>
        <w:jc w:val="left"/>
        <w:rPr>
          <w:rFonts w:hint="eastAsia"/>
          <w:b/>
          <w:color w:val="auto"/>
          <w:sz w:val="24"/>
          <w:szCs w:val="24"/>
          <w:highlight w:val="none"/>
        </w:rPr>
      </w:pPr>
    </w:p>
    <w:p w14:paraId="65A6AE26">
      <w:pPr>
        <w:pStyle w:val="12"/>
        <w:adjustRightInd w:val="0"/>
        <w:snapToGrid w:val="0"/>
        <w:spacing w:line="360" w:lineRule="auto"/>
        <w:jc w:val="left"/>
        <w:rPr>
          <w:rFonts w:hint="eastAsia"/>
          <w:b/>
          <w:color w:val="auto"/>
          <w:sz w:val="24"/>
          <w:szCs w:val="24"/>
          <w:highlight w:val="none"/>
        </w:rPr>
      </w:pPr>
    </w:p>
    <w:p w14:paraId="72C2D11E">
      <w:pPr>
        <w:pStyle w:val="12"/>
        <w:adjustRightInd w:val="0"/>
        <w:snapToGrid w:val="0"/>
        <w:spacing w:line="360" w:lineRule="auto"/>
        <w:jc w:val="left"/>
        <w:rPr>
          <w:rFonts w:hint="eastAsia"/>
          <w:b/>
          <w:color w:val="auto"/>
          <w:sz w:val="24"/>
          <w:szCs w:val="24"/>
          <w:highlight w:val="none"/>
        </w:rPr>
      </w:pPr>
    </w:p>
    <w:p w14:paraId="50F56FD4">
      <w:pPr>
        <w:pStyle w:val="12"/>
        <w:adjustRightInd w:val="0"/>
        <w:snapToGrid w:val="0"/>
        <w:spacing w:line="360" w:lineRule="auto"/>
        <w:jc w:val="left"/>
        <w:rPr>
          <w:rFonts w:hint="eastAsia"/>
          <w:b/>
          <w:color w:val="auto"/>
          <w:sz w:val="24"/>
          <w:szCs w:val="24"/>
          <w:highlight w:val="none"/>
        </w:rPr>
      </w:pPr>
    </w:p>
    <w:p w14:paraId="337E8E58">
      <w:pPr>
        <w:pStyle w:val="12"/>
        <w:adjustRightInd w:val="0"/>
        <w:snapToGrid w:val="0"/>
        <w:spacing w:line="360" w:lineRule="auto"/>
        <w:jc w:val="left"/>
        <w:rPr>
          <w:rFonts w:hint="eastAsia"/>
          <w:b/>
          <w:color w:val="auto"/>
          <w:sz w:val="24"/>
          <w:szCs w:val="24"/>
          <w:highlight w:val="none"/>
        </w:rPr>
      </w:pPr>
    </w:p>
    <w:p w14:paraId="0B80F221">
      <w:pPr>
        <w:pStyle w:val="12"/>
        <w:adjustRightInd w:val="0"/>
        <w:snapToGrid w:val="0"/>
        <w:spacing w:line="360" w:lineRule="auto"/>
        <w:jc w:val="left"/>
        <w:rPr>
          <w:rFonts w:hint="eastAsia"/>
          <w:b/>
          <w:color w:val="auto"/>
          <w:sz w:val="24"/>
          <w:szCs w:val="24"/>
          <w:highlight w:val="none"/>
        </w:rPr>
      </w:pPr>
    </w:p>
    <w:p w14:paraId="1DBCAD47">
      <w:pPr>
        <w:pStyle w:val="12"/>
        <w:adjustRightInd w:val="0"/>
        <w:snapToGrid w:val="0"/>
        <w:spacing w:line="360" w:lineRule="auto"/>
        <w:jc w:val="left"/>
        <w:rPr>
          <w:rFonts w:hint="eastAsia"/>
          <w:b/>
          <w:color w:val="auto"/>
          <w:sz w:val="24"/>
          <w:szCs w:val="24"/>
          <w:highlight w:val="none"/>
        </w:rPr>
      </w:pPr>
    </w:p>
    <w:p w14:paraId="44E1AACB">
      <w:pPr>
        <w:pStyle w:val="12"/>
        <w:adjustRightInd w:val="0"/>
        <w:snapToGrid w:val="0"/>
        <w:spacing w:line="360" w:lineRule="auto"/>
        <w:jc w:val="left"/>
        <w:rPr>
          <w:rFonts w:hint="eastAsia"/>
          <w:b/>
          <w:color w:val="auto"/>
          <w:sz w:val="24"/>
          <w:szCs w:val="24"/>
          <w:highlight w:val="none"/>
        </w:rPr>
      </w:pPr>
    </w:p>
    <w:p w14:paraId="4B371074">
      <w:pPr>
        <w:pStyle w:val="12"/>
        <w:adjustRightInd w:val="0"/>
        <w:snapToGrid w:val="0"/>
        <w:spacing w:line="360" w:lineRule="auto"/>
        <w:jc w:val="left"/>
        <w:rPr>
          <w:rFonts w:hint="eastAsia"/>
          <w:b/>
          <w:color w:val="auto"/>
          <w:sz w:val="24"/>
          <w:szCs w:val="24"/>
          <w:highlight w:val="none"/>
        </w:rPr>
      </w:pPr>
    </w:p>
    <w:p w14:paraId="66979C34">
      <w:pPr>
        <w:pStyle w:val="12"/>
        <w:adjustRightInd w:val="0"/>
        <w:snapToGrid w:val="0"/>
        <w:spacing w:line="360" w:lineRule="auto"/>
        <w:jc w:val="left"/>
        <w:rPr>
          <w:rFonts w:hint="eastAsia"/>
          <w:b/>
          <w:color w:val="auto"/>
          <w:sz w:val="24"/>
          <w:szCs w:val="24"/>
          <w:highlight w:val="none"/>
        </w:rPr>
      </w:pPr>
    </w:p>
    <w:p w14:paraId="74F3DD97">
      <w:pPr>
        <w:pStyle w:val="12"/>
        <w:adjustRightInd w:val="0"/>
        <w:snapToGrid w:val="0"/>
        <w:spacing w:line="360" w:lineRule="auto"/>
        <w:jc w:val="left"/>
        <w:rPr>
          <w:rFonts w:hint="eastAsia"/>
          <w:b/>
          <w:color w:val="auto"/>
          <w:sz w:val="24"/>
          <w:szCs w:val="24"/>
          <w:highlight w:val="none"/>
        </w:rPr>
      </w:pPr>
    </w:p>
    <w:p w14:paraId="72263845">
      <w:pPr>
        <w:pStyle w:val="12"/>
        <w:adjustRightInd w:val="0"/>
        <w:snapToGrid w:val="0"/>
        <w:spacing w:line="360" w:lineRule="auto"/>
        <w:jc w:val="left"/>
        <w:rPr>
          <w:rFonts w:hint="eastAsia"/>
          <w:b/>
          <w:color w:val="auto"/>
          <w:sz w:val="24"/>
          <w:szCs w:val="24"/>
          <w:highlight w:val="none"/>
        </w:rPr>
      </w:pPr>
    </w:p>
    <w:p w14:paraId="03CE024A">
      <w:pPr>
        <w:pStyle w:val="12"/>
        <w:adjustRightInd w:val="0"/>
        <w:snapToGrid w:val="0"/>
        <w:spacing w:line="360" w:lineRule="auto"/>
        <w:jc w:val="center"/>
        <w:rPr>
          <w:rFonts w:hint="eastAsia"/>
          <w:b/>
          <w:color w:val="auto"/>
          <w:sz w:val="36"/>
          <w:szCs w:val="36"/>
          <w:highlight w:val="none"/>
        </w:rPr>
      </w:pPr>
    </w:p>
    <w:p w14:paraId="0B67F6C9">
      <w:pPr>
        <w:pStyle w:val="12"/>
        <w:adjustRightInd w:val="0"/>
        <w:snapToGrid w:val="0"/>
        <w:spacing w:line="360" w:lineRule="auto"/>
        <w:jc w:val="center"/>
        <w:rPr>
          <w:b/>
          <w:color w:val="auto"/>
          <w:sz w:val="36"/>
          <w:szCs w:val="36"/>
          <w:highlight w:val="none"/>
        </w:rPr>
      </w:pPr>
    </w:p>
    <w:p w14:paraId="63E5687E">
      <w:pPr>
        <w:pStyle w:val="12"/>
        <w:adjustRightInd w:val="0"/>
        <w:snapToGrid w:val="0"/>
        <w:spacing w:line="360" w:lineRule="auto"/>
        <w:jc w:val="center"/>
        <w:rPr>
          <w:rFonts w:hint="eastAsia"/>
          <w:b/>
          <w:color w:val="auto"/>
          <w:sz w:val="36"/>
          <w:szCs w:val="36"/>
          <w:highlight w:val="none"/>
        </w:rPr>
      </w:pPr>
    </w:p>
    <w:p w14:paraId="6DE56A3C">
      <w:pPr>
        <w:pStyle w:val="12"/>
        <w:adjustRightInd w:val="0"/>
        <w:snapToGrid w:val="0"/>
        <w:spacing w:line="360" w:lineRule="auto"/>
        <w:jc w:val="center"/>
        <w:rPr>
          <w:rFonts w:hint="eastAsia"/>
          <w:b/>
          <w:color w:val="auto"/>
          <w:sz w:val="36"/>
          <w:szCs w:val="36"/>
          <w:highlight w:val="none"/>
          <w:lang w:val="en-US" w:eastAsia="zh-CN"/>
        </w:rPr>
      </w:pPr>
    </w:p>
    <w:p w14:paraId="40161353">
      <w:pPr>
        <w:pStyle w:val="12"/>
        <w:adjustRightInd w:val="0"/>
        <w:snapToGrid w:val="0"/>
        <w:spacing w:line="360" w:lineRule="auto"/>
        <w:jc w:val="center"/>
        <w:outlineLvl w:val="1"/>
        <w:rPr>
          <w:rFonts w:hint="eastAsia"/>
          <w:b/>
          <w:color w:val="auto"/>
          <w:sz w:val="36"/>
          <w:szCs w:val="36"/>
          <w:highlight w:val="none"/>
        </w:rPr>
      </w:pPr>
      <w:bookmarkStart w:id="237" w:name="_Toc20487"/>
      <w:r>
        <w:rPr>
          <w:rFonts w:hint="eastAsia"/>
          <w:b/>
          <w:color w:val="auto"/>
          <w:sz w:val="36"/>
          <w:szCs w:val="36"/>
          <w:highlight w:val="none"/>
          <w:lang w:val="en-US" w:eastAsia="zh-CN"/>
        </w:rPr>
        <w:t>6</w:t>
      </w:r>
      <w:r>
        <w:rPr>
          <w:rFonts w:hint="eastAsia"/>
          <w:b/>
          <w:color w:val="auto"/>
          <w:sz w:val="36"/>
          <w:szCs w:val="36"/>
          <w:highlight w:val="none"/>
        </w:rPr>
        <w:t>.税收缴纳证明</w:t>
      </w:r>
      <w:bookmarkEnd w:id="237"/>
    </w:p>
    <w:p w14:paraId="3AF55E01">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2DA727C0">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投标人提供近半年内已缴纳的至少一个月的纳税证明或完税证明，纳税证明或完税证明上应有代收机构或税务机关的公章，依法免税的投标人应提供相关文件证明；</w:t>
      </w:r>
    </w:p>
    <w:p w14:paraId="3332FE89">
      <w:pPr>
        <w:pStyle w:val="12"/>
        <w:adjustRightInd w:val="0"/>
        <w:snapToGrid w:val="0"/>
        <w:spacing w:line="360" w:lineRule="auto"/>
        <w:ind w:firstLine="420" w:firstLineChars="200"/>
        <w:rPr>
          <w:rFonts w:hint="eastAsia" w:hAnsi="宋体"/>
          <w:color w:val="auto"/>
          <w:highlight w:val="none"/>
        </w:rPr>
      </w:pPr>
    </w:p>
    <w:p w14:paraId="7115A871">
      <w:pPr>
        <w:pStyle w:val="12"/>
        <w:adjustRightInd w:val="0"/>
        <w:snapToGrid w:val="0"/>
        <w:spacing w:line="360" w:lineRule="auto"/>
        <w:jc w:val="left"/>
        <w:rPr>
          <w:rFonts w:hint="eastAsia"/>
          <w:color w:val="auto"/>
          <w:sz w:val="24"/>
          <w:szCs w:val="24"/>
          <w:highlight w:val="none"/>
        </w:rPr>
      </w:pPr>
    </w:p>
    <w:p w14:paraId="2FF71331">
      <w:pPr>
        <w:pStyle w:val="12"/>
        <w:adjustRightInd w:val="0"/>
        <w:snapToGrid w:val="0"/>
        <w:spacing w:line="360" w:lineRule="auto"/>
        <w:jc w:val="left"/>
        <w:rPr>
          <w:rFonts w:hint="eastAsia"/>
          <w:b/>
          <w:color w:val="auto"/>
          <w:sz w:val="24"/>
          <w:szCs w:val="24"/>
          <w:highlight w:val="none"/>
        </w:rPr>
      </w:pPr>
    </w:p>
    <w:p w14:paraId="497AB7D6">
      <w:pPr>
        <w:pStyle w:val="12"/>
        <w:adjustRightInd w:val="0"/>
        <w:snapToGrid w:val="0"/>
        <w:spacing w:line="360" w:lineRule="auto"/>
        <w:jc w:val="left"/>
        <w:rPr>
          <w:rFonts w:hint="eastAsia"/>
          <w:b/>
          <w:color w:val="auto"/>
          <w:sz w:val="24"/>
          <w:szCs w:val="24"/>
          <w:highlight w:val="none"/>
        </w:rPr>
      </w:pPr>
    </w:p>
    <w:p w14:paraId="454C73B8">
      <w:pPr>
        <w:pStyle w:val="12"/>
        <w:adjustRightInd w:val="0"/>
        <w:snapToGrid w:val="0"/>
        <w:spacing w:line="360" w:lineRule="auto"/>
        <w:jc w:val="left"/>
        <w:rPr>
          <w:rFonts w:hint="eastAsia"/>
          <w:b/>
          <w:color w:val="auto"/>
          <w:sz w:val="24"/>
          <w:szCs w:val="24"/>
          <w:highlight w:val="none"/>
        </w:rPr>
      </w:pPr>
    </w:p>
    <w:p w14:paraId="5D73171E">
      <w:pPr>
        <w:pStyle w:val="12"/>
        <w:adjustRightInd w:val="0"/>
        <w:snapToGrid w:val="0"/>
        <w:spacing w:line="360" w:lineRule="auto"/>
        <w:jc w:val="left"/>
        <w:rPr>
          <w:rFonts w:hint="eastAsia"/>
          <w:b/>
          <w:color w:val="auto"/>
          <w:sz w:val="24"/>
          <w:szCs w:val="24"/>
          <w:highlight w:val="none"/>
        </w:rPr>
      </w:pPr>
    </w:p>
    <w:p w14:paraId="7ECC8F7F">
      <w:pPr>
        <w:pStyle w:val="12"/>
        <w:adjustRightInd w:val="0"/>
        <w:snapToGrid w:val="0"/>
        <w:spacing w:line="360" w:lineRule="auto"/>
        <w:jc w:val="left"/>
        <w:rPr>
          <w:rFonts w:hint="eastAsia"/>
          <w:b/>
          <w:color w:val="auto"/>
          <w:sz w:val="24"/>
          <w:szCs w:val="24"/>
          <w:highlight w:val="none"/>
        </w:rPr>
      </w:pPr>
    </w:p>
    <w:p w14:paraId="4868B76D">
      <w:pPr>
        <w:pStyle w:val="12"/>
        <w:adjustRightInd w:val="0"/>
        <w:snapToGrid w:val="0"/>
        <w:spacing w:line="360" w:lineRule="auto"/>
        <w:jc w:val="left"/>
        <w:rPr>
          <w:rFonts w:hint="eastAsia"/>
          <w:b/>
          <w:color w:val="auto"/>
          <w:sz w:val="24"/>
          <w:szCs w:val="24"/>
          <w:highlight w:val="none"/>
        </w:rPr>
      </w:pPr>
    </w:p>
    <w:p w14:paraId="716D9A11">
      <w:pPr>
        <w:pStyle w:val="12"/>
        <w:adjustRightInd w:val="0"/>
        <w:snapToGrid w:val="0"/>
        <w:spacing w:line="360" w:lineRule="auto"/>
        <w:jc w:val="left"/>
        <w:rPr>
          <w:rFonts w:hint="eastAsia"/>
          <w:b/>
          <w:color w:val="auto"/>
          <w:sz w:val="24"/>
          <w:szCs w:val="24"/>
          <w:highlight w:val="none"/>
        </w:rPr>
      </w:pPr>
    </w:p>
    <w:p w14:paraId="439C65EE">
      <w:pPr>
        <w:pStyle w:val="12"/>
        <w:adjustRightInd w:val="0"/>
        <w:snapToGrid w:val="0"/>
        <w:spacing w:line="360" w:lineRule="auto"/>
        <w:jc w:val="left"/>
        <w:rPr>
          <w:rFonts w:hint="eastAsia"/>
          <w:b/>
          <w:color w:val="auto"/>
          <w:sz w:val="24"/>
          <w:szCs w:val="24"/>
          <w:highlight w:val="none"/>
        </w:rPr>
      </w:pPr>
    </w:p>
    <w:p w14:paraId="76439063">
      <w:pPr>
        <w:pStyle w:val="12"/>
        <w:adjustRightInd w:val="0"/>
        <w:snapToGrid w:val="0"/>
        <w:spacing w:line="360" w:lineRule="auto"/>
        <w:jc w:val="left"/>
        <w:rPr>
          <w:rFonts w:hint="eastAsia"/>
          <w:b/>
          <w:color w:val="auto"/>
          <w:sz w:val="24"/>
          <w:szCs w:val="24"/>
          <w:highlight w:val="none"/>
        </w:rPr>
        <w:sectPr>
          <w:headerReference r:id="rId9" w:type="default"/>
          <w:footerReference r:id="rId10" w:type="default"/>
          <w:pgSz w:w="11907" w:h="16840"/>
          <w:pgMar w:top="1440" w:right="1474" w:bottom="1440" w:left="1474" w:header="851" w:footer="992" w:gutter="0"/>
          <w:pgBorders>
            <w:top w:val="none" w:sz="0" w:space="0"/>
            <w:left w:val="none" w:sz="0" w:space="0"/>
            <w:bottom w:val="none" w:sz="0" w:space="0"/>
            <w:right w:val="none" w:sz="0" w:space="0"/>
          </w:pgBorders>
          <w:pgNumType w:fmt="decimal" w:start="1"/>
          <w:cols w:space="720" w:num="1"/>
        </w:sectPr>
      </w:pPr>
    </w:p>
    <w:p w14:paraId="1C5987D2">
      <w:pPr>
        <w:pStyle w:val="12"/>
        <w:adjustRightInd w:val="0"/>
        <w:snapToGrid w:val="0"/>
        <w:spacing w:line="360" w:lineRule="auto"/>
        <w:jc w:val="center"/>
        <w:outlineLvl w:val="1"/>
        <w:rPr>
          <w:rFonts w:hint="eastAsia" w:hAnsi="宋体"/>
          <w:b/>
          <w:color w:val="auto"/>
          <w:sz w:val="36"/>
          <w:szCs w:val="36"/>
          <w:highlight w:val="none"/>
        </w:rPr>
      </w:pPr>
      <w:bookmarkStart w:id="238" w:name="_Toc25023"/>
      <w:r>
        <w:rPr>
          <w:rFonts w:hint="eastAsia"/>
          <w:b/>
          <w:color w:val="auto"/>
          <w:sz w:val="36"/>
          <w:szCs w:val="36"/>
          <w:highlight w:val="none"/>
          <w:lang w:val="en-US" w:eastAsia="zh-CN"/>
        </w:rPr>
        <w:t>7</w:t>
      </w:r>
      <w:r>
        <w:rPr>
          <w:rFonts w:hint="eastAsia"/>
          <w:b/>
          <w:color w:val="auto"/>
          <w:sz w:val="36"/>
          <w:szCs w:val="36"/>
          <w:highlight w:val="none"/>
        </w:rPr>
        <w:t>.缴纳社会保障资金证明</w:t>
      </w:r>
      <w:bookmarkEnd w:id="238"/>
    </w:p>
    <w:p w14:paraId="437DB684">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173DAFBB">
      <w:pPr>
        <w:pStyle w:val="12"/>
        <w:adjustRightInd w:val="0"/>
        <w:snapToGrid w:val="0"/>
        <w:spacing w:line="360" w:lineRule="auto"/>
        <w:ind w:firstLine="420" w:firstLineChars="200"/>
        <w:jc w:val="left"/>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投标人提供近半年内已缴存的至少一个月的社会保障资金缴存单据或社保机构开具的社会保险参保缴费情况证明，依法不需要缴纳社会保障资金的投标人应提供相关文件证明或投标人提供承诺书；</w:t>
      </w:r>
    </w:p>
    <w:p w14:paraId="748A7E18">
      <w:pPr>
        <w:pStyle w:val="12"/>
        <w:adjustRightInd w:val="0"/>
        <w:snapToGrid w:val="0"/>
        <w:spacing w:line="360" w:lineRule="auto"/>
        <w:jc w:val="left"/>
        <w:rPr>
          <w:rFonts w:hint="eastAsia"/>
          <w:b/>
          <w:color w:val="auto"/>
          <w:sz w:val="24"/>
          <w:szCs w:val="24"/>
          <w:highlight w:val="none"/>
        </w:rPr>
      </w:pPr>
    </w:p>
    <w:p w14:paraId="293D749B">
      <w:pPr>
        <w:pStyle w:val="12"/>
        <w:adjustRightInd w:val="0"/>
        <w:snapToGrid w:val="0"/>
        <w:spacing w:line="360" w:lineRule="auto"/>
        <w:jc w:val="left"/>
        <w:rPr>
          <w:rFonts w:hint="eastAsia"/>
          <w:b/>
          <w:color w:val="auto"/>
          <w:sz w:val="24"/>
          <w:szCs w:val="24"/>
          <w:highlight w:val="none"/>
        </w:rPr>
      </w:pPr>
    </w:p>
    <w:p w14:paraId="3AF9EDA8">
      <w:pPr>
        <w:pStyle w:val="12"/>
        <w:adjustRightInd w:val="0"/>
        <w:snapToGrid w:val="0"/>
        <w:spacing w:line="360" w:lineRule="auto"/>
        <w:jc w:val="left"/>
        <w:rPr>
          <w:rFonts w:hint="eastAsia"/>
          <w:b/>
          <w:color w:val="auto"/>
          <w:sz w:val="24"/>
          <w:szCs w:val="24"/>
          <w:highlight w:val="none"/>
        </w:rPr>
      </w:pPr>
    </w:p>
    <w:p w14:paraId="711F1226">
      <w:pPr>
        <w:pStyle w:val="12"/>
        <w:adjustRightInd w:val="0"/>
        <w:snapToGrid w:val="0"/>
        <w:spacing w:line="360" w:lineRule="auto"/>
        <w:jc w:val="left"/>
        <w:rPr>
          <w:rFonts w:hint="eastAsia"/>
          <w:b/>
          <w:color w:val="auto"/>
          <w:sz w:val="24"/>
          <w:szCs w:val="24"/>
          <w:highlight w:val="none"/>
        </w:rPr>
      </w:pPr>
    </w:p>
    <w:p w14:paraId="46D575A1">
      <w:pPr>
        <w:pStyle w:val="12"/>
        <w:adjustRightInd w:val="0"/>
        <w:snapToGrid w:val="0"/>
        <w:spacing w:line="360" w:lineRule="auto"/>
        <w:jc w:val="left"/>
        <w:rPr>
          <w:rFonts w:hint="eastAsia"/>
          <w:b/>
          <w:color w:val="auto"/>
          <w:sz w:val="24"/>
          <w:szCs w:val="24"/>
          <w:highlight w:val="none"/>
        </w:rPr>
      </w:pPr>
    </w:p>
    <w:p w14:paraId="6AB01FDB">
      <w:pPr>
        <w:pStyle w:val="12"/>
        <w:adjustRightInd w:val="0"/>
        <w:snapToGrid w:val="0"/>
        <w:spacing w:line="360" w:lineRule="auto"/>
        <w:jc w:val="left"/>
        <w:rPr>
          <w:rFonts w:hint="eastAsia"/>
          <w:b/>
          <w:color w:val="auto"/>
          <w:sz w:val="24"/>
          <w:szCs w:val="24"/>
          <w:highlight w:val="none"/>
        </w:rPr>
      </w:pPr>
    </w:p>
    <w:p w14:paraId="461E3045">
      <w:pPr>
        <w:pStyle w:val="12"/>
        <w:adjustRightInd w:val="0"/>
        <w:snapToGrid w:val="0"/>
        <w:spacing w:line="360" w:lineRule="auto"/>
        <w:jc w:val="left"/>
        <w:rPr>
          <w:rFonts w:hint="eastAsia"/>
          <w:b/>
          <w:color w:val="auto"/>
          <w:sz w:val="24"/>
          <w:szCs w:val="24"/>
          <w:highlight w:val="none"/>
        </w:rPr>
      </w:pPr>
    </w:p>
    <w:p w14:paraId="56894CF7">
      <w:pPr>
        <w:pStyle w:val="12"/>
        <w:adjustRightInd w:val="0"/>
        <w:snapToGrid w:val="0"/>
        <w:spacing w:line="360" w:lineRule="auto"/>
        <w:jc w:val="center"/>
        <w:rPr>
          <w:rFonts w:hint="eastAsia"/>
          <w:b/>
          <w:color w:val="auto"/>
          <w:sz w:val="36"/>
          <w:szCs w:val="36"/>
          <w:highlight w:val="none"/>
        </w:rPr>
      </w:pPr>
    </w:p>
    <w:p w14:paraId="044B5C3A">
      <w:pPr>
        <w:pStyle w:val="12"/>
        <w:adjustRightInd w:val="0"/>
        <w:snapToGrid w:val="0"/>
        <w:spacing w:line="360" w:lineRule="auto"/>
        <w:jc w:val="center"/>
        <w:rPr>
          <w:rFonts w:hint="eastAsia"/>
          <w:b/>
          <w:color w:val="auto"/>
          <w:sz w:val="36"/>
          <w:szCs w:val="36"/>
          <w:highlight w:val="none"/>
        </w:rPr>
      </w:pPr>
    </w:p>
    <w:p w14:paraId="66147735">
      <w:pPr>
        <w:pStyle w:val="12"/>
        <w:adjustRightInd w:val="0"/>
        <w:snapToGrid w:val="0"/>
        <w:spacing w:line="360" w:lineRule="auto"/>
        <w:jc w:val="center"/>
        <w:rPr>
          <w:rFonts w:hint="eastAsia"/>
          <w:b/>
          <w:color w:val="auto"/>
          <w:sz w:val="36"/>
          <w:szCs w:val="36"/>
          <w:highlight w:val="none"/>
        </w:rPr>
      </w:pPr>
    </w:p>
    <w:p w14:paraId="0E07E42B">
      <w:pPr>
        <w:pStyle w:val="12"/>
        <w:adjustRightInd w:val="0"/>
        <w:snapToGrid w:val="0"/>
        <w:spacing w:line="360" w:lineRule="auto"/>
        <w:jc w:val="center"/>
        <w:rPr>
          <w:rFonts w:hint="eastAsia"/>
          <w:b/>
          <w:color w:val="auto"/>
          <w:sz w:val="36"/>
          <w:szCs w:val="36"/>
          <w:highlight w:val="none"/>
        </w:rPr>
      </w:pPr>
    </w:p>
    <w:p w14:paraId="10EE961E">
      <w:pPr>
        <w:rPr>
          <w:rFonts w:hint="eastAsia"/>
          <w:b/>
          <w:color w:val="auto"/>
          <w:sz w:val="36"/>
          <w:szCs w:val="36"/>
          <w:highlight w:val="none"/>
        </w:rPr>
      </w:pPr>
    </w:p>
    <w:p w14:paraId="4D0B9D00">
      <w:pPr>
        <w:pStyle w:val="30"/>
        <w:rPr>
          <w:rFonts w:hint="eastAsia"/>
          <w:b/>
          <w:color w:val="auto"/>
          <w:sz w:val="36"/>
          <w:szCs w:val="36"/>
          <w:highlight w:val="none"/>
        </w:rPr>
      </w:pPr>
    </w:p>
    <w:p w14:paraId="05A76604">
      <w:pPr>
        <w:pStyle w:val="30"/>
        <w:rPr>
          <w:rFonts w:hint="eastAsia"/>
          <w:b/>
          <w:color w:val="auto"/>
          <w:sz w:val="36"/>
          <w:szCs w:val="36"/>
          <w:highlight w:val="none"/>
        </w:rPr>
      </w:pPr>
    </w:p>
    <w:p w14:paraId="7077EE48">
      <w:pPr>
        <w:pStyle w:val="30"/>
        <w:rPr>
          <w:rFonts w:hint="eastAsia"/>
          <w:b/>
          <w:color w:val="auto"/>
          <w:sz w:val="36"/>
          <w:szCs w:val="36"/>
          <w:highlight w:val="none"/>
        </w:rPr>
      </w:pPr>
    </w:p>
    <w:p w14:paraId="2F0ADCB9">
      <w:pPr>
        <w:pStyle w:val="30"/>
        <w:rPr>
          <w:rFonts w:hint="eastAsia"/>
          <w:b/>
          <w:color w:val="auto"/>
          <w:sz w:val="36"/>
          <w:szCs w:val="36"/>
          <w:highlight w:val="none"/>
        </w:rPr>
      </w:pPr>
    </w:p>
    <w:p w14:paraId="48965553">
      <w:pPr>
        <w:pStyle w:val="30"/>
        <w:rPr>
          <w:rFonts w:hint="eastAsia"/>
          <w:b/>
          <w:color w:val="auto"/>
          <w:sz w:val="36"/>
          <w:szCs w:val="36"/>
          <w:highlight w:val="none"/>
        </w:rPr>
      </w:pPr>
    </w:p>
    <w:p w14:paraId="3EC82F4E">
      <w:pPr>
        <w:pStyle w:val="30"/>
        <w:rPr>
          <w:rFonts w:hint="eastAsia"/>
          <w:b/>
          <w:color w:val="auto"/>
          <w:sz w:val="36"/>
          <w:szCs w:val="36"/>
          <w:highlight w:val="none"/>
        </w:rPr>
      </w:pPr>
    </w:p>
    <w:p w14:paraId="48703264">
      <w:pPr>
        <w:pStyle w:val="30"/>
        <w:rPr>
          <w:rFonts w:hint="eastAsia"/>
          <w:b/>
          <w:color w:val="auto"/>
          <w:sz w:val="36"/>
          <w:szCs w:val="36"/>
          <w:highlight w:val="none"/>
        </w:rPr>
      </w:pPr>
    </w:p>
    <w:p w14:paraId="67DD0C9F">
      <w:pPr>
        <w:pStyle w:val="12"/>
        <w:adjustRightInd w:val="0"/>
        <w:snapToGrid w:val="0"/>
        <w:spacing w:line="360" w:lineRule="auto"/>
        <w:jc w:val="center"/>
        <w:rPr>
          <w:rFonts w:hint="eastAsia" w:ascii="宋体" w:hAnsi="宋体" w:eastAsia="宋体"/>
          <w:color w:val="auto"/>
          <w:szCs w:val="21"/>
          <w:highlight w:val="none"/>
          <w:lang w:val="en-US" w:eastAsia="zh-CN"/>
        </w:rPr>
      </w:pPr>
    </w:p>
    <w:p w14:paraId="4123F2D1">
      <w:pPr>
        <w:pStyle w:val="12"/>
        <w:adjustRightInd w:val="0"/>
        <w:snapToGrid w:val="0"/>
        <w:spacing w:line="360" w:lineRule="auto"/>
        <w:jc w:val="center"/>
        <w:outlineLvl w:val="1"/>
        <w:rPr>
          <w:rFonts w:hint="eastAsia" w:ascii="宋体" w:eastAsia="宋体"/>
          <w:b/>
          <w:color w:val="auto"/>
          <w:sz w:val="36"/>
          <w:szCs w:val="36"/>
          <w:highlight w:val="none"/>
          <w:lang w:val="en-US" w:eastAsia="zh-CN"/>
        </w:rPr>
      </w:pPr>
      <w:bookmarkStart w:id="239" w:name="_Toc22172"/>
      <w:r>
        <w:rPr>
          <w:rFonts w:hint="eastAsia" w:ascii="宋体" w:eastAsia="宋体"/>
          <w:b/>
          <w:color w:val="auto"/>
          <w:sz w:val="36"/>
          <w:szCs w:val="36"/>
          <w:highlight w:val="none"/>
          <w:lang w:val="en-US" w:eastAsia="zh-CN"/>
        </w:rPr>
        <w:t>8.信用中国和中国政府采购网截图</w:t>
      </w:r>
      <w:bookmarkEnd w:id="239"/>
    </w:p>
    <w:p w14:paraId="0B3BADAC">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0A2B9E54">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须在“信用中国”（www.creditchina.gov.cn）和中国政府采购网（www.ccgp.gov.cn）上未被列入失信被执行人、重大税收违法失信主体、政府采购严重违法失信行为记录名单（网页打印件须自招标文件发布之日起至投标截止时间从上述网站中打印）；</w:t>
      </w:r>
    </w:p>
    <w:p w14:paraId="78F03334">
      <w:pPr>
        <w:pStyle w:val="12"/>
        <w:adjustRightInd w:val="0"/>
        <w:snapToGrid w:val="0"/>
        <w:spacing w:line="360" w:lineRule="auto"/>
        <w:ind w:firstLine="420" w:firstLineChars="200"/>
        <w:jc w:val="left"/>
        <w:rPr>
          <w:rFonts w:hint="eastAsia" w:ascii="楷体" w:hAnsi="楷体" w:eastAsia="楷体"/>
          <w:color w:val="auto"/>
          <w:highlight w:val="none"/>
        </w:rPr>
      </w:pPr>
    </w:p>
    <w:p w14:paraId="4EC0C24C">
      <w:pPr>
        <w:spacing w:line="360" w:lineRule="auto"/>
        <w:outlineLvl w:val="1"/>
        <w:rPr>
          <w:rFonts w:hint="eastAsia" w:ascii="宋体" w:hAnsi="Courier New" w:eastAsia="宋体" w:cs="Courier New"/>
          <w:b/>
          <w:color w:val="auto"/>
          <w:kern w:val="2"/>
          <w:sz w:val="36"/>
          <w:szCs w:val="36"/>
          <w:highlight w:val="none"/>
          <w:lang w:val="en-US" w:eastAsia="zh-CN" w:bidi="ar-SA"/>
        </w:rPr>
      </w:pPr>
      <w:bookmarkStart w:id="240" w:name="_Toc23273"/>
      <w:r>
        <w:rPr>
          <w:rFonts w:hint="eastAsia"/>
          <w:b/>
          <w:color w:val="auto"/>
          <w:sz w:val="36"/>
          <w:szCs w:val="36"/>
          <w:highlight w:val="none"/>
          <w:lang w:val="en-US" w:eastAsia="zh-CN"/>
        </w:rPr>
        <w:br w:type="column"/>
      </w:r>
      <w:r>
        <w:rPr>
          <w:rFonts w:hint="eastAsia" w:ascii="宋体" w:hAnsi="Courier New" w:eastAsia="宋体" w:cs="Courier New"/>
          <w:b/>
          <w:color w:val="auto"/>
          <w:kern w:val="2"/>
          <w:sz w:val="36"/>
          <w:szCs w:val="36"/>
          <w:highlight w:val="none"/>
          <w:lang w:val="en-US" w:eastAsia="zh-CN" w:bidi="ar-SA"/>
        </w:rPr>
        <w:t>9.</w:t>
      </w:r>
      <w:r>
        <w:rPr>
          <w:rFonts w:hint="eastAsia" w:ascii="宋体" w:hAnsi="Courier New" w:eastAsia="宋体" w:cs="Courier New"/>
          <w:b/>
          <w:color w:val="auto"/>
          <w:kern w:val="2"/>
          <w:sz w:val="36"/>
          <w:szCs w:val="36"/>
          <w:highlight w:val="none"/>
          <w:lang w:val="zh-CN" w:eastAsia="zh-CN" w:bidi="ar-SA"/>
        </w:rPr>
        <w:t>具备履行合同所必需的设备和专业技术能力的证明</w:t>
      </w:r>
      <w:bookmarkEnd w:id="240"/>
    </w:p>
    <w:p w14:paraId="64A48271">
      <w:pPr>
        <w:pStyle w:val="7"/>
        <w:spacing w:after="240" w:afterLines="100"/>
        <w:ind w:firstLine="0"/>
        <w:jc w:val="center"/>
        <w:rPr>
          <w:rFonts w:hint="eastAsia"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（一）完成本项目必须的设备清单</w:t>
      </w:r>
    </w:p>
    <w:p w14:paraId="0DC70CED">
      <w:pPr>
        <w:pStyle w:val="7"/>
        <w:spacing w:after="120" w:afterLines="50"/>
        <w:ind w:firstLine="0"/>
        <w:jc w:val="left"/>
        <w:rPr>
          <w:rFonts w:hint="eastAsia" w:ascii="宋体" w:hAnsi="宋体"/>
          <w:color w:val="auto"/>
          <w:szCs w:val="21"/>
          <w:highlight w:val="none"/>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241"/>
        <w:gridCol w:w="1445"/>
        <w:gridCol w:w="992"/>
        <w:gridCol w:w="2410"/>
        <w:gridCol w:w="1270"/>
      </w:tblGrid>
      <w:tr w14:paraId="6B4452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17" w:type="dxa"/>
            <w:noWrap w:val="0"/>
            <w:vAlign w:val="center"/>
          </w:tcPr>
          <w:p w14:paraId="2DF889BD">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2241" w:type="dxa"/>
            <w:noWrap w:val="0"/>
            <w:vAlign w:val="center"/>
          </w:tcPr>
          <w:p w14:paraId="7DF92F58">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设备名称</w:t>
            </w:r>
          </w:p>
        </w:tc>
        <w:tc>
          <w:tcPr>
            <w:tcW w:w="1445" w:type="dxa"/>
            <w:noWrap w:val="0"/>
            <w:vAlign w:val="center"/>
          </w:tcPr>
          <w:p w14:paraId="5F41A4BC">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计量单位</w:t>
            </w:r>
          </w:p>
        </w:tc>
        <w:tc>
          <w:tcPr>
            <w:tcW w:w="992" w:type="dxa"/>
            <w:noWrap w:val="0"/>
            <w:vAlign w:val="center"/>
          </w:tcPr>
          <w:p w14:paraId="00F55507">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410" w:type="dxa"/>
            <w:noWrap w:val="0"/>
            <w:vAlign w:val="center"/>
          </w:tcPr>
          <w:p w14:paraId="3EF9C45C">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生产企业</w:t>
            </w:r>
          </w:p>
        </w:tc>
        <w:tc>
          <w:tcPr>
            <w:tcW w:w="1270" w:type="dxa"/>
            <w:noWrap w:val="0"/>
            <w:vAlign w:val="center"/>
          </w:tcPr>
          <w:p w14:paraId="526A752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使用年限</w:t>
            </w:r>
          </w:p>
        </w:tc>
      </w:tr>
      <w:tr w14:paraId="3B7A36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817" w:type="dxa"/>
            <w:noWrap w:val="0"/>
            <w:vAlign w:val="top"/>
          </w:tcPr>
          <w:p w14:paraId="03DEB383">
            <w:pPr>
              <w:pStyle w:val="7"/>
              <w:ind w:firstLine="0"/>
              <w:jc w:val="left"/>
              <w:rPr>
                <w:rFonts w:hint="eastAsia" w:ascii="宋体" w:hAnsi="宋体"/>
                <w:b/>
                <w:color w:val="auto"/>
                <w:sz w:val="28"/>
                <w:szCs w:val="28"/>
                <w:highlight w:val="none"/>
              </w:rPr>
            </w:pPr>
          </w:p>
        </w:tc>
        <w:tc>
          <w:tcPr>
            <w:tcW w:w="2241" w:type="dxa"/>
            <w:noWrap w:val="0"/>
            <w:vAlign w:val="top"/>
          </w:tcPr>
          <w:p w14:paraId="723D1A7E">
            <w:pPr>
              <w:pStyle w:val="7"/>
              <w:ind w:firstLine="0"/>
              <w:jc w:val="left"/>
              <w:rPr>
                <w:rFonts w:hint="eastAsia" w:ascii="宋体" w:hAnsi="宋体"/>
                <w:b/>
                <w:color w:val="auto"/>
                <w:sz w:val="28"/>
                <w:szCs w:val="28"/>
                <w:highlight w:val="none"/>
              </w:rPr>
            </w:pPr>
          </w:p>
        </w:tc>
        <w:tc>
          <w:tcPr>
            <w:tcW w:w="1445" w:type="dxa"/>
            <w:noWrap w:val="0"/>
            <w:vAlign w:val="top"/>
          </w:tcPr>
          <w:p w14:paraId="2DBF392F">
            <w:pPr>
              <w:pStyle w:val="7"/>
              <w:ind w:firstLine="0"/>
              <w:jc w:val="left"/>
              <w:rPr>
                <w:rFonts w:hint="eastAsia" w:ascii="宋体" w:hAnsi="宋体"/>
                <w:b/>
                <w:color w:val="auto"/>
                <w:sz w:val="28"/>
                <w:szCs w:val="28"/>
                <w:highlight w:val="none"/>
              </w:rPr>
            </w:pPr>
          </w:p>
        </w:tc>
        <w:tc>
          <w:tcPr>
            <w:tcW w:w="992" w:type="dxa"/>
            <w:noWrap w:val="0"/>
            <w:vAlign w:val="top"/>
          </w:tcPr>
          <w:p w14:paraId="37F7C03F">
            <w:pPr>
              <w:pStyle w:val="7"/>
              <w:ind w:firstLine="0"/>
              <w:jc w:val="left"/>
              <w:rPr>
                <w:rFonts w:hint="eastAsia" w:ascii="宋体" w:hAnsi="宋体"/>
                <w:b/>
                <w:color w:val="auto"/>
                <w:sz w:val="28"/>
                <w:szCs w:val="28"/>
                <w:highlight w:val="none"/>
              </w:rPr>
            </w:pPr>
          </w:p>
        </w:tc>
        <w:tc>
          <w:tcPr>
            <w:tcW w:w="2410" w:type="dxa"/>
            <w:noWrap w:val="0"/>
            <w:vAlign w:val="top"/>
          </w:tcPr>
          <w:p w14:paraId="1A9DDA65">
            <w:pPr>
              <w:pStyle w:val="7"/>
              <w:ind w:firstLine="0"/>
              <w:jc w:val="left"/>
              <w:rPr>
                <w:rFonts w:hint="eastAsia" w:ascii="宋体" w:hAnsi="宋体"/>
                <w:b/>
                <w:color w:val="auto"/>
                <w:sz w:val="28"/>
                <w:szCs w:val="28"/>
                <w:highlight w:val="none"/>
              </w:rPr>
            </w:pPr>
          </w:p>
        </w:tc>
        <w:tc>
          <w:tcPr>
            <w:tcW w:w="1270" w:type="dxa"/>
            <w:noWrap w:val="0"/>
            <w:vAlign w:val="top"/>
          </w:tcPr>
          <w:p w14:paraId="1BB4BA0E">
            <w:pPr>
              <w:pStyle w:val="7"/>
              <w:ind w:firstLine="0"/>
              <w:jc w:val="left"/>
              <w:rPr>
                <w:rFonts w:hint="eastAsia" w:ascii="宋体" w:hAnsi="宋体"/>
                <w:b/>
                <w:color w:val="auto"/>
                <w:sz w:val="28"/>
                <w:szCs w:val="28"/>
                <w:highlight w:val="none"/>
              </w:rPr>
            </w:pPr>
          </w:p>
        </w:tc>
      </w:tr>
      <w:tr w14:paraId="11E170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17" w:type="dxa"/>
            <w:noWrap w:val="0"/>
            <w:vAlign w:val="top"/>
          </w:tcPr>
          <w:p w14:paraId="2937879E">
            <w:pPr>
              <w:pStyle w:val="7"/>
              <w:ind w:firstLine="0"/>
              <w:jc w:val="left"/>
              <w:rPr>
                <w:rFonts w:hint="eastAsia" w:ascii="宋体" w:hAnsi="宋体"/>
                <w:b/>
                <w:color w:val="auto"/>
                <w:sz w:val="28"/>
                <w:szCs w:val="28"/>
                <w:highlight w:val="none"/>
              </w:rPr>
            </w:pPr>
          </w:p>
        </w:tc>
        <w:tc>
          <w:tcPr>
            <w:tcW w:w="2241" w:type="dxa"/>
            <w:noWrap w:val="0"/>
            <w:vAlign w:val="top"/>
          </w:tcPr>
          <w:p w14:paraId="59B77A7D">
            <w:pPr>
              <w:pStyle w:val="7"/>
              <w:ind w:firstLine="0"/>
              <w:jc w:val="left"/>
              <w:rPr>
                <w:rFonts w:hint="eastAsia" w:ascii="宋体" w:hAnsi="宋体"/>
                <w:b/>
                <w:color w:val="auto"/>
                <w:sz w:val="28"/>
                <w:szCs w:val="28"/>
                <w:highlight w:val="none"/>
              </w:rPr>
            </w:pPr>
          </w:p>
        </w:tc>
        <w:tc>
          <w:tcPr>
            <w:tcW w:w="1445" w:type="dxa"/>
            <w:noWrap w:val="0"/>
            <w:vAlign w:val="top"/>
          </w:tcPr>
          <w:p w14:paraId="7232F2B5">
            <w:pPr>
              <w:pStyle w:val="7"/>
              <w:ind w:firstLine="0"/>
              <w:jc w:val="left"/>
              <w:rPr>
                <w:rFonts w:hint="eastAsia" w:ascii="宋体" w:hAnsi="宋体"/>
                <w:b/>
                <w:color w:val="auto"/>
                <w:sz w:val="28"/>
                <w:szCs w:val="28"/>
                <w:highlight w:val="none"/>
              </w:rPr>
            </w:pPr>
          </w:p>
        </w:tc>
        <w:tc>
          <w:tcPr>
            <w:tcW w:w="992" w:type="dxa"/>
            <w:noWrap w:val="0"/>
            <w:vAlign w:val="top"/>
          </w:tcPr>
          <w:p w14:paraId="7553C64F">
            <w:pPr>
              <w:pStyle w:val="7"/>
              <w:ind w:firstLine="0"/>
              <w:jc w:val="left"/>
              <w:rPr>
                <w:rFonts w:hint="eastAsia" w:ascii="宋体" w:hAnsi="宋体"/>
                <w:b/>
                <w:color w:val="auto"/>
                <w:sz w:val="28"/>
                <w:szCs w:val="28"/>
                <w:highlight w:val="none"/>
              </w:rPr>
            </w:pPr>
          </w:p>
        </w:tc>
        <w:tc>
          <w:tcPr>
            <w:tcW w:w="2410" w:type="dxa"/>
            <w:noWrap w:val="0"/>
            <w:vAlign w:val="top"/>
          </w:tcPr>
          <w:p w14:paraId="6C437A79">
            <w:pPr>
              <w:pStyle w:val="7"/>
              <w:ind w:firstLine="0"/>
              <w:jc w:val="left"/>
              <w:rPr>
                <w:rFonts w:hint="eastAsia" w:ascii="宋体" w:hAnsi="宋体"/>
                <w:b/>
                <w:color w:val="auto"/>
                <w:sz w:val="28"/>
                <w:szCs w:val="28"/>
                <w:highlight w:val="none"/>
              </w:rPr>
            </w:pPr>
          </w:p>
        </w:tc>
        <w:tc>
          <w:tcPr>
            <w:tcW w:w="1270" w:type="dxa"/>
            <w:noWrap w:val="0"/>
            <w:vAlign w:val="top"/>
          </w:tcPr>
          <w:p w14:paraId="0EBFA957">
            <w:pPr>
              <w:pStyle w:val="7"/>
              <w:ind w:firstLine="0"/>
              <w:jc w:val="left"/>
              <w:rPr>
                <w:rFonts w:hint="eastAsia" w:ascii="宋体" w:hAnsi="宋体"/>
                <w:b/>
                <w:color w:val="auto"/>
                <w:sz w:val="28"/>
                <w:szCs w:val="28"/>
                <w:highlight w:val="none"/>
              </w:rPr>
            </w:pPr>
          </w:p>
        </w:tc>
      </w:tr>
      <w:tr w14:paraId="290119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17" w:type="dxa"/>
            <w:noWrap w:val="0"/>
            <w:vAlign w:val="top"/>
          </w:tcPr>
          <w:p w14:paraId="75D52B2C">
            <w:pPr>
              <w:pStyle w:val="7"/>
              <w:ind w:firstLine="0"/>
              <w:jc w:val="left"/>
              <w:rPr>
                <w:rFonts w:hint="eastAsia" w:ascii="宋体" w:hAnsi="宋体"/>
                <w:b/>
                <w:color w:val="auto"/>
                <w:sz w:val="28"/>
                <w:szCs w:val="28"/>
                <w:highlight w:val="none"/>
              </w:rPr>
            </w:pPr>
          </w:p>
        </w:tc>
        <w:tc>
          <w:tcPr>
            <w:tcW w:w="2241" w:type="dxa"/>
            <w:noWrap w:val="0"/>
            <w:vAlign w:val="top"/>
          </w:tcPr>
          <w:p w14:paraId="2E7C5740">
            <w:pPr>
              <w:pStyle w:val="7"/>
              <w:ind w:firstLine="0"/>
              <w:jc w:val="left"/>
              <w:rPr>
                <w:rFonts w:hint="eastAsia" w:ascii="宋体" w:hAnsi="宋体"/>
                <w:b/>
                <w:color w:val="auto"/>
                <w:sz w:val="28"/>
                <w:szCs w:val="28"/>
                <w:highlight w:val="none"/>
              </w:rPr>
            </w:pPr>
          </w:p>
        </w:tc>
        <w:tc>
          <w:tcPr>
            <w:tcW w:w="1445" w:type="dxa"/>
            <w:noWrap w:val="0"/>
            <w:vAlign w:val="top"/>
          </w:tcPr>
          <w:p w14:paraId="652C7E89">
            <w:pPr>
              <w:pStyle w:val="7"/>
              <w:ind w:firstLine="0"/>
              <w:jc w:val="left"/>
              <w:rPr>
                <w:rFonts w:hint="eastAsia" w:ascii="宋体" w:hAnsi="宋体"/>
                <w:b/>
                <w:color w:val="auto"/>
                <w:sz w:val="28"/>
                <w:szCs w:val="28"/>
                <w:highlight w:val="none"/>
              </w:rPr>
            </w:pPr>
          </w:p>
        </w:tc>
        <w:tc>
          <w:tcPr>
            <w:tcW w:w="992" w:type="dxa"/>
            <w:noWrap w:val="0"/>
            <w:vAlign w:val="top"/>
          </w:tcPr>
          <w:p w14:paraId="252862E3">
            <w:pPr>
              <w:pStyle w:val="7"/>
              <w:ind w:firstLine="0"/>
              <w:jc w:val="left"/>
              <w:rPr>
                <w:rFonts w:hint="eastAsia" w:ascii="宋体" w:hAnsi="宋体"/>
                <w:b/>
                <w:color w:val="auto"/>
                <w:sz w:val="28"/>
                <w:szCs w:val="28"/>
                <w:highlight w:val="none"/>
              </w:rPr>
            </w:pPr>
          </w:p>
        </w:tc>
        <w:tc>
          <w:tcPr>
            <w:tcW w:w="2410" w:type="dxa"/>
            <w:noWrap w:val="0"/>
            <w:vAlign w:val="top"/>
          </w:tcPr>
          <w:p w14:paraId="1CBCA07D">
            <w:pPr>
              <w:pStyle w:val="7"/>
              <w:ind w:firstLine="0"/>
              <w:jc w:val="left"/>
              <w:rPr>
                <w:rFonts w:hint="eastAsia" w:ascii="宋体" w:hAnsi="宋体"/>
                <w:b/>
                <w:color w:val="auto"/>
                <w:sz w:val="28"/>
                <w:szCs w:val="28"/>
                <w:highlight w:val="none"/>
              </w:rPr>
            </w:pPr>
          </w:p>
        </w:tc>
        <w:tc>
          <w:tcPr>
            <w:tcW w:w="1270" w:type="dxa"/>
            <w:noWrap w:val="0"/>
            <w:vAlign w:val="top"/>
          </w:tcPr>
          <w:p w14:paraId="43AE1141">
            <w:pPr>
              <w:pStyle w:val="7"/>
              <w:ind w:firstLine="0"/>
              <w:jc w:val="left"/>
              <w:rPr>
                <w:rFonts w:hint="eastAsia" w:ascii="宋体" w:hAnsi="宋体"/>
                <w:b/>
                <w:color w:val="auto"/>
                <w:sz w:val="28"/>
                <w:szCs w:val="28"/>
                <w:highlight w:val="none"/>
              </w:rPr>
            </w:pPr>
          </w:p>
        </w:tc>
      </w:tr>
      <w:tr w14:paraId="521547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817" w:type="dxa"/>
            <w:noWrap w:val="0"/>
            <w:vAlign w:val="top"/>
          </w:tcPr>
          <w:p w14:paraId="078A05A7">
            <w:pPr>
              <w:pStyle w:val="7"/>
              <w:ind w:firstLine="0"/>
              <w:jc w:val="left"/>
              <w:rPr>
                <w:rFonts w:hint="eastAsia" w:ascii="宋体" w:hAnsi="宋体"/>
                <w:b/>
                <w:color w:val="auto"/>
                <w:sz w:val="28"/>
                <w:szCs w:val="28"/>
                <w:highlight w:val="none"/>
              </w:rPr>
            </w:pPr>
          </w:p>
        </w:tc>
        <w:tc>
          <w:tcPr>
            <w:tcW w:w="2241" w:type="dxa"/>
            <w:noWrap w:val="0"/>
            <w:vAlign w:val="top"/>
          </w:tcPr>
          <w:p w14:paraId="01A71C64">
            <w:pPr>
              <w:pStyle w:val="7"/>
              <w:ind w:firstLine="0"/>
              <w:jc w:val="left"/>
              <w:rPr>
                <w:rFonts w:hint="eastAsia" w:ascii="宋体" w:hAnsi="宋体"/>
                <w:b/>
                <w:color w:val="auto"/>
                <w:sz w:val="28"/>
                <w:szCs w:val="28"/>
                <w:highlight w:val="none"/>
              </w:rPr>
            </w:pPr>
          </w:p>
        </w:tc>
        <w:tc>
          <w:tcPr>
            <w:tcW w:w="1445" w:type="dxa"/>
            <w:noWrap w:val="0"/>
            <w:vAlign w:val="top"/>
          </w:tcPr>
          <w:p w14:paraId="014C7D38">
            <w:pPr>
              <w:pStyle w:val="7"/>
              <w:ind w:firstLine="0"/>
              <w:jc w:val="left"/>
              <w:rPr>
                <w:rFonts w:hint="eastAsia" w:ascii="宋体" w:hAnsi="宋体"/>
                <w:b/>
                <w:color w:val="auto"/>
                <w:sz w:val="28"/>
                <w:szCs w:val="28"/>
                <w:highlight w:val="none"/>
              </w:rPr>
            </w:pPr>
          </w:p>
        </w:tc>
        <w:tc>
          <w:tcPr>
            <w:tcW w:w="992" w:type="dxa"/>
            <w:noWrap w:val="0"/>
            <w:vAlign w:val="top"/>
          </w:tcPr>
          <w:p w14:paraId="39658B80">
            <w:pPr>
              <w:pStyle w:val="7"/>
              <w:ind w:firstLine="0"/>
              <w:jc w:val="left"/>
              <w:rPr>
                <w:rFonts w:hint="eastAsia" w:ascii="宋体" w:hAnsi="宋体"/>
                <w:b/>
                <w:color w:val="auto"/>
                <w:sz w:val="28"/>
                <w:szCs w:val="28"/>
                <w:highlight w:val="none"/>
              </w:rPr>
            </w:pPr>
          </w:p>
        </w:tc>
        <w:tc>
          <w:tcPr>
            <w:tcW w:w="2410" w:type="dxa"/>
            <w:noWrap w:val="0"/>
            <w:vAlign w:val="top"/>
          </w:tcPr>
          <w:p w14:paraId="21355FC5">
            <w:pPr>
              <w:pStyle w:val="7"/>
              <w:ind w:firstLine="0"/>
              <w:jc w:val="left"/>
              <w:rPr>
                <w:rFonts w:hint="eastAsia" w:ascii="宋体" w:hAnsi="宋体"/>
                <w:b/>
                <w:color w:val="auto"/>
                <w:sz w:val="28"/>
                <w:szCs w:val="28"/>
                <w:highlight w:val="none"/>
              </w:rPr>
            </w:pPr>
          </w:p>
        </w:tc>
        <w:tc>
          <w:tcPr>
            <w:tcW w:w="1270" w:type="dxa"/>
            <w:noWrap w:val="0"/>
            <w:vAlign w:val="top"/>
          </w:tcPr>
          <w:p w14:paraId="27B9B590">
            <w:pPr>
              <w:pStyle w:val="7"/>
              <w:ind w:firstLine="0"/>
              <w:jc w:val="left"/>
              <w:rPr>
                <w:rFonts w:hint="eastAsia" w:ascii="宋体" w:hAnsi="宋体"/>
                <w:b/>
                <w:color w:val="auto"/>
                <w:sz w:val="28"/>
                <w:szCs w:val="28"/>
                <w:highlight w:val="none"/>
              </w:rPr>
            </w:pPr>
          </w:p>
        </w:tc>
      </w:tr>
      <w:tr w14:paraId="095832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6C1A2061">
            <w:pPr>
              <w:pStyle w:val="7"/>
              <w:ind w:firstLine="0"/>
              <w:jc w:val="left"/>
              <w:rPr>
                <w:rFonts w:hint="eastAsia" w:ascii="宋体" w:hAnsi="宋体"/>
                <w:b/>
                <w:color w:val="auto"/>
                <w:sz w:val="28"/>
                <w:szCs w:val="28"/>
                <w:highlight w:val="none"/>
              </w:rPr>
            </w:pPr>
          </w:p>
        </w:tc>
        <w:tc>
          <w:tcPr>
            <w:tcW w:w="2241" w:type="dxa"/>
            <w:noWrap w:val="0"/>
            <w:vAlign w:val="top"/>
          </w:tcPr>
          <w:p w14:paraId="1F5CD207">
            <w:pPr>
              <w:pStyle w:val="7"/>
              <w:ind w:firstLine="0"/>
              <w:jc w:val="left"/>
              <w:rPr>
                <w:rFonts w:hint="eastAsia" w:ascii="宋体" w:hAnsi="宋体"/>
                <w:b/>
                <w:color w:val="auto"/>
                <w:sz w:val="28"/>
                <w:szCs w:val="28"/>
                <w:highlight w:val="none"/>
              </w:rPr>
            </w:pPr>
          </w:p>
        </w:tc>
        <w:tc>
          <w:tcPr>
            <w:tcW w:w="1445" w:type="dxa"/>
            <w:noWrap w:val="0"/>
            <w:vAlign w:val="top"/>
          </w:tcPr>
          <w:p w14:paraId="402C3E20">
            <w:pPr>
              <w:pStyle w:val="7"/>
              <w:ind w:firstLine="0"/>
              <w:jc w:val="left"/>
              <w:rPr>
                <w:rFonts w:hint="eastAsia" w:ascii="宋体" w:hAnsi="宋体"/>
                <w:b/>
                <w:color w:val="auto"/>
                <w:sz w:val="28"/>
                <w:szCs w:val="28"/>
                <w:highlight w:val="none"/>
              </w:rPr>
            </w:pPr>
          </w:p>
        </w:tc>
        <w:tc>
          <w:tcPr>
            <w:tcW w:w="992" w:type="dxa"/>
            <w:noWrap w:val="0"/>
            <w:vAlign w:val="top"/>
          </w:tcPr>
          <w:p w14:paraId="1C79B0CF">
            <w:pPr>
              <w:pStyle w:val="7"/>
              <w:ind w:firstLine="0"/>
              <w:jc w:val="left"/>
              <w:rPr>
                <w:rFonts w:hint="eastAsia" w:ascii="宋体" w:hAnsi="宋体"/>
                <w:b/>
                <w:color w:val="auto"/>
                <w:sz w:val="28"/>
                <w:szCs w:val="28"/>
                <w:highlight w:val="none"/>
              </w:rPr>
            </w:pPr>
          </w:p>
        </w:tc>
        <w:tc>
          <w:tcPr>
            <w:tcW w:w="2410" w:type="dxa"/>
            <w:noWrap w:val="0"/>
            <w:vAlign w:val="top"/>
          </w:tcPr>
          <w:p w14:paraId="7552F346">
            <w:pPr>
              <w:pStyle w:val="7"/>
              <w:ind w:firstLine="0"/>
              <w:jc w:val="left"/>
              <w:rPr>
                <w:rFonts w:hint="eastAsia" w:ascii="宋体" w:hAnsi="宋体"/>
                <w:b/>
                <w:color w:val="auto"/>
                <w:sz w:val="28"/>
                <w:szCs w:val="28"/>
                <w:highlight w:val="none"/>
              </w:rPr>
            </w:pPr>
          </w:p>
        </w:tc>
        <w:tc>
          <w:tcPr>
            <w:tcW w:w="1270" w:type="dxa"/>
            <w:noWrap w:val="0"/>
            <w:vAlign w:val="top"/>
          </w:tcPr>
          <w:p w14:paraId="46185FD6">
            <w:pPr>
              <w:pStyle w:val="7"/>
              <w:ind w:firstLine="0"/>
              <w:jc w:val="left"/>
              <w:rPr>
                <w:rFonts w:hint="eastAsia" w:ascii="宋体" w:hAnsi="宋体"/>
                <w:b/>
                <w:color w:val="auto"/>
                <w:sz w:val="28"/>
                <w:szCs w:val="28"/>
                <w:highlight w:val="none"/>
              </w:rPr>
            </w:pPr>
          </w:p>
        </w:tc>
      </w:tr>
      <w:tr w14:paraId="755AE7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7422A93">
            <w:pPr>
              <w:pStyle w:val="7"/>
              <w:ind w:firstLine="0"/>
              <w:jc w:val="left"/>
              <w:rPr>
                <w:rFonts w:hint="eastAsia" w:ascii="宋体" w:hAnsi="宋体"/>
                <w:b/>
                <w:color w:val="auto"/>
                <w:sz w:val="28"/>
                <w:szCs w:val="28"/>
                <w:highlight w:val="none"/>
              </w:rPr>
            </w:pPr>
          </w:p>
        </w:tc>
        <w:tc>
          <w:tcPr>
            <w:tcW w:w="2241" w:type="dxa"/>
            <w:noWrap w:val="0"/>
            <w:vAlign w:val="top"/>
          </w:tcPr>
          <w:p w14:paraId="7055696B">
            <w:pPr>
              <w:pStyle w:val="7"/>
              <w:ind w:firstLine="0"/>
              <w:jc w:val="left"/>
              <w:rPr>
                <w:rFonts w:hint="eastAsia" w:ascii="宋体" w:hAnsi="宋体"/>
                <w:b/>
                <w:color w:val="auto"/>
                <w:sz w:val="28"/>
                <w:szCs w:val="28"/>
                <w:highlight w:val="none"/>
              </w:rPr>
            </w:pPr>
          </w:p>
        </w:tc>
        <w:tc>
          <w:tcPr>
            <w:tcW w:w="1445" w:type="dxa"/>
            <w:noWrap w:val="0"/>
            <w:vAlign w:val="top"/>
          </w:tcPr>
          <w:p w14:paraId="6721D6E6">
            <w:pPr>
              <w:pStyle w:val="7"/>
              <w:ind w:firstLine="0"/>
              <w:jc w:val="left"/>
              <w:rPr>
                <w:rFonts w:hint="eastAsia" w:ascii="宋体" w:hAnsi="宋体"/>
                <w:b/>
                <w:color w:val="auto"/>
                <w:sz w:val="28"/>
                <w:szCs w:val="28"/>
                <w:highlight w:val="none"/>
              </w:rPr>
            </w:pPr>
          </w:p>
        </w:tc>
        <w:tc>
          <w:tcPr>
            <w:tcW w:w="992" w:type="dxa"/>
            <w:noWrap w:val="0"/>
            <w:vAlign w:val="top"/>
          </w:tcPr>
          <w:p w14:paraId="1E505269">
            <w:pPr>
              <w:pStyle w:val="7"/>
              <w:ind w:firstLine="0"/>
              <w:jc w:val="left"/>
              <w:rPr>
                <w:rFonts w:hint="eastAsia" w:ascii="宋体" w:hAnsi="宋体"/>
                <w:b/>
                <w:color w:val="auto"/>
                <w:sz w:val="28"/>
                <w:szCs w:val="28"/>
                <w:highlight w:val="none"/>
              </w:rPr>
            </w:pPr>
          </w:p>
        </w:tc>
        <w:tc>
          <w:tcPr>
            <w:tcW w:w="2410" w:type="dxa"/>
            <w:noWrap w:val="0"/>
            <w:vAlign w:val="top"/>
          </w:tcPr>
          <w:p w14:paraId="23DF817E">
            <w:pPr>
              <w:pStyle w:val="7"/>
              <w:ind w:firstLine="0"/>
              <w:jc w:val="left"/>
              <w:rPr>
                <w:rFonts w:hint="eastAsia" w:ascii="宋体" w:hAnsi="宋体"/>
                <w:b/>
                <w:color w:val="auto"/>
                <w:sz w:val="28"/>
                <w:szCs w:val="28"/>
                <w:highlight w:val="none"/>
              </w:rPr>
            </w:pPr>
          </w:p>
        </w:tc>
        <w:tc>
          <w:tcPr>
            <w:tcW w:w="1270" w:type="dxa"/>
            <w:noWrap w:val="0"/>
            <w:vAlign w:val="top"/>
          </w:tcPr>
          <w:p w14:paraId="10A6F57A">
            <w:pPr>
              <w:pStyle w:val="7"/>
              <w:ind w:firstLine="0"/>
              <w:jc w:val="left"/>
              <w:rPr>
                <w:rFonts w:hint="eastAsia" w:ascii="宋体" w:hAnsi="宋体"/>
                <w:b/>
                <w:color w:val="auto"/>
                <w:sz w:val="28"/>
                <w:szCs w:val="28"/>
                <w:highlight w:val="none"/>
              </w:rPr>
            </w:pPr>
          </w:p>
        </w:tc>
      </w:tr>
      <w:tr w14:paraId="1F74D9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DCC6E32">
            <w:pPr>
              <w:pStyle w:val="7"/>
              <w:ind w:firstLine="0"/>
              <w:jc w:val="left"/>
              <w:rPr>
                <w:rFonts w:hint="eastAsia" w:ascii="宋体" w:hAnsi="宋体"/>
                <w:b/>
                <w:color w:val="auto"/>
                <w:sz w:val="28"/>
                <w:szCs w:val="28"/>
                <w:highlight w:val="none"/>
              </w:rPr>
            </w:pPr>
          </w:p>
        </w:tc>
        <w:tc>
          <w:tcPr>
            <w:tcW w:w="2241" w:type="dxa"/>
            <w:noWrap w:val="0"/>
            <w:vAlign w:val="top"/>
          </w:tcPr>
          <w:p w14:paraId="05349785">
            <w:pPr>
              <w:pStyle w:val="7"/>
              <w:ind w:firstLine="0"/>
              <w:jc w:val="left"/>
              <w:rPr>
                <w:rFonts w:hint="eastAsia" w:ascii="宋体" w:hAnsi="宋体"/>
                <w:b/>
                <w:color w:val="auto"/>
                <w:sz w:val="28"/>
                <w:szCs w:val="28"/>
                <w:highlight w:val="none"/>
              </w:rPr>
            </w:pPr>
          </w:p>
        </w:tc>
        <w:tc>
          <w:tcPr>
            <w:tcW w:w="1445" w:type="dxa"/>
            <w:noWrap w:val="0"/>
            <w:vAlign w:val="top"/>
          </w:tcPr>
          <w:p w14:paraId="452F691F">
            <w:pPr>
              <w:pStyle w:val="7"/>
              <w:ind w:firstLine="0"/>
              <w:jc w:val="left"/>
              <w:rPr>
                <w:rFonts w:hint="eastAsia" w:ascii="宋体" w:hAnsi="宋体"/>
                <w:b/>
                <w:color w:val="auto"/>
                <w:sz w:val="28"/>
                <w:szCs w:val="28"/>
                <w:highlight w:val="none"/>
              </w:rPr>
            </w:pPr>
          </w:p>
        </w:tc>
        <w:tc>
          <w:tcPr>
            <w:tcW w:w="992" w:type="dxa"/>
            <w:noWrap w:val="0"/>
            <w:vAlign w:val="top"/>
          </w:tcPr>
          <w:p w14:paraId="5355FD7F">
            <w:pPr>
              <w:pStyle w:val="7"/>
              <w:ind w:firstLine="0"/>
              <w:jc w:val="left"/>
              <w:rPr>
                <w:rFonts w:hint="eastAsia" w:ascii="宋体" w:hAnsi="宋体"/>
                <w:b/>
                <w:color w:val="auto"/>
                <w:sz w:val="28"/>
                <w:szCs w:val="28"/>
                <w:highlight w:val="none"/>
              </w:rPr>
            </w:pPr>
          </w:p>
        </w:tc>
        <w:tc>
          <w:tcPr>
            <w:tcW w:w="2410" w:type="dxa"/>
            <w:noWrap w:val="0"/>
            <w:vAlign w:val="top"/>
          </w:tcPr>
          <w:p w14:paraId="1A7A9CA1">
            <w:pPr>
              <w:pStyle w:val="7"/>
              <w:ind w:firstLine="0"/>
              <w:jc w:val="left"/>
              <w:rPr>
                <w:rFonts w:hint="eastAsia" w:ascii="宋体" w:hAnsi="宋体"/>
                <w:b/>
                <w:color w:val="auto"/>
                <w:sz w:val="28"/>
                <w:szCs w:val="28"/>
                <w:highlight w:val="none"/>
              </w:rPr>
            </w:pPr>
          </w:p>
        </w:tc>
        <w:tc>
          <w:tcPr>
            <w:tcW w:w="1270" w:type="dxa"/>
            <w:noWrap w:val="0"/>
            <w:vAlign w:val="top"/>
          </w:tcPr>
          <w:p w14:paraId="50655B2D">
            <w:pPr>
              <w:pStyle w:val="7"/>
              <w:ind w:firstLine="0"/>
              <w:jc w:val="left"/>
              <w:rPr>
                <w:rFonts w:hint="eastAsia" w:ascii="宋体" w:hAnsi="宋体"/>
                <w:b/>
                <w:color w:val="auto"/>
                <w:sz w:val="28"/>
                <w:szCs w:val="28"/>
                <w:highlight w:val="none"/>
              </w:rPr>
            </w:pPr>
          </w:p>
        </w:tc>
      </w:tr>
      <w:tr w14:paraId="1FB9EC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6607902C">
            <w:pPr>
              <w:pStyle w:val="7"/>
              <w:ind w:firstLine="0"/>
              <w:jc w:val="left"/>
              <w:rPr>
                <w:rFonts w:hint="eastAsia" w:ascii="宋体" w:hAnsi="宋体"/>
                <w:b/>
                <w:color w:val="auto"/>
                <w:sz w:val="28"/>
                <w:szCs w:val="28"/>
                <w:highlight w:val="none"/>
              </w:rPr>
            </w:pPr>
          </w:p>
        </w:tc>
        <w:tc>
          <w:tcPr>
            <w:tcW w:w="2241" w:type="dxa"/>
            <w:noWrap w:val="0"/>
            <w:vAlign w:val="top"/>
          </w:tcPr>
          <w:p w14:paraId="0C7ABE48">
            <w:pPr>
              <w:pStyle w:val="7"/>
              <w:ind w:firstLine="0"/>
              <w:jc w:val="left"/>
              <w:rPr>
                <w:rFonts w:hint="eastAsia" w:ascii="宋体" w:hAnsi="宋体"/>
                <w:b/>
                <w:color w:val="auto"/>
                <w:sz w:val="28"/>
                <w:szCs w:val="28"/>
                <w:highlight w:val="none"/>
              </w:rPr>
            </w:pPr>
          </w:p>
        </w:tc>
        <w:tc>
          <w:tcPr>
            <w:tcW w:w="1445" w:type="dxa"/>
            <w:noWrap w:val="0"/>
            <w:vAlign w:val="top"/>
          </w:tcPr>
          <w:p w14:paraId="5B6901A6">
            <w:pPr>
              <w:pStyle w:val="7"/>
              <w:ind w:firstLine="0"/>
              <w:jc w:val="left"/>
              <w:rPr>
                <w:rFonts w:hint="eastAsia" w:ascii="宋体" w:hAnsi="宋体"/>
                <w:b/>
                <w:color w:val="auto"/>
                <w:sz w:val="28"/>
                <w:szCs w:val="28"/>
                <w:highlight w:val="none"/>
              </w:rPr>
            </w:pPr>
          </w:p>
        </w:tc>
        <w:tc>
          <w:tcPr>
            <w:tcW w:w="992" w:type="dxa"/>
            <w:noWrap w:val="0"/>
            <w:vAlign w:val="top"/>
          </w:tcPr>
          <w:p w14:paraId="47B33FA4">
            <w:pPr>
              <w:pStyle w:val="7"/>
              <w:ind w:firstLine="0"/>
              <w:jc w:val="left"/>
              <w:rPr>
                <w:rFonts w:hint="eastAsia" w:ascii="宋体" w:hAnsi="宋体"/>
                <w:b/>
                <w:color w:val="auto"/>
                <w:sz w:val="28"/>
                <w:szCs w:val="28"/>
                <w:highlight w:val="none"/>
              </w:rPr>
            </w:pPr>
          </w:p>
        </w:tc>
        <w:tc>
          <w:tcPr>
            <w:tcW w:w="2410" w:type="dxa"/>
            <w:noWrap w:val="0"/>
            <w:vAlign w:val="top"/>
          </w:tcPr>
          <w:p w14:paraId="20268344">
            <w:pPr>
              <w:pStyle w:val="7"/>
              <w:ind w:firstLine="0"/>
              <w:jc w:val="left"/>
              <w:rPr>
                <w:rFonts w:hint="eastAsia" w:ascii="宋体" w:hAnsi="宋体"/>
                <w:b/>
                <w:color w:val="auto"/>
                <w:sz w:val="28"/>
                <w:szCs w:val="28"/>
                <w:highlight w:val="none"/>
              </w:rPr>
            </w:pPr>
          </w:p>
        </w:tc>
        <w:tc>
          <w:tcPr>
            <w:tcW w:w="1270" w:type="dxa"/>
            <w:noWrap w:val="0"/>
            <w:vAlign w:val="top"/>
          </w:tcPr>
          <w:p w14:paraId="23E7B3A6">
            <w:pPr>
              <w:pStyle w:val="7"/>
              <w:ind w:firstLine="0"/>
              <w:jc w:val="left"/>
              <w:rPr>
                <w:rFonts w:hint="eastAsia" w:ascii="宋体" w:hAnsi="宋体"/>
                <w:b/>
                <w:color w:val="auto"/>
                <w:sz w:val="28"/>
                <w:szCs w:val="28"/>
                <w:highlight w:val="none"/>
              </w:rPr>
            </w:pPr>
          </w:p>
        </w:tc>
      </w:tr>
      <w:tr w14:paraId="7696CD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45215934">
            <w:pPr>
              <w:pStyle w:val="7"/>
              <w:ind w:firstLine="0"/>
              <w:jc w:val="left"/>
              <w:rPr>
                <w:rFonts w:hint="eastAsia" w:ascii="宋体" w:hAnsi="宋体"/>
                <w:b/>
                <w:color w:val="auto"/>
                <w:sz w:val="28"/>
                <w:szCs w:val="28"/>
                <w:highlight w:val="none"/>
              </w:rPr>
            </w:pPr>
          </w:p>
        </w:tc>
        <w:tc>
          <w:tcPr>
            <w:tcW w:w="2241" w:type="dxa"/>
            <w:noWrap w:val="0"/>
            <w:vAlign w:val="top"/>
          </w:tcPr>
          <w:p w14:paraId="30377C59">
            <w:pPr>
              <w:pStyle w:val="7"/>
              <w:ind w:firstLine="0"/>
              <w:jc w:val="left"/>
              <w:rPr>
                <w:rFonts w:hint="eastAsia" w:ascii="宋体" w:hAnsi="宋体"/>
                <w:b/>
                <w:color w:val="auto"/>
                <w:sz w:val="28"/>
                <w:szCs w:val="28"/>
                <w:highlight w:val="none"/>
              </w:rPr>
            </w:pPr>
          </w:p>
        </w:tc>
        <w:tc>
          <w:tcPr>
            <w:tcW w:w="1445" w:type="dxa"/>
            <w:noWrap w:val="0"/>
            <w:vAlign w:val="top"/>
          </w:tcPr>
          <w:p w14:paraId="71E1C6E1">
            <w:pPr>
              <w:pStyle w:val="7"/>
              <w:ind w:firstLine="0"/>
              <w:jc w:val="left"/>
              <w:rPr>
                <w:rFonts w:hint="eastAsia" w:ascii="宋体" w:hAnsi="宋体"/>
                <w:b/>
                <w:color w:val="auto"/>
                <w:sz w:val="28"/>
                <w:szCs w:val="28"/>
                <w:highlight w:val="none"/>
              </w:rPr>
            </w:pPr>
          </w:p>
        </w:tc>
        <w:tc>
          <w:tcPr>
            <w:tcW w:w="992" w:type="dxa"/>
            <w:noWrap w:val="0"/>
            <w:vAlign w:val="top"/>
          </w:tcPr>
          <w:p w14:paraId="53A4A8B3">
            <w:pPr>
              <w:pStyle w:val="7"/>
              <w:ind w:firstLine="0"/>
              <w:jc w:val="left"/>
              <w:rPr>
                <w:rFonts w:hint="eastAsia" w:ascii="宋体" w:hAnsi="宋体"/>
                <w:b/>
                <w:color w:val="auto"/>
                <w:sz w:val="28"/>
                <w:szCs w:val="28"/>
                <w:highlight w:val="none"/>
              </w:rPr>
            </w:pPr>
          </w:p>
        </w:tc>
        <w:tc>
          <w:tcPr>
            <w:tcW w:w="2410" w:type="dxa"/>
            <w:noWrap w:val="0"/>
            <w:vAlign w:val="top"/>
          </w:tcPr>
          <w:p w14:paraId="4A6711EA">
            <w:pPr>
              <w:pStyle w:val="7"/>
              <w:ind w:firstLine="0"/>
              <w:jc w:val="left"/>
              <w:rPr>
                <w:rFonts w:hint="eastAsia" w:ascii="宋体" w:hAnsi="宋体"/>
                <w:b/>
                <w:color w:val="auto"/>
                <w:sz w:val="28"/>
                <w:szCs w:val="28"/>
                <w:highlight w:val="none"/>
              </w:rPr>
            </w:pPr>
          </w:p>
        </w:tc>
        <w:tc>
          <w:tcPr>
            <w:tcW w:w="1270" w:type="dxa"/>
            <w:noWrap w:val="0"/>
            <w:vAlign w:val="top"/>
          </w:tcPr>
          <w:p w14:paraId="6B85359A">
            <w:pPr>
              <w:pStyle w:val="7"/>
              <w:ind w:firstLine="0"/>
              <w:jc w:val="left"/>
              <w:rPr>
                <w:rFonts w:hint="eastAsia" w:ascii="宋体" w:hAnsi="宋体"/>
                <w:b/>
                <w:color w:val="auto"/>
                <w:sz w:val="28"/>
                <w:szCs w:val="28"/>
                <w:highlight w:val="none"/>
              </w:rPr>
            </w:pPr>
          </w:p>
        </w:tc>
      </w:tr>
      <w:tr w14:paraId="76C071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680FC24">
            <w:pPr>
              <w:pStyle w:val="7"/>
              <w:ind w:firstLine="0"/>
              <w:jc w:val="left"/>
              <w:rPr>
                <w:rFonts w:hint="eastAsia" w:ascii="宋体" w:hAnsi="宋体"/>
                <w:b/>
                <w:color w:val="auto"/>
                <w:sz w:val="28"/>
                <w:szCs w:val="28"/>
                <w:highlight w:val="none"/>
              </w:rPr>
            </w:pPr>
          </w:p>
        </w:tc>
        <w:tc>
          <w:tcPr>
            <w:tcW w:w="2241" w:type="dxa"/>
            <w:noWrap w:val="0"/>
            <w:vAlign w:val="top"/>
          </w:tcPr>
          <w:p w14:paraId="3CDBD363">
            <w:pPr>
              <w:pStyle w:val="7"/>
              <w:ind w:firstLine="0"/>
              <w:jc w:val="left"/>
              <w:rPr>
                <w:rFonts w:hint="eastAsia" w:ascii="宋体" w:hAnsi="宋体"/>
                <w:b/>
                <w:color w:val="auto"/>
                <w:sz w:val="28"/>
                <w:szCs w:val="28"/>
                <w:highlight w:val="none"/>
              </w:rPr>
            </w:pPr>
          </w:p>
        </w:tc>
        <w:tc>
          <w:tcPr>
            <w:tcW w:w="1445" w:type="dxa"/>
            <w:noWrap w:val="0"/>
            <w:vAlign w:val="top"/>
          </w:tcPr>
          <w:p w14:paraId="320E51CF">
            <w:pPr>
              <w:pStyle w:val="7"/>
              <w:ind w:firstLine="0"/>
              <w:jc w:val="left"/>
              <w:rPr>
                <w:rFonts w:hint="eastAsia" w:ascii="宋体" w:hAnsi="宋体"/>
                <w:b/>
                <w:color w:val="auto"/>
                <w:sz w:val="28"/>
                <w:szCs w:val="28"/>
                <w:highlight w:val="none"/>
              </w:rPr>
            </w:pPr>
          </w:p>
        </w:tc>
        <w:tc>
          <w:tcPr>
            <w:tcW w:w="992" w:type="dxa"/>
            <w:noWrap w:val="0"/>
            <w:vAlign w:val="top"/>
          </w:tcPr>
          <w:p w14:paraId="57CB7C5E">
            <w:pPr>
              <w:pStyle w:val="7"/>
              <w:ind w:firstLine="0"/>
              <w:jc w:val="left"/>
              <w:rPr>
                <w:rFonts w:hint="eastAsia" w:ascii="宋体" w:hAnsi="宋体"/>
                <w:b/>
                <w:color w:val="auto"/>
                <w:sz w:val="28"/>
                <w:szCs w:val="28"/>
                <w:highlight w:val="none"/>
              </w:rPr>
            </w:pPr>
          </w:p>
        </w:tc>
        <w:tc>
          <w:tcPr>
            <w:tcW w:w="2410" w:type="dxa"/>
            <w:noWrap w:val="0"/>
            <w:vAlign w:val="top"/>
          </w:tcPr>
          <w:p w14:paraId="48296E55">
            <w:pPr>
              <w:pStyle w:val="7"/>
              <w:ind w:firstLine="0"/>
              <w:jc w:val="left"/>
              <w:rPr>
                <w:rFonts w:hint="eastAsia" w:ascii="宋体" w:hAnsi="宋体"/>
                <w:b/>
                <w:color w:val="auto"/>
                <w:sz w:val="28"/>
                <w:szCs w:val="28"/>
                <w:highlight w:val="none"/>
              </w:rPr>
            </w:pPr>
          </w:p>
        </w:tc>
        <w:tc>
          <w:tcPr>
            <w:tcW w:w="1270" w:type="dxa"/>
            <w:noWrap w:val="0"/>
            <w:vAlign w:val="top"/>
          </w:tcPr>
          <w:p w14:paraId="778F3979">
            <w:pPr>
              <w:pStyle w:val="7"/>
              <w:ind w:firstLine="0"/>
              <w:jc w:val="left"/>
              <w:rPr>
                <w:rFonts w:hint="eastAsia" w:ascii="宋体" w:hAnsi="宋体"/>
                <w:b/>
                <w:color w:val="auto"/>
                <w:sz w:val="28"/>
                <w:szCs w:val="28"/>
                <w:highlight w:val="none"/>
              </w:rPr>
            </w:pPr>
          </w:p>
        </w:tc>
      </w:tr>
      <w:tr w14:paraId="5CE1ED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317773C8">
            <w:pPr>
              <w:pStyle w:val="7"/>
              <w:ind w:firstLine="0"/>
              <w:jc w:val="left"/>
              <w:rPr>
                <w:rFonts w:hint="eastAsia" w:ascii="宋体" w:hAnsi="宋体"/>
                <w:b/>
                <w:color w:val="auto"/>
                <w:sz w:val="28"/>
                <w:szCs w:val="28"/>
                <w:highlight w:val="none"/>
              </w:rPr>
            </w:pPr>
          </w:p>
        </w:tc>
        <w:tc>
          <w:tcPr>
            <w:tcW w:w="2241" w:type="dxa"/>
            <w:noWrap w:val="0"/>
            <w:vAlign w:val="top"/>
          </w:tcPr>
          <w:p w14:paraId="5F18F934">
            <w:pPr>
              <w:pStyle w:val="7"/>
              <w:ind w:firstLine="0"/>
              <w:jc w:val="left"/>
              <w:rPr>
                <w:rFonts w:hint="eastAsia" w:ascii="宋体" w:hAnsi="宋体"/>
                <w:b/>
                <w:color w:val="auto"/>
                <w:sz w:val="28"/>
                <w:szCs w:val="28"/>
                <w:highlight w:val="none"/>
              </w:rPr>
            </w:pPr>
          </w:p>
        </w:tc>
        <w:tc>
          <w:tcPr>
            <w:tcW w:w="1445" w:type="dxa"/>
            <w:noWrap w:val="0"/>
            <w:vAlign w:val="top"/>
          </w:tcPr>
          <w:p w14:paraId="01A4DFA4">
            <w:pPr>
              <w:pStyle w:val="7"/>
              <w:ind w:firstLine="0"/>
              <w:jc w:val="left"/>
              <w:rPr>
                <w:rFonts w:hint="eastAsia" w:ascii="宋体" w:hAnsi="宋体"/>
                <w:b/>
                <w:color w:val="auto"/>
                <w:sz w:val="28"/>
                <w:szCs w:val="28"/>
                <w:highlight w:val="none"/>
              </w:rPr>
            </w:pPr>
          </w:p>
        </w:tc>
        <w:tc>
          <w:tcPr>
            <w:tcW w:w="992" w:type="dxa"/>
            <w:noWrap w:val="0"/>
            <w:vAlign w:val="top"/>
          </w:tcPr>
          <w:p w14:paraId="0315128A">
            <w:pPr>
              <w:pStyle w:val="7"/>
              <w:ind w:firstLine="0"/>
              <w:jc w:val="left"/>
              <w:rPr>
                <w:rFonts w:hint="eastAsia" w:ascii="宋体" w:hAnsi="宋体"/>
                <w:b/>
                <w:color w:val="auto"/>
                <w:sz w:val="28"/>
                <w:szCs w:val="28"/>
                <w:highlight w:val="none"/>
              </w:rPr>
            </w:pPr>
          </w:p>
        </w:tc>
        <w:tc>
          <w:tcPr>
            <w:tcW w:w="2410" w:type="dxa"/>
            <w:noWrap w:val="0"/>
            <w:vAlign w:val="top"/>
          </w:tcPr>
          <w:p w14:paraId="7CD8E0AF">
            <w:pPr>
              <w:pStyle w:val="7"/>
              <w:ind w:firstLine="0"/>
              <w:jc w:val="left"/>
              <w:rPr>
                <w:rFonts w:hint="eastAsia" w:ascii="宋体" w:hAnsi="宋体"/>
                <w:b/>
                <w:color w:val="auto"/>
                <w:sz w:val="28"/>
                <w:szCs w:val="28"/>
                <w:highlight w:val="none"/>
              </w:rPr>
            </w:pPr>
          </w:p>
        </w:tc>
        <w:tc>
          <w:tcPr>
            <w:tcW w:w="1270" w:type="dxa"/>
            <w:noWrap w:val="0"/>
            <w:vAlign w:val="top"/>
          </w:tcPr>
          <w:p w14:paraId="725FCE0E">
            <w:pPr>
              <w:pStyle w:val="7"/>
              <w:ind w:firstLine="0"/>
              <w:jc w:val="left"/>
              <w:rPr>
                <w:rFonts w:hint="eastAsia" w:ascii="宋体" w:hAnsi="宋体"/>
                <w:b/>
                <w:color w:val="auto"/>
                <w:sz w:val="28"/>
                <w:szCs w:val="28"/>
                <w:highlight w:val="none"/>
              </w:rPr>
            </w:pPr>
          </w:p>
        </w:tc>
      </w:tr>
      <w:tr w14:paraId="0D8406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1CA735FA">
            <w:pPr>
              <w:pStyle w:val="7"/>
              <w:ind w:firstLine="0"/>
              <w:jc w:val="left"/>
              <w:rPr>
                <w:rFonts w:hint="eastAsia" w:ascii="宋体" w:hAnsi="宋体"/>
                <w:b/>
                <w:color w:val="auto"/>
                <w:sz w:val="28"/>
                <w:szCs w:val="28"/>
                <w:highlight w:val="none"/>
              </w:rPr>
            </w:pPr>
          </w:p>
        </w:tc>
        <w:tc>
          <w:tcPr>
            <w:tcW w:w="2241" w:type="dxa"/>
            <w:noWrap w:val="0"/>
            <w:vAlign w:val="top"/>
          </w:tcPr>
          <w:p w14:paraId="6B7A7295">
            <w:pPr>
              <w:pStyle w:val="7"/>
              <w:ind w:firstLine="0"/>
              <w:jc w:val="left"/>
              <w:rPr>
                <w:rFonts w:hint="eastAsia" w:ascii="宋体" w:hAnsi="宋体"/>
                <w:b/>
                <w:color w:val="auto"/>
                <w:sz w:val="28"/>
                <w:szCs w:val="28"/>
                <w:highlight w:val="none"/>
              </w:rPr>
            </w:pPr>
          </w:p>
        </w:tc>
        <w:tc>
          <w:tcPr>
            <w:tcW w:w="1445" w:type="dxa"/>
            <w:noWrap w:val="0"/>
            <w:vAlign w:val="top"/>
          </w:tcPr>
          <w:p w14:paraId="232892E6">
            <w:pPr>
              <w:pStyle w:val="7"/>
              <w:ind w:firstLine="0"/>
              <w:jc w:val="left"/>
              <w:rPr>
                <w:rFonts w:hint="eastAsia" w:ascii="宋体" w:hAnsi="宋体"/>
                <w:b/>
                <w:color w:val="auto"/>
                <w:sz w:val="28"/>
                <w:szCs w:val="28"/>
                <w:highlight w:val="none"/>
              </w:rPr>
            </w:pPr>
          </w:p>
        </w:tc>
        <w:tc>
          <w:tcPr>
            <w:tcW w:w="992" w:type="dxa"/>
            <w:noWrap w:val="0"/>
            <w:vAlign w:val="top"/>
          </w:tcPr>
          <w:p w14:paraId="1DE53EA9">
            <w:pPr>
              <w:pStyle w:val="7"/>
              <w:ind w:firstLine="0"/>
              <w:jc w:val="left"/>
              <w:rPr>
                <w:rFonts w:hint="eastAsia" w:ascii="宋体" w:hAnsi="宋体"/>
                <w:b/>
                <w:color w:val="auto"/>
                <w:sz w:val="28"/>
                <w:szCs w:val="28"/>
                <w:highlight w:val="none"/>
              </w:rPr>
            </w:pPr>
          </w:p>
        </w:tc>
        <w:tc>
          <w:tcPr>
            <w:tcW w:w="2410" w:type="dxa"/>
            <w:noWrap w:val="0"/>
            <w:vAlign w:val="top"/>
          </w:tcPr>
          <w:p w14:paraId="56A0B597">
            <w:pPr>
              <w:pStyle w:val="7"/>
              <w:ind w:firstLine="0"/>
              <w:jc w:val="left"/>
              <w:rPr>
                <w:rFonts w:hint="eastAsia" w:ascii="宋体" w:hAnsi="宋体"/>
                <w:b/>
                <w:color w:val="auto"/>
                <w:sz w:val="28"/>
                <w:szCs w:val="28"/>
                <w:highlight w:val="none"/>
              </w:rPr>
            </w:pPr>
          </w:p>
        </w:tc>
        <w:tc>
          <w:tcPr>
            <w:tcW w:w="1270" w:type="dxa"/>
            <w:noWrap w:val="0"/>
            <w:vAlign w:val="top"/>
          </w:tcPr>
          <w:p w14:paraId="098B8B69">
            <w:pPr>
              <w:pStyle w:val="7"/>
              <w:ind w:firstLine="0"/>
              <w:jc w:val="left"/>
              <w:rPr>
                <w:rFonts w:hint="eastAsia" w:ascii="宋体" w:hAnsi="宋体"/>
                <w:b/>
                <w:color w:val="auto"/>
                <w:sz w:val="28"/>
                <w:szCs w:val="28"/>
                <w:highlight w:val="none"/>
              </w:rPr>
            </w:pPr>
          </w:p>
        </w:tc>
      </w:tr>
      <w:tr w14:paraId="381DB5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5657BB8">
            <w:pPr>
              <w:pStyle w:val="7"/>
              <w:ind w:firstLine="0"/>
              <w:jc w:val="left"/>
              <w:rPr>
                <w:rFonts w:hint="eastAsia" w:ascii="宋体" w:hAnsi="宋体"/>
                <w:b/>
                <w:color w:val="auto"/>
                <w:sz w:val="28"/>
                <w:szCs w:val="28"/>
                <w:highlight w:val="none"/>
              </w:rPr>
            </w:pPr>
          </w:p>
        </w:tc>
        <w:tc>
          <w:tcPr>
            <w:tcW w:w="2241" w:type="dxa"/>
            <w:noWrap w:val="0"/>
            <w:vAlign w:val="top"/>
          </w:tcPr>
          <w:p w14:paraId="5B5ED697">
            <w:pPr>
              <w:pStyle w:val="7"/>
              <w:ind w:firstLine="0"/>
              <w:jc w:val="left"/>
              <w:rPr>
                <w:rFonts w:hint="eastAsia" w:ascii="宋体" w:hAnsi="宋体"/>
                <w:b/>
                <w:color w:val="auto"/>
                <w:sz w:val="28"/>
                <w:szCs w:val="28"/>
                <w:highlight w:val="none"/>
              </w:rPr>
            </w:pPr>
          </w:p>
        </w:tc>
        <w:tc>
          <w:tcPr>
            <w:tcW w:w="1445" w:type="dxa"/>
            <w:noWrap w:val="0"/>
            <w:vAlign w:val="top"/>
          </w:tcPr>
          <w:p w14:paraId="5C09F5F8">
            <w:pPr>
              <w:pStyle w:val="7"/>
              <w:ind w:firstLine="0"/>
              <w:jc w:val="left"/>
              <w:rPr>
                <w:rFonts w:hint="eastAsia" w:ascii="宋体" w:hAnsi="宋体"/>
                <w:b/>
                <w:color w:val="auto"/>
                <w:sz w:val="28"/>
                <w:szCs w:val="28"/>
                <w:highlight w:val="none"/>
              </w:rPr>
            </w:pPr>
          </w:p>
        </w:tc>
        <w:tc>
          <w:tcPr>
            <w:tcW w:w="992" w:type="dxa"/>
            <w:noWrap w:val="0"/>
            <w:vAlign w:val="top"/>
          </w:tcPr>
          <w:p w14:paraId="7512C315">
            <w:pPr>
              <w:pStyle w:val="7"/>
              <w:ind w:firstLine="0"/>
              <w:jc w:val="left"/>
              <w:rPr>
                <w:rFonts w:hint="eastAsia" w:ascii="宋体" w:hAnsi="宋体"/>
                <w:b/>
                <w:color w:val="auto"/>
                <w:sz w:val="28"/>
                <w:szCs w:val="28"/>
                <w:highlight w:val="none"/>
              </w:rPr>
            </w:pPr>
          </w:p>
        </w:tc>
        <w:tc>
          <w:tcPr>
            <w:tcW w:w="2410" w:type="dxa"/>
            <w:noWrap w:val="0"/>
            <w:vAlign w:val="top"/>
          </w:tcPr>
          <w:p w14:paraId="0F00C360">
            <w:pPr>
              <w:pStyle w:val="7"/>
              <w:ind w:firstLine="0"/>
              <w:jc w:val="left"/>
              <w:rPr>
                <w:rFonts w:hint="eastAsia" w:ascii="宋体" w:hAnsi="宋体"/>
                <w:b/>
                <w:color w:val="auto"/>
                <w:sz w:val="28"/>
                <w:szCs w:val="28"/>
                <w:highlight w:val="none"/>
              </w:rPr>
            </w:pPr>
          </w:p>
        </w:tc>
        <w:tc>
          <w:tcPr>
            <w:tcW w:w="1270" w:type="dxa"/>
            <w:noWrap w:val="0"/>
            <w:vAlign w:val="top"/>
          </w:tcPr>
          <w:p w14:paraId="112EAC01">
            <w:pPr>
              <w:pStyle w:val="7"/>
              <w:ind w:firstLine="0"/>
              <w:jc w:val="left"/>
              <w:rPr>
                <w:rFonts w:hint="eastAsia" w:ascii="宋体" w:hAnsi="宋体"/>
                <w:b/>
                <w:color w:val="auto"/>
                <w:sz w:val="28"/>
                <w:szCs w:val="28"/>
                <w:highlight w:val="none"/>
              </w:rPr>
            </w:pPr>
          </w:p>
        </w:tc>
      </w:tr>
      <w:tr w14:paraId="78C6DF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2E6AB0E">
            <w:pPr>
              <w:pStyle w:val="7"/>
              <w:ind w:firstLine="0"/>
              <w:jc w:val="left"/>
              <w:rPr>
                <w:rFonts w:hint="eastAsia" w:ascii="宋体" w:hAnsi="宋体"/>
                <w:b/>
                <w:color w:val="auto"/>
                <w:sz w:val="28"/>
                <w:szCs w:val="28"/>
                <w:highlight w:val="none"/>
              </w:rPr>
            </w:pPr>
          </w:p>
        </w:tc>
        <w:tc>
          <w:tcPr>
            <w:tcW w:w="2241" w:type="dxa"/>
            <w:noWrap w:val="0"/>
            <w:vAlign w:val="top"/>
          </w:tcPr>
          <w:p w14:paraId="03996C4F">
            <w:pPr>
              <w:pStyle w:val="7"/>
              <w:ind w:firstLine="0"/>
              <w:jc w:val="left"/>
              <w:rPr>
                <w:rFonts w:hint="eastAsia" w:ascii="宋体" w:hAnsi="宋体"/>
                <w:b/>
                <w:color w:val="auto"/>
                <w:sz w:val="28"/>
                <w:szCs w:val="28"/>
                <w:highlight w:val="none"/>
              </w:rPr>
            </w:pPr>
          </w:p>
        </w:tc>
        <w:tc>
          <w:tcPr>
            <w:tcW w:w="1445" w:type="dxa"/>
            <w:noWrap w:val="0"/>
            <w:vAlign w:val="top"/>
          </w:tcPr>
          <w:p w14:paraId="02F16581">
            <w:pPr>
              <w:pStyle w:val="7"/>
              <w:ind w:firstLine="0"/>
              <w:jc w:val="left"/>
              <w:rPr>
                <w:rFonts w:hint="eastAsia" w:ascii="宋体" w:hAnsi="宋体"/>
                <w:b/>
                <w:color w:val="auto"/>
                <w:sz w:val="28"/>
                <w:szCs w:val="28"/>
                <w:highlight w:val="none"/>
              </w:rPr>
            </w:pPr>
          </w:p>
        </w:tc>
        <w:tc>
          <w:tcPr>
            <w:tcW w:w="992" w:type="dxa"/>
            <w:noWrap w:val="0"/>
            <w:vAlign w:val="top"/>
          </w:tcPr>
          <w:p w14:paraId="173BF386">
            <w:pPr>
              <w:pStyle w:val="7"/>
              <w:ind w:firstLine="0"/>
              <w:jc w:val="left"/>
              <w:rPr>
                <w:rFonts w:hint="eastAsia" w:ascii="宋体" w:hAnsi="宋体"/>
                <w:b/>
                <w:color w:val="auto"/>
                <w:sz w:val="28"/>
                <w:szCs w:val="28"/>
                <w:highlight w:val="none"/>
              </w:rPr>
            </w:pPr>
          </w:p>
        </w:tc>
        <w:tc>
          <w:tcPr>
            <w:tcW w:w="2410" w:type="dxa"/>
            <w:noWrap w:val="0"/>
            <w:vAlign w:val="top"/>
          </w:tcPr>
          <w:p w14:paraId="4FAA3F9B">
            <w:pPr>
              <w:pStyle w:val="7"/>
              <w:ind w:firstLine="0"/>
              <w:jc w:val="left"/>
              <w:rPr>
                <w:rFonts w:hint="eastAsia" w:ascii="宋体" w:hAnsi="宋体"/>
                <w:b/>
                <w:color w:val="auto"/>
                <w:sz w:val="28"/>
                <w:szCs w:val="28"/>
                <w:highlight w:val="none"/>
              </w:rPr>
            </w:pPr>
          </w:p>
        </w:tc>
        <w:tc>
          <w:tcPr>
            <w:tcW w:w="1270" w:type="dxa"/>
            <w:noWrap w:val="0"/>
            <w:vAlign w:val="top"/>
          </w:tcPr>
          <w:p w14:paraId="6DD3EC62">
            <w:pPr>
              <w:pStyle w:val="7"/>
              <w:ind w:firstLine="0"/>
              <w:jc w:val="left"/>
              <w:rPr>
                <w:rFonts w:hint="eastAsia" w:ascii="宋体" w:hAnsi="宋体"/>
                <w:b/>
                <w:color w:val="auto"/>
                <w:sz w:val="28"/>
                <w:szCs w:val="28"/>
                <w:highlight w:val="none"/>
              </w:rPr>
            </w:pPr>
          </w:p>
        </w:tc>
      </w:tr>
      <w:tr w14:paraId="40E60B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1972A291">
            <w:pPr>
              <w:pStyle w:val="7"/>
              <w:ind w:firstLine="0"/>
              <w:jc w:val="left"/>
              <w:rPr>
                <w:rFonts w:hint="eastAsia" w:ascii="宋体" w:hAnsi="宋体"/>
                <w:b/>
                <w:color w:val="auto"/>
                <w:sz w:val="28"/>
                <w:szCs w:val="28"/>
                <w:highlight w:val="none"/>
              </w:rPr>
            </w:pPr>
          </w:p>
        </w:tc>
        <w:tc>
          <w:tcPr>
            <w:tcW w:w="2241" w:type="dxa"/>
            <w:noWrap w:val="0"/>
            <w:vAlign w:val="top"/>
          </w:tcPr>
          <w:p w14:paraId="71BE634D">
            <w:pPr>
              <w:pStyle w:val="7"/>
              <w:ind w:firstLine="0"/>
              <w:jc w:val="left"/>
              <w:rPr>
                <w:rFonts w:hint="eastAsia" w:ascii="宋体" w:hAnsi="宋体"/>
                <w:b/>
                <w:color w:val="auto"/>
                <w:sz w:val="28"/>
                <w:szCs w:val="28"/>
                <w:highlight w:val="none"/>
              </w:rPr>
            </w:pPr>
          </w:p>
        </w:tc>
        <w:tc>
          <w:tcPr>
            <w:tcW w:w="1445" w:type="dxa"/>
            <w:noWrap w:val="0"/>
            <w:vAlign w:val="top"/>
          </w:tcPr>
          <w:p w14:paraId="29D8128E">
            <w:pPr>
              <w:pStyle w:val="7"/>
              <w:ind w:firstLine="0"/>
              <w:jc w:val="left"/>
              <w:rPr>
                <w:rFonts w:hint="eastAsia" w:ascii="宋体" w:hAnsi="宋体"/>
                <w:b/>
                <w:color w:val="auto"/>
                <w:sz w:val="28"/>
                <w:szCs w:val="28"/>
                <w:highlight w:val="none"/>
              </w:rPr>
            </w:pPr>
          </w:p>
        </w:tc>
        <w:tc>
          <w:tcPr>
            <w:tcW w:w="992" w:type="dxa"/>
            <w:noWrap w:val="0"/>
            <w:vAlign w:val="top"/>
          </w:tcPr>
          <w:p w14:paraId="3603DE84">
            <w:pPr>
              <w:pStyle w:val="7"/>
              <w:ind w:firstLine="0"/>
              <w:jc w:val="left"/>
              <w:rPr>
                <w:rFonts w:hint="eastAsia" w:ascii="宋体" w:hAnsi="宋体"/>
                <w:b/>
                <w:color w:val="auto"/>
                <w:sz w:val="28"/>
                <w:szCs w:val="28"/>
                <w:highlight w:val="none"/>
              </w:rPr>
            </w:pPr>
          </w:p>
        </w:tc>
        <w:tc>
          <w:tcPr>
            <w:tcW w:w="2410" w:type="dxa"/>
            <w:noWrap w:val="0"/>
            <w:vAlign w:val="top"/>
          </w:tcPr>
          <w:p w14:paraId="29739A24">
            <w:pPr>
              <w:pStyle w:val="7"/>
              <w:ind w:firstLine="0"/>
              <w:jc w:val="left"/>
              <w:rPr>
                <w:rFonts w:hint="eastAsia" w:ascii="宋体" w:hAnsi="宋体"/>
                <w:b/>
                <w:color w:val="auto"/>
                <w:sz w:val="28"/>
                <w:szCs w:val="28"/>
                <w:highlight w:val="none"/>
              </w:rPr>
            </w:pPr>
          </w:p>
        </w:tc>
        <w:tc>
          <w:tcPr>
            <w:tcW w:w="1270" w:type="dxa"/>
            <w:noWrap w:val="0"/>
            <w:vAlign w:val="top"/>
          </w:tcPr>
          <w:p w14:paraId="4C7925B8">
            <w:pPr>
              <w:pStyle w:val="7"/>
              <w:ind w:firstLine="0"/>
              <w:jc w:val="left"/>
              <w:rPr>
                <w:rFonts w:hint="eastAsia" w:ascii="宋体" w:hAnsi="宋体"/>
                <w:b/>
                <w:color w:val="auto"/>
                <w:sz w:val="28"/>
                <w:szCs w:val="28"/>
                <w:highlight w:val="none"/>
              </w:rPr>
            </w:pPr>
          </w:p>
        </w:tc>
      </w:tr>
      <w:tr w14:paraId="466A62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817" w:type="dxa"/>
            <w:noWrap w:val="0"/>
            <w:vAlign w:val="top"/>
          </w:tcPr>
          <w:p w14:paraId="64240A64">
            <w:pPr>
              <w:pStyle w:val="7"/>
              <w:ind w:firstLine="0"/>
              <w:jc w:val="left"/>
              <w:rPr>
                <w:rFonts w:hint="eastAsia" w:ascii="宋体" w:hAnsi="宋体"/>
                <w:b/>
                <w:color w:val="auto"/>
                <w:sz w:val="28"/>
                <w:szCs w:val="28"/>
                <w:highlight w:val="none"/>
              </w:rPr>
            </w:pPr>
          </w:p>
        </w:tc>
        <w:tc>
          <w:tcPr>
            <w:tcW w:w="2241" w:type="dxa"/>
            <w:noWrap w:val="0"/>
            <w:vAlign w:val="top"/>
          </w:tcPr>
          <w:p w14:paraId="419BF01B">
            <w:pPr>
              <w:pStyle w:val="7"/>
              <w:ind w:firstLine="0"/>
              <w:jc w:val="left"/>
              <w:rPr>
                <w:rFonts w:hint="eastAsia" w:ascii="宋体" w:hAnsi="宋体"/>
                <w:b/>
                <w:color w:val="auto"/>
                <w:sz w:val="28"/>
                <w:szCs w:val="28"/>
                <w:highlight w:val="none"/>
              </w:rPr>
            </w:pPr>
          </w:p>
        </w:tc>
        <w:tc>
          <w:tcPr>
            <w:tcW w:w="1445" w:type="dxa"/>
            <w:noWrap w:val="0"/>
            <w:vAlign w:val="top"/>
          </w:tcPr>
          <w:p w14:paraId="3DC2390A">
            <w:pPr>
              <w:pStyle w:val="7"/>
              <w:ind w:firstLine="0"/>
              <w:jc w:val="left"/>
              <w:rPr>
                <w:rFonts w:hint="eastAsia" w:ascii="宋体" w:hAnsi="宋体"/>
                <w:b/>
                <w:color w:val="auto"/>
                <w:sz w:val="28"/>
                <w:szCs w:val="28"/>
                <w:highlight w:val="none"/>
              </w:rPr>
            </w:pPr>
          </w:p>
        </w:tc>
        <w:tc>
          <w:tcPr>
            <w:tcW w:w="992" w:type="dxa"/>
            <w:noWrap w:val="0"/>
            <w:vAlign w:val="top"/>
          </w:tcPr>
          <w:p w14:paraId="1AD99389">
            <w:pPr>
              <w:pStyle w:val="7"/>
              <w:ind w:firstLine="0"/>
              <w:jc w:val="left"/>
              <w:rPr>
                <w:rFonts w:hint="eastAsia" w:ascii="宋体" w:hAnsi="宋体"/>
                <w:b/>
                <w:color w:val="auto"/>
                <w:sz w:val="28"/>
                <w:szCs w:val="28"/>
                <w:highlight w:val="none"/>
              </w:rPr>
            </w:pPr>
          </w:p>
        </w:tc>
        <w:tc>
          <w:tcPr>
            <w:tcW w:w="2410" w:type="dxa"/>
            <w:noWrap w:val="0"/>
            <w:vAlign w:val="top"/>
          </w:tcPr>
          <w:p w14:paraId="05230D70">
            <w:pPr>
              <w:pStyle w:val="7"/>
              <w:ind w:firstLine="0"/>
              <w:jc w:val="left"/>
              <w:rPr>
                <w:rFonts w:hint="eastAsia" w:ascii="宋体" w:hAnsi="宋体"/>
                <w:b/>
                <w:color w:val="auto"/>
                <w:sz w:val="28"/>
                <w:szCs w:val="28"/>
                <w:highlight w:val="none"/>
              </w:rPr>
            </w:pPr>
          </w:p>
        </w:tc>
        <w:tc>
          <w:tcPr>
            <w:tcW w:w="1270" w:type="dxa"/>
            <w:noWrap w:val="0"/>
            <w:vAlign w:val="top"/>
          </w:tcPr>
          <w:p w14:paraId="39D23232">
            <w:pPr>
              <w:pStyle w:val="7"/>
              <w:ind w:firstLine="0"/>
              <w:jc w:val="left"/>
              <w:rPr>
                <w:rFonts w:hint="eastAsia" w:ascii="宋体" w:hAnsi="宋体"/>
                <w:b/>
                <w:color w:val="auto"/>
                <w:sz w:val="28"/>
                <w:szCs w:val="28"/>
                <w:highlight w:val="none"/>
              </w:rPr>
            </w:pPr>
          </w:p>
        </w:tc>
      </w:tr>
    </w:tbl>
    <w:p w14:paraId="1C346850">
      <w:pPr>
        <w:adjustRightInd w:val="0"/>
        <w:spacing w:line="400" w:lineRule="exact"/>
        <w:ind w:firstLine="105" w:firstLineChars="50"/>
        <w:jc w:val="left"/>
        <w:rPr>
          <w:rFonts w:hint="eastAsia" w:ascii="楷体" w:hAnsi="楷体" w:eastAsia="楷体"/>
          <w:color w:val="auto"/>
          <w:szCs w:val="21"/>
          <w:highlight w:val="none"/>
        </w:rPr>
      </w:pPr>
      <w:r>
        <w:rPr>
          <w:rFonts w:hint="eastAsia" w:ascii="楷体" w:hAnsi="楷体" w:eastAsia="楷体"/>
          <w:color w:val="auto"/>
          <w:szCs w:val="21"/>
          <w:highlight w:val="none"/>
        </w:rPr>
        <w:t>说明：设备可以填写单台设备，也可以填写成套设备。</w:t>
      </w:r>
    </w:p>
    <w:p w14:paraId="715AC339">
      <w:pPr>
        <w:adjustRightInd w:val="0"/>
        <w:spacing w:before="480" w:beforeLines="20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5A7A9813">
      <w:pPr>
        <w:spacing w:line="400" w:lineRule="exact"/>
        <w:jc w:val="both"/>
        <w:outlineLvl w:val="9"/>
        <w:rPr>
          <w:rFonts w:hint="eastAsia" w:ascii="宋体" w:hAnsi="宋体"/>
          <w:color w:val="auto"/>
          <w:szCs w:val="21"/>
          <w:highlight w:val="none"/>
        </w:rPr>
      </w:pPr>
    </w:p>
    <w:p w14:paraId="0D9D9E8D">
      <w:pPr>
        <w:spacing w:line="400" w:lineRule="exact"/>
        <w:ind w:firstLine="105" w:firstLineChars="50"/>
        <w:outlineLvl w:val="1"/>
        <w:rPr>
          <w:rFonts w:hint="eastAsia" w:ascii="宋体" w:hAnsi="宋体"/>
          <w:color w:val="auto"/>
          <w:szCs w:val="21"/>
          <w:highlight w:val="none"/>
        </w:rPr>
      </w:pPr>
      <w:bookmarkStart w:id="241" w:name="_Toc17026"/>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41"/>
    </w:p>
    <w:p w14:paraId="14F69F18">
      <w:pPr>
        <w:spacing w:before="480" w:beforeLines="200"/>
        <w:ind w:firstLine="123" w:firstLineChars="59"/>
        <w:outlineLvl w:val="1"/>
        <w:rPr>
          <w:rFonts w:hint="eastAsia" w:ascii="宋体" w:hAnsi="宋体"/>
          <w:b/>
          <w:color w:val="auto"/>
          <w:szCs w:val="21"/>
          <w:highlight w:val="none"/>
        </w:rPr>
      </w:pPr>
      <w:bookmarkStart w:id="242" w:name="_Toc5802"/>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bookmarkEnd w:id="242"/>
    </w:p>
    <w:p w14:paraId="2F4AD68B">
      <w:pPr>
        <w:pStyle w:val="7"/>
        <w:spacing w:after="240" w:afterLines="100"/>
        <w:ind w:firstLine="0"/>
        <w:jc w:val="center"/>
        <w:rPr>
          <w:rFonts w:hint="eastAsia"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（二）本项目组织实施人员</w:t>
      </w:r>
    </w:p>
    <w:p w14:paraId="18E2957E">
      <w:pPr>
        <w:pStyle w:val="7"/>
        <w:spacing w:after="120" w:afterLines="50"/>
        <w:ind w:firstLine="0"/>
        <w:jc w:val="left"/>
        <w:rPr>
          <w:rFonts w:hint="default" w:ascii="宋体" w:hAnsi="宋体" w:eastAsia="宋体"/>
          <w:color w:val="auto"/>
          <w:szCs w:val="21"/>
          <w:highlight w:val="none"/>
          <w:lang w:val="en-US" w:eastAsia="zh-CN"/>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134"/>
        <w:gridCol w:w="1560"/>
        <w:gridCol w:w="1701"/>
        <w:gridCol w:w="1984"/>
        <w:gridCol w:w="987"/>
      </w:tblGrid>
      <w:tr w14:paraId="3E3FF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175" w:type="dxa"/>
            <w:gridSpan w:val="7"/>
            <w:tcBorders>
              <w:top w:val="single" w:color="auto" w:sz="12" w:space="0"/>
              <w:left w:val="single" w:color="auto" w:sz="12" w:space="0"/>
              <w:right w:val="single" w:color="auto" w:sz="12" w:space="0"/>
            </w:tcBorders>
            <w:noWrap w:val="0"/>
            <w:vAlign w:val="center"/>
          </w:tcPr>
          <w:p w14:paraId="7C2E846F">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1.项目负责人</w:t>
            </w:r>
          </w:p>
        </w:tc>
      </w:tr>
      <w:tr w14:paraId="49B6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006E17E8">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5DC19B63">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406B485">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4C61B5B0">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top"/>
          </w:tcPr>
          <w:p w14:paraId="722CAF9A">
            <w:pPr>
              <w:pStyle w:val="7"/>
              <w:ind w:firstLine="0"/>
              <w:jc w:val="center"/>
              <w:rPr>
                <w:rFonts w:hint="eastAsia" w:ascii="宋体" w:hAnsi="宋体"/>
                <w:color w:val="auto"/>
                <w:szCs w:val="21"/>
                <w:highlight w:val="none"/>
              </w:rPr>
            </w:pPr>
            <w:r>
              <w:rPr>
                <w:rFonts w:hint="eastAsia" w:ascii="宋体" w:hAnsi="宋体"/>
                <w:color w:val="auto"/>
                <w:szCs w:val="21"/>
                <w:highlight w:val="none"/>
              </w:rPr>
              <w:t>在本行业从业 工作年限</w:t>
            </w:r>
          </w:p>
        </w:tc>
        <w:tc>
          <w:tcPr>
            <w:tcW w:w="2971" w:type="dxa"/>
            <w:gridSpan w:val="2"/>
            <w:tcBorders>
              <w:right w:val="single" w:color="auto" w:sz="12" w:space="0"/>
            </w:tcBorders>
            <w:noWrap w:val="0"/>
            <w:vAlign w:val="center"/>
          </w:tcPr>
          <w:p w14:paraId="1CF259EF">
            <w:pPr>
              <w:pStyle w:val="7"/>
              <w:ind w:firstLine="0"/>
              <w:jc w:val="center"/>
              <w:rPr>
                <w:rFonts w:hint="eastAsia" w:ascii="宋体" w:hAnsi="宋体"/>
                <w:color w:val="auto"/>
                <w:szCs w:val="21"/>
                <w:highlight w:val="none"/>
              </w:rPr>
            </w:pPr>
            <w:r>
              <w:rPr>
                <w:rFonts w:hint="eastAsia" w:ascii="宋体" w:hAnsi="宋体"/>
                <w:color w:val="auto"/>
                <w:szCs w:val="21"/>
                <w:highlight w:val="none"/>
              </w:rPr>
              <w:t>主要工作业绩</w:t>
            </w:r>
          </w:p>
        </w:tc>
      </w:tr>
      <w:tr w14:paraId="10CB4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5F0C345">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0F266790">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D21C61F">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36C2F164">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1CAC7351">
            <w:pPr>
              <w:pStyle w:val="7"/>
              <w:ind w:firstLine="0"/>
              <w:jc w:val="left"/>
              <w:rPr>
                <w:rFonts w:hint="eastAsia" w:ascii="宋体" w:hAnsi="宋体"/>
                <w:b/>
                <w:color w:val="auto"/>
                <w:sz w:val="28"/>
                <w:szCs w:val="28"/>
                <w:highlight w:val="none"/>
              </w:rPr>
            </w:pPr>
          </w:p>
        </w:tc>
        <w:tc>
          <w:tcPr>
            <w:tcW w:w="2971" w:type="dxa"/>
            <w:gridSpan w:val="2"/>
            <w:tcBorders>
              <w:bottom w:val="single" w:color="auto" w:sz="4" w:space="0"/>
              <w:right w:val="single" w:color="auto" w:sz="12" w:space="0"/>
            </w:tcBorders>
            <w:noWrap w:val="0"/>
            <w:vAlign w:val="top"/>
          </w:tcPr>
          <w:p w14:paraId="243CC3DE">
            <w:pPr>
              <w:pStyle w:val="7"/>
              <w:ind w:firstLine="0"/>
              <w:jc w:val="left"/>
              <w:rPr>
                <w:rFonts w:hint="eastAsia" w:ascii="宋体" w:hAnsi="宋体"/>
                <w:b/>
                <w:color w:val="auto"/>
                <w:sz w:val="28"/>
                <w:szCs w:val="28"/>
                <w:highlight w:val="none"/>
              </w:rPr>
            </w:pPr>
          </w:p>
        </w:tc>
      </w:tr>
      <w:tr w14:paraId="63A27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3B5E4CB9">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3546EA30">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18D2C1C6">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5B8632C4">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2DC25CDF">
            <w:pPr>
              <w:pStyle w:val="7"/>
              <w:ind w:firstLine="0"/>
              <w:jc w:val="left"/>
              <w:rPr>
                <w:rFonts w:hint="eastAsia" w:ascii="宋体" w:hAnsi="宋体"/>
                <w:b/>
                <w:color w:val="auto"/>
                <w:sz w:val="28"/>
                <w:szCs w:val="28"/>
                <w:highlight w:val="none"/>
              </w:rPr>
            </w:pPr>
          </w:p>
        </w:tc>
        <w:tc>
          <w:tcPr>
            <w:tcW w:w="2971" w:type="dxa"/>
            <w:gridSpan w:val="2"/>
            <w:tcBorders>
              <w:bottom w:val="single" w:color="auto" w:sz="12" w:space="0"/>
              <w:right w:val="single" w:color="auto" w:sz="12" w:space="0"/>
            </w:tcBorders>
            <w:noWrap w:val="0"/>
            <w:vAlign w:val="top"/>
          </w:tcPr>
          <w:p w14:paraId="02D89D15">
            <w:pPr>
              <w:pStyle w:val="7"/>
              <w:ind w:firstLine="0"/>
              <w:jc w:val="left"/>
              <w:rPr>
                <w:rFonts w:hint="eastAsia" w:ascii="宋体" w:hAnsi="宋体"/>
                <w:b/>
                <w:color w:val="auto"/>
                <w:sz w:val="28"/>
                <w:szCs w:val="28"/>
                <w:highlight w:val="none"/>
              </w:rPr>
            </w:pPr>
          </w:p>
        </w:tc>
      </w:tr>
      <w:tr w14:paraId="4BE33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9175" w:type="dxa"/>
            <w:gridSpan w:val="7"/>
            <w:tcBorders>
              <w:top w:val="single" w:color="auto" w:sz="12" w:space="0"/>
              <w:left w:val="single" w:color="auto" w:sz="12" w:space="0"/>
              <w:right w:val="single" w:color="auto" w:sz="12" w:space="0"/>
            </w:tcBorders>
            <w:noWrap w:val="0"/>
            <w:vAlign w:val="center"/>
          </w:tcPr>
          <w:p w14:paraId="0AB83D97">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2.管理人员</w:t>
            </w:r>
          </w:p>
        </w:tc>
      </w:tr>
      <w:tr w14:paraId="2348F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0E19D8C7">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35508438">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D2F2DAA">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1F5E5F19">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17D69F7E">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28574738">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24049006">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0B2BB041">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986D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1373C339">
            <w:pPr>
              <w:pStyle w:val="7"/>
              <w:ind w:firstLine="0"/>
              <w:jc w:val="left"/>
              <w:rPr>
                <w:rFonts w:hint="eastAsia" w:ascii="宋体" w:hAnsi="宋体"/>
                <w:b/>
                <w:color w:val="auto"/>
                <w:sz w:val="28"/>
                <w:szCs w:val="28"/>
                <w:highlight w:val="none"/>
              </w:rPr>
            </w:pPr>
          </w:p>
        </w:tc>
        <w:tc>
          <w:tcPr>
            <w:tcW w:w="850" w:type="dxa"/>
            <w:noWrap w:val="0"/>
            <w:vAlign w:val="top"/>
          </w:tcPr>
          <w:p w14:paraId="49B95B37">
            <w:pPr>
              <w:pStyle w:val="7"/>
              <w:ind w:firstLine="0"/>
              <w:jc w:val="left"/>
              <w:rPr>
                <w:rFonts w:hint="eastAsia" w:ascii="宋体" w:hAnsi="宋体"/>
                <w:b/>
                <w:color w:val="auto"/>
                <w:sz w:val="28"/>
                <w:szCs w:val="28"/>
                <w:highlight w:val="none"/>
              </w:rPr>
            </w:pPr>
          </w:p>
        </w:tc>
        <w:tc>
          <w:tcPr>
            <w:tcW w:w="1134" w:type="dxa"/>
            <w:noWrap w:val="0"/>
            <w:vAlign w:val="top"/>
          </w:tcPr>
          <w:p w14:paraId="006BE1B8">
            <w:pPr>
              <w:pStyle w:val="7"/>
              <w:ind w:firstLine="0"/>
              <w:jc w:val="left"/>
              <w:rPr>
                <w:rFonts w:hint="eastAsia" w:ascii="宋体" w:hAnsi="宋体"/>
                <w:b/>
                <w:color w:val="auto"/>
                <w:sz w:val="28"/>
                <w:szCs w:val="28"/>
                <w:highlight w:val="none"/>
              </w:rPr>
            </w:pPr>
          </w:p>
        </w:tc>
        <w:tc>
          <w:tcPr>
            <w:tcW w:w="1560" w:type="dxa"/>
            <w:noWrap w:val="0"/>
            <w:vAlign w:val="top"/>
          </w:tcPr>
          <w:p w14:paraId="65C049D2">
            <w:pPr>
              <w:pStyle w:val="7"/>
              <w:ind w:firstLine="0"/>
              <w:jc w:val="left"/>
              <w:rPr>
                <w:rFonts w:hint="eastAsia" w:ascii="宋体" w:hAnsi="宋体"/>
                <w:b/>
                <w:color w:val="auto"/>
                <w:sz w:val="28"/>
                <w:szCs w:val="28"/>
                <w:highlight w:val="none"/>
              </w:rPr>
            </w:pPr>
          </w:p>
        </w:tc>
        <w:tc>
          <w:tcPr>
            <w:tcW w:w="1701" w:type="dxa"/>
            <w:noWrap w:val="0"/>
            <w:vAlign w:val="top"/>
          </w:tcPr>
          <w:p w14:paraId="7910E009">
            <w:pPr>
              <w:pStyle w:val="7"/>
              <w:ind w:firstLine="0"/>
              <w:jc w:val="left"/>
              <w:rPr>
                <w:rFonts w:hint="eastAsia" w:ascii="宋体" w:hAnsi="宋体"/>
                <w:b/>
                <w:color w:val="auto"/>
                <w:sz w:val="28"/>
                <w:szCs w:val="28"/>
                <w:highlight w:val="none"/>
              </w:rPr>
            </w:pPr>
          </w:p>
        </w:tc>
        <w:tc>
          <w:tcPr>
            <w:tcW w:w="1984" w:type="dxa"/>
            <w:noWrap w:val="0"/>
            <w:vAlign w:val="top"/>
          </w:tcPr>
          <w:p w14:paraId="537D8186">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2CE47FFC">
            <w:pPr>
              <w:pStyle w:val="7"/>
              <w:ind w:firstLine="0"/>
              <w:jc w:val="left"/>
              <w:rPr>
                <w:rFonts w:hint="eastAsia" w:ascii="宋体" w:hAnsi="宋体"/>
                <w:b/>
                <w:color w:val="auto"/>
                <w:sz w:val="28"/>
                <w:szCs w:val="28"/>
                <w:highlight w:val="none"/>
              </w:rPr>
            </w:pPr>
          </w:p>
        </w:tc>
      </w:tr>
      <w:tr w14:paraId="4B53B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6DA72B37">
            <w:pPr>
              <w:pStyle w:val="7"/>
              <w:ind w:firstLine="0"/>
              <w:jc w:val="left"/>
              <w:rPr>
                <w:rFonts w:hint="eastAsia" w:ascii="宋体" w:hAnsi="宋体"/>
                <w:b/>
                <w:color w:val="auto"/>
                <w:sz w:val="28"/>
                <w:szCs w:val="28"/>
                <w:highlight w:val="none"/>
              </w:rPr>
            </w:pPr>
          </w:p>
        </w:tc>
        <w:tc>
          <w:tcPr>
            <w:tcW w:w="850" w:type="dxa"/>
            <w:noWrap w:val="0"/>
            <w:vAlign w:val="top"/>
          </w:tcPr>
          <w:p w14:paraId="6A145D25">
            <w:pPr>
              <w:pStyle w:val="7"/>
              <w:ind w:firstLine="0"/>
              <w:jc w:val="left"/>
              <w:rPr>
                <w:rFonts w:hint="eastAsia" w:ascii="宋体" w:hAnsi="宋体"/>
                <w:b/>
                <w:color w:val="auto"/>
                <w:sz w:val="28"/>
                <w:szCs w:val="28"/>
                <w:highlight w:val="none"/>
              </w:rPr>
            </w:pPr>
          </w:p>
        </w:tc>
        <w:tc>
          <w:tcPr>
            <w:tcW w:w="1134" w:type="dxa"/>
            <w:noWrap w:val="0"/>
            <w:vAlign w:val="top"/>
          </w:tcPr>
          <w:p w14:paraId="1653B15D">
            <w:pPr>
              <w:pStyle w:val="7"/>
              <w:ind w:firstLine="0"/>
              <w:jc w:val="left"/>
              <w:rPr>
                <w:rFonts w:hint="eastAsia" w:ascii="宋体" w:hAnsi="宋体"/>
                <w:b/>
                <w:color w:val="auto"/>
                <w:sz w:val="28"/>
                <w:szCs w:val="28"/>
                <w:highlight w:val="none"/>
              </w:rPr>
            </w:pPr>
          </w:p>
        </w:tc>
        <w:tc>
          <w:tcPr>
            <w:tcW w:w="1560" w:type="dxa"/>
            <w:noWrap w:val="0"/>
            <w:vAlign w:val="top"/>
          </w:tcPr>
          <w:p w14:paraId="26DA21FE">
            <w:pPr>
              <w:pStyle w:val="7"/>
              <w:ind w:firstLine="0"/>
              <w:jc w:val="left"/>
              <w:rPr>
                <w:rFonts w:hint="eastAsia" w:ascii="宋体" w:hAnsi="宋体"/>
                <w:b/>
                <w:color w:val="auto"/>
                <w:sz w:val="28"/>
                <w:szCs w:val="28"/>
                <w:highlight w:val="none"/>
              </w:rPr>
            </w:pPr>
          </w:p>
        </w:tc>
        <w:tc>
          <w:tcPr>
            <w:tcW w:w="1701" w:type="dxa"/>
            <w:noWrap w:val="0"/>
            <w:vAlign w:val="top"/>
          </w:tcPr>
          <w:p w14:paraId="19E0FAC8">
            <w:pPr>
              <w:pStyle w:val="7"/>
              <w:ind w:firstLine="0"/>
              <w:jc w:val="left"/>
              <w:rPr>
                <w:rFonts w:hint="eastAsia" w:ascii="宋体" w:hAnsi="宋体"/>
                <w:b/>
                <w:color w:val="auto"/>
                <w:sz w:val="28"/>
                <w:szCs w:val="28"/>
                <w:highlight w:val="none"/>
              </w:rPr>
            </w:pPr>
          </w:p>
        </w:tc>
        <w:tc>
          <w:tcPr>
            <w:tcW w:w="1984" w:type="dxa"/>
            <w:noWrap w:val="0"/>
            <w:vAlign w:val="top"/>
          </w:tcPr>
          <w:p w14:paraId="36885D97">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2EFE1E84">
            <w:pPr>
              <w:pStyle w:val="7"/>
              <w:ind w:firstLine="0"/>
              <w:jc w:val="left"/>
              <w:rPr>
                <w:rFonts w:hint="eastAsia" w:ascii="宋体" w:hAnsi="宋体"/>
                <w:b/>
                <w:color w:val="auto"/>
                <w:sz w:val="28"/>
                <w:szCs w:val="28"/>
                <w:highlight w:val="none"/>
              </w:rPr>
            </w:pPr>
          </w:p>
        </w:tc>
      </w:tr>
      <w:tr w14:paraId="1B382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084D553D">
            <w:pPr>
              <w:pStyle w:val="7"/>
              <w:ind w:firstLine="0"/>
              <w:jc w:val="left"/>
              <w:rPr>
                <w:rFonts w:hint="eastAsia" w:ascii="宋体" w:hAnsi="宋体"/>
                <w:b/>
                <w:color w:val="auto"/>
                <w:sz w:val="28"/>
                <w:szCs w:val="28"/>
                <w:highlight w:val="none"/>
              </w:rPr>
            </w:pPr>
          </w:p>
        </w:tc>
        <w:tc>
          <w:tcPr>
            <w:tcW w:w="850" w:type="dxa"/>
            <w:noWrap w:val="0"/>
            <w:vAlign w:val="top"/>
          </w:tcPr>
          <w:p w14:paraId="0E86B8B3">
            <w:pPr>
              <w:pStyle w:val="7"/>
              <w:ind w:firstLine="0"/>
              <w:jc w:val="left"/>
              <w:rPr>
                <w:rFonts w:hint="eastAsia" w:ascii="宋体" w:hAnsi="宋体"/>
                <w:b/>
                <w:color w:val="auto"/>
                <w:sz w:val="28"/>
                <w:szCs w:val="28"/>
                <w:highlight w:val="none"/>
              </w:rPr>
            </w:pPr>
          </w:p>
        </w:tc>
        <w:tc>
          <w:tcPr>
            <w:tcW w:w="1134" w:type="dxa"/>
            <w:noWrap w:val="0"/>
            <w:vAlign w:val="top"/>
          </w:tcPr>
          <w:p w14:paraId="4700D18B">
            <w:pPr>
              <w:pStyle w:val="7"/>
              <w:ind w:firstLine="0"/>
              <w:jc w:val="left"/>
              <w:rPr>
                <w:rFonts w:hint="eastAsia" w:ascii="宋体" w:hAnsi="宋体"/>
                <w:b/>
                <w:color w:val="auto"/>
                <w:sz w:val="28"/>
                <w:szCs w:val="28"/>
                <w:highlight w:val="none"/>
              </w:rPr>
            </w:pPr>
          </w:p>
        </w:tc>
        <w:tc>
          <w:tcPr>
            <w:tcW w:w="1560" w:type="dxa"/>
            <w:noWrap w:val="0"/>
            <w:vAlign w:val="top"/>
          </w:tcPr>
          <w:p w14:paraId="79F78551">
            <w:pPr>
              <w:pStyle w:val="7"/>
              <w:ind w:firstLine="0"/>
              <w:jc w:val="left"/>
              <w:rPr>
                <w:rFonts w:hint="eastAsia" w:ascii="宋体" w:hAnsi="宋体"/>
                <w:b/>
                <w:color w:val="auto"/>
                <w:sz w:val="28"/>
                <w:szCs w:val="28"/>
                <w:highlight w:val="none"/>
              </w:rPr>
            </w:pPr>
          </w:p>
        </w:tc>
        <w:tc>
          <w:tcPr>
            <w:tcW w:w="1701" w:type="dxa"/>
            <w:noWrap w:val="0"/>
            <w:vAlign w:val="top"/>
          </w:tcPr>
          <w:p w14:paraId="4C8771B3">
            <w:pPr>
              <w:pStyle w:val="7"/>
              <w:ind w:firstLine="0"/>
              <w:jc w:val="left"/>
              <w:rPr>
                <w:rFonts w:hint="eastAsia" w:ascii="宋体" w:hAnsi="宋体"/>
                <w:b/>
                <w:color w:val="auto"/>
                <w:sz w:val="28"/>
                <w:szCs w:val="28"/>
                <w:highlight w:val="none"/>
              </w:rPr>
            </w:pPr>
          </w:p>
        </w:tc>
        <w:tc>
          <w:tcPr>
            <w:tcW w:w="1984" w:type="dxa"/>
            <w:noWrap w:val="0"/>
            <w:vAlign w:val="top"/>
          </w:tcPr>
          <w:p w14:paraId="42E24D85">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EB47D05">
            <w:pPr>
              <w:pStyle w:val="7"/>
              <w:ind w:firstLine="0"/>
              <w:jc w:val="left"/>
              <w:rPr>
                <w:rFonts w:hint="eastAsia" w:ascii="宋体" w:hAnsi="宋体"/>
                <w:b/>
                <w:color w:val="auto"/>
                <w:sz w:val="28"/>
                <w:szCs w:val="28"/>
                <w:highlight w:val="none"/>
              </w:rPr>
            </w:pPr>
          </w:p>
        </w:tc>
      </w:tr>
      <w:tr w14:paraId="18C95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35909E6E">
            <w:pPr>
              <w:pStyle w:val="7"/>
              <w:ind w:firstLine="0"/>
              <w:jc w:val="left"/>
              <w:rPr>
                <w:rFonts w:hint="eastAsia" w:ascii="宋体" w:hAnsi="宋体"/>
                <w:b/>
                <w:color w:val="auto"/>
                <w:sz w:val="28"/>
                <w:szCs w:val="28"/>
                <w:highlight w:val="none"/>
              </w:rPr>
            </w:pPr>
          </w:p>
        </w:tc>
        <w:tc>
          <w:tcPr>
            <w:tcW w:w="850" w:type="dxa"/>
            <w:noWrap w:val="0"/>
            <w:vAlign w:val="top"/>
          </w:tcPr>
          <w:p w14:paraId="64E1BBCA">
            <w:pPr>
              <w:pStyle w:val="7"/>
              <w:ind w:firstLine="0"/>
              <w:jc w:val="left"/>
              <w:rPr>
                <w:rFonts w:hint="eastAsia" w:ascii="宋体" w:hAnsi="宋体"/>
                <w:b/>
                <w:color w:val="auto"/>
                <w:sz w:val="28"/>
                <w:szCs w:val="28"/>
                <w:highlight w:val="none"/>
              </w:rPr>
            </w:pPr>
          </w:p>
        </w:tc>
        <w:tc>
          <w:tcPr>
            <w:tcW w:w="1134" w:type="dxa"/>
            <w:noWrap w:val="0"/>
            <w:vAlign w:val="top"/>
          </w:tcPr>
          <w:p w14:paraId="0B6D9C80">
            <w:pPr>
              <w:pStyle w:val="7"/>
              <w:ind w:firstLine="0"/>
              <w:jc w:val="left"/>
              <w:rPr>
                <w:rFonts w:hint="eastAsia" w:ascii="宋体" w:hAnsi="宋体"/>
                <w:b/>
                <w:color w:val="auto"/>
                <w:sz w:val="28"/>
                <w:szCs w:val="28"/>
                <w:highlight w:val="none"/>
              </w:rPr>
            </w:pPr>
          </w:p>
        </w:tc>
        <w:tc>
          <w:tcPr>
            <w:tcW w:w="1560" w:type="dxa"/>
            <w:noWrap w:val="0"/>
            <w:vAlign w:val="top"/>
          </w:tcPr>
          <w:p w14:paraId="14DFD379">
            <w:pPr>
              <w:pStyle w:val="7"/>
              <w:ind w:firstLine="0"/>
              <w:jc w:val="left"/>
              <w:rPr>
                <w:rFonts w:hint="eastAsia" w:ascii="宋体" w:hAnsi="宋体"/>
                <w:b/>
                <w:color w:val="auto"/>
                <w:sz w:val="28"/>
                <w:szCs w:val="28"/>
                <w:highlight w:val="none"/>
              </w:rPr>
            </w:pPr>
          </w:p>
        </w:tc>
        <w:tc>
          <w:tcPr>
            <w:tcW w:w="1701" w:type="dxa"/>
            <w:noWrap w:val="0"/>
            <w:vAlign w:val="top"/>
          </w:tcPr>
          <w:p w14:paraId="08E709EC">
            <w:pPr>
              <w:pStyle w:val="7"/>
              <w:ind w:firstLine="0"/>
              <w:jc w:val="left"/>
              <w:rPr>
                <w:rFonts w:hint="eastAsia" w:ascii="宋体" w:hAnsi="宋体"/>
                <w:b/>
                <w:color w:val="auto"/>
                <w:sz w:val="28"/>
                <w:szCs w:val="28"/>
                <w:highlight w:val="none"/>
              </w:rPr>
            </w:pPr>
          </w:p>
        </w:tc>
        <w:tc>
          <w:tcPr>
            <w:tcW w:w="1984" w:type="dxa"/>
            <w:noWrap w:val="0"/>
            <w:vAlign w:val="top"/>
          </w:tcPr>
          <w:p w14:paraId="2456C6A4">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0758763">
            <w:pPr>
              <w:pStyle w:val="7"/>
              <w:ind w:firstLine="0"/>
              <w:jc w:val="left"/>
              <w:rPr>
                <w:rFonts w:hint="eastAsia" w:ascii="宋体" w:hAnsi="宋体"/>
                <w:b/>
                <w:color w:val="auto"/>
                <w:sz w:val="28"/>
                <w:szCs w:val="28"/>
                <w:highlight w:val="none"/>
              </w:rPr>
            </w:pPr>
          </w:p>
        </w:tc>
      </w:tr>
      <w:tr w14:paraId="0C6C8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5" w:type="dxa"/>
            <w:gridSpan w:val="7"/>
            <w:tcBorders>
              <w:left w:val="single" w:color="auto" w:sz="12" w:space="0"/>
              <w:right w:val="single" w:color="auto" w:sz="12" w:space="0"/>
            </w:tcBorders>
            <w:noWrap w:val="0"/>
            <w:vAlign w:val="top"/>
          </w:tcPr>
          <w:p w14:paraId="7A3BCD27">
            <w:pPr>
              <w:pStyle w:val="7"/>
              <w:ind w:firstLine="0"/>
              <w:jc w:val="left"/>
              <w:rPr>
                <w:rFonts w:hint="eastAsia" w:ascii="宋体" w:hAnsi="宋体"/>
                <w:b/>
                <w:color w:val="auto"/>
                <w:sz w:val="28"/>
                <w:szCs w:val="28"/>
                <w:highlight w:val="none"/>
              </w:rPr>
            </w:pPr>
            <w:r>
              <w:rPr>
                <w:rFonts w:hint="eastAsia" w:ascii="宋体" w:hAnsi="宋体"/>
                <w:b/>
                <w:color w:val="auto"/>
                <w:sz w:val="28"/>
                <w:szCs w:val="28"/>
                <w:highlight w:val="none"/>
              </w:rPr>
              <w:t>3.技术人员</w:t>
            </w:r>
          </w:p>
        </w:tc>
      </w:tr>
      <w:tr w14:paraId="781BE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0ABA401">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3A070265">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253E6223">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044BBAD9">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09DB1B7D">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258AF63D">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5C870988">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2ABAC452">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7B4D1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40BEBEDF">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AABD8FE">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253CD3EB">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7C8EA13D">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11466B72">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0E27C0DD">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5FD05ECA">
            <w:pPr>
              <w:pStyle w:val="7"/>
              <w:ind w:firstLine="0"/>
              <w:jc w:val="left"/>
              <w:rPr>
                <w:rFonts w:hint="eastAsia" w:ascii="宋体" w:hAnsi="宋体"/>
                <w:b/>
                <w:color w:val="auto"/>
                <w:sz w:val="28"/>
                <w:szCs w:val="28"/>
                <w:highlight w:val="none"/>
              </w:rPr>
            </w:pPr>
          </w:p>
        </w:tc>
      </w:tr>
      <w:tr w14:paraId="77C0C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6F829C0">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3B271194">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3D94B652">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3CED65AB">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35AB2013">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1106E184">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50B4A14">
            <w:pPr>
              <w:pStyle w:val="7"/>
              <w:ind w:firstLine="0"/>
              <w:jc w:val="left"/>
              <w:rPr>
                <w:rFonts w:hint="eastAsia" w:ascii="宋体" w:hAnsi="宋体"/>
                <w:b/>
                <w:color w:val="auto"/>
                <w:sz w:val="28"/>
                <w:szCs w:val="28"/>
                <w:highlight w:val="none"/>
              </w:rPr>
            </w:pPr>
          </w:p>
        </w:tc>
      </w:tr>
      <w:tr w14:paraId="43A69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03C69E7D">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23D0026B">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6F6F2304">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1DC5ADF2">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0DEDFB46">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1D8F1336">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22CF2C6D">
            <w:pPr>
              <w:pStyle w:val="7"/>
              <w:ind w:firstLine="0"/>
              <w:jc w:val="left"/>
              <w:rPr>
                <w:rFonts w:hint="eastAsia" w:ascii="宋体" w:hAnsi="宋体"/>
                <w:b/>
                <w:color w:val="auto"/>
                <w:sz w:val="28"/>
                <w:szCs w:val="28"/>
                <w:highlight w:val="none"/>
              </w:rPr>
            </w:pPr>
          </w:p>
        </w:tc>
      </w:tr>
      <w:tr w14:paraId="49B53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2DEB865F">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1C0E5332">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55216018">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58823F33">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6C3B31F9">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41CAA46A">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00633A18">
            <w:pPr>
              <w:pStyle w:val="7"/>
              <w:ind w:firstLine="0"/>
              <w:jc w:val="left"/>
              <w:rPr>
                <w:rFonts w:hint="eastAsia" w:ascii="宋体" w:hAnsi="宋体"/>
                <w:b/>
                <w:color w:val="auto"/>
                <w:sz w:val="28"/>
                <w:szCs w:val="28"/>
                <w:highlight w:val="none"/>
              </w:rPr>
            </w:pPr>
          </w:p>
        </w:tc>
      </w:tr>
      <w:tr w14:paraId="21D94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9175" w:type="dxa"/>
            <w:gridSpan w:val="7"/>
            <w:tcBorders>
              <w:top w:val="single" w:color="auto" w:sz="12" w:space="0"/>
              <w:left w:val="single" w:color="auto" w:sz="12" w:space="0"/>
              <w:right w:val="single" w:color="auto" w:sz="12" w:space="0"/>
            </w:tcBorders>
            <w:noWrap w:val="0"/>
            <w:vAlign w:val="center"/>
          </w:tcPr>
          <w:p w14:paraId="54843A2F">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3.辅助人员</w:t>
            </w:r>
          </w:p>
        </w:tc>
      </w:tr>
      <w:tr w14:paraId="421D7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1815F504">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61EBE856">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3FECAC3F">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298338D5">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0D688DB1">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4AEE90D3">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04026292">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5DF3F4E2">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2FB3F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22E5B3EE">
            <w:pPr>
              <w:pStyle w:val="7"/>
              <w:ind w:firstLine="0"/>
              <w:jc w:val="left"/>
              <w:rPr>
                <w:rFonts w:hint="eastAsia" w:ascii="宋体" w:hAnsi="宋体"/>
                <w:b/>
                <w:color w:val="auto"/>
                <w:sz w:val="28"/>
                <w:szCs w:val="28"/>
                <w:highlight w:val="none"/>
              </w:rPr>
            </w:pPr>
          </w:p>
        </w:tc>
        <w:tc>
          <w:tcPr>
            <w:tcW w:w="850" w:type="dxa"/>
            <w:noWrap w:val="0"/>
            <w:vAlign w:val="top"/>
          </w:tcPr>
          <w:p w14:paraId="748A6DB2">
            <w:pPr>
              <w:pStyle w:val="7"/>
              <w:ind w:firstLine="0"/>
              <w:jc w:val="left"/>
              <w:rPr>
                <w:rFonts w:hint="eastAsia" w:ascii="宋体" w:hAnsi="宋体"/>
                <w:b/>
                <w:color w:val="auto"/>
                <w:sz w:val="28"/>
                <w:szCs w:val="28"/>
                <w:highlight w:val="none"/>
              </w:rPr>
            </w:pPr>
          </w:p>
        </w:tc>
        <w:tc>
          <w:tcPr>
            <w:tcW w:w="1134" w:type="dxa"/>
            <w:noWrap w:val="0"/>
            <w:vAlign w:val="top"/>
          </w:tcPr>
          <w:p w14:paraId="19ADD8D4">
            <w:pPr>
              <w:pStyle w:val="7"/>
              <w:ind w:firstLine="0"/>
              <w:jc w:val="left"/>
              <w:rPr>
                <w:rFonts w:hint="eastAsia" w:ascii="宋体" w:hAnsi="宋体"/>
                <w:b/>
                <w:color w:val="auto"/>
                <w:sz w:val="28"/>
                <w:szCs w:val="28"/>
                <w:highlight w:val="none"/>
              </w:rPr>
            </w:pPr>
          </w:p>
        </w:tc>
        <w:tc>
          <w:tcPr>
            <w:tcW w:w="1560" w:type="dxa"/>
            <w:noWrap w:val="0"/>
            <w:vAlign w:val="top"/>
          </w:tcPr>
          <w:p w14:paraId="1AE776D2">
            <w:pPr>
              <w:pStyle w:val="7"/>
              <w:ind w:firstLine="0"/>
              <w:jc w:val="left"/>
              <w:rPr>
                <w:rFonts w:hint="eastAsia" w:ascii="宋体" w:hAnsi="宋体"/>
                <w:b/>
                <w:color w:val="auto"/>
                <w:sz w:val="28"/>
                <w:szCs w:val="28"/>
                <w:highlight w:val="none"/>
              </w:rPr>
            </w:pPr>
          </w:p>
        </w:tc>
        <w:tc>
          <w:tcPr>
            <w:tcW w:w="1701" w:type="dxa"/>
            <w:noWrap w:val="0"/>
            <w:vAlign w:val="top"/>
          </w:tcPr>
          <w:p w14:paraId="51528365">
            <w:pPr>
              <w:pStyle w:val="7"/>
              <w:ind w:firstLine="0"/>
              <w:jc w:val="left"/>
              <w:rPr>
                <w:rFonts w:hint="eastAsia" w:ascii="宋体" w:hAnsi="宋体"/>
                <w:b/>
                <w:color w:val="auto"/>
                <w:sz w:val="28"/>
                <w:szCs w:val="28"/>
                <w:highlight w:val="none"/>
              </w:rPr>
            </w:pPr>
          </w:p>
        </w:tc>
        <w:tc>
          <w:tcPr>
            <w:tcW w:w="1984" w:type="dxa"/>
            <w:noWrap w:val="0"/>
            <w:vAlign w:val="top"/>
          </w:tcPr>
          <w:p w14:paraId="35F97A51">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0506D2D5">
            <w:pPr>
              <w:pStyle w:val="7"/>
              <w:ind w:firstLine="0"/>
              <w:jc w:val="left"/>
              <w:rPr>
                <w:rFonts w:hint="eastAsia" w:ascii="宋体" w:hAnsi="宋体"/>
                <w:b/>
                <w:color w:val="auto"/>
                <w:sz w:val="28"/>
                <w:szCs w:val="28"/>
                <w:highlight w:val="none"/>
              </w:rPr>
            </w:pPr>
          </w:p>
        </w:tc>
      </w:tr>
      <w:tr w14:paraId="0ADB6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18E9368C">
            <w:pPr>
              <w:pStyle w:val="7"/>
              <w:ind w:firstLine="0"/>
              <w:jc w:val="left"/>
              <w:rPr>
                <w:rFonts w:hint="eastAsia" w:ascii="宋体" w:hAnsi="宋体"/>
                <w:b/>
                <w:color w:val="auto"/>
                <w:sz w:val="28"/>
                <w:szCs w:val="28"/>
                <w:highlight w:val="none"/>
              </w:rPr>
            </w:pPr>
          </w:p>
        </w:tc>
        <w:tc>
          <w:tcPr>
            <w:tcW w:w="850" w:type="dxa"/>
            <w:noWrap w:val="0"/>
            <w:vAlign w:val="top"/>
          </w:tcPr>
          <w:p w14:paraId="62C11FB1">
            <w:pPr>
              <w:pStyle w:val="7"/>
              <w:ind w:firstLine="0"/>
              <w:jc w:val="left"/>
              <w:rPr>
                <w:rFonts w:hint="eastAsia" w:ascii="宋体" w:hAnsi="宋体"/>
                <w:b/>
                <w:color w:val="auto"/>
                <w:sz w:val="28"/>
                <w:szCs w:val="28"/>
                <w:highlight w:val="none"/>
              </w:rPr>
            </w:pPr>
          </w:p>
        </w:tc>
        <w:tc>
          <w:tcPr>
            <w:tcW w:w="1134" w:type="dxa"/>
            <w:noWrap w:val="0"/>
            <w:vAlign w:val="top"/>
          </w:tcPr>
          <w:p w14:paraId="484FEF91">
            <w:pPr>
              <w:pStyle w:val="7"/>
              <w:ind w:firstLine="0"/>
              <w:jc w:val="left"/>
              <w:rPr>
                <w:rFonts w:hint="eastAsia" w:ascii="宋体" w:hAnsi="宋体"/>
                <w:b/>
                <w:color w:val="auto"/>
                <w:sz w:val="28"/>
                <w:szCs w:val="28"/>
                <w:highlight w:val="none"/>
              </w:rPr>
            </w:pPr>
          </w:p>
        </w:tc>
        <w:tc>
          <w:tcPr>
            <w:tcW w:w="1560" w:type="dxa"/>
            <w:noWrap w:val="0"/>
            <w:vAlign w:val="top"/>
          </w:tcPr>
          <w:p w14:paraId="7132291B">
            <w:pPr>
              <w:pStyle w:val="7"/>
              <w:ind w:firstLine="0"/>
              <w:jc w:val="left"/>
              <w:rPr>
                <w:rFonts w:hint="eastAsia" w:ascii="宋体" w:hAnsi="宋体"/>
                <w:b/>
                <w:color w:val="auto"/>
                <w:sz w:val="28"/>
                <w:szCs w:val="28"/>
                <w:highlight w:val="none"/>
              </w:rPr>
            </w:pPr>
          </w:p>
        </w:tc>
        <w:tc>
          <w:tcPr>
            <w:tcW w:w="1701" w:type="dxa"/>
            <w:noWrap w:val="0"/>
            <w:vAlign w:val="top"/>
          </w:tcPr>
          <w:p w14:paraId="34A1C2A7">
            <w:pPr>
              <w:pStyle w:val="7"/>
              <w:ind w:firstLine="0"/>
              <w:jc w:val="left"/>
              <w:rPr>
                <w:rFonts w:hint="eastAsia" w:ascii="宋体" w:hAnsi="宋体"/>
                <w:b/>
                <w:color w:val="auto"/>
                <w:sz w:val="28"/>
                <w:szCs w:val="28"/>
                <w:highlight w:val="none"/>
              </w:rPr>
            </w:pPr>
          </w:p>
        </w:tc>
        <w:tc>
          <w:tcPr>
            <w:tcW w:w="1984" w:type="dxa"/>
            <w:noWrap w:val="0"/>
            <w:vAlign w:val="top"/>
          </w:tcPr>
          <w:p w14:paraId="31F0F723">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B5736B1">
            <w:pPr>
              <w:pStyle w:val="7"/>
              <w:ind w:firstLine="0"/>
              <w:jc w:val="left"/>
              <w:rPr>
                <w:rFonts w:hint="eastAsia" w:ascii="宋体" w:hAnsi="宋体"/>
                <w:b/>
                <w:color w:val="auto"/>
                <w:sz w:val="28"/>
                <w:szCs w:val="28"/>
                <w:highlight w:val="none"/>
              </w:rPr>
            </w:pPr>
          </w:p>
        </w:tc>
      </w:tr>
      <w:tr w14:paraId="3FD09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545EEDF1">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0012C77F">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7E24E494">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6E3C268C">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4886003D">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7445C607">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6046086C">
            <w:pPr>
              <w:pStyle w:val="7"/>
              <w:ind w:firstLine="0"/>
              <w:jc w:val="left"/>
              <w:rPr>
                <w:rFonts w:hint="eastAsia" w:ascii="宋体" w:hAnsi="宋体"/>
                <w:b/>
                <w:color w:val="auto"/>
                <w:sz w:val="28"/>
                <w:szCs w:val="28"/>
                <w:highlight w:val="none"/>
              </w:rPr>
            </w:pPr>
          </w:p>
        </w:tc>
      </w:tr>
    </w:tbl>
    <w:p w14:paraId="58202675">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822434F">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1.职务是指在本单位所担任的职务。2.除表（一）（二）外，需要补充的证明材料可另纸说明。</w:t>
      </w:r>
    </w:p>
    <w:p w14:paraId="650B863D">
      <w:pPr>
        <w:pStyle w:val="7"/>
        <w:ind w:firstLine="0"/>
        <w:jc w:val="left"/>
        <w:rPr>
          <w:rFonts w:hint="eastAsia" w:ascii="宋体" w:hAnsi="宋体"/>
          <w:b/>
          <w:color w:val="auto"/>
          <w:sz w:val="24"/>
          <w:szCs w:val="24"/>
          <w:highlight w:val="none"/>
        </w:rPr>
      </w:pPr>
    </w:p>
    <w:p w14:paraId="1A18DA24">
      <w:pPr>
        <w:pStyle w:val="7"/>
        <w:ind w:firstLine="0"/>
        <w:jc w:val="left"/>
        <w:rPr>
          <w:rFonts w:hint="eastAsia" w:ascii="宋体" w:hAnsi="宋体"/>
          <w:b/>
          <w:color w:val="auto"/>
          <w:sz w:val="24"/>
          <w:szCs w:val="24"/>
          <w:highlight w:val="none"/>
        </w:rPr>
      </w:pPr>
    </w:p>
    <w:p w14:paraId="44D3395A">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3EAFD92B">
      <w:pPr>
        <w:spacing w:line="400" w:lineRule="exact"/>
        <w:jc w:val="center"/>
        <w:outlineLvl w:val="9"/>
        <w:rPr>
          <w:rFonts w:hint="eastAsia" w:ascii="宋体" w:hAnsi="宋体"/>
          <w:color w:val="auto"/>
          <w:szCs w:val="21"/>
          <w:highlight w:val="none"/>
        </w:rPr>
      </w:pPr>
    </w:p>
    <w:p w14:paraId="0711B4B0">
      <w:pPr>
        <w:spacing w:line="400" w:lineRule="exact"/>
        <w:ind w:firstLine="105" w:firstLineChars="50"/>
        <w:outlineLvl w:val="1"/>
        <w:rPr>
          <w:rFonts w:hint="eastAsia" w:ascii="宋体" w:hAnsi="宋体"/>
          <w:color w:val="auto"/>
          <w:szCs w:val="21"/>
          <w:highlight w:val="none"/>
        </w:rPr>
      </w:pPr>
      <w:bookmarkStart w:id="243" w:name="_Toc10"/>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43"/>
    </w:p>
    <w:p w14:paraId="46FD50BE">
      <w:pPr>
        <w:spacing w:before="480" w:beforeLines="200"/>
        <w:ind w:firstLine="123" w:firstLineChars="59"/>
        <w:outlineLvl w:val="1"/>
        <w:rPr>
          <w:rFonts w:hint="eastAsia" w:ascii="宋体" w:hAnsi="宋体"/>
          <w:b/>
          <w:color w:val="auto"/>
          <w:sz w:val="36"/>
          <w:szCs w:val="36"/>
          <w:highlight w:val="none"/>
        </w:rPr>
      </w:pPr>
      <w:bookmarkStart w:id="244" w:name="_Toc15948"/>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44"/>
    </w:p>
    <w:p w14:paraId="4B695BAB">
      <w:pPr>
        <w:pStyle w:val="7"/>
        <w:ind w:firstLine="0"/>
        <w:jc w:val="center"/>
        <w:rPr>
          <w:rFonts w:hint="eastAsia" w:ascii="宋体" w:hAnsi="宋体"/>
          <w:b/>
          <w:color w:val="auto"/>
          <w:sz w:val="36"/>
          <w:szCs w:val="36"/>
          <w:highlight w:val="none"/>
        </w:rPr>
      </w:pPr>
    </w:p>
    <w:p w14:paraId="4719B9D0">
      <w:pPr>
        <w:pStyle w:val="7"/>
        <w:ind w:firstLine="0"/>
        <w:jc w:val="center"/>
        <w:outlineLvl w:val="1"/>
        <w:rPr>
          <w:rFonts w:hint="eastAsia" w:ascii="仿宋_GB2312" w:eastAsia="仿宋_GB2312"/>
          <w:b/>
          <w:color w:val="auto"/>
          <w:sz w:val="36"/>
          <w:szCs w:val="36"/>
          <w:highlight w:val="none"/>
        </w:rPr>
      </w:pPr>
      <w:r>
        <w:rPr>
          <w:rFonts w:ascii="宋体" w:hAnsi="宋体"/>
          <w:b/>
          <w:color w:val="auto"/>
          <w:sz w:val="36"/>
          <w:szCs w:val="36"/>
          <w:highlight w:val="none"/>
        </w:rPr>
        <w:br w:type="page"/>
      </w:r>
      <w:bookmarkStart w:id="245" w:name="_Toc20626"/>
      <w:r>
        <w:rPr>
          <w:rFonts w:hint="eastAsia" w:ascii="宋体" w:hAnsi="宋体"/>
          <w:b/>
          <w:color w:val="auto"/>
          <w:sz w:val="36"/>
          <w:szCs w:val="36"/>
          <w:highlight w:val="none"/>
          <w:lang w:val="en-US" w:eastAsia="zh-CN"/>
        </w:rPr>
        <w:t>10</w:t>
      </w:r>
      <w:r>
        <w:rPr>
          <w:rFonts w:hint="eastAsia" w:ascii="宋体" w:hAnsi="宋体"/>
          <w:b/>
          <w:color w:val="auto"/>
          <w:sz w:val="36"/>
          <w:szCs w:val="36"/>
          <w:highlight w:val="none"/>
        </w:rPr>
        <w:t>.投标声明书</w:t>
      </w:r>
      <w:bookmarkEnd w:id="245"/>
    </w:p>
    <w:p w14:paraId="037C4860">
      <w:pPr>
        <w:pStyle w:val="7"/>
        <w:spacing w:after="120" w:afterLines="50" w:line="360" w:lineRule="auto"/>
        <w:ind w:firstLine="0"/>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w:t>
      </w:r>
    </w:p>
    <w:p w14:paraId="5DD24C32">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我方</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（投标人），就参加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采购项目（</w:t>
      </w:r>
      <w:r>
        <w:rPr>
          <w:rFonts w:hint="eastAsia" w:ascii="宋体" w:hAnsi="宋体"/>
          <w:color w:val="auto"/>
          <w:szCs w:val="21"/>
          <w:highlight w:val="none"/>
          <w:u w:val="single"/>
        </w:rPr>
        <w:t>采购项目编号</w:t>
      </w:r>
      <w:r>
        <w:rPr>
          <w:rFonts w:hint="eastAsia" w:ascii="宋体" w:hAnsi="宋体"/>
          <w:color w:val="auto"/>
          <w:szCs w:val="21"/>
          <w:highlight w:val="none"/>
        </w:rPr>
        <w:t>）投标事宜，在此郑重声明：</w:t>
      </w:r>
    </w:p>
    <w:p w14:paraId="4CD98BEE">
      <w:pPr>
        <w:pStyle w:val="7"/>
        <w:spacing w:line="360" w:lineRule="auto"/>
        <w:ind w:firstLine="573"/>
        <w:outlineLvl w:val="1"/>
        <w:rPr>
          <w:rFonts w:hint="eastAsia" w:ascii="宋体" w:hAnsi="宋体"/>
          <w:color w:val="auto"/>
          <w:szCs w:val="21"/>
          <w:highlight w:val="none"/>
        </w:rPr>
      </w:pPr>
      <w:bookmarkStart w:id="246" w:name="_Toc15885"/>
      <w:r>
        <w:rPr>
          <w:rFonts w:hint="eastAsia" w:ascii="宋体" w:hAnsi="宋体"/>
          <w:color w:val="auto"/>
          <w:szCs w:val="21"/>
          <w:highlight w:val="none"/>
        </w:rPr>
        <w:t>1.我方所提交的投标文件全部真实有效；</w:t>
      </w:r>
      <w:bookmarkEnd w:id="246"/>
    </w:p>
    <w:p w14:paraId="3C93351A">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2.我方近3年来无因安全事故、质量事故、投标违规等不良记录被政府有关部门处罚或仍在处罚期限内的情形存在；</w:t>
      </w:r>
    </w:p>
    <w:p w14:paraId="0799E557">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3.我方近3年来无违规违法经营受到责令停产(或停止经营)、吊销生产许可证（或经营许可证）、较大数额罚款（举行听证会）等行政处罚的情形存在；</w:t>
      </w:r>
    </w:p>
    <w:p w14:paraId="39645398">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4.我方无企业财产被查封、冻结或处于破产状态或严重亏损状态等情形存在；</w:t>
      </w:r>
    </w:p>
    <w:p w14:paraId="7EF37788">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5.我方承诺在投标过程中，保证不予其他单位围标、串标，不出让投标资格，不采取不正当手段诋毁、排挤其他投标人，不向采购人、采购代理机构、评标委员会成员行贿；</w:t>
      </w:r>
    </w:p>
    <w:p w14:paraId="7A9CB573">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6.我方参加本次政府采购活动近3年内，在经营活动中没有重大违法记录；</w:t>
      </w:r>
    </w:p>
    <w:p w14:paraId="74C94332">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7.我方在投标时未列入政府采购严重违法</w:t>
      </w:r>
      <w:r>
        <w:rPr>
          <w:rFonts w:hint="eastAsia" w:ascii="宋体" w:hAnsi="宋体" w:cs="Arial"/>
          <w:color w:val="auto"/>
          <w:szCs w:val="21"/>
          <w:highlight w:val="none"/>
          <w:shd w:val="clear" w:color="auto" w:fill="FFFFFF"/>
        </w:rPr>
        <w:t>失信行为记录</w:t>
      </w:r>
      <w:r>
        <w:rPr>
          <w:rFonts w:hint="eastAsia" w:ascii="宋体" w:hAnsi="宋体"/>
          <w:color w:val="auto"/>
          <w:szCs w:val="21"/>
          <w:highlight w:val="none"/>
        </w:rPr>
        <w:t>名单、失信被执行人、</w:t>
      </w:r>
      <w:r>
        <w:rPr>
          <w:rFonts w:hint="eastAsia" w:ascii="宋体" w:hAnsi="宋体"/>
          <w:color w:val="auto"/>
          <w:szCs w:val="21"/>
          <w:highlight w:val="none"/>
          <w:lang w:eastAsia="zh-CN"/>
        </w:rPr>
        <w:t>重大税收违法失信主体</w:t>
      </w:r>
      <w:r>
        <w:rPr>
          <w:rFonts w:hint="eastAsia" w:ascii="宋体" w:hAnsi="宋体"/>
          <w:color w:val="auto"/>
          <w:szCs w:val="21"/>
          <w:highlight w:val="none"/>
        </w:rPr>
        <w:t>。</w:t>
      </w:r>
    </w:p>
    <w:p w14:paraId="0AD94EA6">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以上声明若有违反，一经查实，我方愿意接受政府有关部门的相应处罚，并愿意承担由此带来的法律后果。</w:t>
      </w:r>
    </w:p>
    <w:p w14:paraId="1B4B8445">
      <w:pPr>
        <w:pStyle w:val="7"/>
        <w:spacing w:line="480" w:lineRule="auto"/>
        <w:ind w:firstLine="570"/>
        <w:rPr>
          <w:rFonts w:hint="eastAsia" w:ascii="宋体" w:hAnsi="宋体"/>
          <w:color w:val="auto"/>
          <w:szCs w:val="21"/>
          <w:highlight w:val="none"/>
        </w:rPr>
      </w:pPr>
    </w:p>
    <w:p w14:paraId="761D7E7B">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特此声明！</w:t>
      </w:r>
    </w:p>
    <w:p w14:paraId="707C2268">
      <w:pPr>
        <w:pStyle w:val="7"/>
        <w:spacing w:line="480" w:lineRule="auto"/>
        <w:ind w:firstLine="570"/>
        <w:rPr>
          <w:rFonts w:hint="eastAsia" w:ascii="宋体" w:hAnsi="宋体"/>
          <w:color w:val="auto"/>
          <w:szCs w:val="21"/>
          <w:highlight w:val="none"/>
        </w:rPr>
      </w:pPr>
    </w:p>
    <w:p w14:paraId="0AF390B0">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声  明  人:</w:t>
      </w:r>
      <w:r>
        <w:rPr>
          <w:rFonts w:hint="eastAsia" w:ascii="宋体" w:hAnsi="宋体"/>
          <w:color w:val="auto"/>
          <w:szCs w:val="21"/>
          <w:highlight w:val="none"/>
          <w:u w:val="single"/>
        </w:rPr>
        <w:t xml:space="preserve">                      </w:t>
      </w:r>
      <w:r>
        <w:rPr>
          <w:rFonts w:hint="eastAsia" w:ascii="宋体" w:hAnsi="宋体"/>
          <w:color w:val="auto"/>
          <w:szCs w:val="21"/>
          <w:highlight w:val="none"/>
        </w:rPr>
        <w:t>(投标人名称、盖单位章)</w:t>
      </w:r>
    </w:p>
    <w:p w14:paraId="62C9B20D">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5AD5354D">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日      期：</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2964BBF6">
      <w:pPr>
        <w:spacing w:line="360" w:lineRule="auto"/>
        <w:ind w:firstLine="420" w:firstLineChars="200"/>
        <w:rPr>
          <w:rFonts w:hint="eastAsia" w:ascii="宋体" w:hAnsi="宋体"/>
          <w:color w:val="auto"/>
          <w:szCs w:val="21"/>
          <w:highlight w:val="none"/>
        </w:rPr>
      </w:pPr>
    </w:p>
    <w:p w14:paraId="39E5E8D2">
      <w:pPr>
        <w:tabs>
          <w:tab w:val="left" w:pos="3600"/>
        </w:tabs>
        <w:adjustRightInd w:val="0"/>
        <w:snapToGrid w:val="0"/>
        <w:jc w:val="center"/>
        <w:rPr>
          <w:rFonts w:hint="eastAsia" w:ascii="宋体" w:hAnsi="宋体"/>
          <w:b/>
          <w:color w:val="auto"/>
          <w:sz w:val="36"/>
          <w:szCs w:val="36"/>
          <w:highlight w:val="none"/>
        </w:rPr>
      </w:pPr>
    </w:p>
    <w:p w14:paraId="1CE09159">
      <w:pPr>
        <w:tabs>
          <w:tab w:val="left" w:pos="3600"/>
        </w:tabs>
        <w:adjustRightInd w:val="0"/>
        <w:snapToGrid w:val="0"/>
        <w:jc w:val="center"/>
        <w:rPr>
          <w:rFonts w:hint="eastAsia" w:ascii="宋体" w:hAnsi="宋体"/>
          <w:b/>
          <w:color w:val="auto"/>
          <w:sz w:val="36"/>
          <w:szCs w:val="36"/>
          <w:highlight w:val="none"/>
        </w:rPr>
      </w:pPr>
    </w:p>
    <w:p w14:paraId="1FC7BA63">
      <w:pPr>
        <w:pStyle w:val="30"/>
        <w:rPr>
          <w:rFonts w:hint="eastAsia" w:ascii="宋体" w:hAnsi="宋体"/>
          <w:b/>
          <w:color w:val="auto"/>
          <w:sz w:val="36"/>
          <w:szCs w:val="36"/>
          <w:highlight w:val="none"/>
        </w:rPr>
      </w:pPr>
    </w:p>
    <w:p w14:paraId="0D675C40">
      <w:pPr>
        <w:pStyle w:val="30"/>
        <w:rPr>
          <w:rFonts w:hint="eastAsia" w:ascii="宋体" w:hAnsi="宋体"/>
          <w:b/>
          <w:color w:val="auto"/>
          <w:sz w:val="36"/>
          <w:szCs w:val="36"/>
          <w:highlight w:val="none"/>
        </w:rPr>
      </w:pPr>
    </w:p>
    <w:p w14:paraId="49BEA618">
      <w:pPr>
        <w:pStyle w:val="33"/>
        <w:rPr>
          <w:rFonts w:hint="eastAsia"/>
          <w:color w:val="auto"/>
          <w:highlight w:val="none"/>
        </w:rPr>
      </w:pPr>
    </w:p>
    <w:p w14:paraId="2F77227B">
      <w:pPr>
        <w:tabs>
          <w:tab w:val="left" w:pos="3600"/>
        </w:tabs>
        <w:adjustRightInd w:val="0"/>
        <w:snapToGrid w:val="0"/>
        <w:spacing w:before="240" w:beforeLines="100"/>
        <w:jc w:val="center"/>
        <w:outlineLvl w:val="1"/>
        <w:rPr>
          <w:rFonts w:hint="eastAsia" w:ascii="宋体" w:hAnsi="宋体" w:eastAsia="宋体" w:cs="Times New Roman"/>
          <w:b/>
          <w:color w:val="auto"/>
          <w:kern w:val="2"/>
          <w:sz w:val="36"/>
          <w:szCs w:val="36"/>
          <w:highlight w:val="none"/>
          <w:lang w:val="en-US" w:eastAsia="zh-CN" w:bidi="ar-SA"/>
        </w:rPr>
      </w:pPr>
      <w:bookmarkStart w:id="247" w:name="_Toc9832"/>
      <w:r>
        <w:rPr>
          <w:rFonts w:hint="eastAsia" w:ascii="宋体" w:hAnsi="宋体" w:eastAsia="宋体" w:cs="Times New Roman"/>
          <w:b/>
          <w:color w:val="auto"/>
          <w:kern w:val="2"/>
          <w:sz w:val="36"/>
          <w:szCs w:val="36"/>
          <w:highlight w:val="none"/>
          <w:lang w:val="en-US" w:eastAsia="zh-CN" w:bidi="ar-SA"/>
        </w:rPr>
        <w:t>11.提供投标人享受政府采购优惠政策的证明材料</w:t>
      </w:r>
      <w:bookmarkEnd w:id="247"/>
    </w:p>
    <w:p w14:paraId="3BA16770">
      <w:pPr>
        <w:pStyle w:val="12"/>
        <w:adjustRightInd w:val="0"/>
        <w:snapToGrid w:val="0"/>
        <w:spacing w:line="360" w:lineRule="auto"/>
        <w:ind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说明：本项目不专门面向中小企业；</w:t>
      </w:r>
    </w:p>
    <w:p w14:paraId="714FC7DC">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（1）中小企业声明函格式见附件</w:t>
      </w:r>
      <w:r>
        <w:rPr>
          <w:rFonts w:hint="eastAsia" w:ascii="楷体" w:hAnsi="楷体" w:eastAsia="楷体"/>
          <w:color w:val="auto"/>
          <w:highlight w:val="none"/>
          <w:lang w:val="en-US" w:eastAsia="zh-CN"/>
        </w:rPr>
        <w:t>1</w:t>
      </w:r>
      <w:r>
        <w:rPr>
          <w:rFonts w:hint="eastAsia" w:ascii="楷体" w:hAnsi="楷体" w:eastAsia="楷体"/>
          <w:color w:val="auto"/>
          <w:highlight w:val="none"/>
        </w:rPr>
        <w:t>；（非</w:t>
      </w:r>
      <w:r>
        <w:rPr>
          <w:rFonts w:hint="eastAsia" w:ascii="楷体" w:hAnsi="楷体" w:eastAsia="楷体"/>
          <w:color w:val="auto"/>
          <w:highlight w:val="none"/>
          <w:lang w:eastAsia="zh-CN"/>
        </w:rPr>
        <w:t>中</w:t>
      </w:r>
      <w:r>
        <w:rPr>
          <w:rFonts w:hint="eastAsia" w:ascii="楷体" w:hAnsi="楷体" w:eastAsia="楷体"/>
          <w:color w:val="auto"/>
          <w:highlight w:val="none"/>
        </w:rPr>
        <w:t>小微企业可不提供该附件）</w:t>
      </w:r>
    </w:p>
    <w:p w14:paraId="3CDC927B">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（2）残疾人福利性单位声明函格式见附件</w:t>
      </w:r>
      <w:r>
        <w:rPr>
          <w:rFonts w:hint="eastAsia" w:ascii="楷体" w:hAnsi="楷体" w:eastAsia="楷体"/>
          <w:color w:val="auto"/>
          <w:highlight w:val="none"/>
          <w:lang w:val="en-US" w:eastAsia="zh-CN"/>
        </w:rPr>
        <w:t>2</w:t>
      </w:r>
      <w:r>
        <w:rPr>
          <w:rFonts w:hint="eastAsia" w:ascii="楷体" w:hAnsi="楷体" w:eastAsia="楷体"/>
          <w:color w:val="auto"/>
          <w:highlight w:val="none"/>
        </w:rPr>
        <w:t>；（非残疾人福利企业可不提供该附件）</w:t>
      </w:r>
    </w:p>
    <w:p w14:paraId="05DE5D6D">
      <w:pPr>
        <w:adjustRightInd w:val="0"/>
        <w:snapToGrid w:val="0"/>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（3）监狱企业证明文件见附件</w:t>
      </w: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w:t>
      </w:r>
      <w:r>
        <w:rPr>
          <w:rFonts w:hint="eastAsia" w:ascii="楷体" w:hAnsi="楷体" w:eastAsia="楷体"/>
          <w:color w:val="auto"/>
          <w:highlight w:val="none"/>
        </w:rPr>
        <w:t>（非监狱企业可不提供该附件）</w:t>
      </w:r>
    </w:p>
    <w:p w14:paraId="4EE5AEBB">
      <w:pPr>
        <w:pStyle w:val="39"/>
        <w:spacing w:line="400" w:lineRule="exact"/>
        <w:rPr>
          <w:rFonts w:hint="eastAsia" w:ascii="宋体" w:hAnsi="宋体"/>
          <w:b/>
          <w:color w:val="auto"/>
          <w:sz w:val="28"/>
          <w:szCs w:val="28"/>
          <w:highlight w:val="none"/>
        </w:rPr>
      </w:pPr>
    </w:p>
    <w:p w14:paraId="0BA1EFB0">
      <w:pPr>
        <w:pStyle w:val="39"/>
        <w:spacing w:line="400" w:lineRule="exact"/>
        <w:rPr>
          <w:rFonts w:hint="eastAsia" w:ascii="宋体" w:hAnsi="宋体"/>
          <w:b/>
          <w:color w:val="auto"/>
          <w:sz w:val="28"/>
          <w:szCs w:val="28"/>
          <w:highlight w:val="none"/>
        </w:rPr>
      </w:pPr>
    </w:p>
    <w:p w14:paraId="7CBFFE06">
      <w:pPr>
        <w:pStyle w:val="39"/>
        <w:spacing w:line="400" w:lineRule="exact"/>
        <w:rPr>
          <w:rFonts w:hint="eastAsia" w:ascii="宋体" w:hAnsi="宋体"/>
          <w:b/>
          <w:color w:val="auto"/>
          <w:sz w:val="28"/>
          <w:szCs w:val="28"/>
          <w:highlight w:val="none"/>
        </w:rPr>
      </w:pPr>
    </w:p>
    <w:p w14:paraId="03AA8D79">
      <w:pPr>
        <w:pStyle w:val="39"/>
        <w:spacing w:line="400" w:lineRule="exact"/>
        <w:rPr>
          <w:rFonts w:hint="eastAsia" w:ascii="宋体" w:hAnsi="宋体"/>
          <w:b/>
          <w:color w:val="auto"/>
          <w:sz w:val="28"/>
          <w:szCs w:val="28"/>
          <w:highlight w:val="none"/>
        </w:rPr>
      </w:pPr>
    </w:p>
    <w:p w14:paraId="318C2B7E">
      <w:pPr>
        <w:pStyle w:val="39"/>
        <w:spacing w:line="400" w:lineRule="exact"/>
        <w:rPr>
          <w:rFonts w:hint="eastAsia" w:ascii="宋体" w:hAnsi="宋体"/>
          <w:b/>
          <w:color w:val="auto"/>
          <w:sz w:val="28"/>
          <w:szCs w:val="28"/>
          <w:highlight w:val="none"/>
        </w:rPr>
      </w:pPr>
    </w:p>
    <w:p w14:paraId="4C4BBA63">
      <w:pPr>
        <w:pStyle w:val="39"/>
        <w:spacing w:line="400" w:lineRule="exact"/>
        <w:rPr>
          <w:rFonts w:hint="eastAsia" w:ascii="宋体" w:hAnsi="宋体"/>
          <w:b/>
          <w:color w:val="auto"/>
          <w:sz w:val="28"/>
          <w:szCs w:val="28"/>
          <w:highlight w:val="none"/>
        </w:rPr>
      </w:pPr>
    </w:p>
    <w:p w14:paraId="55AFD4A3">
      <w:pPr>
        <w:pStyle w:val="39"/>
        <w:spacing w:line="400" w:lineRule="exact"/>
        <w:rPr>
          <w:rFonts w:hint="eastAsia" w:ascii="宋体" w:hAnsi="宋体"/>
          <w:b/>
          <w:color w:val="auto"/>
          <w:sz w:val="28"/>
          <w:szCs w:val="28"/>
          <w:highlight w:val="none"/>
        </w:rPr>
      </w:pPr>
    </w:p>
    <w:p w14:paraId="6A8AD860">
      <w:pPr>
        <w:pStyle w:val="39"/>
        <w:spacing w:line="400" w:lineRule="exact"/>
        <w:rPr>
          <w:rFonts w:hint="eastAsia" w:ascii="宋体" w:hAnsi="宋体"/>
          <w:b/>
          <w:color w:val="auto"/>
          <w:sz w:val="28"/>
          <w:szCs w:val="28"/>
          <w:highlight w:val="none"/>
        </w:rPr>
      </w:pPr>
    </w:p>
    <w:p w14:paraId="26306D62">
      <w:pPr>
        <w:pStyle w:val="39"/>
        <w:spacing w:line="400" w:lineRule="exact"/>
        <w:rPr>
          <w:rFonts w:hint="eastAsia" w:ascii="宋体" w:hAnsi="宋体"/>
          <w:b/>
          <w:color w:val="auto"/>
          <w:sz w:val="28"/>
          <w:szCs w:val="28"/>
          <w:highlight w:val="none"/>
        </w:rPr>
      </w:pPr>
    </w:p>
    <w:p w14:paraId="26E51056">
      <w:pPr>
        <w:pStyle w:val="39"/>
        <w:spacing w:line="400" w:lineRule="exact"/>
        <w:rPr>
          <w:rFonts w:hint="eastAsia" w:ascii="宋体" w:hAnsi="宋体"/>
          <w:b/>
          <w:color w:val="auto"/>
          <w:sz w:val="28"/>
          <w:szCs w:val="28"/>
          <w:highlight w:val="none"/>
        </w:rPr>
      </w:pPr>
    </w:p>
    <w:p w14:paraId="01644C99">
      <w:pPr>
        <w:pStyle w:val="39"/>
        <w:spacing w:line="400" w:lineRule="exact"/>
        <w:rPr>
          <w:rFonts w:hint="eastAsia" w:ascii="宋体" w:hAnsi="宋体"/>
          <w:b/>
          <w:color w:val="auto"/>
          <w:sz w:val="28"/>
          <w:szCs w:val="28"/>
          <w:highlight w:val="none"/>
        </w:rPr>
      </w:pPr>
    </w:p>
    <w:p w14:paraId="0244E092">
      <w:pPr>
        <w:pStyle w:val="39"/>
        <w:spacing w:line="400" w:lineRule="exact"/>
        <w:rPr>
          <w:rFonts w:hint="eastAsia" w:ascii="宋体" w:hAnsi="宋体"/>
          <w:b/>
          <w:color w:val="auto"/>
          <w:sz w:val="28"/>
          <w:szCs w:val="28"/>
          <w:highlight w:val="none"/>
        </w:rPr>
      </w:pPr>
    </w:p>
    <w:p w14:paraId="57401690">
      <w:pPr>
        <w:pStyle w:val="39"/>
        <w:spacing w:line="400" w:lineRule="exact"/>
        <w:rPr>
          <w:rFonts w:hint="eastAsia" w:ascii="宋体" w:hAnsi="宋体"/>
          <w:b/>
          <w:color w:val="auto"/>
          <w:sz w:val="28"/>
          <w:szCs w:val="28"/>
          <w:highlight w:val="none"/>
        </w:rPr>
      </w:pPr>
    </w:p>
    <w:p w14:paraId="2CD6F169">
      <w:pPr>
        <w:pStyle w:val="39"/>
        <w:spacing w:line="400" w:lineRule="exact"/>
        <w:rPr>
          <w:rFonts w:hint="eastAsia" w:ascii="宋体" w:hAnsi="宋体"/>
          <w:b/>
          <w:color w:val="auto"/>
          <w:sz w:val="28"/>
          <w:szCs w:val="28"/>
          <w:highlight w:val="none"/>
        </w:rPr>
      </w:pPr>
    </w:p>
    <w:p w14:paraId="15698047">
      <w:pPr>
        <w:pStyle w:val="39"/>
        <w:spacing w:line="400" w:lineRule="exact"/>
        <w:rPr>
          <w:rFonts w:hint="eastAsia" w:ascii="宋体" w:hAnsi="宋体"/>
          <w:b/>
          <w:color w:val="auto"/>
          <w:sz w:val="28"/>
          <w:szCs w:val="28"/>
          <w:highlight w:val="none"/>
        </w:rPr>
      </w:pPr>
    </w:p>
    <w:p w14:paraId="5E9B1873">
      <w:pPr>
        <w:pStyle w:val="39"/>
        <w:spacing w:line="400" w:lineRule="exact"/>
        <w:rPr>
          <w:rFonts w:hint="eastAsia" w:ascii="宋体" w:hAnsi="宋体"/>
          <w:b/>
          <w:color w:val="auto"/>
          <w:sz w:val="28"/>
          <w:szCs w:val="28"/>
          <w:highlight w:val="none"/>
        </w:rPr>
      </w:pPr>
    </w:p>
    <w:p w14:paraId="53E9BCB3">
      <w:pPr>
        <w:pStyle w:val="39"/>
        <w:spacing w:line="400" w:lineRule="exact"/>
        <w:rPr>
          <w:rFonts w:hint="eastAsia" w:ascii="宋体" w:hAnsi="宋体"/>
          <w:b/>
          <w:color w:val="auto"/>
          <w:sz w:val="28"/>
          <w:szCs w:val="28"/>
          <w:highlight w:val="none"/>
        </w:rPr>
      </w:pPr>
    </w:p>
    <w:p w14:paraId="125775CB">
      <w:pPr>
        <w:pStyle w:val="39"/>
        <w:spacing w:line="400" w:lineRule="exact"/>
        <w:rPr>
          <w:rFonts w:hint="eastAsia" w:ascii="宋体" w:hAnsi="宋体"/>
          <w:b/>
          <w:color w:val="auto"/>
          <w:sz w:val="28"/>
          <w:szCs w:val="28"/>
          <w:highlight w:val="none"/>
        </w:rPr>
      </w:pPr>
    </w:p>
    <w:p w14:paraId="601881C4">
      <w:pPr>
        <w:pStyle w:val="39"/>
        <w:spacing w:line="400" w:lineRule="exact"/>
        <w:rPr>
          <w:rFonts w:hint="eastAsia" w:ascii="宋体" w:hAnsi="宋体"/>
          <w:b/>
          <w:color w:val="auto"/>
          <w:sz w:val="28"/>
          <w:szCs w:val="28"/>
          <w:highlight w:val="none"/>
        </w:rPr>
      </w:pPr>
    </w:p>
    <w:p w14:paraId="0E021231">
      <w:pPr>
        <w:pStyle w:val="39"/>
        <w:spacing w:line="400" w:lineRule="exact"/>
        <w:rPr>
          <w:rFonts w:hint="eastAsia" w:ascii="宋体" w:hAnsi="宋体"/>
          <w:b/>
          <w:color w:val="auto"/>
          <w:sz w:val="28"/>
          <w:szCs w:val="28"/>
          <w:highlight w:val="none"/>
        </w:rPr>
      </w:pPr>
    </w:p>
    <w:p w14:paraId="203EAB66">
      <w:pPr>
        <w:pStyle w:val="39"/>
        <w:spacing w:line="400" w:lineRule="exact"/>
        <w:rPr>
          <w:rFonts w:hint="eastAsia" w:ascii="宋体" w:hAnsi="宋体"/>
          <w:b/>
          <w:color w:val="auto"/>
          <w:sz w:val="28"/>
          <w:szCs w:val="28"/>
          <w:highlight w:val="none"/>
        </w:rPr>
      </w:pPr>
    </w:p>
    <w:p w14:paraId="56349A2A">
      <w:pPr>
        <w:pStyle w:val="39"/>
        <w:spacing w:line="400" w:lineRule="exact"/>
        <w:rPr>
          <w:rFonts w:hint="eastAsia" w:ascii="宋体" w:hAnsi="宋体"/>
          <w:b/>
          <w:color w:val="auto"/>
          <w:sz w:val="28"/>
          <w:szCs w:val="28"/>
          <w:highlight w:val="none"/>
        </w:rPr>
      </w:pPr>
    </w:p>
    <w:p w14:paraId="1762B39C">
      <w:pPr>
        <w:pStyle w:val="39"/>
        <w:spacing w:line="400" w:lineRule="exact"/>
        <w:rPr>
          <w:rFonts w:hint="eastAsia" w:ascii="宋体" w:hAnsi="宋体"/>
          <w:b/>
          <w:color w:val="auto"/>
          <w:sz w:val="28"/>
          <w:szCs w:val="28"/>
          <w:highlight w:val="none"/>
        </w:rPr>
      </w:pPr>
    </w:p>
    <w:p w14:paraId="2F7273BA">
      <w:pPr>
        <w:pStyle w:val="39"/>
        <w:spacing w:line="400" w:lineRule="exact"/>
        <w:rPr>
          <w:rFonts w:hint="eastAsia" w:ascii="宋体" w:hAnsi="宋体"/>
          <w:b/>
          <w:color w:val="auto"/>
          <w:sz w:val="28"/>
          <w:szCs w:val="28"/>
          <w:highlight w:val="none"/>
        </w:rPr>
      </w:pPr>
    </w:p>
    <w:p w14:paraId="1C2A5C5A">
      <w:pPr>
        <w:pStyle w:val="39"/>
        <w:spacing w:line="400" w:lineRule="exact"/>
        <w:rPr>
          <w:rFonts w:hint="eastAsia" w:ascii="宋体" w:hAnsi="宋体"/>
          <w:b/>
          <w:color w:val="auto"/>
          <w:sz w:val="28"/>
          <w:szCs w:val="28"/>
          <w:highlight w:val="none"/>
        </w:rPr>
      </w:pPr>
    </w:p>
    <w:p w14:paraId="2224A85B">
      <w:pPr>
        <w:pStyle w:val="39"/>
        <w:spacing w:line="400" w:lineRule="exact"/>
        <w:rPr>
          <w:rFonts w:hint="eastAsia" w:ascii="宋体" w:hAnsi="宋体"/>
          <w:b/>
          <w:color w:val="auto"/>
          <w:sz w:val="28"/>
          <w:szCs w:val="28"/>
          <w:highlight w:val="none"/>
        </w:rPr>
      </w:pPr>
    </w:p>
    <w:p w14:paraId="4DD5B289">
      <w:pPr>
        <w:pStyle w:val="39"/>
        <w:spacing w:line="400" w:lineRule="exact"/>
        <w:rPr>
          <w:rFonts w:hint="eastAsia" w:ascii="宋体" w:hAnsi="宋体"/>
          <w:b/>
          <w:color w:val="auto"/>
          <w:sz w:val="28"/>
          <w:szCs w:val="28"/>
          <w:highlight w:val="none"/>
        </w:rPr>
      </w:pPr>
    </w:p>
    <w:p w14:paraId="43655FEC">
      <w:pPr>
        <w:pStyle w:val="39"/>
        <w:spacing w:line="400" w:lineRule="exact"/>
        <w:rPr>
          <w:rFonts w:hint="eastAsia" w:ascii="宋体" w:hAnsi="宋体"/>
          <w:b/>
          <w:color w:val="auto"/>
          <w:sz w:val="28"/>
          <w:szCs w:val="28"/>
          <w:highlight w:val="none"/>
        </w:rPr>
      </w:pPr>
    </w:p>
    <w:p w14:paraId="11A7D03B">
      <w:pPr>
        <w:pStyle w:val="39"/>
        <w:spacing w:line="400" w:lineRule="exact"/>
        <w:rPr>
          <w:rFonts w:hint="eastAsia" w:ascii="宋体" w:hAnsi="宋体"/>
          <w:b/>
          <w:color w:val="auto"/>
          <w:sz w:val="28"/>
          <w:szCs w:val="28"/>
          <w:highlight w:val="none"/>
        </w:rPr>
      </w:pPr>
    </w:p>
    <w:p w14:paraId="39A44FD5">
      <w:pPr>
        <w:pStyle w:val="39"/>
        <w:spacing w:line="400" w:lineRule="exact"/>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1</w:t>
      </w:r>
      <w:r>
        <w:rPr>
          <w:rFonts w:hint="eastAsia" w:ascii="黑体" w:hAnsi="宋体" w:eastAsia="黑体"/>
          <w:color w:val="auto"/>
          <w:sz w:val="28"/>
          <w:szCs w:val="28"/>
          <w:highlight w:val="none"/>
        </w:rPr>
        <w:t>：</w:t>
      </w:r>
    </w:p>
    <w:p w14:paraId="18C75DBD">
      <w:pPr>
        <w:tabs>
          <w:tab w:val="left" w:pos="3600"/>
        </w:tabs>
        <w:adjustRightInd w:val="0"/>
        <w:snapToGrid w:val="0"/>
        <w:spacing w:before="240" w:beforeLines="100"/>
        <w:jc w:val="center"/>
        <w:rPr>
          <w:rFonts w:hint="eastAsia"/>
          <w:color w:val="auto"/>
          <w:highlight w:val="none"/>
        </w:rPr>
      </w:pPr>
      <w:r>
        <w:rPr>
          <w:rFonts w:hint="eastAsia"/>
          <w:color w:val="auto"/>
          <w:kern w:val="0"/>
          <w:sz w:val="36"/>
          <w:szCs w:val="36"/>
          <w:highlight w:val="none"/>
        </w:rPr>
        <w:t>中小企业声明函</w:t>
      </w:r>
    </w:p>
    <w:p w14:paraId="78E164BF">
      <w:pPr>
        <w:spacing w:line="360" w:lineRule="auto"/>
        <w:ind w:firstLine="420" w:firstLineChars="200"/>
        <w:jc w:val="left"/>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本公司郑重声明，根据《政府采购促进中小企业发展管理办法》（财库〔2020〕46 号）的规定，本公司参加 </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 xml:space="preserve">的 </w:t>
      </w:r>
      <w:r>
        <w:rPr>
          <w:rFonts w:hint="eastAsia" w:asciiTheme="minorEastAsia" w:hAnsiTheme="minorEastAsia" w:eastAsiaTheme="minorEastAsia" w:cstheme="minorEastAsia"/>
          <w:color w:val="auto"/>
          <w:highlight w:val="none"/>
          <w:u w:val="single"/>
        </w:rPr>
        <w:t xml:space="preserve">（项目名称） </w:t>
      </w:r>
      <w:r>
        <w:rPr>
          <w:rFonts w:hint="eastAsia" w:asciiTheme="minorEastAsia" w:hAnsiTheme="minorEastAsia" w:eastAsiaTheme="minorEastAsia" w:cstheme="minorEastAsia"/>
          <w:color w:val="auto"/>
          <w:highlight w:val="none"/>
        </w:rPr>
        <w:t>采购活动，提供的货物全部由符合政策要求的中小企业制造。相关企业（含联合体中的中小企业、签订分包意向协议的中小企业）的具体情况如下：</w:t>
      </w:r>
    </w:p>
    <w:p w14:paraId="5E4FB496">
      <w:pPr>
        <w:spacing w:line="360" w:lineRule="auto"/>
        <w:ind w:firstLine="420" w:firstLineChars="2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w:t>
      </w:r>
      <w:bookmarkStart w:id="248" w:name="_Toc387658050"/>
      <w:bookmarkStart w:id="249" w:name="_Toc417911732"/>
      <w:bookmarkStart w:id="250" w:name="_Toc387147344"/>
      <w:bookmarkStart w:id="251" w:name="_Toc413748654"/>
      <w:bookmarkStart w:id="252" w:name="_Toc419811733"/>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u w:val="single"/>
        </w:rPr>
        <w:t xml:space="preserve">（标的名称）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1C48D5AE">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u w:val="single"/>
        </w:rPr>
        <w:t xml:space="preserve"> （标的名称）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69FE2891">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p w14:paraId="218BCFEB">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以上企业，不属于大企业的分支机构，不存在控股股东为大企业的情形，也不存在与大企业的负责人为同一人的情形。</w:t>
      </w:r>
    </w:p>
    <w:p w14:paraId="55FA211B">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本企业对上述声明内容的真实性负责。如有虚假，将依法承担相应责任。</w:t>
      </w:r>
    </w:p>
    <w:p w14:paraId="768858AA">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企业名称（盖章）：</w:t>
      </w:r>
    </w:p>
    <w:p w14:paraId="2308CF74">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日 期：</w:t>
      </w:r>
    </w:p>
    <w:p w14:paraId="288D5F6B">
      <w:pPr>
        <w:spacing w:line="36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注：</w:t>
      </w:r>
    </w:p>
    <w:p w14:paraId="43BF16CA">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bookmarkEnd w:id="248"/>
      <w:bookmarkEnd w:id="249"/>
      <w:bookmarkEnd w:id="250"/>
      <w:bookmarkEnd w:id="251"/>
      <w:bookmarkEnd w:id="252"/>
      <w:r>
        <w:rPr>
          <w:rFonts w:hint="eastAsia" w:asciiTheme="minorEastAsia" w:hAnsiTheme="minorEastAsia" w:eastAsiaTheme="minorEastAsia" w:cstheme="minorEastAsia"/>
          <w:color w:val="auto"/>
          <w:highlight w:val="none"/>
        </w:rPr>
        <w:t>从业人员、营业收入、资产总额填报上一年度数据，无上一年度数据的新成立企业可不填报。</w:t>
      </w:r>
    </w:p>
    <w:p w14:paraId="5D648647">
      <w:pPr>
        <w:adjustRightInd w:val="0"/>
        <w:snapToGrid w:val="0"/>
        <w:spacing w:line="360" w:lineRule="auto"/>
        <w:rPr>
          <w:rFonts w:hint="eastAsia" w:ascii="黑体" w:hAnsi="宋体" w:eastAsia="黑体"/>
          <w:color w:val="auto"/>
          <w:sz w:val="28"/>
          <w:szCs w:val="28"/>
          <w:highlight w:val="none"/>
        </w:rPr>
      </w:pPr>
    </w:p>
    <w:p w14:paraId="60F674DC">
      <w:pPr>
        <w:rPr>
          <w:rFonts w:hint="eastAsia"/>
          <w:color w:val="auto"/>
          <w:highlight w:val="none"/>
        </w:rPr>
      </w:pPr>
    </w:p>
    <w:p w14:paraId="49F85016">
      <w:pPr>
        <w:adjustRightInd w:val="0"/>
        <w:snapToGrid w:val="0"/>
        <w:spacing w:line="360" w:lineRule="auto"/>
        <w:rPr>
          <w:rFonts w:hint="eastAsia" w:ascii="黑体" w:hAnsi="宋体" w:eastAsia="黑体"/>
          <w:color w:val="auto"/>
          <w:sz w:val="28"/>
          <w:szCs w:val="28"/>
          <w:highlight w:val="none"/>
        </w:rPr>
      </w:pPr>
    </w:p>
    <w:p w14:paraId="5E3A86F8">
      <w:pPr>
        <w:rPr>
          <w:rFonts w:hint="eastAsia" w:ascii="黑体" w:hAnsi="宋体" w:eastAsia="黑体"/>
          <w:color w:val="auto"/>
          <w:sz w:val="28"/>
          <w:szCs w:val="28"/>
          <w:highlight w:val="none"/>
        </w:rPr>
      </w:pPr>
      <w:r>
        <w:rPr>
          <w:rFonts w:hint="eastAsia" w:ascii="黑体" w:hAnsi="宋体" w:eastAsia="黑体"/>
          <w:color w:val="auto"/>
          <w:sz w:val="28"/>
          <w:szCs w:val="28"/>
          <w:highlight w:val="none"/>
        </w:rPr>
        <w:br w:type="page"/>
      </w:r>
    </w:p>
    <w:p w14:paraId="050D5605">
      <w:pPr>
        <w:adjustRightInd w:val="0"/>
        <w:snapToGrid w:val="0"/>
        <w:spacing w:line="360" w:lineRule="auto"/>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2</w:t>
      </w:r>
      <w:r>
        <w:rPr>
          <w:rFonts w:hint="eastAsia" w:ascii="黑体" w:hAnsi="宋体" w:eastAsia="黑体"/>
          <w:color w:val="auto"/>
          <w:sz w:val="28"/>
          <w:szCs w:val="28"/>
          <w:highlight w:val="none"/>
        </w:rPr>
        <w:t>：</w:t>
      </w:r>
    </w:p>
    <w:p w14:paraId="4F59BE1C">
      <w:pPr>
        <w:spacing w:line="588" w:lineRule="exact"/>
        <w:jc w:val="center"/>
        <w:rPr>
          <w:rFonts w:ascii="宋体" w:hAnsi="宋体"/>
          <w:b/>
          <w:color w:val="auto"/>
          <w:spacing w:val="6"/>
          <w:sz w:val="36"/>
          <w:szCs w:val="36"/>
          <w:highlight w:val="none"/>
        </w:rPr>
      </w:pPr>
      <w:bookmarkStart w:id="253" w:name="OLE_LINK13"/>
      <w:bookmarkStart w:id="254" w:name="OLE_LINK14"/>
      <w:r>
        <w:rPr>
          <w:rFonts w:hint="eastAsia" w:ascii="宋体" w:hAnsi="宋体"/>
          <w:b/>
          <w:color w:val="auto"/>
          <w:spacing w:val="6"/>
          <w:sz w:val="36"/>
          <w:szCs w:val="36"/>
          <w:highlight w:val="none"/>
        </w:rPr>
        <w:t>残疾人福利性单位声明函</w:t>
      </w:r>
    </w:p>
    <w:bookmarkEnd w:id="253"/>
    <w:bookmarkEnd w:id="254"/>
    <w:p w14:paraId="371A7D7D">
      <w:pPr>
        <w:spacing w:line="588" w:lineRule="exact"/>
        <w:rPr>
          <w:rFonts w:ascii="仿宋_GB2312" w:eastAsia="仿宋_GB2312"/>
          <w:b/>
          <w:color w:val="auto"/>
          <w:spacing w:val="6"/>
          <w:sz w:val="30"/>
          <w:szCs w:val="30"/>
          <w:highlight w:val="none"/>
        </w:rPr>
      </w:pPr>
    </w:p>
    <w:p w14:paraId="3074A85D">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本单位郑重声明，根据《财政部</w:t>
      </w:r>
      <w:r>
        <w:rPr>
          <w:rFonts w:ascii="宋体" w:hAnsi="宋体"/>
          <w:color w:val="auto"/>
          <w:spacing w:val="6"/>
          <w:szCs w:val="21"/>
          <w:highlight w:val="none"/>
        </w:rPr>
        <w:t xml:space="preserve"> </w:t>
      </w:r>
      <w:r>
        <w:rPr>
          <w:rFonts w:hint="eastAsia" w:ascii="宋体" w:hAnsi="宋体"/>
          <w:color w:val="auto"/>
          <w:spacing w:val="6"/>
          <w:szCs w:val="21"/>
          <w:highlight w:val="none"/>
        </w:rPr>
        <w:t>民政部</w:t>
      </w:r>
      <w:r>
        <w:rPr>
          <w:rFonts w:ascii="宋体" w:hAnsi="宋体"/>
          <w:color w:val="auto"/>
          <w:spacing w:val="6"/>
          <w:szCs w:val="21"/>
          <w:highlight w:val="none"/>
        </w:rPr>
        <w:t xml:space="preserve"> </w:t>
      </w:r>
      <w:r>
        <w:rPr>
          <w:rFonts w:hint="eastAsia" w:ascii="宋体" w:hAnsi="宋体"/>
          <w:color w:val="auto"/>
          <w:spacing w:val="6"/>
          <w:szCs w:val="21"/>
          <w:highlight w:val="none"/>
        </w:rPr>
        <w:t>中国残疾人联合会关于促进残疾人就业政府采购政策的通知》（财库</w:t>
      </w:r>
      <w:r>
        <w:rPr>
          <w:rFonts w:hint="eastAsia" w:ascii="宋体" w:hAnsi="宋体"/>
          <w:color w:val="auto"/>
          <w:szCs w:val="21"/>
          <w:highlight w:val="none"/>
        </w:rPr>
        <w:t>〔</w:t>
      </w:r>
      <w:r>
        <w:rPr>
          <w:rFonts w:ascii="宋体" w:hAnsi="宋体"/>
          <w:color w:val="auto"/>
          <w:szCs w:val="21"/>
          <w:highlight w:val="none"/>
        </w:rPr>
        <w:t>2017</w:t>
      </w:r>
      <w:r>
        <w:rPr>
          <w:rFonts w:hint="eastAsia" w:ascii="宋体" w:hAnsi="宋体"/>
          <w:color w:val="auto"/>
          <w:szCs w:val="21"/>
          <w:highlight w:val="none"/>
        </w:rPr>
        <w:t>〕</w:t>
      </w:r>
      <w:r>
        <w:rPr>
          <w:rFonts w:ascii="宋体" w:hAnsi="宋体"/>
          <w:color w:val="auto"/>
          <w:szCs w:val="21"/>
          <w:highlight w:val="none"/>
        </w:rPr>
        <w:t xml:space="preserve"> 141</w:t>
      </w:r>
      <w:r>
        <w:rPr>
          <w:rFonts w:hint="eastAsia" w:ascii="宋体" w:hAnsi="宋体"/>
          <w:color w:val="auto"/>
          <w:spacing w:val="6"/>
          <w:szCs w:val="21"/>
          <w:highlight w:val="none"/>
        </w:rPr>
        <w:t>号）的规定，本单位为符合条件的残疾人福利性单位，且本单位参加</w:t>
      </w:r>
      <w:r>
        <w:rPr>
          <w:rFonts w:ascii="宋体" w:hAnsi="宋体"/>
          <w:color w:val="auto"/>
          <w:spacing w:val="6"/>
          <w:szCs w:val="21"/>
          <w:highlight w:val="none"/>
        </w:rPr>
        <w:t>______</w:t>
      </w:r>
      <w:r>
        <w:rPr>
          <w:rFonts w:hint="eastAsia" w:ascii="宋体" w:hAnsi="宋体"/>
          <w:color w:val="auto"/>
          <w:spacing w:val="6"/>
          <w:szCs w:val="21"/>
          <w:highlight w:val="none"/>
        </w:rPr>
        <w:t>单位的</w:t>
      </w:r>
      <w:r>
        <w:rPr>
          <w:rFonts w:ascii="宋体" w:hAnsi="宋体"/>
          <w:color w:val="auto"/>
          <w:spacing w:val="6"/>
          <w:szCs w:val="21"/>
          <w:highlight w:val="none"/>
        </w:rPr>
        <w:t>______</w:t>
      </w:r>
      <w:r>
        <w:rPr>
          <w:rFonts w:hint="eastAsia" w:ascii="宋体" w:hAnsi="宋体"/>
          <w:color w:val="auto"/>
          <w:spacing w:val="6"/>
          <w:szCs w:val="21"/>
          <w:highlight w:val="none"/>
        </w:rPr>
        <w:t>项目采购活动提供本单位制造的货物（由本单位承担工程</w:t>
      </w:r>
      <w:r>
        <w:rPr>
          <w:rFonts w:ascii="宋体" w:hAnsi="宋体"/>
          <w:color w:val="auto"/>
          <w:spacing w:val="6"/>
          <w:szCs w:val="21"/>
          <w:highlight w:val="none"/>
        </w:rPr>
        <w:t>/</w:t>
      </w:r>
      <w:r>
        <w:rPr>
          <w:rFonts w:hint="eastAsia" w:ascii="宋体" w:hAnsi="宋体"/>
          <w:color w:val="auto"/>
          <w:spacing w:val="6"/>
          <w:szCs w:val="21"/>
          <w:highlight w:val="none"/>
        </w:rPr>
        <w:t>提供服务），或者提供其他残疾人福利性单位制造的货物（不包括使用非残疾人福利性单位注册商标的货物）。</w:t>
      </w:r>
    </w:p>
    <w:p w14:paraId="1A04C04A">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本单位对上述声明的真实性负责。如有虚假，将依法承担相应责任。</w:t>
      </w:r>
    </w:p>
    <w:p w14:paraId="3F0DC6A7">
      <w:pPr>
        <w:spacing w:line="360" w:lineRule="auto"/>
        <w:ind w:firstLine="444" w:firstLineChars="200"/>
        <w:rPr>
          <w:rFonts w:ascii="宋体" w:hAnsi="宋体"/>
          <w:color w:val="auto"/>
          <w:spacing w:val="6"/>
          <w:szCs w:val="21"/>
          <w:highlight w:val="none"/>
        </w:rPr>
      </w:pPr>
    </w:p>
    <w:p w14:paraId="42054F60">
      <w:pPr>
        <w:spacing w:line="360" w:lineRule="auto"/>
        <w:ind w:firstLine="444" w:firstLineChars="200"/>
        <w:rPr>
          <w:rFonts w:ascii="宋体" w:hAnsi="宋体"/>
          <w:color w:val="auto"/>
          <w:spacing w:val="6"/>
          <w:szCs w:val="21"/>
          <w:highlight w:val="none"/>
        </w:rPr>
      </w:pPr>
    </w:p>
    <w:p w14:paraId="72C27727">
      <w:pPr>
        <w:tabs>
          <w:tab w:val="left" w:pos="4860"/>
        </w:tabs>
        <w:spacing w:line="360" w:lineRule="auto"/>
        <w:ind w:right="1560" w:firstLine="444" w:firstLineChars="200"/>
        <w:jc w:val="center"/>
        <w:rPr>
          <w:rFonts w:ascii="宋体" w:hAnsi="宋体"/>
          <w:color w:val="auto"/>
          <w:spacing w:val="6"/>
          <w:szCs w:val="21"/>
          <w:highlight w:val="none"/>
        </w:rPr>
      </w:pP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单位名称：</w:t>
      </w:r>
      <w:r>
        <w:rPr>
          <w:rFonts w:hint="eastAsia" w:ascii="宋体" w:hAnsi="宋体"/>
          <w:color w:val="auto"/>
          <w:spacing w:val="6"/>
          <w:szCs w:val="21"/>
          <w:highlight w:val="none"/>
          <w:u w:val="single"/>
        </w:rPr>
        <w:t xml:space="preserve">              </w:t>
      </w:r>
      <w:r>
        <w:rPr>
          <w:rFonts w:hint="eastAsia" w:ascii="宋体" w:hAnsi="宋体"/>
          <w:color w:val="auto"/>
          <w:spacing w:val="6"/>
          <w:szCs w:val="21"/>
          <w:highlight w:val="none"/>
        </w:rPr>
        <w:t>（盖单位章）：</w:t>
      </w:r>
    </w:p>
    <w:p w14:paraId="349F0BE6">
      <w:pPr>
        <w:tabs>
          <w:tab w:val="left" w:pos="4860"/>
        </w:tabs>
        <w:spacing w:line="360" w:lineRule="auto"/>
        <w:ind w:right="1560" w:firstLine="444" w:firstLineChars="200"/>
        <w:jc w:val="center"/>
        <w:rPr>
          <w:rFonts w:hint="eastAsia" w:ascii="宋体" w:hAnsi="宋体"/>
          <w:color w:val="auto"/>
          <w:spacing w:val="6"/>
          <w:szCs w:val="21"/>
          <w:highlight w:val="none"/>
        </w:rPr>
      </w:pPr>
      <w:r>
        <w:rPr>
          <w:rFonts w:ascii="宋体" w:hAnsi="宋体"/>
          <w:color w:val="auto"/>
          <w:spacing w:val="6"/>
          <w:szCs w:val="21"/>
          <w:highlight w:val="none"/>
        </w:rPr>
        <w:t xml:space="preserve"> </w:t>
      </w:r>
    </w:p>
    <w:p w14:paraId="1C17852A">
      <w:pPr>
        <w:tabs>
          <w:tab w:val="left" w:pos="4860"/>
        </w:tabs>
        <w:spacing w:line="360" w:lineRule="auto"/>
        <w:ind w:right="1560" w:firstLine="444" w:firstLineChars="200"/>
        <w:jc w:val="center"/>
        <w:rPr>
          <w:rFonts w:ascii="宋体" w:hAnsi="宋体"/>
          <w:color w:val="auto"/>
          <w:szCs w:val="21"/>
          <w:highlight w:val="none"/>
        </w:rPr>
      </w:pPr>
      <w:r>
        <w:rPr>
          <w:rFonts w:hint="eastAsia" w:ascii="宋体" w:hAnsi="宋体"/>
          <w:color w:val="auto"/>
          <w:spacing w:val="6"/>
          <w:szCs w:val="21"/>
          <w:highlight w:val="none"/>
        </w:rPr>
        <w:t xml:space="preserve">                   日</w:t>
      </w: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w:t>
      </w:r>
      <w:r>
        <w:rPr>
          <w:rFonts w:ascii="宋体" w:hAnsi="宋体"/>
          <w:color w:val="auto"/>
          <w:spacing w:val="6"/>
          <w:szCs w:val="21"/>
          <w:highlight w:val="none"/>
        </w:rPr>
        <w:t xml:space="preserve"> </w:t>
      </w:r>
      <w:r>
        <w:rPr>
          <w:rFonts w:hint="eastAsia" w:ascii="宋体" w:hAnsi="宋体"/>
          <w:color w:val="auto"/>
          <w:spacing w:val="6"/>
          <w:szCs w:val="21"/>
          <w:highlight w:val="none"/>
        </w:rPr>
        <w:t>期：    年   月  日</w:t>
      </w:r>
    </w:p>
    <w:p w14:paraId="22E81F38">
      <w:pPr>
        <w:adjustRightInd w:val="0"/>
        <w:snapToGrid w:val="0"/>
        <w:spacing w:line="360" w:lineRule="auto"/>
        <w:rPr>
          <w:rFonts w:hint="eastAsia" w:ascii="宋体" w:hAnsi="宋体"/>
          <w:b/>
          <w:color w:val="auto"/>
          <w:sz w:val="24"/>
          <w:highlight w:val="none"/>
        </w:rPr>
      </w:pPr>
    </w:p>
    <w:p w14:paraId="6F45607A">
      <w:pPr>
        <w:adjustRightInd w:val="0"/>
        <w:snapToGrid w:val="0"/>
        <w:spacing w:before="50" w:line="360" w:lineRule="auto"/>
        <w:jc w:val="center"/>
        <w:rPr>
          <w:rFonts w:hint="eastAsia" w:ascii="宋体" w:hAnsi="宋体"/>
          <w:b/>
          <w:color w:val="auto"/>
          <w:sz w:val="36"/>
          <w:szCs w:val="36"/>
          <w:highlight w:val="none"/>
        </w:rPr>
      </w:pPr>
    </w:p>
    <w:p w14:paraId="00496D23">
      <w:pPr>
        <w:adjustRightInd w:val="0"/>
        <w:snapToGrid w:val="0"/>
        <w:spacing w:before="50" w:line="360" w:lineRule="auto"/>
        <w:jc w:val="center"/>
        <w:rPr>
          <w:rFonts w:hint="eastAsia" w:ascii="宋体" w:hAnsi="宋体"/>
          <w:b/>
          <w:color w:val="auto"/>
          <w:sz w:val="36"/>
          <w:szCs w:val="36"/>
          <w:highlight w:val="none"/>
        </w:rPr>
      </w:pPr>
    </w:p>
    <w:p w14:paraId="55AAC626">
      <w:pPr>
        <w:adjustRightInd w:val="0"/>
        <w:snapToGrid w:val="0"/>
        <w:spacing w:before="50" w:line="360" w:lineRule="auto"/>
        <w:jc w:val="center"/>
        <w:rPr>
          <w:rFonts w:hint="eastAsia" w:ascii="宋体" w:hAnsi="宋体"/>
          <w:b/>
          <w:color w:val="auto"/>
          <w:sz w:val="36"/>
          <w:szCs w:val="36"/>
          <w:highlight w:val="none"/>
        </w:rPr>
      </w:pPr>
    </w:p>
    <w:p w14:paraId="0B56BE24">
      <w:pPr>
        <w:adjustRightInd w:val="0"/>
        <w:snapToGrid w:val="0"/>
        <w:spacing w:before="50" w:line="360" w:lineRule="auto"/>
        <w:jc w:val="center"/>
        <w:rPr>
          <w:rFonts w:hint="eastAsia" w:ascii="宋体" w:hAnsi="宋体"/>
          <w:b/>
          <w:color w:val="auto"/>
          <w:sz w:val="36"/>
          <w:szCs w:val="36"/>
          <w:highlight w:val="none"/>
        </w:rPr>
      </w:pPr>
    </w:p>
    <w:p w14:paraId="53572908">
      <w:pPr>
        <w:adjustRightInd w:val="0"/>
        <w:snapToGrid w:val="0"/>
        <w:spacing w:before="50" w:line="360" w:lineRule="auto"/>
        <w:jc w:val="center"/>
        <w:rPr>
          <w:rFonts w:hint="eastAsia" w:ascii="宋体" w:hAnsi="宋体"/>
          <w:b/>
          <w:color w:val="auto"/>
          <w:sz w:val="36"/>
          <w:szCs w:val="36"/>
          <w:highlight w:val="none"/>
        </w:rPr>
      </w:pPr>
    </w:p>
    <w:p w14:paraId="1437147E">
      <w:pPr>
        <w:adjustRightInd w:val="0"/>
        <w:snapToGrid w:val="0"/>
        <w:spacing w:before="50" w:line="360" w:lineRule="auto"/>
        <w:jc w:val="center"/>
        <w:rPr>
          <w:rFonts w:hint="eastAsia" w:ascii="宋体" w:hAnsi="宋体"/>
          <w:b/>
          <w:color w:val="auto"/>
          <w:sz w:val="36"/>
          <w:szCs w:val="36"/>
          <w:highlight w:val="none"/>
        </w:rPr>
      </w:pPr>
    </w:p>
    <w:p w14:paraId="747AB2FD">
      <w:pPr>
        <w:adjustRightInd w:val="0"/>
        <w:snapToGrid w:val="0"/>
        <w:spacing w:line="360" w:lineRule="exact"/>
        <w:ind w:firstLine="525" w:firstLineChars="250"/>
        <w:rPr>
          <w:rFonts w:hint="eastAsia" w:ascii="楷体" w:hAnsi="楷体" w:eastAsia="楷体"/>
          <w:color w:val="auto"/>
          <w:szCs w:val="21"/>
          <w:highlight w:val="none"/>
        </w:rPr>
      </w:pPr>
    </w:p>
    <w:p w14:paraId="12939917">
      <w:pPr>
        <w:adjustRightInd w:val="0"/>
        <w:snapToGrid w:val="0"/>
        <w:spacing w:before="50" w:line="360" w:lineRule="auto"/>
        <w:ind w:firstLine="1050" w:firstLineChars="500"/>
        <w:rPr>
          <w:rFonts w:hint="eastAsia" w:ascii="仿宋_GB2312" w:hAnsi="宋体" w:eastAsia="仿宋_GB2312"/>
          <w:color w:val="auto"/>
          <w:szCs w:val="21"/>
          <w:highlight w:val="none"/>
        </w:rPr>
      </w:pPr>
    </w:p>
    <w:p w14:paraId="084FD26C">
      <w:pPr>
        <w:adjustRightInd w:val="0"/>
        <w:snapToGrid w:val="0"/>
        <w:spacing w:line="360" w:lineRule="auto"/>
        <w:rPr>
          <w:rFonts w:hint="eastAsia" w:ascii="宋体" w:hAnsi="宋体"/>
          <w:b/>
          <w:color w:val="auto"/>
          <w:sz w:val="28"/>
          <w:szCs w:val="28"/>
          <w:highlight w:val="none"/>
        </w:rPr>
      </w:pPr>
    </w:p>
    <w:p w14:paraId="5F0C2B7B">
      <w:pPr>
        <w:adjustRightInd w:val="0"/>
        <w:snapToGrid w:val="0"/>
        <w:spacing w:line="360" w:lineRule="auto"/>
        <w:rPr>
          <w:rFonts w:hint="eastAsia" w:ascii="宋体" w:hAnsi="宋体"/>
          <w:b/>
          <w:color w:val="auto"/>
          <w:sz w:val="28"/>
          <w:szCs w:val="28"/>
          <w:highlight w:val="none"/>
        </w:rPr>
      </w:pPr>
      <w:r>
        <w:rPr>
          <w:rFonts w:ascii="宋体" w:hAnsi="宋体"/>
          <w:b/>
          <w:color w:val="auto"/>
          <w:sz w:val="28"/>
          <w:szCs w:val="28"/>
          <w:highlight w:val="none"/>
        </w:rPr>
        <w:br w:type="page"/>
      </w:r>
      <w:r>
        <w:rPr>
          <w:rFonts w:hint="eastAsia" w:ascii="宋体" w:hAnsi="宋体"/>
          <w:b/>
          <w:color w:val="auto"/>
          <w:sz w:val="28"/>
          <w:szCs w:val="28"/>
          <w:highlight w:val="none"/>
        </w:rPr>
        <w:t>附件</w:t>
      </w:r>
      <w:r>
        <w:rPr>
          <w:rFonts w:hint="eastAsia" w:ascii="宋体" w:hAnsi="宋体"/>
          <w:b/>
          <w:color w:val="auto"/>
          <w:sz w:val="28"/>
          <w:szCs w:val="28"/>
          <w:highlight w:val="none"/>
          <w:lang w:val="en-US" w:eastAsia="zh-CN"/>
        </w:rPr>
        <w:t>3</w:t>
      </w:r>
      <w:r>
        <w:rPr>
          <w:rFonts w:hint="eastAsia" w:ascii="宋体" w:hAnsi="宋体"/>
          <w:b/>
          <w:color w:val="auto"/>
          <w:sz w:val="28"/>
          <w:szCs w:val="28"/>
          <w:highlight w:val="none"/>
        </w:rPr>
        <w:t>：</w:t>
      </w:r>
    </w:p>
    <w:p w14:paraId="33DC3D70">
      <w:pPr>
        <w:adjustRightInd w:val="0"/>
        <w:snapToGrid w:val="0"/>
        <w:spacing w:before="50"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rPr>
        <w:t>监狱企业证明文件</w:t>
      </w:r>
    </w:p>
    <w:p w14:paraId="75543440">
      <w:pPr>
        <w:adjustRightInd w:val="0"/>
        <w:snapToGrid w:val="0"/>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21A396B0">
      <w:pPr>
        <w:adjustRightInd w:val="0"/>
        <w:snapToGrid w:val="0"/>
        <w:spacing w:line="360" w:lineRule="auto"/>
        <w:ind w:firstLine="525"/>
        <w:outlineLvl w:val="1"/>
        <w:rPr>
          <w:rFonts w:hint="eastAsia" w:ascii="楷体" w:hAnsi="楷体" w:eastAsia="楷体"/>
          <w:bCs/>
          <w:color w:val="auto"/>
          <w:szCs w:val="21"/>
          <w:highlight w:val="none"/>
        </w:rPr>
      </w:pPr>
      <w:bookmarkStart w:id="255" w:name="_Toc16865"/>
      <w:r>
        <w:rPr>
          <w:rFonts w:hint="eastAsia" w:ascii="楷体" w:hAnsi="楷体" w:eastAsia="楷体"/>
          <w:bCs/>
          <w:color w:val="auto"/>
          <w:szCs w:val="21"/>
          <w:highlight w:val="none"/>
        </w:rPr>
        <w:t>1.无格式要求，由出具监狱企业证明的单位自行拟定；</w:t>
      </w:r>
      <w:bookmarkEnd w:id="255"/>
    </w:p>
    <w:p w14:paraId="3F29D1D0">
      <w:pPr>
        <w:adjustRightInd w:val="0"/>
        <w:snapToGrid w:val="0"/>
        <w:spacing w:before="50" w:line="360" w:lineRule="auto"/>
        <w:jc w:val="left"/>
        <w:rPr>
          <w:rFonts w:hint="eastAsia" w:ascii="宋体" w:hAnsi="宋体"/>
          <w:b/>
          <w:color w:val="auto"/>
          <w:sz w:val="28"/>
          <w:szCs w:val="28"/>
          <w:highlight w:val="none"/>
        </w:rPr>
      </w:pPr>
    </w:p>
    <w:p w14:paraId="579B1AA0">
      <w:pPr>
        <w:adjustRightInd w:val="0"/>
        <w:snapToGrid w:val="0"/>
        <w:spacing w:before="50" w:line="360" w:lineRule="auto"/>
        <w:jc w:val="left"/>
        <w:rPr>
          <w:rFonts w:hint="eastAsia" w:ascii="宋体" w:hAnsi="宋体"/>
          <w:b/>
          <w:color w:val="auto"/>
          <w:sz w:val="28"/>
          <w:szCs w:val="28"/>
          <w:highlight w:val="none"/>
        </w:rPr>
      </w:pPr>
    </w:p>
    <w:p w14:paraId="2BD3BA0E">
      <w:pPr>
        <w:pageBreakBefore/>
        <w:tabs>
          <w:tab w:val="left" w:pos="3600"/>
        </w:tabs>
        <w:adjustRightInd w:val="0"/>
        <w:snapToGrid w:val="0"/>
        <w:jc w:val="center"/>
        <w:rPr>
          <w:rFonts w:hint="eastAsia" w:ascii="宋体" w:hAnsi="宋体" w:eastAsia="宋体" w:cs="Times New Roman"/>
          <w:b/>
          <w:color w:val="auto"/>
          <w:sz w:val="36"/>
          <w:szCs w:val="36"/>
          <w:highlight w:val="none"/>
        </w:rPr>
      </w:pPr>
      <w:r>
        <w:rPr>
          <w:rFonts w:hint="eastAsia" w:ascii="宋体" w:hAnsi="宋体" w:eastAsia="宋体" w:cs="Times New Roman"/>
          <w:b/>
          <w:color w:val="auto"/>
          <w:sz w:val="36"/>
          <w:szCs w:val="36"/>
          <w:highlight w:val="none"/>
        </w:rPr>
        <w:t>1</w:t>
      </w:r>
      <w:r>
        <w:rPr>
          <w:rFonts w:hint="eastAsia" w:ascii="宋体" w:hAnsi="宋体" w:eastAsia="宋体" w:cs="Times New Roman"/>
          <w:b/>
          <w:color w:val="auto"/>
          <w:sz w:val="36"/>
          <w:szCs w:val="36"/>
          <w:highlight w:val="none"/>
          <w:lang w:val="en-US" w:eastAsia="zh-CN"/>
        </w:rPr>
        <w:t>2</w:t>
      </w:r>
      <w:r>
        <w:rPr>
          <w:rFonts w:hint="eastAsia" w:ascii="宋体" w:hAnsi="宋体" w:eastAsia="宋体" w:cs="Times New Roman"/>
          <w:b/>
          <w:color w:val="auto"/>
          <w:sz w:val="36"/>
          <w:szCs w:val="36"/>
          <w:highlight w:val="none"/>
        </w:rPr>
        <w:t>.</w:t>
      </w:r>
      <w:r>
        <w:rPr>
          <w:rFonts w:hint="eastAsia" w:ascii="宋体" w:hAnsi="宋体" w:eastAsia="宋体" w:cs="Times New Roman"/>
          <w:b/>
          <w:color w:val="auto"/>
          <w:sz w:val="36"/>
          <w:szCs w:val="36"/>
          <w:highlight w:val="none"/>
          <w:lang w:val="en-US" w:eastAsia="zh-CN"/>
        </w:rPr>
        <w:t>投标人提供投标保证金足额缴纳凭证</w:t>
      </w:r>
    </w:p>
    <w:p w14:paraId="2FA85A7C">
      <w:pPr>
        <w:tabs>
          <w:tab w:val="left" w:pos="3600"/>
        </w:tabs>
        <w:adjustRightInd w:val="0"/>
        <w:snapToGrid w:val="0"/>
        <w:jc w:val="center"/>
        <w:rPr>
          <w:rFonts w:hint="eastAsia"/>
          <w:color w:val="auto"/>
          <w:highlight w:val="none"/>
        </w:rPr>
      </w:pPr>
    </w:p>
    <w:p w14:paraId="2D1D9C93">
      <w:pPr>
        <w:tabs>
          <w:tab w:val="left" w:pos="3600"/>
        </w:tabs>
        <w:adjustRightInd w:val="0"/>
        <w:snapToGrid w:val="0"/>
        <w:rPr>
          <w:rFonts w:hint="eastAsia"/>
          <w:color w:val="auto"/>
          <w:highlight w:val="none"/>
        </w:rPr>
      </w:pPr>
    </w:p>
    <w:p w14:paraId="232351D2">
      <w:pPr>
        <w:tabs>
          <w:tab w:val="left" w:pos="3600"/>
        </w:tabs>
        <w:adjustRightInd w:val="0"/>
        <w:snapToGrid w:val="0"/>
        <w:rPr>
          <w:rFonts w:hint="eastAsia"/>
          <w:color w:val="auto"/>
          <w:highlight w:val="none"/>
        </w:rPr>
      </w:pPr>
    </w:p>
    <w:p w14:paraId="3E241287">
      <w:pPr>
        <w:tabs>
          <w:tab w:val="left" w:pos="3600"/>
        </w:tabs>
        <w:adjustRightInd w:val="0"/>
        <w:snapToGrid w:val="0"/>
        <w:rPr>
          <w:rFonts w:hint="eastAsia"/>
          <w:color w:val="auto"/>
          <w:highlight w:val="none"/>
        </w:rPr>
      </w:pPr>
    </w:p>
    <w:p w14:paraId="20C99C6D">
      <w:pPr>
        <w:tabs>
          <w:tab w:val="left" w:pos="3600"/>
        </w:tabs>
        <w:adjustRightInd w:val="0"/>
        <w:snapToGrid w:val="0"/>
        <w:rPr>
          <w:rFonts w:hint="eastAsia"/>
          <w:color w:val="auto"/>
          <w:highlight w:val="none"/>
        </w:rPr>
      </w:pPr>
    </w:p>
    <w:p w14:paraId="42A9FD66">
      <w:pPr>
        <w:tabs>
          <w:tab w:val="left" w:pos="3600"/>
        </w:tabs>
        <w:adjustRightInd w:val="0"/>
        <w:snapToGrid w:val="0"/>
        <w:jc w:val="left"/>
        <w:rPr>
          <w:rFonts w:hint="eastAsia"/>
          <w:color w:val="auto"/>
          <w:highlight w:val="none"/>
        </w:rPr>
      </w:pPr>
    </w:p>
    <w:p w14:paraId="215E02FF">
      <w:pPr>
        <w:tabs>
          <w:tab w:val="left" w:pos="3600"/>
        </w:tabs>
        <w:adjustRightInd w:val="0"/>
        <w:snapToGrid w:val="0"/>
        <w:jc w:val="left"/>
        <w:rPr>
          <w:rFonts w:hint="eastAsia"/>
          <w:color w:val="auto"/>
          <w:highlight w:val="none"/>
        </w:rPr>
      </w:pPr>
    </w:p>
    <w:p w14:paraId="68466C53">
      <w:pPr>
        <w:tabs>
          <w:tab w:val="left" w:pos="3600"/>
        </w:tabs>
        <w:adjustRightInd w:val="0"/>
        <w:snapToGrid w:val="0"/>
        <w:jc w:val="left"/>
        <w:rPr>
          <w:rFonts w:hint="eastAsia"/>
          <w:color w:val="auto"/>
          <w:highlight w:val="none"/>
        </w:rPr>
      </w:pPr>
    </w:p>
    <w:p w14:paraId="13422B0B">
      <w:pPr>
        <w:tabs>
          <w:tab w:val="left" w:pos="3600"/>
        </w:tabs>
        <w:adjustRightInd w:val="0"/>
        <w:snapToGrid w:val="0"/>
        <w:jc w:val="left"/>
        <w:rPr>
          <w:rFonts w:hint="eastAsia"/>
          <w:color w:val="auto"/>
          <w:highlight w:val="none"/>
        </w:rPr>
      </w:pPr>
    </w:p>
    <w:p w14:paraId="1643CD05">
      <w:pPr>
        <w:jc w:val="left"/>
        <w:rPr>
          <w:rFonts w:hint="eastAsia" w:ascii="仿宋_GB2312" w:hAnsi="仿宋_GB2312" w:eastAsia="仿宋_GB2312"/>
          <w:b/>
          <w:bCs/>
          <w:color w:val="auto"/>
          <w:sz w:val="36"/>
          <w:szCs w:val="36"/>
          <w:highlight w:val="none"/>
        </w:rPr>
      </w:pPr>
    </w:p>
    <w:p w14:paraId="5AC03C73">
      <w:pPr>
        <w:jc w:val="left"/>
        <w:rPr>
          <w:rFonts w:hint="eastAsia" w:ascii="仿宋_GB2312" w:hAnsi="仿宋_GB2312" w:eastAsia="仿宋_GB2312"/>
          <w:b/>
          <w:bCs/>
          <w:color w:val="auto"/>
          <w:sz w:val="36"/>
          <w:szCs w:val="36"/>
          <w:highlight w:val="none"/>
        </w:rPr>
      </w:pPr>
    </w:p>
    <w:p w14:paraId="0229CC60">
      <w:pPr>
        <w:jc w:val="left"/>
        <w:rPr>
          <w:rFonts w:hint="eastAsia" w:ascii="仿宋_GB2312" w:hAnsi="仿宋_GB2312" w:eastAsia="仿宋_GB2312"/>
          <w:b/>
          <w:bCs/>
          <w:color w:val="auto"/>
          <w:sz w:val="36"/>
          <w:szCs w:val="36"/>
          <w:highlight w:val="none"/>
        </w:rPr>
      </w:pPr>
    </w:p>
    <w:p w14:paraId="272B1B64">
      <w:pPr>
        <w:jc w:val="left"/>
        <w:rPr>
          <w:rFonts w:hint="eastAsia" w:ascii="仿宋_GB2312" w:hAnsi="仿宋_GB2312" w:eastAsia="仿宋_GB2312"/>
          <w:b/>
          <w:bCs/>
          <w:color w:val="auto"/>
          <w:sz w:val="36"/>
          <w:szCs w:val="36"/>
          <w:highlight w:val="none"/>
        </w:rPr>
      </w:pPr>
    </w:p>
    <w:p w14:paraId="3B79DB83">
      <w:pPr>
        <w:pStyle w:val="39"/>
        <w:spacing w:line="400" w:lineRule="exact"/>
        <w:jc w:val="left"/>
        <w:rPr>
          <w:rFonts w:hint="eastAsia" w:ascii="宋体" w:hAnsi="宋体"/>
          <w:color w:val="auto"/>
          <w:sz w:val="24"/>
          <w:szCs w:val="24"/>
          <w:highlight w:val="none"/>
        </w:rPr>
      </w:pPr>
    </w:p>
    <w:p w14:paraId="5C7C3545">
      <w:pPr>
        <w:pStyle w:val="39"/>
        <w:spacing w:line="400" w:lineRule="exact"/>
        <w:jc w:val="left"/>
        <w:rPr>
          <w:rFonts w:hint="eastAsia" w:ascii="宋体" w:hAnsi="宋体"/>
          <w:color w:val="auto"/>
          <w:sz w:val="24"/>
          <w:szCs w:val="24"/>
          <w:highlight w:val="none"/>
        </w:rPr>
      </w:pPr>
    </w:p>
    <w:p w14:paraId="51EE8DD2">
      <w:pPr>
        <w:pStyle w:val="39"/>
        <w:spacing w:line="400" w:lineRule="exact"/>
        <w:jc w:val="center"/>
        <w:rPr>
          <w:rFonts w:hint="eastAsia" w:ascii="楷体" w:hAnsi="楷体" w:eastAsia="楷体"/>
          <w:color w:val="auto"/>
          <w:highlight w:val="none"/>
          <w:lang w:eastAsia="zh-CN"/>
        </w:rPr>
      </w:pPr>
      <w:r>
        <w:rPr>
          <w:rFonts w:hint="eastAsia" w:ascii="楷体" w:hAnsi="楷体" w:eastAsia="楷体"/>
          <w:color w:val="auto"/>
          <w:highlight w:val="none"/>
        </w:rPr>
        <w:t>投标保证金</w:t>
      </w:r>
      <w:r>
        <w:rPr>
          <w:rFonts w:hint="eastAsia" w:ascii="楷体" w:hAnsi="楷体" w:eastAsia="楷体"/>
          <w:color w:val="auto"/>
          <w:highlight w:val="none"/>
          <w:lang w:eastAsia="zh-CN"/>
        </w:rPr>
        <w:t>凭证</w:t>
      </w:r>
    </w:p>
    <w:p w14:paraId="3ACABF5B">
      <w:pPr>
        <w:pStyle w:val="39"/>
        <w:spacing w:line="400" w:lineRule="exact"/>
        <w:jc w:val="center"/>
        <w:rPr>
          <w:rFonts w:hint="eastAsia" w:ascii="楷体" w:hAnsi="楷体" w:eastAsia="楷体"/>
          <w:color w:val="auto"/>
          <w:highlight w:val="none"/>
        </w:rPr>
      </w:pPr>
      <w:r>
        <w:rPr>
          <w:rFonts w:hint="eastAsia" w:ascii="楷体" w:hAnsi="楷体" w:eastAsia="楷体"/>
          <w:color w:val="auto"/>
          <w:highlight w:val="none"/>
        </w:rPr>
        <w:t>复印件粘贴处</w:t>
      </w:r>
    </w:p>
    <w:p w14:paraId="5C05FE17">
      <w:pPr>
        <w:jc w:val="left"/>
        <w:rPr>
          <w:rFonts w:hint="eastAsia" w:ascii="楷体" w:hAnsi="楷体" w:eastAsia="楷体"/>
          <w:b/>
          <w:bCs/>
          <w:color w:val="auto"/>
          <w:sz w:val="36"/>
          <w:szCs w:val="36"/>
          <w:highlight w:val="none"/>
        </w:rPr>
      </w:pPr>
    </w:p>
    <w:p w14:paraId="66979E19">
      <w:pPr>
        <w:jc w:val="left"/>
        <w:rPr>
          <w:rFonts w:hint="eastAsia" w:ascii="仿宋_GB2312" w:hAnsi="仿宋_GB2312" w:eastAsia="仿宋_GB2312"/>
          <w:b/>
          <w:bCs/>
          <w:color w:val="auto"/>
          <w:sz w:val="36"/>
          <w:szCs w:val="36"/>
          <w:highlight w:val="none"/>
        </w:rPr>
      </w:pPr>
    </w:p>
    <w:p w14:paraId="62E0A208">
      <w:pPr>
        <w:jc w:val="left"/>
        <w:rPr>
          <w:rFonts w:hint="eastAsia" w:ascii="仿宋_GB2312" w:hAnsi="仿宋_GB2312" w:eastAsia="仿宋_GB2312"/>
          <w:b/>
          <w:bCs/>
          <w:color w:val="auto"/>
          <w:sz w:val="36"/>
          <w:szCs w:val="36"/>
          <w:highlight w:val="none"/>
        </w:rPr>
      </w:pPr>
    </w:p>
    <w:p w14:paraId="16149E71">
      <w:pPr>
        <w:pStyle w:val="7"/>
        <w:spacing w:before="120" w:beforeLines="50" w:after="120" w:afterLines="50"/>
        <w:ind w:firstLine="0"/>
        <w:jc w:val="left"/>
        <w:rPr>
          <w:rFonts w:hint="eastAsia"/>
          <w:b/>
          <w:color w:val="auto"/>
          <w:sz w:val="44"/>
          <w:szCs w:val="44"/>
          <w:highlight w:val="none"/>
        </w:rPr>
      </w:pPr>
    </w:p>
    <w:p w14:paraId="73B84B0E">
      <w:pPr>
        <w:pStyle w:val="7"/>
        <w:spacing w:before="120" w:beforeLines="50" w:after="120" w:afterLines="50"/>
        <w:ind w:firstLine="0"/>
        <w:jc w:val="left"/>
        <w:rPr>
          <w:rFonts w:hint="eastAsia"/>
          <w:b/>
          <w:color w:val="auto"/>
          <w:sz w:val="44"/>
          <w:szCs w:val="44"/>
          <w:highlight w:val="none"/>
        </w:rPr>
      </w:pPr>
    </w:p>
    <w:p w14:paraId="074106F1">
      <w:pPr>
        <w:pStyle w:val="7"/>
        <w:spacing w:before="120" w:beforeLines="50" w:after="120" w:afterLines="50"/>
        <w:ind w:firstLine="0"/>
        <w:jc w:val="left"/>
        <w:rPr>
          <w:rFonts w:hint="eastAsia"/>
          <w:b/>
          <w:color w:val="auto"/>
          <w:sz w:val="44"/>
          <w:szCs w:val="44"/>
          <w:highlight w:val="none"/>
        </w:rPr>
      </w:pPr>
    </w:p>
    <w:p w14:paraId="57A49F38">
      <w:pPr>
        <w:pStyle w:val="7"/>
        <w:spacing w:before="120" w:beforeLines="50" w:after="120" w:afterLines="50"/>
        <w:ind w:firstLine="0"/>
        <w:jc w:val="left"/>
        <w:rPr>
          <w:rFonts w:hint="eastAsia"/>
          <w:b/>
          <w:color w:val="auto"/>
          <w:sz w:val="44"/>
          <w:szCs w:val="44"/>
          <w:highlight w:val="none"/>
        </w:rPr>
      </w:pPr>
    </w:p>
    <w:p w14:paraId="1BB6BADE">
      <w:pPr>
        <w:pStyle w:val="7"/>
        <w:spacing w:before="120" w:beforeLines="50" w:after="120" w:afterLines="50"/>
        <w:ind w:firstLine="0"/>
        <w:jc w:val="left"/>
        <w:rPr>
          <w:rFonts w:hint="eastAsia"/>
          <w:b/>
          <w:color w:val="auto"/>
          <w:sz w:val="44"/>
          <w:szCs w:val="44"/>
          <w:highlight w:val="none"/>
        </w:rPr>
      </w:pPr>
    </w:p>
    <w:p w14:paraId="77AEE8A9">
      <w:pPr>
        <w:pStyle w:val="7"/>
        <w:spacing w:before="120" w:beforeLines="50" w:after="120" w:afterLines="50"/>
        <w:ind w:firstLine="0"/>
        <w:jc w:val="left"/>
        <w:rPr>
          <w:rFonts w:hint="eastAsia"/>
          <w:b/>
          <w:color w:val="auto"/>
          <w:sz w:val="44"/>
          <w:szCs w:val="44"/>
          <w:highlight w:val="none"/>
        </w:rPr>
      </w:pPr>
    </w:p>
    <w:p w14:paraId="50CAE9E9">
      <w:pPr>
        <w:pStyle w:val="7"/>
        <w:spacing w:before="120" w:beforeLines="50" w:after="120" w:afterLines="50"/>
        <w:ind w:firstLine="0"/>
        <w:jc w:val="left"/>
        <w:rPr>
          <w:rFonts w:hint="eastAsia"/>
          <w:b/>
          <w:color w:val="auto"/>
          <w:sz w:val="44"/>
          <w:szCs w:val="44"/>
          <w:highlight w:val="none"/>
        </w:rPr>
      </w:pPr>
    </w:p>
    <w:p w14:paraId="6723D055">
      <w:pPr>
        <w:pStyle w:val="7"/>
        <w:spacing w:before="120" w:beforeLines="50" w:after="120" w:afterLines="50"/>
        <w:ind w:firstLine="0"/>
        <w:jc w:val="left"/>
        <w:rPr>
          <w:rFonts w:hint="eastAsia"/>
          <w:b/>
          <w:color w:val="auto"/>
          <w:sz w:val="44"/>
          <w:szCs w:val="44"/>
          <w:highlight w:val="none"/>
        </w:rPr>
      </w:pPr>
    </w:p>
    <w:p w14:paraId="22710C8F">
      <w:pPr>
        <w:spacing w:after="240" w:afterLines="100" w:line="360" w:lineRule="auto"/>
        <w:rPr>
          <w:rFonts w:hint="eastAsia" w:ascii="黑体" w:hAnsi="宋体" w:eastAsia="黑体"/>
          <w:bCs/>
          <w:color w:val="auto"/>
          <w:sz w:val="28"/>
          <w:szCs w:val="28"/>
          <w:highlight w:val="none"/>
        </w:rPr>
      </w:pPr>
    </w:p>
    <w:p w14:paraId="226CB61C">
      <w:pPr>
        <w:pStyle w:val="34"/>
        <w:rPr>
          <w:rFonts w:hint="eastAsia"/>
          <w:color w:val="auto"/>
          <w:highlight w:val="none"/>
        </w:rPr>
      </w:pPr>
    </w:p>
    <w:p w14:paraId="393AE7DB">
      <w:pPr>
        <w:spacing w:after="120" w:afterLines="50" w:line="360" w:lineRule="auto"/>
        <w:rPr>
          <w:rFonts w:hint="eastAsia" w:ascii="黑体" w:hAnsi="宋体" w:eastAsia="黑体"/>
          <w:bCs/>
          <w:color w:val="auto"/>
          <w:sz w:val="28"/>
          <w:szCs w:val="28"/>
          <w:highlight w:val="none"/>
        </w:rPr>
      </w:pPr>
      <w:r>
        <w:rPr>
          <w:rFonts w:hint="eastAsia" w:ascii="黑体" w:hAnsi="宋体" w:eastAsia="黑体"/>
          <w:bCs/>
          <w:color w:val="auto"/>
          <w:sz w:val="28"/>
          <w:szCs w:val="28"/>
          <w:highlight w:val="none"/>
        </w:rPr>
        <w:t>附件</w:t>
      </w:r>
      <w:r>
        <w:rPr>
          <w:rFonts w:hint="eastAsia" w:ascii="黑体" w:hAnsi="宋体" w:eastAsia="黑体"/>
          <w:bCs/>
          <w:color w:val="auto"/>
          <w:sz w:val="28"/>
          <w:szCs w:val="28"/>
          <w:highlight w:val="none"/>
          <w:lang w:val="en-US" w:eastAsia="zh-CN"/>
        </w:rPr>
        <w:t>1</w:t>
      </w:r>
      <w:r>
        <w:rPr>
          <w:rFonts w:hint="eastAsia" w:ascii="黑体" w:hAnsi="宋体" w:eastAsia="黑体"/>
          <w:bCs/>
          <w:color w:val="auto"/>
          <w:sz w:val="28"/>
          <w:szCs w:val="28"/>
          <w:highlight w:val="none"/>
        </w:rPr>
        <w:t>：</w:t>
      </w:r>
    </w:p>
    <w:p w14:paraId="4DD829BA">
      <w:pPr>
        <w:spacing w:after="240" w:afterLines="100" w:line="360" w:lineRule="auto"/>
        <w:jc w:val="center"/>
        <w:rPr>
          <w:rFonts w:ascii="宋体" w:hAnsi="宋体"/>
          <w:b/>
          <w:bCs/>
          <w:color w:val="auto"/>
          <w:sz w:val="36"/>
          <w:szCs w:val="36"/>
          <w:highlight w:val="none"/>
        </w:rPr>
      </w:pPr>
      <w:r>
        <w:rPr>
          <w:rFonts w:hint="eastAsia" w:ascii="宋体" w:hAnsi="宋体"/>
          <w:b/>
          <w:bCs/>
          <w:color w:val="auto"/>
          <w:sz w:val="36"/>
          <w:szCs w:val="36"/>
          <w:highlight w:val="none"/>
        </w:rPr>
        <w:t>提供投标人基本存款账户开户证明</w:t>
      </w:r>
    </w:p>
    <w:p w14:paraId="641405A3">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说明：</w:t>
      </w:r>
    </w:p>
    <w:p w14:paraId="448F6D87">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1.投标人在国家取消基本存款账户开户行政许可之前成立的，提供基本存款账户开户许可证复印件；</w:t>
      </w:r>
    </w:p>
    <w:p w14:paraId="0DB4F02E">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2.投标人在国家取消基本存款账户开户行政许可之后成立的，提供基本存款账户编号。</w:t>
      </w:r>
    </w:p>
    <w:p w14:paraId="34873187">
      <w:pPr>
        <w:spacing w:line="360" w:lineRule="auto"/>
        <w:rPr>
          <w:rFonts w:hint="eastAsia" w:ascii="楷体" w:hAnsi="楷体" w:eastAsia="楷体"/>
          <w:bCs/>
          <w:color w:val="auto"/>
          <w:szCs w:val="21"/>
          <w:highlight w:val="none"/>
        </w:rPr>
      </w:pPr>
    </w:p>
    <w:p w14:paraId="70C7C713">
      <w:pPr>
        <w:spacing w:line="360" w:lineRule="auto"/>
        <w:rPr>
          <w:rFonts w:hint="eastAsia" w:ascii="宋体" w:hAnsi="宋体"/>
          <w:b/>
          <w:bCs/>
          <w:color w:val="auto"/>
          <w:sz w:val="28"/>
          <w:szCs w:val="28"/>
          <w:highlight w:val="none"/>
        </w:rPr>
      </w:pPr>
    </w:p>
    <w:p w14:paraId="335943EF">
      <w:pPr>
        <w:spacing w:after="240" w:afterLines="100" w:line="360" w:lineRule="auto"/>
        <w:rPr>
          <w:rFonts w:hint="eastAsia" w:ascii="宋体" w:hAnsi="宋体"/>
          <w:b/>
          <w:bCs/>
          <w:color w:val="auto"/>
          <w:sz w:val="28"/>
          <w:szCs w:val="28"/>
          <w:highlight w:val="none"/>
        </w:rPr>
      </w:pPr>
    </w:p>
    <w:p w14:paraId="422A3D45">
      <w:pPr>
        <w:spacing w:after="240" w:afterLines="100" w:line="360" w:lineRule="auto"/>
        <w:rPr>
          <w:rFonts w:hint="eastAsia" w:ascii="宋体" w:hAnsi="宋体"/>
          <w:b/>
          <w:bCs/>
          <w:color w:val="auto"/>
          <w:sz w:val="28"/>
          <w:szCs w:val="28"/>
          <w:highlight w:val="none"/>
        </w:rPr>
      </w:pPr>
    </w:p>
    <w:p w14:paraId="42F19484">
      <w:pPr>
        <w:spacing w:after="240" w:afterLines="100" w:line="360" w:lineRule="auto"/>
        <w:rPr>
          <w:rFonts w:hint="eastAsia" w:ascii="宋体" w:hAnsi="宋体"/>
          <w:b/>
          <w:bCs/>
          <w:color w:val="auto"/>
          <w:sz w:val="28"/>
          <w:szCs w:val="28"/>
          <w:highlight w:val="none"/>
        </w:rPr>
      </w:pPr>
    </w:p>
    <w:p w14:paraId="563A1EE8">
      <w:pPr>
        <w:spacing w:after="240" w:afterLines="100" w:line="360" w:lineRule="auto"/>
        <w:rPr>
          <w:rFonts w:hint="eastAsia" w:ascii="宋体" w:hAnsi="宋体"/>
          <w:b/>
          <w:bCs/>
          <w:color w:val="auto"/>
          <w:sz w:val="28"/>
          <w:szCs w:val="28"/>
          <w:highlight w:val="none"/>
        </w:rPr>
      </w:pPr>
    </w:p>
    <w:p w14:paraId="71CE7D4B">
      <w:pPr>
        <w:spacing w:after="240" w:afterLines="100" w:line="360" w:lineRule="auto"/>
        <w:rPr>
          <w:rFonts w:hint="eastAsia" w:ascii="宋体" w:hAnsi="宋体"/>
          <w:b/>
          <w:bCs/>
          <w:color w:val="auto"/>
          <w:sz w:val="28"/>
          <w:szCs w:val="28"/>
          <w:highlight w:val="none"/>
        </w:rPr>
      </w:pPr>
    </w:p>
    <w:p w14:paraId="34A88E4C">
      <w:pPr>
        <w:spacing w:after="240" w:afterLines="100" w:line="360" w:lineRule="auto"/>
        <w:rPr>
          <w:rFonts w:hint="eastAsia" w:ascii="宋体" w:hAnsi="宋体"/>
          <w:b/>
          <w:bCs/>
          <w:color w:val="auto"/>
          <w:sz w:val="28"/>
          <w:szCs w:val="28"/>
          <w:highlight w:val="none"/>
        </w:rPr>
      </w:pPr>
    </w:p>
    <w:p w14:paraId="6C7505C0">
      <w:pPr>
        <w:spacing w:after="240" w:afterLines="100" w:line="360" w:lineRule="auto"/>
        <w:rPr>
          <w:rFonts w:hint="eastAsia" w:ascii="宋体" w:hAnsi="宋体"/>
          <w:b/>
          <w:bCs/>
          <w:color w:val="auto"/>
          <w:sz w:val="28"/>
          <w:szCs w:val="28"/>
          <w:highlight w:val="none"/>
        </w:rPr>
      </w:pPr>
    </w:p>
    <w:p w14:paraId="6F994550">
      <w:pPr>
        <w:spacing w:after="240" w:afterLines="100" w:line="360" w:lineRule="auto"/>
        <w:rPr>
          <w:rFonts w:hint="eastAsia" w:ascii="宋体" w:hAnsi="宋体"/>
          <w:b/>
          <w:bCs/>
          <w:color w:val="auto"/>
          <w:sz w:val="28"/>
          <w:szCs w:val="28"/>
          <w:highlight w:val="none"/>
        </w:rPr>
      </w:pPr>
    </w:p>
    <w:p w14:paraId="7085EFD8">
      <w:pPr>
        <w:spacing w:after="240" w:afterLines="100" w:line="360" w:lineRule="auto"/>
        <w:rPr>
          <w:rFonts w:hint="eastAsia" w:ascii="宋体" w:hAnsi="宋体"/>
          <w:b/>
          <w:bCs/>
          <w:color w:val="auto"/>
          <w:sz w:val="28"/>
          <w:szCs w:val="28"/>
          <w:highlight w:val="none"/>
        </w:rPr>
      </w:pPr>
    </w:p>
    <w:p w14:paraId="42A46CB7">
      <w:pPr>
        <w:spacing w:after="240" w:afterLines="100" w:line="360" w:lineRule="auto"/>
        <w:rPr>
          <w:rFonts w:hint="eastAsia" w:ascii="宋体" w:hAnsi="宋体"/>
          <w:b/>
          <w:bCs/>
          <w:color w:val="auto"/>
          <w:sz w:val="28"/>
          <w:szCs w:val="28"/>
          <w:highlight w:val="none"/>
        </w:rPr>
      </w:pPr>
    </w:p>
    <w:p w14:paraId="7F4E2D66">
      <w:pPr>
        <w:spacing w:after="240" w:afterLines="100" w:line="360" w:lineRule="auto"/>
        <w:rPr>
          <w:rFonts w:hint="eastAsia" w:ascii="宋体" w:hAnsi="宋体"/>
          <w:b/>
          <w:bCs/>
          <w:color w:val="auto"/>
          <w:sz w:val="28"/>
          <w:szCs w:val="28"/>
          <w:highlight w:val="none"/>
        </w:rPr>
      </w:pPr>
    </w:p>
    <w:p w14:paraId="72EE7F35">
      <w:pPr>
        <w:pStyle w:val="34"/>
        <w:ind w:firstLine="562"/>
        <w:rPr>
          <w:rFonts w:hint="eastAsia" w:ascii="宋体" w:hAnsi="宋体"/>
          <w:b/>
          <w:bCs/>
          <w:color w:val="auto"/>
          <w:sz w:val="28"/>
          <w:szCs w:val="28"/>
          <w:highlight w:val="none"/>
        </w:rPr>
      </w:pPr>
    </w:p>
    <w:p w14:paraId="2C0DEB53">
      <w:pPr>
        <w:pStyle w:val="34"/>
        <w:ind w:firstLine="562"/>
        <w:rPr>
          <w:rFonts w:hint="eastAsia" w:ascii="宋体" w:hAnsi="宋体"/>
          <w:b/>
          <w:bCs/>
          <w:color w:val="auto"/>
          <w:sz w:val="28"/>
          <w:szCs w:val="28"/>
          <w:highlight w:val="none"/>
        </w:rPr>
      </w:pPr>
    </w:p>
    <w:p w14:paraId="40694C88">
      <w:pPr>
        <w:pStyle w:val="34"/>
        <w:ind w:firstLine="562"/>
        <w:rPr>
          <w:rFonts w:hint="eastAsia" w:ascii="宋体" w:hAnsi="宋体"/>
          <w:b/>
          <w:bCs/>
          <w:color w:val="auto"/>
          <w:sz w:val="28"/>
          <w:szCs w:val="28"/>
          <w:highlight w:val="none"/>
        </w:rPr>
      </w:pPr>
    </w:p>
    <w:p w14:paraId="4180ED12">
      <w:pPr>
        <w:spacing w:after="240" w:afterLines="100" w:line="360" w:lineRule="auto"/>
        <w:rPr>
          <w:rFonts w:hint="eastAsia" w:ascii="宋体" w:hAnsi="宋体"/>
          <w:b/>
          <w:bCs/>
          <w:color w:val="auto"/>
          <w:sz w:val="28"/>
          <w:szCs w:val="28"/>
          <w:highlight w:val="none"/>
        </w:rPr>
      </w:pPr>
      <w:r>
        <w:rPr>
          <w:rFonts w:hint="eastAsia" w:ascii="宋体" w:hAnsi="宋体"/>
          <w:b/>
          <w:bCs/>
          <w:color w:val="auto"/>
          <w:sz w:val="28"/>
          <w:szCs w:val="28"/>
          <w:highlight w:val="none"/>
        </w:rPr>
        <w:t>附件</w:t>
      </w:r>
      <w:r>
        <w:rPr>
          <w:rFonts w:hint="eastAsia" w:ascii="宋体" w:hAnsi="宋体"/>
          <w:b/>
          <w:bCs/>
          <w:color w:val="auto"/>
          <w:sz w:val="28"/>
          <w:szCs w:val="28"/>
          <w:highlight w:val="none"/>
          <w:lang w:val="en-US" w:eastAsia="zh-CN"/>
        </w:rPr>
        <w:t>2</w:t>
      </w:r>
      <w:r>
        <w:rPr>
          <w:rFonts w:hint="eastAsia" w:ascii="宋体" w:hAnsi="宋体"/>
          <w:b/>
          <w:bCs/>
          <w:color w:val="auto"/>
          <w:sz w:val="28"/>
          <w:szCs w:val="28"/>
          <w:highlight w:val="none"/>
        </w:rPr>
        <w:t>：</w:t>
      </w:r>
    </w:p>
    <w:p w14:paraId="3C6D56A1">
      <w:pPr>
        <w:spacing w:after="240" w:afterLines="100" w:line="360" w:lineRule="auto"/>
        <w:rPr>
          <w:rFonts w:hint="eastAsia" w:ascii="宋体" w:hAnsi="宋体"/>
          <w:bCs/>
          <w:color w:val="auto"/>
          <w:szCs w:val="21"/>
          <w:highlight w:val="none"/>
        </w:rPr>
      </w:pPr>
      <w:r>
        <w:rPr>
          <w:rFonts w:hint="eastAsia" w:ascii="宋体" w:hAnsi="宋体"/>
          <w:b/>
          <w:bCs/>
          <w:color w:val="auto"/>
          <w:szCs w:val="21"/>
          <w:highlight w:val="none"/>
        </w:rPr>
        <w:t xml:space="preserve">      </w:t>
      </w:r>
      <w:r>
        <w:rPr>
          <w:rFonts w:hint="eastAsia" w:ascii="宋体" w:hAnsi="宋体"/>
          <w:bCs/>
          <w:color w:val="auto"/>
          <w:szCs w:val="21"/>
          <w:highlight w:val="none"/>
        </w:rPr>
        <w:t>若采用投标担保函，格式如下：</w:t>
      </w:r>
    </w:p>
    <w:p w14:paraId="2EA04BE6">
      <w:pPr>
        <w:spacing w:after="240" w:afterLines="100" w:line="360" w:lineRule="auto"/>
        <w:jc w:val="center"/>
        <w:rPr>
          <w:rFonts w:hint="eastAsia" w:ascii="宋体" w:hAnsi="宋体" w:eastAsia="宋体"/>
          <w:b/>
          <w:color w:val="auto"/>
          <w:szCs w:val="32"/>
          <w:highlight w:val="none"/>
          <w:lang w:eastAsia="zh-CN"/>
        </w:rPr>
      </w:pPr>
      <w:r>
        <w:rPr>
          <w:rFonts w:hint="eastAsia" w:ascii="宋体" w:hAnsi="宋体"/>
          <w:b/>
          <w:bCs/>
          <w:color w:val="auto"/>
          <w:sz w:val="36"/>
          <w:szCs w:val="36"/>
          <w:highlight w:val="none"/>
        </w:rPr>
        <w:t>投标担保函</w:t>
      </w:r>
      <w:r>
        <w:rPr>
          <w:rFonts w:hint="eastAsia" w:ascii="宋体" w:hAnsi="宋体"/>
          <w:b/>
          <w:bCs/>
          <w:color w:val="auto"/>
          <w:sz w:val="36"/>
          <w:szCs w:val="36"/>
          <w:highlight w:val="none"/>
          <w:lang w:eastAsia="zh-CN"/>
        </w:rPr>
        <w:t>（</w:t>
      </w:r>
      <w:r>
        <w:rPr>
          <w:rFonts w:hint="eastAsia" w:ascii="宋体" w:hAnsi="宋体"/>
          <w:b/>
          <w:bCs/>
          <w:color w:val="auto"/>
          <w:sz w:val="36"/>
          <w:szCs w:val="36"/>
          <w:highlight w:val="none"/>
          <w:lang w:val="en-US" w:eastAsia="zh-CN"/>
        </w:rPr>
        <w:t>仅供参考</w:t>
      </w:r>
      <w:r>
        <w:rPr>
          <w:rFonts w:hint="eastAsia" w:ascii="宋体" w:hAnsi="宋体"/>
          <w:b/>
          <w:bCs/>
          <w:color w:val="auto"/>
          <w:sz w:val="36"/>
          <w:szCs w:val="36"/>
          <w:highlight w:val="none"/>
          <w:lang w:eastAsia="zh-CN"/>
        </w:rPr>
        <w:t>）</w:t>
      </w:r>
    </w:p>
    <w:p w14:paraId="7248606F">
      <w:pPr>
        <w:spacing w:line="360" w:lineRule="auto"/>
        <w:ind w:right="1320"/>
        <w:jc w:val="center"/>
        <w:rPr>
          <w:rFonts w:hint="eastAsia" w:ascii="宋体" w:hAnsi="宋体"/>
          <w:color w:val="auto"/>
          <w:szCs w:val="21"/>
          <w:highlight w:val="none"/>
        </w:rPr>
      </w:pPr>
      <w:r>
        <w:rPr>
          <w:rFonts w:hint="eastAsia" w:ascii="宋体" w:hAnsi="宋体"/>
          <w:color w:val="auto"/>
          <w:sz w:val="24"/>
          <w:highlight w:val="none"/>
        </w:rPr>
        <w:t xml:space="preserve">                                            </w:t>
      </w:r>
      <w:r>
        <w:rPr>
          <w:rFonts w:hint="eastAsia" w:ascii="宋体" w:hAnsi="宋体"/>
          <w:color w:val="auto"/>
          <w:szCs w:val="21"/>
          <w:highlight w:val="none"/>
        </w:rPr>
        <w:t xml:space="preserve">        编号：</w:t>
      </w:r>
    </w:p>
    <w:p w14:paraId="20EBA046">
      <w:pPr>
        <w:spacing w:before="480" w:beforeLines="200" w:after="120" w:afterLines="50" w:line="360" w:lineRule="auto"/>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 xml:space="preserve">： </w:t>
      </w:r>
    </w:p>
    <w:p w14:paraId="6F60BA94">
      <w:pPr>
        <w:spacing w:line="360" w:lineRule="auto"/>
        <w:ind w:left="525" w:leftChars="200" w:hanging="105" w:hangingChars="50"/>
        <w:rPr>
          <w:rFonts w:hint="eastAsia" w:ascii="宋体" w:hAnsi="宋体"/>
          <w:color w:val="auto"/>
          <w:szCs w:val="21"/>
          <w:highlight w:val="none"/>
        </w:rPr>
      </w:pPr>
      <w:r>
        <w:rPr>
          <w:rFonts w:hint="eastAsia" w:ascii="宋体" w:hAnsi="宋体"/>
          <w:color w:val="auto"/>
          <w:szCs w:val="21"/>
          <w:highlight w:val="none"/>
        </w:rPr>
        <w:t>鉴于</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（以下简称投标人）拟参加编号为</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的</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采购项目（以下简称本项目）投标，根据本项目招标文件，投标人参加投标时应向你方交纳投标保证金，且可以投标担保函的形式交纳投标保证金。应投标人的申请，我方以保证的方式向你方提供如下投标保证金担保：</w:t>
      </w:r>
    </w:p>
    <w:p w14:paraId="62020AC8">
      <w:pPr>
        <w:spacing w:line="360" w:lineRule="auto"/>
        <w:ind w:firstLine="316" w:firstLineChars="15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一、保证责任的情形及保证金额 </w:t>
      </w:r>
    </w:p>
    <w:p w14:paraId="393C7E0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（一）在投标人出现下列情形之一时，我方承担保证责任： </w:t>
      </w:r>
    </w:p>
    <w:p w14:paraId="3BC5CF73">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1．中标后投标人无正当理由不与采购人签订《采购合同》； </w:t>
      </w:r>
    </w:p>
    <w:p w14:paraId="6DC4A0E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2．招标文件规定的投标人应当缴纳保证金的其他情形。 </w:t>
      </w:r>
    </w:p>
    <w:p w14:paraId="5B8E736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（二）我方承担保证责任的最高金额为人民币</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元（大写</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），即本项目的投标保证金金额。 </w:t>
      </w:r>
    </w:p>
    <w:p w14:paraId="48D51897">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二、保证的方式及保证期间 </w:t>
      </w:r>
    </w:p>
    <w:p w14:paraId="00A49E7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我方保证的方式为：连带责任保证。 </w:t>
      </w:r>
    </w:p>
    <w:p w14:paraId="420802A2">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我方的保证期间为：自本保函生效之日起</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个月止。 </w:t>
      </w:r>
    </w:p>
    <w:p w14:paraId="40CE30BF">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三、承担保证责任的程序 </w:t>
      </w:r>
    </w:p>
    <w:p w14:paraId="12A5862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1.你方要求我方承担保证责任的，应在本保函保证期间内向我方发出书面索赔通知。索赔通知应写明要求索赔的金额，支付款项应到达的账号，并附有证明投标人发生我方应承担保证责任情形的事实材料。 </w:t>
      </w:r>
    </w:p>
    <w:p w14:paraId="0227566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2.我方在收到索赔通知及相关证明材料后，在</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个工作日内进行审查，符合应承担保证责任情形的，我方应按照你方的要求代投标人向你方支付投标保证金。</w:t>
      </w:r>
    </w:p>
    <w:p w14:paraId="33AA6161">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四、保证责任的终止 </w:t>
      </w:r>
    </w:p>
    <w:p w14:paraId="5E9D384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w:t>
      </w:r>
    </w:p>
    <w:p w14:paraId="64E146C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2．我方按照本保函向你方履行了保证责任后，自我方向你方支付款项（支付款项从我方账户划出）之日起，保证责任终止。</w:t>
      </w:r>
    </w:p>
    <w:p w14:paraId="29A7BEF8">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3．按照法律法规的规定或出现我方保证责任终止的其它情形的，我方在本保函项下的保证责任亦终止。</w:t>
      </w:r>
    </w:p>
    <w:p w14:paraId="066626DE">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五、免责条款 </w:t>
      </w:r>
    </w:p>
    <w:p w14:paraId="4E8EC7B8">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1．依照法律规定或你方与投标人的另行</w:t>
      </w:r>
      <w:r>
        <w:rPr>
          <w:rFonts w:hint="eastAsia" w:ascii="宋体" w:hAnsi="宋体"/>
          <w:color w:val="auto"/>
          <w:szCs w:val="21"/>
          <w:highlight w:val="none"/>
          <w:lang w:eastAsia="zh-CN"/>
        </w:rPr>
        <w:t>≥</w:t>
      </w:r>
      <w:r>
        <w:rPr>
          <w:rFonts w:hint="eastAsia" w:ascii="宋体" w:hAnsi="宋体"/>
          <w:color w:val="auto"/>
          <w:szCs w:val="21"/>
          <w:highlight w:val="none"/>
        </w:rPr>
        <w:t>定，全部或者部分免除投标人投标保证金义务时，我方亦免除相应的保证责任。</w:t>
      </w:r>
    </w:p>
    <w:p w14:paraId="65F814D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2．因你方原因致使投标人发生本保函第一条第（一）款</w:t>
      </w:r>
      <w:r>
        <w:rPr>
          <w:rFonts w:hint="eastAsia" w:ascii="宋体" w:hAnsi="宋体"/>
          <w:color w:val="auto"/>
          <w:szCs w:val="21"/>
          <w:highlight w:val="none"/>
          <w:lang w:eastAsia="zh-CN"/>
        </w:rPr>
        <w:t>≥</w:t>
      </w:r>
      <w:r>
        <w:rPr>
          <w:rFonts w:hint="eastAsia" w:ascii="宋体" w:hAnsi="宋体"/>
          <w:color w:val="auto"/>
          <w:szCs w:val="21"/>
          <w:highlight w:val="none"/>
        </w:rPr>
        <w:t>定情形的，我方不承担保证责任。</w:t>
      </w:r>
    </w:p>
    <w:p w14:paraId="3262320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3．因不可抗力造成投标人发生本保函第一条</w:t>
      </w:r>
      <w:r>
        <w:rPr>
          <w:rFonts w:hint="eastAsia" w:ascii="宋体" w:hAnsi="宋体"/>
          <w:color w:val="auto"/>
          <w:szCs w:val="21"/>
          <w:highlight w:val="none"/>
          <w:lang w:eastAsia="zh-CN"/>
        </w:rPr>
        <w:t>≥</w:t>
      </w:r>
      <w:r>
        <w:rPr>
          <w:rFonts w:hint="eastAsia" w:ascii="宋体" w:hAnsi="宋体"/>
          <w:color w:val="auto"/>
          <w:szCs w:val="21"/>
          <w:highlight w:val="none"/>
        </w:rPr>
        <w:t>定情形的，我方不承担保证责任。</w:t>
      </w:r>
    </w:p>
    <w:p w14:paraId="722E44B3">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4．你方或其他有权机关对招标文件进行任何澄清或修改，加重我方保证责任的，我方对加重部分不承担保证责任，但该澄清或修改经我方事先书面同意的除外。 </w:t>
      </w:r>
    </w:p>
    <w:p w14:paraId="75CDB2E6">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六、争议的解决</w:t>
      </w:r>
    </w:p>
    <w:p w14:paraId="26FD964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因本保函发生的纠纷，由你我双方协商解决，协商不成的，通过诉讼程序解决，诉讼管辖地法院为________________法院。 </w:t>
      </w:r>
    </w:p>
    <w:p w14:paraId="2F7DF81B">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七、保函的生效 </w:t>
      </w:r>
    </w:p>
    <w:p w14:paraId="5D23F37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本保函自我方加盖公章之日起生效。 </w:t>
      </w:r>
    </w:p>
    <w:p w14:paraId="0C3D1CEE">
      <w:pPr>
        <w:spacing w:line="360" w:lineRule="auto"/>
        <w:rPr>
          <w:rFonts w:hint="eastAsia" w:ascii="宋体" w:hAnsi="宋体"/>
          <w:color w:val="auto"/>
          <w:szCs w:val="21"/>
          <w:highlight w:val="none"/>
        </w:rPr>
      </w:pPr>
    </w:p>
    <w:p w14:paraId="577EB454">
      <w:pPr>
        <w:spacing w:line="360" w:lineRule="auto"/>
        <w:rPr>
          <w:rFonts w:hint="eastAsia" w:ascii="宋体" w:hAnsi="宋体"/>
          <w:color w:val="auto"/>
          <w:szCs w:val="21"/>
          <w:highlight w:val="none"/>
        </w:rPr>
      </w:pPr>
    </w:p>
    <w:p w14:paraId="1EDB1ABD">
      <w:pPr>
        <w:spacing w:line="360" w:lineRule="auto"/>
        <w:rPr>
          <w:rFonts w:hint="eastAsia" w:ascii="宋体" w:hAnsi="宋体"/>
          <w:color w:val="auto"/>
          <w:szCs w:val="21"/>
          <w:highlight w:val="none"/>
        </w:rPr>
      </w:pPr>
    </w:p>
    <w:p w14:paraId="4194C985">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担  保  人  名  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53E0D9B8">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636998B1">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6D95347E">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邮 政 编 码：</w:t>
      </w:r>
      <w:r>
        <w:rPr>
          <w:rFonts w:hint="eastAsia" w:ascii="宋体" w:hAnsi="宋体"/>
          <w:color w:val="auto"/>
          <w:szCs w:val="21"/>
          <w:highlight w:val="none"/>
          <w:u w:val="single"/>
        </w:rPr>
        <w:t xml:space="preserve">                                 </w:t>
      </w:r>
    </w:p>
    <w:p w14:paraId="5F25C0A6">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电       话：</w:t>
      </w:r>
      <w:r>
        <w:rPr>
          <w:rFonts w:hint="eastAsia" w:ascii="宋体" w:hAnsi="宋体"/>
          <w:color w:val="auto"/>
          <w:szCs w:val="21"/>
          <w:highlight w:val="none"/>
          <w:u w:val="single"/>
        </w:rPr>
        <w:t xml:space="preserve">                                 </w:t>
      </w:r>
    </w:p>
    <w:p w14:paraId="16B0DAB5">
      <w:pPr>
        <w:spacing w:line="360" w:lineRule="auto"/>
        <w:ind w:right="640" w:firstLine="3885" w:firstLineChars="1850"/>
        <w:rPr>
          <w:rFonts w:hint="eastAsia" w:ascii="宋体" w:hAnsi="宋体"/>
          <w:color w:val="auto"/>
          <w:szCs w:val="21"/>
          <w:highlight w:val="none"/>
        </w:rPr>
      </w:pPr>
    </w:p>
    <w:p w14:paraId="13913D18">
      <w:pPr>
        <w:spacing w:line="360" w:lineRule="auto"/>
        <w:ind w:right="640" w:firstLine="5460" w:firstLineChars="2600"/>
        <w:rPr>
          <w:rFonts w:hint="eastAsia" w:ascii="宋体" w:hAnsi="宋体"/>
          <w:color w:val="auto"/>
          <w:szCs w:val="21"/>
          <w:highlight w:val="none"/>
        </w:rPr>
      </w:pP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32C242D2">
      <w:pPr>
        <w:pStyle w:val="39"/>
        <w:spacing w:line="340" w:lineRule="exact"/>
        <w:ind w:firstLine="240" w:firstLineChars="100"/>
        <w:rPr>
          <w:rFonts w:hint="eastAsia" w:ascii="仿宋_GB2312" w:hAnsi="仿宋" w:eastAsia="仿宋_GB2312"/>
          <w:color w:val="auto"/>
          <w:sz w:val="24"/>
          <w:szCs w:val="24"/>
          <w:highlight w:val="none"/>
        </w:rPr>
      </w:pPr>
    </w:p>
    <w:p w14:paraId="341B7365">
      <w:pPr>
        <w:pStyle w:val="39"/>
        <w:spacing w:line="340" w:lineRule="exact"/>
        <w:ind w:firstLine="240" w:firstLineChars="100"/>
        <w:rPr>
          <w:rFonts w:hint="eastAsia" w:ascii="仿宋_GB2312" w:hAnsi="仿宋" w:eastAsia="仿宋_GB2312"/>
          <w:color w:val="auto"/>
          <w:sz w:val="24"/>
          <w:szCs w:val="24"/>
          <w:highlight w:val="none"/>
        </w:rPr>
      </w:pPr>
    </w:p>
    <w:p w14:paraId="68AE6397">
      <w:pPr>
        <w:pStyle w:val="39"/>
        <w:spacing w:line="340" w:lineRule="exact"/>
        <w:ind w:firstLine="240" w:firstLineChars="100"/>
        <w:rPr>
          <w:rFonts w:hint="eastAsia" w:ascii="仿宋_GB2312" w:hAnsi="仿宋" w:eastAsia="仿宋_GB2312"/>
          <w:color w:val="auto"/>
          <w:sz w:val="24"/>
          <w:szCs w:val="24"/>
          <w:highlight w:val="none"/>
        </w:rPr>
      </w:pPr>
    </w:p>
    <w:p w14:paraId="3E6442C8">
      <w:pPr>
        <w:pStyle w:val="39"/>
        <w:spacing w:line="340" w:lineRule="exact"/>
        <w:ind w:firstLine="240" w:firstLineChars="100"/>
        <w:rPr>
          <w:rFonts w:hint="eastAsia" w:ascii="仿宋_GB2312" w:hAnsi="仿宋" w:eastAsia="仿宋_GB2312"/>
          <w:color w:val="auto"/>
          <w:sz w:val="24"/>
          <w:szCs w:val="24"/>
          <w:highlight w:val="none"/>
        </w:rPr>
      </w:pPr>
    </w:p>
    <w:p w14:paraId="2B25E2FA">
      <w:pPr>
        <w:pStyle w:val="39"/>
        <w:spacing w:line="340" w:lineRule="exact"/>
        <w:ind w:firstLine="240" w:firstLineChars="100"/>
        <w:rPr>
          <w:rFonts w:hint="eastAsia" w:ascii="仿宋_GB2312" w:hAnsi="仿宋" w:eastAsia="仿宋_GB2312"/>
          <w:color w:val="auto"/>
          <w:sz w:val="24"/>
          <w:szCs w:val="24"/>
          <w:highlight w:val="none"/>
        </w:rPr>
      </w:pPr>
    </w:p>
    <w:p w14:paraId="577CA3EE">
      <w:pPr>
        <w:pStyle w:val="39"/>
        <w:spacing w:line="340" w:lineRule="exact"/>
        <w:ind w:firstLine="240" w:firstLineChars="100"/>
        <w:rPr>
          <w:rFonts w:hint="eastAsia" w:ascii="仿宋_GB2312" w:hAnsi="仿宋" w:eastAsia="仿宋_GB2312"/>
          <w:color w:val="auto"/>
          <w:sz w:val="24"/>
          <w:szCs w:val="24"/>
          <w:highlight w:val="none"/>
        </w:rPr>
      </w:pPr>
    </w:p>
    <w:p w14:paraId="2F265826">
      <w:pPr>
        <w:pStyle w:val="39"/>
        <w:spacing w:line="340" w:lineRule="exact"/>
        <w:ind w:firstLine="240" w:firstLineChars="100"/>
        <w:rPr>
          <w:rFonts w:hint="eastAsia" w:ascii="仿宋_GB2312" w:hAnsi="仿宋" w:eastAsia="仿宋_GB2312"/>
          <w:color w:val="auto"/>
          <w:sz w:val="24"/>
          <w:szCs w:val="24"/>
          <w:highlight w:val="none"/>
        </w:rPr>
      </w:pPr>
    </w:p>
    <w:p w14:paraId="4EA08EF6">
      <w:pPr>
        <w:pStyle w:val="39"/>
        <w:spacing w:line="340" w:lineRule="exact"/>
        <w:ind w:firstLine="240" w:firstLineChars="100"/>
        <w:rPr>
          <w:rFonts w:hint="eastAsia" w:ascii="仿宋_GB2312" w:hAnsi="仿宋" w:eastAsia="仿宋_GB2312"/>
          <w:color w:val="auto"/>
          <w:sz w:val="24"/>
          <w:szCs w:val="24"/>
          <w:highlight w:val="none"/>
        </w:rPr>
      </w:pPr>
    </w:p>
    <w:p w14:paraId="104EC0C9">
      <w:pPr>
        <w:adjustRightInd w:val="0"/>
        <w:snapToGrid w:val="0"/>
        <w:spacing w:before="240" w:beforeLines="100"/>
        <w:rPr>
          <w:rFonts w:hint="eastAsia" w:ascii="仿宋_GB2312" w:hAnsi="宋体" w:eastAsia="仿宋_GB2312"/>
          <w:color w:val="auto"/>
          <w:szCs w:val="21"/>
          <w:highlight w:val="none"/>
        </w:rPr>
      </w:pPr>
    </w:p>
    <w:p w14:paraId="7B7C2F16">
      <w:pPr>
        <w:pStyle w:val="7"/>
        <w:ind w:firstLine="0"/>
        <w:jc w:val="center"/>
        <w:rPr>
          <w:rFonts w:hint="eastAsia"/>
          <w:color w:val="auto"/>
          <w:sz w:val="32"/>
          <w:szCs w:val="32"/>
          <w:highlight w:val="none"/>
        </w:rPr>
      </w:pPr>
    </w:p>
    <w:p w14:paraId="6D06D012">
      <w:pPr>
        <w:pStyle w:val="7"/>
        <w:ind w:firstLine="0"/>
        <w:jc w:val="center"/>
        <w:rPr>
          <w:rFonts w:hint="eastAsia"/>
          <w:color w:val="auto"/>
          <w:sz w:val="32"/>
          <w:szCs w:val="32"/>
          <w:highlight w:val="none"/>
        </w:rPr>
      </w:pPr>
    </w:p>
    <w:p w14:paraId="414CFAE9">
      <w:pPr>
        <w:pStyle w:val="7"/>
        <w:ind w:firstLine="0"/>
        <w:jc w:val="center"/>
        <w:rPr>
          <w:rFonts w:hint="eastAsia"/>
          <w:color w:val="auto"/>
          <w:sz w:val="32"/>
          <w:szCs w:val="32"/>
          <w:highlight w:val="none"/>
        </w:rPr>
      </w:pPr>
    </w:p>
    <w:p w14:paraId="622F86C2">
      <w:pPr>
        <w:pStyle w:val="7"/>
        <w:ind w:firstLine="0"/>
        <w:jc w:val="center"/>
        <w:rPr>
          <w:rFonts w:hint="eastAsia"/>
          <w:b/>
          <w:bCs/>
          <w:color w:val="auto"/>
          <w:sz w:val="36"/>
          <w:szCs w:val="36"/>
          <w:highlight w:val="none"/>
        </w:rPr>
      </w:pPr>
      <w:r>
        <w:rPr>
          <w:rFonts w:hint="eastAsia"/>
          <w:b/>
          <w:bCs/>
          <w:color w:val="auto"/>
          <w:sz w:val="36"/>
          <w:szCs w:val="36"/>
          <w:highlight w:val="none"/>
        </w:rPr>
        <w:t>（商务、技术部分）</w:t>
      </w:r>
    </w:p>
    <w:p w14:paraId="57F6B024">
      <w:pPr>
        <w:pStyle w:val="7"/>
        <w:rPr>
          <w:rFonts w:hint="eastAsia"/>
          <w:color w:val="auto"/>
          <w:sz w:val="28"/>
          <w:szCs w:val="28"/>
          <w:highlight w:val="none"/>
        </w:rPr>
      </w:pPr>
    </w:p>
    <w:p w14:paraId="722DA455">
      <w:pPr>
        <w:pStyle w:val="7"/>
        <w:rPr>
          <w:rFonts w:hint="eastAsia"/>
          <w:color w:val="auto"/>
          <w:sz w:val="28"/>
          <w:szCs w:val="28"/>
          <w:highlight w:val="none"/>
        </w:rPr>
      </w:pPr>
    </w:p>
    <w:p w14:paraId="5DEB7DE7">
      <w:pPr>
        <w:pStyle w:val="7"/>
        <w:rPr>
          <w:rFonts w:hint="eastAsia"/>
          <w:color w:val="auto"/>
          <w:sz w:val="28"/>
          <w:szCs w:val="28"/>
          <w:highlight w:val="none"/>
        </w:rPr>
      </w:pPr>
    </w:p>
    <w:p w14:paraId="0A5C6202">
      <w:pPr>
        <w:pStyle w:val="7"/>
        <w:rPr>
          <w:rFonts w:hint="eastAsia"/>
          <w:color w:val="auto"/>
          <w:sz w:val="28"/>
          <w:szCs w:val="28"/>
          <w:highlight w:val="none"/>
        </w:rPr>
      </w:pPr>
    </w:p>
    <w:p w14:paraId="057B1077">
      <w:pPr>
        <w:pStyle w:val="7"/>
        <w:rPr>
          <w:rFonts w:hint="eastAsia"/>
          <w:color w:val="auto"/>
          <w:sz w:val="28"/>
          <w:szCs w:val="28"/>
          <w:highlight w:val="none"/>
        </w:rPr>
      </w:pPr>
    </w:p>
    <w:p w14:paraId="5DEEA329">
      <w:pPr>
        <w:pStyle w:val="7"/>
        <w:rPr>
          <w:rFonts w:hint="eastAsia"/>
          <w:color w:val="auto"/>
          <w:sz w:val="28"/>
          <w:szCs w:val="28"/>
          <w:highlight w:val="none"/>
        </w:rPr>
      </w:pPr>
    </w:p>
    <w:p w14:paraId="0666FC99">
      <w:pPr>
        <w:pStyle w:val="7"/>
        <w:rPr>
          <w:rFonts w:hint="eastAsia"/>
          <w:color w:val="auto"/>
          <w:sz w:val="28"/>
          <w:szCs w:val="28"/>
          <w:highlight w:val="none"/>
        </w:rPr>
      </w:pPr>
    </w:p>
    <w:p w14:paraId="599B0E1B">
      <w:pPr>
        <w:pStyle w:val="7"/>
        <w:spacing w:before="120" w:beforeLines="50"/>
        <w:ind w:firstLine="1630" w:firstLineChars="580"/>
        <w:rPr>
          <w:rFonts w:hint="eastAsia" w:ascii="宋体" w:hAnsi="宋体"/>
          <w:b/>
          <w:color w:val="auto"/>
          <w:sz w:val="28"/>
          <w:szCs w:val="28"/>
          <w:highlight w:val="none"/>
        </w:rPr>
      </w:pPr>
    </w:p>
    <w:p w14:paraId="0F2CC670">
      <w:pPr>
        <w:pStyle w:val="7"/>
        <w:spacing w:before="120" w:beforeLines="50"/>
        <w:ind w:firstLine="1630" w:firstLineChars="580"/>
        <w:rPr>
          <w:rFonts w:hint="eastAsia" w:ascii="宋体" w:hAnsi="宋体"/>
          <w:b/>
          <w:color w:val="auto"/>
          <w:sz w:val="28"/>
          <w:szCs w:val="28"/>
          <w:highlight w:val="none"/>
        </w:rPr>
      </w:pPr>
    </w:p>
    <w:p w14:paraId="41793282">
      <w:pPr>
        <w:pStyle w:val="7"/>
        <w:spacing w:before="120" w:beforeLines="50" w:after="120" w:afterLines="50"/>
        <w:ind w:firstLine="0"/>
        <w:jc w:val="center"/>
        <w:rPr>
          <w:rFonts w:hint="eastAsia"/>
          <w:b/>
          <w:color w:val="auto"/>
          <w:sz w:val="44"/>
          <w:szCs w:val="44"/>
          <w:highlight w:val="none"/>
        </w:rPr>
      </w:pPr>
    </w:p>
    <w:p w14:paraId="64F855EB">
      <w:pPr>
        <w:pStyle w:val="7"/>
        <w:spacing w:before="120" w:beforeLines="50" w:after="120" w:afterLines="50"/>
        <w:ind w:firstLine="0"/>
        <w:jc w:val="center"/>
        <w:rPr>
          <w:rFonts w:hint="eastAsia"/>
          <w:b/>
          <w:color w:val="auto"/>
          <w:sz w:val="44"/>
          <w:szCs w:val="44"/>
          <w:highlight w:val="none"/>
        </w:rPr>
      </w:pPr>
    </w:p>
    <w:p w14:paraId="24C7D0E3">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2E13005C">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02F1F21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一、投标函 ……………………………………………………………页码</w:t>
      </w:r>
    </w:p>
    <w:p w14:paraId="4E3A2B8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二、开标一览表 ………………………………………………………页码</w:t>
      </w:r>
    </w:p>
    <w:p w14:paraId="7A781EA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三、</w:t>
      </w:r>
      <w:r>
        <w:rPr>
          <w:rFonts w:hint="eastAsia" w:hAnsi="宋体"/>
          <w:bCs/>
          <w:color w:val="auto"/>
          <w:szCs w:val="21"/>
          <w:highlight w:val="none"/>
        </w:rPr>
        <w:t xml:space="preserve">货物（产品）分项报价表 </w:t>
      </w:r>
      <w:r>
        <w:rPr>
          <w:rFonts w:hint="eastAsia"/>
          <w:color w:val="auto"/>
          <w:szCs w:val="21"/>
          <w:highlight w:val="none"/>
        </w:rPr>
        <w:t>………………………………………页码</w:t>
      </w:r>
    </w:p>
    <w:p w14:paraId="1C5E158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四、</w:t>
      </w:r>
      <w:r>
        <w:rPr>
          <w:rFonts w:hint="eastAsia" w:ascii="Times New Roman" w:hAnsi="Times New Roman" w:eastAsia="宋体" w:cs="Times New Roman"/>
          <w:color w:val="auto"/>
          <w:szCs w:val="21"/>
          <w:highlight w:val="none"/>
        </w:rPr>
        <w:t>备</w:t>
      </w:r>
      <w:r>
        <w:rPr>
          <w:rFonts w:hint="eastAsia" w:ascii="Times New Roman" w:hAnsi="Times New Roman" w:eastAsia="宋体" w:cs="Times New Roman"/>
          <w:color w:val="auto"/>
          <w:szCs w:val="21"/>
          <w:highlight w:val="none"/>
          <w:lang w:val="en-US" w:eastAsia="zh-CN"/>
        </w:rPr>
        <w:t>品备</w:t>
      </w:r>
      <w:r>
        <w:rPr>
          <w:rFonts w:hint="eastAsia" w:ascii="Times New Roman" w:hAnsi="Times New Roman" w:eastAsia="宋体" w:cs="Times New Roman"/>
          <w:color w:val="auto"/>
          <w:szCs w:val="21"/>
          <w:highlight w:val="none"/>
        </w:rPr>
        <w:t>件报价</w:t>
      </w:r>
      <w:r>
        <w:rPr>
          <w:rFonts w:hint="eastAsia" w:hAnsi="宋体"/>
          <w:bCs/>
          <w:color w:val="auto"/>
          <w:szCs w:val="21"/>
          <w:highlight w:val="none"/>
        </w:rPr>
        <w:t xml:space="preserve">表 </w:t>
      </w:r>
      <w:r>
        <w:rPr>
          <w:rFonts w:hint="eastAsia"/>
          <w:color w:val="auto"/>
          <w:szCs w:val="21"/>
          <w:highlight w:val="none"/>
        </w:rPr>
        <w:t>…………………………………………………页码</w:t>
      </w:r>
    </w:p>
    <w:p w14:paraId="1E2AE0E4">
      <w:pPr>
        <w:pStyle w:val="7"/>
        <w:spacing w:before="120" w:beforeLines="50" w:line="360" w:lineRule="auto"/>
        <w:ind w:firstLine="1218" w:firstLineChars="580"/>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五、货物说明一览表 …………………………………………………页码</w:t>
      </w:r>
    </w:p>
    <w:p w14:paraId="76E7E8A5">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六、商务偏离表 ………………………………………………………页码</w:t>
      </w:r>
    </w:p>
    <w:p w14:paraId="0A423780">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七</w:t>
      </w:r>
      <w:r>
        <w:rPr>
          <w:rFonts w:hint="eastAsia"/>
          <w:color w:val="auto"/>
          <w:szCs w:val="21"/>
          <w:highlight w:val="none"/>
          <w:lang w:eastAsia="zh-CN"/>
        </w:rPr>
        <w:t>、</w:t>
      </w:r>
      <w:r>
        <w:rPr>
          <w:rFonts w:hint="eastAsia"/>
          <w:color w:val="auto"/>
          <w:szCs w:val="21"/>
          <w:highlight w:val="none"/>
        </w:rPr>
        <w:t xml:space="preserve">技术文件 </w:t>
      </w:r>
      <w:r>
        <w:rPr>
          <w:rFonts w:hint="eastAsia"/>
          <w:color w:val="auto"/>
          <w:szCs w:val="21"/>
          <w:highlight w:val="none"/>
          <w:lang w:eastAsia="zh-CN"/>
        </w:rPr>
        <w:t>（</w:t>
      </w:r>
      <w:r>
        <w:rPr>
          <w:rFonts w:hint="eastAsia"/>
          <w:color w:val="auto"/>
          <w:szCs w:val="21"/>
          <w:highlight w:val="none"/>
        </w:rPr>
        <w:t>根据本项目评分标准顺序编写</w:t>
      </w:r>
      <w:r>
        <w:rPr>
          <w:rFonts w:hint="eastAsia"/>
          <w:color w:val="auto"/>
          <w:szCs w:val="21"/>
          <w:highlight w:val="none"/>
          <w:lang w:eastAsia="zh-CN"/>
        </w:rPr>
        <w:t>）</w:t>
      </w:r>
      <w:r>
        <w:rPr>
          <w:rFonts w:hint="eastAsia"/>
          <w:color w:val="auto"/>
          <w:szCs w:val="21"/>
          <w:highlight w:val="none"/>
        </w:rPr>
        <w:t>…………………页码</w:t>
      </w:r>
    </w:p>
    <w:p w14:paraId="08F42239">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八</w:t>
      </w:r>
      <w:r>
        <w:rPr>
          <w:rFonts w:hint="eastAsia"/>
          <w:color w:val="auto"/>
          <w:szCs w:val="21"/>
          <w:highlight w:val="none"/>
        </w:rPr>
        <w:t>、承诺文件 …………………………………………………………页码</w:t>
      </w:r>
    </w:p>
    <w:p w14:paraId="555864A4">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九</w:t>
      </w:r>
      <w:r>
        <w:rPr>
          <w:rFonts w:hint="eastAsia"/>
          <w:color w:val="auto"/>
          <w:szCs w:val="21"/>
          <w:highlight w:val="none"/>
        </w:rPr>
        <w:t>、售后服务文件 ……………………………………………………页码</w:t>
      </w:r>
    </w:p>
    <w:p w14:paraId="6112E8C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十</w:t>
      </w:r>
      <w:r>
        <w:rPr>
          <w:rFonts w:hint="eastAsia"/>
          <w:color w:val="auto"/>
          <w:szCs w:val="21"/>
          <w:highlight w:val="none"/>
        </w:rPr>
        <w:t>、其他证明材料 ……………………………………………………页码</w:t>
      </w:r>
    </w:p>
    <w:p w14:paraId="468A1FF9">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一</w:t>
      </w:r>
      <w:r>
        <w:rPr>
          <w:rFonts w:hint="eastAsia"/>
          <w:color w:val="auto"/>
          <w:szCs w:val="21"/>
          <w:highlight w:val="none"/>
        </w:rPr>
        <w:t>、技术规格偏离表 ………………………………………………页码</w:t>
      </w:r>
    </w:p>
    <w:p w14:paraId="3A12CBF7">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二</w:t>
      </w:r>
      <w:r>
        <w:rPr>
          <w:rFonts w:hint="eastAsia"/>
          <w:color w:val="auto"/>
          <w:szCs w:val="21"/>
          <w:highlight w:val="none"/>
        </w:rPr>
        <w:t>、投标人认为有必要补充说明的事项……………</w:t>
      </w:r>
      <w:bookmarkEnd w:id="230"/>
      <w:r>
        <w:rPr>
          <w:rFonts w:hint="eastAsia"/>
          <w:color w:val="auto"/>
          <w:szCs w:val="21"/>
          <w:highlight w:val="none"/>
        </w:rPr>
        <w:t>………………页码</w:t>
      </w:r>
    </w:p>
    <w:p w14:paraId="286494FB">
      <w:pPr>
        <w:pStyle w:val="7"/>
        <w:spacing w:before="120" w:beforeLines="50"/>
        <w:ind w:firstLine="1218" w:firstLineChars="580"/>
        <w:rPr>
          <w:rFonts w:hint="eastAsia"/>
          <w:color w:val="auto"/>
          <w:highlight w:val="none"/>
        </w:rPr>
      </w:pPr>
    </w:p>
    <w:p w14:paraId="3B5819FE">
      <w:pPr>
        <w:pStyle w:val="7"/>
        <w:spacing w:before="120" w:beforeLines="50"/>
        <w:ind w:firstLine="1218" w:firstLineChars="580"/>
        <w:rPr>
          <w:rFonts w:hint="eastAsia"/>
          <w:color w:val="auto"/>
          <w:highlight w:val="none"/>
        </w:rPr>
      </w:pPr>
    </w:p>
    <w:p w14:paraId="72C9CE6C">
      <w:pPr>
        <w:pStyle w:val="7"/>
        <w:spacing w:before="120" w:beforeLines="50"/>
        <w:ind w:firstLine="1218" w:firstLineChars="580"/>
        <w:rPr>
          <w:rFonts w:hint="eastAsia"/>
          <w:color w:val="auto"/>
          <w:highlight w:val="none"/>
        </w:rPr>
      </w:pPr>
    </w:p>
    <w:p w14:paraId="669EE72A">
      <w:pPr>
        <w:pStyle w:val="7"/>
        <w:spacing w:before="120" w:beforeLines="50"/>
        <w:ind w:firstLine="1218" w:firstLineChars="580"/>
        <w:rPr>
          <w:rFonts w:hint="eastAsia"/>
          <w:color w:val="auto"/>
          <w:highlight w:val="none"/>
        </w:rPr>
      </w:pPr>
    </w:p>
    <w:p w14:paraId="5C25B06B">
      <w:pPr>
        <w:pStyle w:val="7"/>
        <w:spacing w:before="120" w:beforeLines="50"/>
        <w:ind w:firstLine="1218" w:firstLineChars="580"/>
        <w:rPr>
          <w:rFonts w:hint="eastAsia"/>
          <w:color w:val="auto"/>
          <w:highlight w:val="none"/>
        </w:rPr>
      </w:pPr>
    </w:p>
    <w:p w14:paraId="246D91ED">
      <w:pPr>
        <w:pStyle w:val="7"/>
        <w:spacing w:before="120" w:beforeLines="50"/>
        <w:ind w:firstLine="1218" w:firstLineChars="580"/>
        <w:rPr>
          <w:rFonts w:hint="eastAsia"/>
          <w:color w:val="auto"/>
          <w:highlight w:val="none"/>
        </w:rPr>
      </w:pPr>
    </w:p>
    <w:p w14:paraId="176A9900">
      <w:pPr>
        <w:pStyle w:val="7"/>
        <w:spacing w:before="120" w:beforeLines="50"/>
        <w:ind w:firstLine="1218" w:firstLineChars="580"/>
        <w:rPr>
          <w:rFonts w:hint="eastAsia"/>
          <w:color w:val="auto"/>
          <w:highlight w:val="none"/>
        </w:rPr>
      </w:pPr>
    </w:p>
    <w:p w14:paraId="064552F8">
      <w:pPr>
        <w:pStyle w:val="7"/>
        <w:spacing w:before="120" w:beforeLines="50"/>
        <w:ind w:firstLine="1218" w:firstLineChars="580"/>
        <w:rPr>
          <w:rFonts w:hint="eastAsia"/>
          <w:color w:val="auto"/>
          <w:highlight w:val="none"/>
        </w:rPr>
      </w:pPr>
    </w:p>
    <w:p w14:paraId="1C4EB0B9">
      <w:pPr>
        <w:pStyle w:val="7"/>
        <w:spacing w:before="120" w:beforeLines="50"/>
        <w:ind w:firstLine="1218" w:firstLineChars="580"/>
        <w:rPr>
          <w:rFonts w:hint="eastAsia"/>
          <w:color w:val="auto"/>
          <w:highlight w:val="none"/>
        </w:rPr>
      </w:pPr>
    </w:p>
    <w:p w14:paraId="71FA3356">
      <w:pPr>
        <w:pStyle w:val="7"/>
        <w:spacing w:before="120" w:beforeLines="50"/>
        <w:ind w:firstLine="1218" w:firstLineChars="580"/>
        <w:rPr>
          <w:rFonts w:hint="eastAsia"/>
          <w:color w:val="auto"/>
          <w:highlight w:val="none"/>
        </w:rPr>
      </w:pPr>
    </w:p>
    <w:p w14:paraId="7D02B71B">
      <w:pPr>
        <w:pStyle w:val="7"/>
        <w:spacing w:before="120" w:beforeLines="50"/>
        <w:ind w:firstLine="1218" w:firstLineChars="580"/>
        <w:rPr>
          <w:rFonts w:hint="eastAsia"/>
          <w:color w:val="auto"/>
          <w:highlight w:val="none"/>
        </w:rPr>
      </w:pPr>
    </w:p>
    <w:p w14:paraId="13E74A7B">
      <w:pPr>
        <w:pStyle w:val="7"/>
        <w:spacing w:before="120" w:beforeLines="50"/>
        <w:ind w:firstLine="1218" w:firstLineChars="580"/>
        <w:rPr>
          <w:rFonts w:hint="eastAsia"/>
          <w:color w:val="auto"/>
          <w:highlight w:val="none"/>
        </w:rPr>
      </w:pPr>
    </w:p>
    <w:p w14:paraId="1D4950EC">
      <w:pPr>
        <w:pStyle w:val="7"/>
        <w:spacing w:before="120" w:beforeLines="50"/>
        <w:ind w:firstLine="1218" w:firstLineChars="580"/>
        <w:rPr>
          <w:rFonts w:hint="eastAsia"/>
          <w:color w:val="auto"/>
          <w:highlight w:val="none"/>
        </w:rPr>
      </w:pPr>
    </w:p>
    <w:p w14:paraId="6CE99AF8">
      <w:pPr>
        <w:pStyle w:val="7"/>
        <w:spacing w:before="120" w:beforeLines="50"/>
        <w:ind w:firstLine="1218" w:firstLineChars="580"/>
        <w:rPr>
          <w:rFonts w:hint="eastAsia"/>
          <w:color w:val="auto"/>
          <w:highlight w:val="none"/>
        </w:rPr>
      </w:pPr>
    </w:p>
    <w:p w14:paraId="0D7656B9">
      <w:pPr>
        <w:pStyle w:val="8"/>
        <w:rPr>
          <w:rFonts w:hint="eastAsia"/>
          <w:color w:val="auto"/>
          <w:highlight w:val="none"/>
        </w:rPr>
      </w:pPr>
    </w:p>
    <w:p w14:paraId="170DC202">
      <w:pPr>
        <w:rPr>
          <w:rFonts w:hint="eastAsia"/>
          <w:highlight w:val="none"/>
        </w:rPr>
      </w:pPr>
    </w:p>
    <w:p w14:paraId="5CA8334F">
      <w:pPr>
        <w:pStyle w:val="7"/>
        <w:spacing w:before="120" w:beforeLines="50"/>
        <w:ind w:firstLine="1218" w:firstLineChars="580"/>
        <w:rPr>
          <w:rFonts w:hint="eastAsia"/>
          <w:color w:val="auto"/>
          <w:highlight w:val="none"/>
        </w:rPr>
      </w:pPr>
    </w:p>
    <w:p w14:paraId="5CBA7FE4">
      <w:pPr>
        <w:pStyle w:val="7"/>
        <w:spacing w:before="120" w:beforeLines="50"/>
        <w:ind w:firstLine="1218" w:firstLineChars="580"/>
        <w:rPr>
          <w:rFonts w:hint="eastAsia"/>
          <w:color w:val="auto"/>
          <w:highlight w:val="none"/>
        </w:rPr>
      </w:pPr>
    </w:p>
    <w:p w14:paraId="2F36C888">
      <w:pPr>
        <w:pStyle w:val="14"/>
        <w:numPr>
          <w:ilvl w:val="0"/>
          <w:numId w:val="5"/>
        </w:numPr>
        <w:spacing w:before="240" w:beforeLines="100" w:after="240" w:afterLines="100" w:line="360" w:lineRule="auto"/>
        <w:ind w:firstLine="0"/>
        <w:jc w:val="center"/>
        <w:rPr>
          <w:rFonts w:hint="eastAsia" w:ascii="宋体" w:hAnsi="宋体"/>
          <w:b/>
          <w:color w:val="auto"/>
          <w:sz w:val="36"/>
          <w:szCs w:val="36"/>
          <w:highlight w:val="none"/>
        </w:rPr>
      </w:pPr>
      <w:r>
        <w:rPr>
          <w:rFonts w:hint="eastAsia" w:ascii="宋体" w:hAnsi="宋体"/>
          <w:b/>
          <w:color w:val="auto"/>
          <w:sz w:val="36"/>
          <w:szCs w:val="36"/>
          <w:highlight w:val="none"/>
        </w:rPr>
        <w:t>投 标 函</w:t>
      </w:r>
    </w:p>
    <w:p w14:paraId="5010EEB0">
      <w:pPr>
        <w:pStyle w:val="14"/>
        <w:spacing w:before="240" w:beforeLines="100" w:after="240" w:afterLines="100" w:line="300" w:lineRule="atLeast"/>
        <w:ind w:firstLine="0"/>
        <w:rPr>
          <w:rFonts w:hint="eastAsia" w:ascii="宋体" w:hAnsi="宋体"/>
          <w:bCs/>
          <w:color w:val="auto"/>
          <w:sz w:val="21"/>
          <w:szCs w:val="21"/>
          <w:highlight w:val="none"/>
        </w:rPr>
      </w:pPr>
      <w:r>
        <w:rPr>
          <w:rFonts w:hint="eastAsia" w:ascii="宋体" w:hAnsi="宋体"/>
          <w:bCs/>
          <w:color w:val="auto"/>
          <w:sz w:val="21"/>
          <w:szCs w:val="21"/>
          <w:highlight w:val="none"/>
          <w:lang w:eastAsia="zh-CN"/>
        </w:rPr>
        <w:t>伊宁县政府采购中心</w:t>
      </w:r>
      <w:r>
        <w:rPr>
          <w:rFonts w:hint="eastAsia" w:ascii="宋体" w:hAnsi="宋体"/>
          <w:bCs/>
          <w:color w:val="auto"/>
          <w:sz w:val="21"/>
          <w:szCs w:val="21"/>
          <w:highlight w:val="none"/>
        </w:rPr>
        <w:t>：</w:t>
      </w:r>
    </w:p>
    <w:p w14:paraId="13D7BF50">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我方已仔细研究了</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项目名称)的招标文件（</w:t>
      </w:r>
      <w:r>
        <w:rPr>
          <w:rFonts w:hint="eastAsia" w:ascii="宋体" w:hAnsi="宋体"/>
          <w:color w:val="auto"/>
          <w:sz w:val="21"/>
          <w:szCs w:val="21"/>
          <w:highlight w:val="none"/>
          <w:u w:val="single"/>
        </w:rPr>
        <w:t>采购项目编号</w:t>
      </w:r>
      <w:r>
        <w:rPr>
          <w:rFonts w:hint="eastAsia" w:ascii="宋体" w:hAnsi="宋体"/>
          <w:color w:val="auto"/>
          <w:sz w:val="21"/>
          <w:szCs w:val="21"/>
          <w:highlight w:val="none"/>
        </w:rPr>
        <w:t>）的全部内容，知悉参加投标的风险，我方承诺接受招标文件的全部条款且无任何异议，</w:t>
      </w:r>
      <w:r>
        <w:rPr>
          <w:rFonts w:hint="eastAsia" w:ascii="宋体" w:hAnsi="宋体"/>
          <w:bCs/>
          <w:color w:val="auto"/>
          <w:sz w:val="21"/>
          <w:szCs w:val="21"/>
          <w:highlight w:val="none"/>
        </w:rPr>
        <w:t>决定参加贵单位组织的本项目招标。</w:t>
      </w:r>
    </w:p>
    <w:p w14:paraId="4E6FE3AB">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一</w:t>
      </w:r>
      <w:r>
        <w:rPr>
          <w:rFonts w:hint="eastAsia" w:hAnsi="宋体"/>
          <w:color w:val="auto"/>
          <w:highlight w:val="none"/>
        </w:rPr>
        <w:t>、我方的投标总报价为人民币（大写）</w:t>
      </w:r>
      <w:r>
        <w:rPr>
          <w:rFonts w:hint="eastAsia" w:hAnsi="宋体"/>
          <w:color w:val="auto"/>
          <w:highlight w:val="none"/>
          <w:u w:val="single"/>
        </w:rPr>
        <w:t xml:space="preserve">              </w:t>
      </w:r>
      <w:r>
        <w:rPr>
          <w:rFonts w:hint="eastAsia" w:hAnsi="宋体"/>
          <w:color w:val="auto"/>
          <w:highlight w:val="none"/>
        </w:rPr>
        <w:t xml:space="preserve"> 元 （￥</w:t>
      </w:r>
      <w:r>
        <w:rPr>
          <w:rFonts w:hint="eastAsia" w:hAnsi="宋体"/>
          <w:color w:val="auto"/>
          <w:highlight w:val="none"/>
          <w:u w:val="single"/>
        </w:rPr>
        <w:t xml:space="preserve">       </w:t>
      </w:r>
      <w:r>
        <w:rPr>
          <w:rFonts w:hint="eastAsia" w:hAnsi="宋体"/>
          <w:color w:val="auto"/>
          <w:highlight w:val="none"/>
        </w:rPr>
        <w:t>）；</w:t>
      </w:r>
      <w:r>
        <w:rPr>
          <w:rFonts w:hint="eastAsia" w:asciiTheme="minorEastAsia" w:hAnsiTheme="minorEastAsia" w:eastAsiaTheme="minorEastAsia" w:cstheme="minorEastAsia"/>
          <w:b w:val="0"/>
          <w:bCs/>
          <w:color w:val="auto"/>
          <w:kern w:val="2"/>
          <w:sz w:val="21"/>
          <w:szCs w:val="21"/>
          <w:highlight w:val="none"/>
          <w:lang w:val="en-US" w:eastAsia="zh-CN" w:bidi="ar-SA"/>
        </w:rPr>
        <w:t>合同履行期限</w:t>
      </w:r>
      <w:r>
        <w:rPr>
          <w:rFonts w:hint="eastAsia" w:hAnsi="宋体"/>
          <w:color w:val="auto"/>
          <w:highlight w:val="none"/>
        </w:rPr>
        <w:t>为</w:t>
      </w:r>
      <w:r>
        <w:rPr>
          <w:rFonts w:hint="eastAsia" w:hAnsi="宋体"/>
          <w:bCs/>
          <w:color w:val="auto"/>
          <w:highlight w:val="none"/>
          <w:u w:val="single"/>
        </w:rPr>
        <w:t xml:space="preserve">         </w:t>
      </w:r>
      <w:r>
        <w:rPr>
          <w:rFonts w:hint="eastAsia" w:hAnsi="宋体"/>
          <w:bCs/>
          <w:color w:val="auto"/>
          <w:highlight w:val="none"/>
          <w:u w:val="none"/>
          <w:lang w:val="en-US" w:eastAsia="zh-CN"/>
        </w:rPr>
        <w:t>日历</w:t>
      </w:r>
      <w:r>
        <w:rPr>
          <w:rFonts w:hint="eastAsia" w:hAnsi="宋体"/>
          <w:bCs/>
          <w:color w:val="auto"/>
          <w:highlight w:val="none"/>
          <w:u w:val="none"/>
        </w:rPr>
        <w:t>日</w:t>
      </w:r>
      <w:r>
        <w:rPr>
          <w:rFonts w:hint="eastAsia" w:hAnsi="宋体"/>
          <w:bCs/>
          <w:color w:val="auto"/>
          <w:highlight w:val="none"/>
        </w:rPr>
        <w:t>,</w:t>
      </w:r>
      <w:r>
        <w:rPr>
          <w:rFonts w:hint="eastAsia"/>
          <w:color w:val="auto"/>
          <w:highlight w:val="none"/>
        </w:rPr>
        <w:t xml:space="preserve"> </w:t>
      </w:r>
      <w:r>
        <w:rPr>
          <w:rFonts w:hint="eastAsia" w:hAnsi="宋体"/>
          <w:color w:val="auto"/>
          <w:highlight w:val="none"/>
        </w:rPr>
        <w:t>投标有效期为</w:t>
      </w:r>
      <w:r>
        <w:rPr>
          <w:rFonts w:hint="eastAsia"/>
          <w:color w:val="auto"/>
          <w:highlight w:val="none"/>
          <w:lang w:val="zh-CN"/>
        </w:rPr>
        <w:t>投标截止日起90日历</w:t>
      </w:r>
      <w:r>
        <w:rPr>
          <w:rFonts w:hint="eastAsia"/>
          <w:color w:val="auto"/>
          <w:highlight w:val="none"/>
        </w:rPr>
        <w:t>日。</w:t>
      </w:r>
    </w:p>
    <w:p w14:paraId="51E1485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二</w:t>
      </w:r>
      <w:r>
        <w:rPr>
          <w:rFonts w:hint="eastAsia" w:ascii="宋体" w:hAnsi="宋体"/>
          <w:bCs/>
          <w:color w:val="auto"/>
          <w:sz w:val="21"/>
          <w:szCs w:val="21"/>
          <w:highlight w:val="none"/>
        </w:rPr>
        <w:t>、我方承诺承诺除商务和技术偏差表列出的偏差外，我方响应招标文件的全部要求。</w:t>
      </w:r>
    </w:p>
    <w:p w14:paraId="2444A18C">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三</w:t>
      </w:r>
      <w:r>
        <w:rPr>
          <w:rFonts w:hint="eastAsia" w:hAnsi="宋体"/>
          <w:color w:val="auto"/>
          <w:highlight w:val="none"/>
        </w:rPr>
        <w:t>、我方愿意向贵方提供任何与本项采购有关的样品、数据、情况和技术资料。若贵方需要，我方愿意提供我方作出的一切承诺的证明材料。</w:t>
      </w:r>
    </w:p>
    <w:p w14:paraId="4E8CD869">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四</w:t>
      </w:r>
      <w:r>
        <w:rPr>
          <w:rFonts w:hint="eastAsia" w:ascii="宋体" w:hAnsi="宋体"/>
          <w:color w:val="auto"/>
          <w:sz w:val="21"/>
          <w:szCs w:val="21"/>
          <w:highlight w:val="none"/>
        </w:rPr>
        <w:t>、</w:t>
      </w:r>
      <w:r>
        <w:rPr>
          <w:rFonts w:hint="eastAsia" w:ascii="宋体" w:hAnsi="宋体"/>
          <w:bCs/>
          <w:color w:val="auto"/>
          <w:sz w:val="21"/>
          <w:szCs w:val="21"/>
          <w:highlight w:val="none"/>
        </w:rPr>
        <w:t>我方承诺在招标文件规定的投标有效期内不撤销投标文件。</w:t>
      </w:r>
    </w:p>
    <w:p w14:paraId="7B3FEF16">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五</w:t>
      </w:r>
      <w:r>
        <w:rPr>
          <w:rFonts w:hint="eastAsia" w:hAnsi="宋体"/>
          <w:color w:val="auto"/>
          <w:highlight w:val="none"/>
        </w:rPr>
        <w:t>、我方承诺遵守《中华人民共和国政府采购法》及其实施条例的有关规定，保证在获得中标资格后：</w:t>
      </w:r>
    </w:p>
    <w:p w14:paraId="6FA5062E">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1.在收到中标通知书后，在中标通知书规定的期限内与采购人签订合同；</w:t>
      </w:r>
    </w:p>
    <w:p w14:paraId="6F9D1848">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2.在签订合同时不向采购人提出附加条件；</w:t>
      </w:r>
    </w:p>
    <w:p w14:paraId="40E81CC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rPr>
        <w:t>3.在合同规定期限内完成合同规定的全部义务；</w:t>
      </w:r>
      <w:r>
        <w:rPr>
          <w:rFonts w:hint="eastAsia" w:ascii="宋体" w:hAnsi="宋体"/>
          <w:bCs/>
          <w:color w:val="auto"/>
          <w:sz w:val="21"/>
          <w:szCs w:val="21"/>
          <w:highlight w:val="none"/>
        </w:rPr>
        <w:t xml:space="preserve"> </w:t>
      </w:r>
    </w:p>
    <w:p w14:paraId="7FE1C497">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val="en-US" w:eastAsia="zh-CN"/>
        </w:rPr>
        <w:t>4</w:t>
      </w:r>
      <w:r>
        <w:rPr>
          <w:rFonts w:hint="eastAsia" w:hAnsi="宋体"/>
          <w:color w:val="auto"/>
          <w:highlight w:val="none"/>
        </w:rPr>
        <w:t>.按照招标文件规定提交履</w:t>
      </w:r>
      <w:r>
        <w:rPr>
          <w:rFonts w:hint="eastAsia" w:hAnsi="宋体"/>
          <w:color w:val="auto"/>
          <w:highlight w:val="none"/>
          <w:lang w:eastAsia="zh-CN"/>
        </w:rPr>
        <w:t>≥</w:t>
      </w:r>
      <w:r>
        <w:rPr>
          <w:rFonts w:hint="eastAsia" w:hAnsi="宋体"/>
          <w:color w:val="auto"/>
          <w:highlight w:val="none"/>
        </w:rPr>
        <w:t>保证金。</w:t>
      </w:r>
    </w:p>
    <w:p w14:paraId="475ED853">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六</w:t>
      </w:r>
      <w:r>
        <w:rPr>
          <w:rFonts w:hint="eastAsia" w:hAnsi="宋体"/>
          <w:color w:val="auto"/>
          <w:highlight w:val="none"/>
        </w:rPr>
        <w:t>、我方完全理解并同意招标文件中有关不退还投标保证金条款所规定的情形。</w:t>
      </w:r>
    </w:p>
    <w:p w14:paraId="76E0293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七</w:t>
      </w:r>
      <w:r>
        <w:rPr>
          <w:rFonts w:hint="eastAsia" w:ascii="宋体" w:hAnsi="宋体"/>
          <w:color w:val="auto"/>
          <w:sz w:val="21"/>
          <w:szCs w:val="21"/>
          <w:highlight w:val="none"/>
        </w:rPr>
        <w:t>、</w:t>
      </w:r>
      <w:r>
        <w:rPr>
          <w:rFonts w:hint="eastAsia" w:ascii="宋体" w:hAnsi="宋体"/>
          <w:bCs/>
          <w:color w:val="auto"/>
          <w:sz w:val="21"/>
          <w:szCs w:val="21"/>
          <w:highlight w:val="none"/>
        </w:rPr>
        <w:t>我方完全理解最低报价不是中标的唯一条件，并尊重评标委员会的评审结论和中标结果。</w:t>
      </w:r>
    </w:p>
    <w:p w14:paraId="0A2AB05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八</w:t>
      </w:r>
      <w:r>
        <w:rPr>
          <w:rFonts w:hint="eastAsia" w:ascii="宋体" w:hAnsi="宋体"/>
          <w:bCs/>
          <w:color w:val="auto"/>
          <w:sz w:val="21"/>
          <w:szCs w:val="21"/>
          <w:highlight w:val="none"/>
        </w:rPr>
        <w:t>、</w:t>
      </w:r>
      <w:r>
        <w:rPr>
          <w:rFonts w:hint="eastAsia" w:hAnsi="宋体"/>
          <w:color w:val="auto"/>
          <w:sz w:val="21"/>
          <w:szCs w:val="21"/>
          <w:highlight w:val="none"/>
        </w:rPr>
        <w:t>我方在此声明，所递交的投标文件及有关资料内容完整、真实和准确，且不存在第二章“投标人须知”第</w:t>
      </w:r>
      <w:r>
        <w:rPr>
          <w:rFonts w:hint="eastAsia" w:ascii="宋体" w:hAnsi="宋体"/>
          <w:color w:val="auto"/>
          <w:sz w:val="21"/>
          <w:szCs w:val="21"/>
          <w:highlight w:val="none"/>
        </w:rPr>
        <w:t>1.3.2</w:t>
      </w:r>
      <w:r>
        <w:rPr>
          <w:rFonts w:hint="eastAsia" w:hAnsi="宋体"/>
          <w:color w:val="auto"/>
          <w:sz w:val="21"/>
          <w:szCs w:val="21"/>
          <w:highlight w:val="none"/>
        </w:rPr>
        <w:t>条款规定的任何一种情形。否则，愿承担《中华人民共和国政府采购法》</w:t>
      </w:r>
      <w:r>
        <w:rPr>
          <w:rFonts w:hint="eastAsia" w:hAnsi="宋体"/>
          <w:bCs/>
          <w:color w:val="auto"/>
          <w:sz w:val="21"/>
          <w:szCs w:val="21"/>
          <w:highlight w:val="none"/>
        </w:rPr>
        <w:t>第七十七条规定的法律责任。</w:t>
      </w:r>
    </w:p>
    <w:p w14:paraId="6B6FA14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九</w:t>
      </w:r>
      <w:r>
        <w:rPr>
          <w:rFonts w:hint="eastAsia" w:ascii="宋体" w:hAnsi="宋体"/>
          <w:bCs/>
          <w:color w:val="auto"/>
          <w:sz w:val="21"/>
          <w:szCs w:val="21"/>
          <w:highlight w:val="none"/>
        </w:rPr>
        <w:t>、</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（其他补充说明）。</w:t>
      </w:r>
    </w:p>
    <w:p w14:paraId="6784239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十、有关本项目的所有函电，请按下列地址联系：</w:t>
      </w:r>
    </w:p>
    <w:p w14:paraId="7E3BEA33">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 标 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（盖单位章）</w:t>
      </w:r>
    </w:p>
    <w:p w14:paraId="2088E107">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法定代表人或委托代理人：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（签字）</w:t>
      </w:r>
    </w:p>
    <w:p w14:paraId="0DEB36C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通讯地址：</w:t>
      </w:r>
    </w:p>
    <w:p w14:paraId="6789B41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邮政编码：</w:t>
      </w:r>
    </w:p>
    <w:p w14:paraId="0FC12BA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联系电话：</w:t>
      </w:r>
    </w:p>
    <w:p w14:paraId="5B58BAC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传    真：</w:t>
      </w:r>
    </w:p>
    <w:p w14:paraId="0FB0C997">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电子邮件：</w:t>
      </w:r>
    </w:p>
    <w:p w14:paraId="4E08A57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开户银行:</w:t>
      </w:r>
    </w:p>
    <w:p w14:paraId="2F27558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帐    号：</w:t>
      </w:r>
    </w:p>
    <w:p w14:paraId="0DE59134">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日    期：20   年   月   日</w:t>
      </w:r>
    </w:p>
    <w:p w14:paraId="52CFC375">
      <w:pPr>
        <w:spacing w:line="300" w:lineRule="atLeast"/>
        <w:outlineLvl w:val="9"/>
        <w:rPr>
          <w:rFonts w:hint="eastAsia" w:ascii="仿宋_GB2312" w:hAnsi="宋体" w:eastAsia="仿宋_GB2312"/>
          <w:b/>
          <w:color w:val="auto"/>
          <w:sz w:val="28"/>
          <w:szCs w:val="28"/>
          <w:highlight w:val="none"/>
        </w:rPr>
      </w:pPr>
    </w:p>
    <w:p w14:paraId="5BCECB42">
      <w:pPr>
        <w:spacing w:line="400" w:lineRule="exact"/>
        <w:outlineLvl w:val="9"/>
        <w:rPr>
          <w:rFonts w:hint="eastAsia" w:ascii="仿宋_GB2312" w:hAnsi="宋体" w:eastAsia="仿宋_GB2312"/>
          <w:b/>
          <w:color w:val="auto"/>
          <w:sz w:val="28"/>
          <w:szCs w:val="28"/>
          <w:highlight w:val="none"/>
        </w:rPr>
      </w:pPr>
    </w:p>
    <w:p w14:paraId="1EB3F090">
      <w:pPr>
        <w:pageBreakBefore/>
        <w:spacing w:after="240" w:afterLines="100" w:line="360" w:lineRule="auto"/>
        <w:jc w:val="center"/>
        <w:outlineLvl w:val="1"/>
        <w:rPr>
          <w:rFonts w:hint="eastAsia" w:ascii="宋体" w:hAnsi="宋体"/>
          <w:b/>
          <w:color w:val="auto"/>
          <w:sz w:val="36"/>
          <w:szCs w:val="36"/>
          <w:highlight w:val="none"/>
        </w:rPr>
      </w:pPr>
      <w:bookmarkStart w:id="256" w:name="_Toc32010"/>
      <w:r>
        <w:rPr>
          <w:rFonts w:hint="eastAsia" w:ascii="宋体" w:hAnsi="宋体"/>
          <w:b/>
          <w:color w:val="auto"/>
          <w:sz w:val="36"/>
          <w:szCs w:val="36"/>
          <w:highlight w:val="none"/>
        </w:rPr>
        <w:t>二、开标一览表</w:t>
      </w:r>
      <w:bookmarkEnd w:id="256"/>
    </w:p>
    <w:p w14:paraId="41DDF47A">
      <w:pPr>
        <w:spacing w:after="120" w:afterLines="50" w:line="400" w:lineRule="exact"/>
        <w:ind w:firstLine="105" w:firstLineChars="50"/>
        <w:outlineLvl w:val="1"/>
        <w:rPr>
          <w:rFonts w:hint="eastAsia" w:ascii="宋体" w:hAnsi="宋体"/>
          <w:color w:val="auto"/>
          <w:szCs w:val="21"/>
          <w:highlight w:val="none"/>
        </w:rPr>
      </w:pPr>
      <w:bookmarkStart w:id="257" w:name="_Toc16704"/>
      <w:r>
        <w:rPr>
          <w:rFonts w:hint="eastAsia" w:ascii="宋体" w:hAnsi="宋体"/>
          <w:color w:val="auto"/>
          <w:szCs w:val="21"/>
          <w:highlight w:val="none"/>
        </w:rPr>
        <w:t>采购项目编号：</w:t>
      </w:r>
      <w:bookmarkEnd w:id="257"/>
      <w:r>
        <w:rPr>
          <w:rFonts w:hint="eastAsia" w:ascii="宋体" w:hAnsi="宋体"/>
          <w:color w:val="auto"/>
          <w:szCs w:val="21"/>
          <w:highlight w:val="none"/>
        </w:rPr>
        <w:t xml:space="preserve">                                                    </w:t>
      </w:r>
    </w:p>
    <w:tbl>
      <w:tblPr>
        <w:tblStyle w:val="23"/>
        <w:tblW w:w="9300" w:type="dxa"/>
        <w:tblInd w:w="93" w:type="dxa"/>
        <w:tblLayout w:type="fixed"/>
        <w:tblCellMar>
          <w:top w:w="0" w:type="dxa"/>
          <w:left w:w="108" w:type="dxa"/>
          <w:bottom w:w="0" w:type="dxa"/>
          <w:right w:w="108" w:type="dxa"/>
        </w:tblCellMar>
      </w:tblPr>
      <w:tblGrid>
        <w:gridCol w:w="3544"/>
        <w:gridCol w:w="2000"/>
        <w:gridCol w:w="1726"/>
        <w:gridCol w:w="2030"/>
      </w:tblGrid>
      <w:tr w14:paraId="52EAB26C">
        <w:tblPrEx>
          <w:tblCellMar>
            <w:top w:w="0" w:type="dxa"/>
            <w:left w:w="108" w:type="dxa"/>
            <w:bottom w:w="0" w:type="dxa"/>
            <w:right w:w="108" w:type="dxa"/>
          </w:tblCellMar>
        </w:tblPrEx>
        <w:trPr>
          <w:trHeight w:val="555" w:hRule="atLeast"/>
        </w:trPr>
        <w:tc>
          <w:tcPr>
            <w:tcW w:w="9300" w:type="dxa"/>
            <w:gridSpan w:val="4"/>
            <w:tcBorders>
              <w:top w:val="single" w:color="auto" w:sz="12" w:space="0"/>
              <w:left w:val="single" w:color="auto" w:sz="12" w:space="0"/>
              <w:bottom w:val="single" w:color="auto" w:sz="4" w:space="0"/>
              <w:right w:val="single" w:color="auto" w:sz="12" w:space="0"/>
            </w:tcBorders>
            <w:noWrap/>
            <w:vAlign w:val="center"/>
          </w:tcPr>
          <w:p w14:paraId="57B9FA81">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投标人名称：</w:t>
            </w:r>
          </w:p>
        </w:tc>
      </w:tr>
      <w:tr w14:paraId="25BAB678">
        <w:tblPrEx>
          <w:tblCellMar>
            <w:top w:w="0" w:type="dxa"/>
            <w:left w:w="108" w:type="dxa"/>
            <w:bottom w:w="0" w:type="dxa"/>
            <w:right w:w="108" w:type="dxa"/>
          </w:tblCellMar>
        </w:tblPrEx>
        <w:trPr>
          <w:trHeight w:val="900" w:hRule="atLeast"/>
        </w:trPr>
        <w:tc>
          <w:tcPr>
            <w:tcW w:w="3544" w:type="dxa"/>
            <w:tcBorders>
              <w:top w:val="nil"/>
              <w:left w:val="single" w:color="auto" w:sz="12" w:space="0"/>
              <w:bottom w:val="single" w:color="auto" w:sz="4" w:space="0"/>
              <w:right w:val="single" w:color="auto" w:sz="4" w:space="0"/>
            </w:tcBorders>
            <w:noWrap/>
            <w:vAlign w:val="center"/>
          </w:tcPr>
          <w:p w14:paraId="1BD20C47">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项目名称</w:t>
            </w:r>
          </w:p>
        </w:tc>
        <w:tc>
          <w:tcPr>
            <w:tcW w:w="2000" w:type="dxa"/>
            <w:tcBorders>
              <w:top w:val="nil"/>
              <w:left w:val="nil"/>
              <w:bottom w:val="single" w:color="auto" w:sz="4" w:space="0"/>
              <w:right w:val="single" w:color="auto" w:sz="4" w:space="0"/>
            </w:tcBorders>
            <w:noWrap w:val="0"/>
            <w:vAlign w:val="center"/>
          </w:tcPr>
          <w:p w14:paraId="282A7F08">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总报价</w:t>
            </w:r>
          </w:p>
          <w:p w14:paraId="0DD283E0">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（元）</w:t>
            </w:r>
          </w:p>
        </w:tc>
        <w:tc>
          <w:tcPr>
            <w:tcW w:w="1726" w:type="dxa"/>
            <w:tcBorders>
              <w:top w:val="nil"/>
              <w:left w:val="nil"/>
              <w:bottom w:val="single" w:color="auto" w:sz="4" w:space="0"/>
              <w:right w:val="single" w:color="auto" w:sz="4" w:space="0"/>
            </w:tcBorders>
            <w:noWrap w:val="0"/>
            <w:vAlign w:val="center"/>
          </w:tcPr>
          <w:p w14:paraId="2EF31FFB">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lang w:val="en-US" w:eastAsia="zh-CN"/>
              </w:rPr>
              <w:t>合同履行期限</w:t>
            </w:r>
          </w:p>
        </w:tc>
        <w:tc>
          <w:tcPr>
            <w:tcW w:w="2030" w:type="dxa"/>
            <w:tcBorders>
              <w:top w:val="nil"/>
              <w:left w:val="nil"/>
              <w:bottom w:val="single" w:color="auto" w:sz="4" w:space="0"/>
              <w:right w:val="single" w:color="auto" w:sz="12" w:space="0"/>
            </w:tcBorders>
            <w:noWrap w:val="0"/>
            <w:vAlign w:val="center"/>
          </w:tcPr>
          <w:p w14:paraId="0D96C0E1">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 xml:space="preserve">质保期  </w:t>
            </w:r>
          </w:p>
          <w:p w14:paraId="43B920EA">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（年）</w:t>
            </w:r>
          </w:p>
        </w:tc>
      </w:tr>
      <w:tr w14:paraId="16F2E1CB">
        <w:tblPrEx>
          <w:tblCellMar>
            <w:top w:w="0" w:type="dxa"/>
            <w:left w:w="108" w:type="dxa"/>
            <w:bottom w:w="0" w:type="dxa"/>
            <w:right w:w="108" w:type="dxa"/>
          </w:tblCellMar>
        </w:tblPrEx>
        <w:trPr>
          <w:trHeight w:val="1170" w:hRule="atLeast"/>
        </w:trPr>
        <w:tc>
          <w:tcPr>
            <w:tcW w:w="3544" w:type="dxa"/>
            <w:tcBorders>
              <w:top w:val="nil"/>
              <w:left w:val="single" w:color="auto" w:sz="12" w:space="0"/>
              <w:bottom w:val="single" w:color="auto" w:sz="4" w:space="0"/>
              <w:right w:val="single" w:color="auto" w:sz="4" w:space="0"/>
            </w:tcBorders>
            <w:noWrap/>
            <w:vAlign w:val="center"/>
          </w:tcPr>
          <w:p w14:paraId="5819F4F3">
            <w:pPr>
              <w:widowControl/>
              <w:jc w:val="center"/>
              <w:rPr>
                <w:rFonts w:ascii="宋体" w:hAnsi="宋体" w:cs="宋体"/>
                <w:color w:val="auto"/>
                <w:kern w:val="0"/>
                <w:szCs w:val="21"/>
                <w:highlight w:val="none"/>
              </w:rPr>
            </w:pPr>
          </w:p>
        </w:tc>
        <w:tc>
          <w:tcPr>
            <w:tcW w:w="2000" w:type="dxa"/>
            <w:tcBorders>
              <w:top w:val="nil"/>
              <w:left w:val="nil"/>
              <w:bottom w:val="single" w:color="auto" w:sz="4" w:space="0"/>
              <w:right w:val="single" w:color="auto" w:sz="4" w:space="0"/>
            </w:tcBorders>
            <w:noWrap/>
            <w:vAlign w:val="center"/>
          </w:tcPr>
          <w:p w14:paraId="61B66FCF">
            <w:pPr>
              <w:widowControl/>
              <w:jc w:val="left"/>
              <w:rPr>
                <w:rFonts w:ascii="宋体" w:hAnsi="宋体" w:cs="宋体"/>
                <w:color w:val="auto"/>
                <w:kern w:val="0"/>
                <w:szCs w:val="21"/>
                <w:highlight w:val="none"/>
              </w:rPr>
            </w:pPr>
          </w:p>
        </w:tc>
        <w:tc>
          <w:tcPr>
            <w:tcW w:w="1726" w:type="dxa"/>
            <w:tcBorders>
              <w:top w:val="nil"/>
              <w:left w:val="nil"/>
              <w:bottom w:val="single" w:color="auto" w:sz="4" w:space="0"/>
              <w:right w:val="single" w:color="auto" w:sz="4" w:space="0"/>
            </w:tcBorders>
            <w:noWrap/>
            <w:vAlign w:val="center"/>
          </w:tcPr>
          <w:p w14:paraId="170A7354">
            <w:pPr>
              <w:widowControl/>
              <w:jc w:val="left"/>
              <w:rPr>
                <w:rFonts w:ascii="宋体" w:hAnsi="宋体" w:cs="宋体"/>
                <w:color w:val="auto"/>
                <w:kern w:val="0"/>
                <w:szCs w:val="21"/>
                <w:highlight w:val="none"/>
              </w:rPr>
            </w:pPr>
          </w:p>
        </w:tc>
        <w:tc>
          <w:tcPr>
            <w:tcW w:w="2030" w:type="dxa"/>
            <w:tcBorders>
              <w:top w:val="nil"/>
              <w:left w:val="nil"/>
              <w:bottom w:val="single" w:color="auto" w:sz="4" w:space="0"/>
              <w:right w:val="single" w:color="auto" w:sz="12" w:space="0"/>
            </w:tcBorders>
            <w:noWrap/>
            <w:vAlign w:val="center"/>
          </w:tcPr>
          <w:p w14:paraId="2800B62B">
            <w:pPr>
              <w:widowControl/>
              <w:jc w:val="left"/>
              <w:rPr>
                <w:rFonts w:ascii="宋体" w:hAnsi="宋体" w:cs="宋体"/>
                <w:color w:val="auto"/>
                <w:kern w:val="0"/>
                <w:szCs w:val="21"/>
                <w:highlight w:val="none"/>
              </w:rPr>
            </w:pPr>
          </w:p>
        </w:tc>
      </w:tr>
      <w:tr w14:paraId="782C2202">
        <w:tblPrEx>
          <w:tblCellMar>
            <w:top w:w="0" w:type="dxa"/>
            <w:left w:w="108" w:type="dxa"/>
            <w:bottom w:w="0" w:type="dxa"/>
            <w:right w:w="108" w:type="dxa"/>
          </w:tblCellMar>
        </w:tblPrEx>
        <w:trPr>
          <w:trHeight w:val="765" w:hRule="atLeast"/>
        </w:trPr>
        <w:tc>
          <w:tcPr>
            <w:tcW w:w="9300" w:type="dxa"/>
            <w:gridSpan w:val="4"/>
            <w:tcBorders>
              <w:top w:val="single" w:color="auto" w:sz="4" w:space="0"/>
              <w:left w:val="single" w:color="auto" w:sz="12" w:space="0"/>
              <w:bottom w:val="single" w:color="auto" w:sz="12" w:space="0"/>
              <w:right w:val="single" w:color="auto" w:sz="12" w:space="0"/>
            </w:tcBorders>
            <w:noWrap/>
            <w:vAlign w:val="center"/>
          </w:tcPr>
          <w:p w14:paraId="7A6A1FD2">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 xml:space="preserve">总报价（大写）：                                           </w:t>
            </w:r>
          </w:p>
        </w:tc>
      </w:tr>
    </w:tbl>
    <w:p w14:paraId="449A2AC0">
      <w:pPr>
        <w:spacing w:before="120" w:beforeLines="50" w:line="200" w:lineRule="exact"/>
        <w:ind w:left="413" w:hanging="413" w:hangingChars="196"/>
        <w:jc w:val="left"/>
        <w:rPr>
          <w:rFonts w:hint="eastAsia" w:ascii="仿宋_GB2312" w:hAnsi="宋体" w:eastAsia="仿宋_GB2312"/>
          <w:b/>
          <w:color w:val="auto"/>
          <w:szCs w:val="21"/>
          <w:highlight w:val="none"/>
        </w:rPr>
      </w:pPr>
    </w:p>
    <w:p w14:paraId="776E14BA">
      <w:pPr>
        <w:spacing w:before="120" w:beforeLines="50" w:line="200" w:lineRule="exact"/>
        <w:ind w:left="412" w:hanging="411" w:hangingChars="196"/>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r>
        <w:rPr>
          <w:rFonts w:hint="eastAsia" w:ascii="楷体" w:hAnsi="楷体" w:eastAsia="楷体"/>
          <w:b/>
          <w:color w:val="auto"/>
          <w:szCs w:val="21"/>
          <w:highlight w:val="none"/>
        </w:rPr>
        <w:t>：</w:t>
      </w:r>
      <w:r>
        <w:rPr>
          <w:rFonts w:hint="eastAsia" w:ascii="楷体" w:hAnsi="楷体" w:eastAsia="楷体"/>
          <w:color w:val="auto"/>
          <w:szCs w:val="21"/>
          <w:highlight w:val="none"/>
        </w:rPr>
        <w:t>1.报价应按总报价填写，精确到小数点后两位，大小写不一致时，以大写为准；</w:t>
      </w:r>
    </w:p>
    <w:p w14:paraId="4B8884FD">
      <w:pPr>
        <w:spacing w:before="120" w:beforeLines="50" w:line="200" w:lineRule="exact"/>
        <w:ind w:left="412" w:leftChars="196" w:firstLine="210" w:firstLineChars="100"/>
        <w:jc w:val="left"/>
        <w:outlineLvl w:val="1"/>
        <w:rPr>
          <w:rFonts w:hint="eastAsia" w:ascii="楷体" w:hAnsi="楷体" w:eastAsia="楷体"/>
          <w:color w:val="auto"/>
          <w:szCs w:val="21"/>
          <w:highlight w:val="none"/>
        </w:rPr>
      </w:pPr>
      <w:bookmarkStart w:id="258" w:name="_Toc30777"/>
      <w:r>
        <w:rPr>
          <w:rFonts w:hint="eastAsia" w:ascii="楷体" w:hAnsi="楷体" w:eastAsia="楷体"/>
          <w:color w:val="auto"/>
          <w:szCs w:val="21"/>
          <w:highlight w:val="none"/>
        </w:rPr>
        <w:t>2.“开标一览表”以包为单位填写；</w:t>
      </w:r>
      <w:bookmarkEnd w:id="258"/>
    </w:p>
    <w:p w14:paraId="44003A84">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3.有分包的，项目名称填写分包的项目名称，无分包的填写采购项目名称；</w:t>
      </w:r>
    </w:p>
    <w:p w14:paraId="504E42E3">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4.本表所列各项数据与投标文件其他地方表述不一致时，以本表为准；</w:t>
      </w:r>
    </w:p>
    <w:p w14:paraId="12550247">
      <w:pPr>
        <w:spacing w:line="400" w:lineRule="exact"/>
        <w:jc w:val="left"/>
        <w:rPr>
          <w:rFonts w:hint="eastAsia" w:ascii="仿宋_GB2312" w:hAnsi="宋体" w:eastAsia="仿宋_GB2312"/>
          <w:color w:val="auto"/>
          <w:sz w:val="28"/>
          <w:szCs w:val="28"/>
          <w:highlight w:val="none"/>
        </w:rPr>
      </w:pPr>
    </w:p>
    <w:p w14:paraId="5BD3360D">
      <w:pPr>
        <w:adjustRightInd w:val="0"/>
        <w:spacing w:line="400" w:lineRule="exact"/>
        <w:jc w:val="left"/>
        <w:rPr>
          <w:rFonts w:hint="eastAsia" w:ascii="仿宋_GB2312" w:hAnsi="宋体" w:eastAsia="仿宋_GB2312"/>
          <w:color w:val="auto"/>
          <w:sz w:val="28"/>
          <w:szCs w:val="28"/>
          <w:highlight w:val="none"/>
        </w:rPr>
      </w:pPr>
    </w:p>
    <w:p w14:paraId="0EAAA401">
      <w:pPr>
        <w:adjustRightInd w:val="0"/>
        <w:spacing w:line="400" w:lineRule="exact"/>
        <w:jc w:val="left"/>
        <w:rPr>
          <w:rFonts w:hint="eastAsia" w:ascii="仿宋_GB2312" w:hAnsi="宋体" w:eastAsia="仿宋_GB2312"/>
          <w:color w:val="auto"/>
          <w:sz w:val="28"/>
          <w:szCs w:val="28"/>
          <w:highlight w:val="none"/>
        </w:rPr>
      </w:pPr>
    </w:p>
    <w:p w14:paraId="3E0864AB">
      <w:pPr>
        <w:adjustRightInd w:val="0"/>
        <w:spacing w:line="400" w:lineRule="exact"/>
        <w:ind w:firstLine="120" w:firstLineChars="50"/>
        <w:jc w:val="left"/>
        <w:rPr>
          <w:rFonts w:hint="eastAsia" w:ascii="宋体" w:hAnsi="宋体"/>
          <w:color w:val="auto"/>
          <w:sz w:val="24"/>
          <w:highlight w:val="none"/>
        </w:rPr>
      </w:pPr>
      <w:r>
        <w:rPr>
          <w:rFonts w:hint="eastAsia" w:ascii="宋体" w:hAnsi="宋体"/>
          <w:color w:val="auto"/>
          <w:sz w:val="24"/>
          <w:highlight w:val="none"/>
        </w:rPr>
        <w:t xml:space="preserve"> </w:t>
      </w:r>
    </w:p>
    <w:p w14:paraId="0E6DCF0E">
      <w:pPr>
        <w:adjustRightInd w:val="0"/>
        <w:spacing w:line="400" w:lineRule="exact"/>
        <w:ind w:firstLine="120" w:firstLineChars="50"/>
        <w:jc w:val="left"/>
        <w:rPr>
          <w:rFonts w:hint="eastAsia" w:ascii="宋体" w:hAnsi="宋体"/>
          <w:color w:val="auto"/>
          <w:sz w:val="24"/>
          <w:highlight w:val="none"/>
        </w:rPr>
      </w:pPr>
    </w:p>
    <w:p w14:paraId="64364697">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BFFBA39">
      <w:pPr>
        <w:spacing w:line="400" w:lineRule="exact"/>
        <w:jc w:val="center"/>
        <w:outlineLvl w:val="9"/>
        <w:rPr>
          <w:rFonts w:hint="eastAsia" w:ascii="宋体" w:hAnsi="宋体"/>
          <w:color w:val="auto"/>
          <w:szCs w:val="21"/>
          <w:highlight w:val="none"/>
        </w:rPr>
      </w:pPr>
    </w:p>
    <w:p w14:paraId="01AC14E5">
      <w:pPr>
        <w:spacing w:line="400" w:lineRule="exact"/>
        <w:ind w:firstLine="105" w:firstLineChars="50"/>
        <w:outlineLvl w:val="9"/>
        <w:rPr>
          <w:rFonts w:hint="eastAsia" w:ascii="宋体" w:hAnsi="宋体"/>
          <w:color w:val="auto"/>
          <w:szCs w:val="21"/>
          <w:highlight w:val="none"/>
        </w:rPr>
      </w:pPr>
    </w:p>
    <w:p w14:paraId="13BA7851">
      <w:pPr>
        <w:spacing w:line="400" w:lineRule="exact"/>
        <w:ind w:firstLine="105" w:firstLineChars="50"/>
        <w:outlineLvl w:val="1"/>
        <w:rPr>
          <w:rFonts w:hint="eastAsia" w:ascii="宋体" w:hAnsi="宋体"/>
          <w:color w:val="auto"/>
          <w:szCs w:val="21"/>
          <w:highlight w:val="none"/>
        </w:rPr>
      </w:pPr>
      <w:bookmarkStart w:id="259" w:name="_Toc23148"/>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59"/>
    </w:p>
    <w:p w14:paraId="57C8F4F2">
      <w:pPr>
        <w:spacing w:line="400" w:lineRule="exact"/>
        <w:ind w:firstLine="105" w:firstLineChars="50"/>
        <w:outlineLvl w:val="9"/>
        <w:rPr>
          <w:rFonts w:hint="eastAsia" w:ascii="仿宋_GB2312" w:hAnsi="宋体" w:eastAsia="仿宋_GB2312"/>
          <w:color w:val="auto"/>
          <w:szCs w:val="21"/>
          <w:highlight w:val="none"/>
        </w:rPr>
      </w:pPr>
    </w:p>
    <w:p w14:paraId="2A1644A2">
      <w:pPr>
        <w:spacing w:line="400" w:lineRule="exact"/>
        <w:ind w:firstLine="105" w:firstLineChars="50"/>
        <w:outlineLvl w:val="9"/>
        <w:rPr>
          <w:rFonts w:hint="eastAsia" w:ascii="仿宋_GB2312" w:hAnsi="宋体" w:eastAsia="仿宋_GB2312"/>
          <w:color w:val="auto"/>
          <w:szCs w:val="21"/>
          <w:highlight w:val="none"/>
        </w:rPr>
      </w:pPr>
    </w:p>
    <w:p w14:paraId="2B45B682">
      <w:pPr>
        <w:spacing w:line="400" w:lineRule="exact"/>
        <w:ind w:firstLine="105" w:firstLineChars="50"/>
        <w:outlineLvl w:val="1"/>
        <w:rPr>
          <w:rFonts w:hint="eastAsia" w:ascii="仿宋_GB2312" w:hAnsi="宋体" w:eastAsia="仿宋_GB2312"/>
          <w:b/>
          <w:color w:val="auto"/>
          <w:szCs w:val="21"/>
          <w:highlight w:val="none"/>
        </w:rPr>
      </w:pPr>
      <w:bookmarkStart w:id="260" w:name="_Toc10413"/>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60"/>
    </w:p>
    <w:p w14:paraId="1EF8D43C">
      <w:pPr>
        <w:spacing w:line="400" w:lineRule="exact"/>
        <w:outlineLvl w:val="9"/>
        <w:rPr>
          <w:rFonts w:ascii="仿宋_GB2312" w:hAnsi="宋体" w:eastAsia="仿宋_GB2312"/>
          <w:b/>
          <w:color w:val="auto"/>
          <w:sz w:val="36"/>
          <w:szCs w:val="36"/>
          <w:highlight w:val="none"/>
        </w:rPr>
        <w:sectPr>
          <w:footerReference r:id="rId11" w:type="default"/>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sectPr>
      </w:pPr>
    </w:p>
    <w:p w14:paraId="6B894DBA">
      <w:pPr>
        <w:spacing w:after="240" w:afterLines="100"/>
        <w:jc w:val="center"/>
        <w:rPr>
          <w:rFonts w:hint="eastAsia" w:ascii="宋体" w:hAnsi="宋体"/>
          <w:b/>
          <w:color w:val="auto"/>
          <w:sz w:val="36"/>
          <w:szCs w:val="36"/>
          <w:highlight w:val="none"/>
        </w:rPr>
      </w:pPr>
      <w:bookmarkStart w:id="261" w:name="_Toc217446086"/>
      <w:r>
        <w:rPr>
          <w:rFonts w:hint="eastAsia" w:ascii="宋体" w:hAnsi="宋体"/>
          <w:b/>
          <w:bCs/>
          <w:color w:val="auto"/>
          <w:sz w:val="36"/>
          <w:szCs w:val="36"/>
          <w:highlight w:val="none"/>
        </w:rPr>
        <w:t>三、货物（产品）分项报价表</w:t>
      </w:r>
    </w:p>
    <w:p w14:paraId="67E93F50">
      <w:pPr>
        <w:spacing w:after="120" w:afterLines="50" w:line="360" w:lineRule="exact"/>
        <w:ind w:firstLine="210" w:firstLineChars="100"/>
        <w:rPr>
          <w:rFonts w:hint="eastAsia" w:ascii="宋体" w:hAnsi="宋体"/>
          <w:color w:val="auto"/>
          <w:highlight w:val="none"/>
        </w:rPr>
      </w:pPr>
      <w:r>
        <w:rPr>
          <w:rFonts w:hint="eastAsia" w:ascii="宋体" w:hAnsi="宋体"/>
          <w:color w:val="auto"/>
          <w:highlight w:val="none"/>
        </w:rPr>
        <w:t>投标人名称：                                                                                      采购项目</w:t>
      </w:r>
      <w:r>
        <w:rPr>
          <w:rFonts w:hint="eastAsia" w:ascii="宋体" w:hAnsi="宋体"/>
          <w:color w:val="auto"/>
          <w:highlight w:val="none"/>
          <w:lang w:val="en-US" w:eastAsia="zh-CN"/>
        </w:rPr>
        <w:t>编号</w:t>
      </w:r>
      <w:r>
        <w:rPr>
          <w:rFonts w:hint="eastAsia" w:ascii="宋体" w:hAnsi="宋体"/>
          <w:color w:val="auto"/>
          <w:highlight w:val="none"/>
        </w:rPr>
        <w:t>：</w:t>
      </w:r>
    </w:p>
    <w:tbl>
      <w:tblPr>
        <w:tblStyle w:val="23"/>
        <w:tblW w:w="13962" w:type="dxa"/>
        <w:tblInd w:w="28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843"/>
        <w:gridCol w:w="1924"/>
        <w:gridCol w:w="1240"/>
        <w:gridCol w:w="2422"/>
        <w:gridCol w:w="1346"/>
        <w:gridCol w:w="818"/>
        <w:gridCol w:w="1162"/>
        <w:gridCol w:w="1219"/>
        <w:gridCol w:w="1317"/>
      </w:tblGrid>
      <w:tr w14:paraId="60D8F9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9" w:hRule="atLeast"/>
        </w:trPr>
        <w:tc>
          <w:tcPr>
            <w:tcW w:w="671" w:type="dxa"/>
            <w:noWrap w:val="0"/>
            <w:vAlign w:val="center"/>
          </w:tcPr>
          <w:p w14:paraId="22B29F4C">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1843" w:type="dxa"/>
            <w:noWrap w:val="0"/>
            <w:vAlign w:val="center"/>
          </w:tcPr>
          <w:p w14:paraId="3B97F4FD">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货物名称</w:t>
            </w:r>
          </w:p>
        </w:tc>
        <w:tc>
          <w:tcPr>
            <w:tcW w:w="1924" w:type="dxa"/>
            <w:noWrap w:val="0"/>
            <w:vAlign w:val="center"/>
          </w:tcPr>
          <w:p w14:paraId="0E06C901">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240" w:type="dxa"/>
            <w:noWrap w:val="0"/>
            <w:vAlign w:val="center"/>
          </w:tcPr>
          <w:p w14:paraId="61AEF19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型号规格</w:t>
            </w:r>
          </w:p>
        </w:tc>
        <w:tc>
          <w:tcPr>
            <w:tcW w:w="2422" w:type="dxa"/>
            <w:noWrap w:val="0"/>
            <w:vAlign w:val="center"/>
          </w:tcPr>
          <w:p w14:paraId="1CA406FB">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1346" w:type="dxa"/>
            <w:noWrap w:val="0"/>
            <w:vAlign w:val="center"/>
          </w:tcPr>
          <w:p w14:paraId="50BBFED4">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数量/单位</w:t>
            </w:r>
          </w:p>
        </w:tc>
        <w:tc>
          <w:tcPr>
            <w:tcW w:w="818" w:type="dxa"/>
            <w:noWrap w:val="0"/>
            <w:vAlign w:val="center"/>
          </w:tcPr>
          <w:p w14:paraId="572CFBE5">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单价（元）</w:t>
            </w:r>
          </w:p>
        </w:tc>
        <w:tc>
          <w:tcPr>
            <w:tcW w:w="1162" w:type="dxa"/>
            <w:noWrap w:val="0"/>
            <w:vAlign w:val="center"/>
          </w:tcPr>
          <w:p w14:paraId="3296B307">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报价（元）</w:t>
            </w:r>
          </w:p>
        </w:tc>
        <w:tc>
          <w:tcPr>
            <w:tcW w:w="1219" w:type="dxa"/>
            <w:noWrap w:val="0"/>
            <w:vAlign w:val="center"/>
          </w:tcPr>
          <w:p w14:paraId="270259BF">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小微企业</w:t>
            </w:r>
          </w:p>
        </w:tc>
        <w:tc>
          <w:tcPr>
            <w:tcW w:w="1317" w:type="dxa"/>
            <w:noWrap w:val="0"/>
            <w:vAlign w:val="center"/>
          </w:tcPr>
          <w:p w14:paraId="32C4DD1F">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7284DF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9D85CAC">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5A42B9D">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29BA745E">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55125933">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3FE5E5AB">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36BB9641">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1E0DA590">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140F68F6">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7A68D431">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5C947AFA">
            <w:pPr>
              <w:adjustRightInd w:val="0"/>
              <w:snapToGrid w:val="0"/>
              <w:spacing w:line="360" w:lineRule="auto"/>
              <w:jc w:val="center"/>
              <w:rPr>
                <w:rFonts w:hint="eastAsia" w:ascii="宋体" w:hAnsi="宋体"/>
                <w:color w:val="auto"/>
                <w:szCs w:val="21"/>
                <w:highlight w:val="none"/>
              </w:rPr>
            </w:pPr>
          </w:p>
        </w:tc>
      </w:tr>
      <w:tr w14:paraId="688D40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0EFD7A73">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DE87A65">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5F3C01D1">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68AFCA9">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5A6BD5BC">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34B06F34">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72714BFF">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5AD71170">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6AB43160">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46A13007">
            <w:pPr>
              <w:adjustRightInd w:val="0"/>
              <w:snapToGrid w:val="0"/>
              <w:spacing w:line="360" w:lineRule="auto"/>
              <w:jc w:val="center"/>
              <w:rPr>
                <w:rFonts w:hint="eastAsia" w:ascii="宋体" w:hAnsi="宋体"/>
                <w:color w:val="auto"/>
                <w:szCs w:val="21"/>
                <w:highlight w:val="none"/>
              </w:rPr>
            </w:pPr>
          </w:p>
        </w:tc>
      </w:tr>
      <w:tr w14:paraId="71C77B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671" w:type="dxa"/>
            <w:noWrap w:val="0"/>
            <w:vAlign w:val="center"/>
          </w:tcPr>
          <w:p w14:paraId="0F168B4B">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4CA9AEA5">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0C39A042">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4D463501">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58A4E6F7">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0D12D17E">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0F26A25E">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67B9C205">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3AC53385">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136A6ED3">
            <w:pPr>
              <w:adjustRightInd w:val="0"/>
              <w:snapToGrid w:val="0"/>
              <w:spacing w:line="360" w:lineRule="auto"/>
              <w:jc w:val="center"/>
              <w:rPr>
                <w:rFonts w:hint="eastAsia" w:ascii="宋体" w:hAnsi="宋体"/>
                <w:color w:val="auto"/>
                <w:szCs w:val="21"/>
                <w:highlight w:val="none"/>
              </w:rPr>
            </w:pPr>
          </w:p>
        </w:tc>
      </w:tr>
      <w:tr w14:paraId="322156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760D12DD">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109AE701">
            <w:pPr>
              <w:adjustRightInd w:val="0"/>
              <w:snapToGrid w:val="0"/>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24" w:type="dxa"/>
            <w:noWrap w:val="0"/>
            <w:vAlign w:val="top"/>
          </w:tcPr>
          <w:p w14:paraId="4D87F209">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2A0FDE87">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4CFD171F">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08F65675">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5151E44E">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056949F9">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0F72B5B6">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BE16345">
            <w:pPr>
              <w:adjustRightInd w:val="0"/>
              <w:snapToGrid w:val="0"/>
              <w:spacing w:line="360" w:lineRule="auto"/>
              <w:jc w:val="center"/>
              <w:rPr>
                <w:rFonts w:hint="eastAsia" w:ascii="宋体" w:hAnsi="宋体"/>
                <w:color w:val="auto"/>
                <w:szCs w:val="21"/>
                <w:highlight w:val="none"/>
              </w:rPr>
            </w:pPr>
          </w:p>
        </w:tc>
      </w:tr>
      <w:tr w14:paraId="491DDE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765FAA03">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263B92ED">
            <w:pPr>
              <w:adjustRightInd w:val="0"/>
              <w:snapToGrid w:val="0"/>
              <w:spacing w:line="240" w:lineRule="exact"/>
              <w:jc w:val="center"/>
              <w:rPr>
                <w:rFonts w:hint="eastAsia" w:ascii="宋体" w:hAnsi="宋体"/>
                <w:color w:val="auto"/>
                <w:szCs w:val="21"/>
                <w:highlight w:val="none"/>
              </w:rPr>
            </w:pPr>
            <w:r>
              <w:rPr>
                <w:rFonts w:hint="eastAsia" w:ascii="宋体" w:hAnsi="宋体"/>
                <w:color w:val="auto"/>
                <w:szCs w:val="21"/>
                <w:highlight w:val="none"/>
              </w:rPr>
              <w:t>合计报价（大写）</w:t>
            </w:r>
          </w:p>
        </w:tc>
        <w:tc>
          <w:tcPr>
            <w:tcW w:w="7750" w:type="dxa"/>
            <w:gridSpan w:val="5"/>
            <w:noWrap w:val="0"/>
            <w:vAlign w:val="top"/>
          </w:tcPr>
          <w:p w14:paraId="6A87E04B">
            <w:pPr>
              <w:adjustRightInd w:val="0"/>
              <w:snapToGrid w:val="0"/>
              <w:spacing w:line="360" w:lineRule="auto"/>
              <w:jc w:val="center"/>
              <w:rPr>
                <w:rFonts w:hint="eastAsia" w:ascii="宋体" w:hAnsi="宋体"/>
                <w:color w:val="auto"/>
                <w:szCs w:val="21"/>
                <w:highlight w:val="none"/>
              </w:rPr>
            </w:pPr>
          </w:p>
        </w:tc>
        <w:tc>
          <w:tcPr>
            <w:tcW w:w="3698" w:type="dxa"/>
            <w:gridSpan w:val="3"/>
            <w:noWrap w:val="0"/>
            <w:vAlign w:val="center"/>
          </w:tcPr>
          <w:p w14:paraId="0074C9F2">
            <w:pPr>
              <w:adjustRightInd w:val="0"/>
              <w:snapToGrid w:val="0"/>
              <w:spacing w:line="240" w:lineRule="exact"/>
              <w:rPr>
                <w:rFonts w:hint="eastAsia" w:ascii="宋体" w:hAnsi="宋体"/>
                <w:color w:val="auto"/>
                <w:szCs w:val="21"/>
                <w:highlight w:val="none"/>
              </w:rPr>
            </w:pPr>
            <w:r>
              <w:rPr>
                <w:rFonts w:hint="eastAsia" w:ascii="宋体" w:hAnsi="宋体"/>
                <w:color w:val="auto"/>
                <w:szCs w:val="21"/>
                <w:highlight w:val="none"/>
              </w:rPr>
              <w:t>￥</w:t>
            </w:r>
          </w:p>
        </w:tc>
      </w:tr>
    </w:tbl>
    <w:p w14:paraId="3394F8FE">
      <w:pPr>
        <w:adjustRightInd w:val="0"/>
        <w:snapToGrid w:val="0"/>
        <w:spacing w:before="120" w:beforeLines="50"/>
        <w:ind w:left="-88" w:leftChars="-42"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 xml:space="preserve">说明： </w:t>
      </w:r>
    </w:p>
    <w:p w14:paraId="21D95745">
      <w:pPr>
        <w:adjustRightInd w:val="0"/>
        <w:snapToGrid w:val="0"/>
        <w:ind w:left="-88" w:leftChars="-42" w:firstLine="840" w:firstLineChars="400"/>
        <w:rPr>
          <w:rFonts w:hint="eastAsia" w:ascii="楷体" w:hAnsi="楷体" w:eastAsia="楷体"/>
          <w:color w:val="auto"/>
          <w:sz w:val="18"/>
          <w:szCs w:val="18"/>
          <w:highlight w:val="none"/>
        </w:rPr>
      </w:pPr>
      <w:r>
        <w:rPr>
          <w:rFonts w:hint="eastAsia" w:ascii="楷体" w:hAnsi="楷体" w:eastAsia="楷体"/>
          <w:color w:val="auto"/>
          <w:szCs w:val="21"/>
          <w:highlight w:val="none"/>
        </w:rPr>
        <w:t>1.品牌和制造</w:t>
      </w:r>
      <w:r>
        <w:rPr>
          <w:rFonts w:hint="eastAsia" w:ascii="楷体" w:hAnsi="楷体" w:eastAsia="楷体"/>
          <w:color w:val="auto"/>
          <w:sz w:val="18"/>
          <w:szCs w:val="18"/>
          <w:highlight w:val="none"/>
        </w:rPr>
        <w:t>商指产品的品牌和生产厂商；小微企业是指制造商为</w:t>
      </w:r>
      <w:r>
        <w:rPr>
          <w:rFonts w:hint="eastAsia" w:ascii="楷体" w:hAnsi="楷体" w:eastAsia="楷体"/>
          <w:color w:val="auto"/>
          <w:kern w:val="0"/>
          <w:sz w:val="18"/>
          <w:szCs w:val="18"/>
          <w:highlight w:val="none"/>
        </w:rPr>
        <w:t xml:space="preserve"> “小型、微型</w:t>
      </w:r>
      <w:r>
        <w:rPr>
          <w:rFonts w:hint="eastAsia" w:ascii="楷体" w:hAnsi="楷体" w:eastAsia="楷体"/>
          <w:color w:val="auto"/>
          <w:sz w:val="18"/>
          <w:szCs w:val="18"/>
          <w:highlight w:val="none"/>
        </w:rPr>
        <w:t>企业</w:t>
      </w:r>
      <w:r>
        <w:rPr>
          <w:rFonts w:hint="eastAsia" w:ascii="楷体" w:hAnsi="楷体" w:eastAsia="楷体"/>
          <w:color w:val="auto"/>
          <w:kern w:val="0"/>
          <w:sz w:val="18"/>
          <w:szCs w:val="18"/>
          <w:highlight w:val="none"/>
        </w:rPr>
        <w:t>”；</w:t>
      </w:r>
    </w:p>
    <w:p w14:paraId="2E10AD6D">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2</w:t>
      </w:r>
      <w:r>
        <w:rPr>
          <w:rFonts w:hint="eastAsia" w:ascii="楷体" w:hAnsi="楷体" w:eastAsia="楷体"/>
          <w:color w:val="auto"/>
          <w:sz w:val="18"/>
          <w:szCs w:val="18"/>
          <w:highlight w:val="none"/>
        </w:rPr>
        <w:t>.投标人必须按“货物（产品）</w:t>
      </w:r>
      <w:r>
        <w:rPr>
          <w:rFonts w:hint="eastAsia" w:ascii="楷体" w:hAnsi="楷体" w:eastAsia="楷体"/>
          <w:bCs/>
          <w:color w:val="auto"/>
          <w:sz w:val="18"/>
          <w:szCs w:val="18"/>
          <w:highlight w:val="none"/>
        </w:rPr>
        <w:t>分项报价表”的格式</w:t>
      </w:r>
      <w:r>
        <w:rPr>
          <w:rFonts w:hint="eastAsia" w:ascii="楷体" w:hAnsi="楷体" w:eastAsia="楷体"/>
          <w:color w:val="auto"/>
          <w:sz w:val="18"/>
          <w:szCs w:val="18"/>
          <w:highlight w:val="none"/>
        </w:rPr>
        <w:t>详细报出投标总价的各个组成部分的报价，否则作无效投标处理；报价精确到小数点后两位；</w:t>
      </w:r>
    </w:p>
    <w:p w14:paraId="38FED62D">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3</w:t>
      </w:r>
      <w:r>
        <w:rPr>
          <w:rFonts w:hint="eastAsia" w:ascii="楷体" w:hAnsi="楷体" w:eastAsia="楷体"/>
          <w:color w:val="auto"/>
          <w:sz w:val="18"/>
          <w:szCs w:val="18"/>
          <w:highlight w:val="none"/>
        </w:rPr>
        <w:t>.本</w:t>
      </w:r>
      <w:r>
        <w:rPr>
          <w:rFonts w:hint="eastAsia" w:ascii="楷体" w:hAnsi="楷体" w:eastAsia="楷体"/>
          <w:bCs/>
          <w:color w:val="auto"/>
          <w:sz w:val="18"/>
          <w:szCs w:val="18"/>
          <w:highlight w:val="none"/>
        </w:rPr>
        <w:t>表各分项报价合计应当与“开标一览表”总报价相等；</w:t>
      </w:r>
      <w:r>
        <w:rPr>
          <w:rFonts w:hint="eastAsia" w:ascii="楷体" w:hAnsi="楷体" w:eastAsia="楷体"/>
          <w:color w:val="auto"/>
          <w:sz w:val="18"/>
          <w:szCs w:val="18"/>
          <w:highlight w:val="none"/>
        </w:rPr>
        <w:t>如果按单价计算的结果与报价不一致时，以单价为准修正报价与合计报价；</w:t>
      </w:r>
    </w:p>
    <w:p w14:paraId="220A5A50">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4</w:t>
      </w:r>
      <w:r>
        <w:rPr>
          <w:rFonts w:hint="eastAsia" w:ascii="楷体" w:hAnsi="楷体" w:eastAsia="楷体"/>
          <w:color w:val="auto"/>
          <w:sz w:val="18"/>
          <w:szCs w:val="18"/>
          <w:highlight w:val="none"/>
        </w:rPr>
        <w:t>.本表为多页的，每页均需由法定代表人或委托代理人签字并盖投标人单位章；</w:t>
      </w:r>
    </w:p>
    <w:p w14:paraId="798C61A6">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5</w:t>
      </w:r>
      <w:r>
        <w:rPr>
          <w:rFonts w:hint="eastAsia" w:ascii="楷体" w:hAnsi="楷体" w:eastAsia="楷体"/>
          <w:color w:val="auto"/>
          <w:sz w:val="18"/>
          <w:szCs w:val="18"/>
          <w:highlight w:val="none"/>
        </w:rPr>
        <w:t>.属于小微企业的，不填报的，在评标时不予价格折扣。</w:t>
      </w:r>
    </w:p>
    <w:p w14:paraId="79BC5384">
      <w:pPr>
        <w:adjustRightInd w:val="0"/>
        <w:spacing w:before="360" w:beforeLines="150" w:line="360" w:lineRule="auto"/>
        <w:ind w:firstLine="360" w:firstLineChars="200"/>
        <w:jc w:val="left"/>
        <w:rPr>
          <w:rFonts w:hint="eastAsia" w:ascii="宋体" w:hAnsi="宋体"/>
          <w:color w:val="auto"/>
          <w:sz w:val="18"/>
          <w:szCs w:val="18"/>
          <w:highlight w:val="none"/>
        </w:rPr>
      </w:pPr>
      <w:r>
        <w:rPr>
          <w:rFonts w:hint="eastAsia" w:ascii="宋体" w:hAnsi="宋体"/>
          <w:color w:val="auto"/>
          <w:sz w:val="18"/>
          <w:szCs w:val="18"/>
          <w:highlight w:val="none"/>
        </w:rPr>
        <w:t>投 标 人：</w:t>
      </w:r>
      <w:r>
        <w:rPr>
          <w:rFonts w:hint="eastAsia" w:ascii="宋体" w:hAnsi="宋体"/>
          <w:color w:val="auto"/>
          <w:sz w:val="18"/>
          <w:szCs w:val="18"/>
          <w:highlight w:val="none"/>
          <w:u w:val="single"/>
        </w:rPr>
        <w:t xml:space="preserve">                     </w:t>
      </w:r>
      <w:r>
        <w:rPr>
          <w:rFonts w:hint="eastAsia" w:ascii="宋体" w:hAnsi="宋体"/>
          <w:color w:val="auto"/>
          <w:sz w:val="18"/>
          <w:szCs w:val="18"/>
          <w:highlight w:val="none"/>
        </w:rPr>
        <w:t xml:space="preserve">（盖单位章） </w:t>
      </w:r>
    </w:p>
    <w:p w14:paraId="6E6B5D7E">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50E9ED5A">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6A08CF36">
      <w:pPr>
        <w:pStyle w:val="7"/>
        <w:rPr>
          <w:rFonts w:hint="eastAsia"/>
          <w:color w:val="auto"/>
          <w:highlight w:val="none"/>
        </w:rPr>
      </w:pPr>
    </w:p>
    <w:bookmarkEnd w:id="261"/>
    <w:p w14:paraId="0DE38E3C">
      <w:pPr>
        <w:spacing w:before="240" w:beforeLines="100" w:after="240" w:afterLines="100" w:line="400" w:lineRule="exact"/>
        <w:jc w:val="center"/>
        <w:rPr>
          <w:rFonts w:hint="eastAsia" w:ascii="宋体" w:hAnsi="宋体"/>
          <w:b/>
          <w:bCs/>
          <w:color w:val="auto"/>
          <w:sz w:val="36"/>
          <w:szCs w:val="36"/>
          <w:highlight w:val="none"/>
        </w:rPr>
      </w:pPr>
      <w:bookmarkStart w:id="262" w:name="_Toc217446087"/>
    </w:p>
    <w:p w14:paraId="5A85E699">
      <w:pPr>
        <w:spacing w:before="240" w:beforeLines="100" w:after="240" w:afterLines="100" w:line="400" w:lineRule="exact"/>
        <w:jc w:val="center"/>
        <w:rPr>
          <w:rFonts w:hint="eastAsia" w:ascii="宋体" w:hAnsi="宋体"/>
          <w:b/>
          <w:color w:val="auto"/>
          <w:sz w:val="36"/>
          <w:szCs w:val="36"/>
          <w:highlight w:val="none"/>
        </w:rPr>
      </w:pPr>
      <w:r>
        <w:rPr>
          <w:rFonts w:hint="eastAsia" w:ascii="宋体" w:hAnsi="宋体"/>
          <w:b/>
          <w:bCs/>
          <w:color w:val="auto"/>
          <w:sz w:val="36"/>
          <w:szCs w:val="36"/>
          <w:highlight w:val="none"/>
        </w:rPr>
        <w:t>四、备品</w:t>
      </w:r>
      <w:r>
        <w:rPr>
          <w:rFonts w:hint="eastAsia" w:ascii="宋体" w:hAnsi="宋体"/>
          <w:b/>
          <w:bCs/>
          <w:color w:val="auto"/>
          <w:sz w:val="36"/>
          <w:szCs w:val="36"/>
          <w:highlight w:val="none"/>
          <w:lang w:val="en-US" w:eastAsia="zh-CN"/>
        </w:rPr>
        <w:t>备</w:t>
      </w:r>
      <w:r>
        <w:rPr>
          <w:rFonts w:hint="eastAsia" w:ascii="宋体" w:hAnsi="宋体"/>
          <w:b/>
          <w:bCs/>
          <w:color w:val="auto"/>
          <w:sz w:val="36"/>
          <w:szCs w:val="36"/>
          <w:highlight w:val="none"/>
        </w:rPr>
        <w:t>件报价表</w:t>
      </w:r>
    </w:p>
    <w:p w14:paraId="50621AD5">
      <w:pPr>
        <w:spacing w:line="400" w:lineRule="exact"/>
        <w:rPr>
          <w:rFonts w:hint="eastAsia" w:ascii="宋体" w:hAnsi="宋体"/>
          <w:color w:val="auto"/>
          <w:szCs w:val="21"/>
          <w:highlight w:val="none"/>
        </w:rPr>
      </w:pPr>
      <w:r>
        <w:rPr>
          <w:rFonts w:hint="eastAsia" w:ascii="宋体" w:hAnsi="宋体"/>
          <w:color w:val="auto"/>
          <w:sz w:val="28"/>
          <w:highlight w:val="none"/>
        </w:rPr>
        <w:t xml:space="preserve">        </w:t>
      </w:r>
      <w:r>
        <w:rPr>
          <w:rFonts w:hint="eastAsia" w:ascii="宋体" w:hAnsi="宋体"/>
          <w:color w:val="auto"/>
          <w:szCs w:val="21"/>
          <w:highlight w:val="none"/>
        </w:rPr>
        <w:t xml:space="preserve">投标人名称：                                                                </w:t>
      </w:r>
      <w:r>
        <w:rPr>
          <w:rFonts w:hint="eastAsia" w:ascii="宋体" w:hAnsi="宋体"/>
          <w:color w:val="auto"/>
          <w:sz w:val="28"/>
          <w:highlight w:val="none"/>
        </w:rPr>
        <w:t xml:space="preserve">     </w:t>
      </w:r>
      <w:r>
        <w:rPr>
          <w:rFonts w:hint="eastAsia" w:ascii="宋体" w:hAnsi="宋体"/>
          <w:color w:val="auto"/>
          <w:szCs w:val="21"/>
          <w:highlight w:val="none"/>
        </w:rPr>
        <w:t>采购项目编号：</w:t>
      </w:r>
    </w:p>
    <w:tbl>
      <w:tblPr>
        <w:tblStyle w:val="23"/>
        <w:tblpPr w:leftFromText="180" w:rightFromText="180" w:vertAnchor="text" w:horzAnchor="page" w:tblpXSpec="center" w:tblpY="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1015"/>
        <w:gridCol w:w="1341"/>
        <w:gridCol w:w="2259"/>
        <w:gridCol w:w="860"/>
        <w:gridCol w:w="840"/>
        <w:gridCol w:w="1280"/>
        <w:gridCol w:w="1236"/>
        <w:gridCol w:w="1544"/>
      </w:tblGrid>
      <w:tr w14:paraId="3B1BA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683" w:type="dxa"/>
            <w:tcBorders>
              <w:top w:val="single" w:color="auto" w:sz="12" w:space="0"/>
              <w:left w:val="single" w:color="auto" w:sz="12" w:space="0"/>
              <w:bottom w:val="single" w:color="auto" w:sz="4" w:space="0"/>
              <w:right w:val="single" w:color="auto" w:sz="4" w:space="0"/>
            </w:tcBorders>
            <w:noWrap w:val="0"/>
            <w:vAlign w:val="center"/>
          </w:tcPr>
          <w:p w14:paraId="5AAB1C37">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51A5AF5C">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1015" w:type="dxa"/>
            <w:tcBorders>
              <w:top w:val="single" w:color="auto" w:sz="12" w:space="0"/>
              <w:left w:val="single" w:color="auto" w:sz="4" w:space="0"/>
              <w:bottom w:val="single" w:color="auto" w:sz="4" w:space="0"/>
              <w:right w:val="single" w:color="auto" w:sz="4" w:space="0"/>
            </w:tcBorders>
            <w:noWrap w:val="0"/>
            <w:vAlign w:val="center"/>
          </w:tcPr>
          <w:p w14:paraId="0BA24A9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341" w:type="dxa"/>
            <w:tcBorders>
              <w:top w:val="single" w:color="auto" w:sz="12" w:space="0"/>
              <w:left w:val="single" w:color="auto" w:sz="4" w:space="0"/>
              <w:bottom w:val="single" w:color="auto" w:sz="4" w:space="0"/>
              <w:right w:val="single" w:color="auto" w:sz="4" w:space="0"/>
            </w:tcBorders>
            <w:noWrap w:val="0"/>
            <w:vAlign w:val="center"/>
          </w:tcPr>
          <w:p w14:paraId="4DC87706">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型号规格</w:t>
            </w:r>
          </w:p>
        </w:tc>
        <w:tc>
          <w:tcPr>
            <w:tcW w:w="2259" w:type="dxa"/>
            <w:tcBorders>
              <w:top w:val="single" w:color="auto" w:sz="12" w:space="0"/>
              <w:left w:val="single" w:color="auto" w:sz="4" w:space="0"/>
              <w:bottom w:val="single" w:color="auto" w:sz="4" w:space="0"/>
              <w:right w:val="single" w:color="auto" w:sz="4" w:space="0"/>
            </w:tcBorders>
            <w:noWrap w:val="0"/>
            <w:vAlign w:val="center"/>
          </w:tcPr>
          <w:p w14:paraId="196B1C21">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860" w:type="dxa"/>
            <w:tcBorders>
              <w:top w:val="single" w:color="auto" w:sz="12" w:space="0"/>
              <w:left w:val="single" w:color="auto" w:sz="4" w:space="0"/>
              <w:bottom w:val="single" w:color="auto" w:sz="4" w:space="0"/>
              <w:right w:val="single" w:color="auto" w:sz="4" w:space="0"/>
            </w:tcBorders>
            <w:noWrap w:val="0"/>
            <w:vAlign w:val="center"/>
          </w:tcPr>
          <w:p w14:paraId="0194E189">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单位</w:t>
            </w:r>
          </w:p>
        </w:tc>
        <w:tc>
          <w:tcPr>
            <w:tcW w:w="840" w:type="dxa"/>
            <w:tcBorders>
              <w:top w:val="single" w:color="auto" w:sz="12" w:space="0"/>
              <w:left w:val="single" w:color="auto" w:sz="4" w:space="0"/>
              <w:bottom w:val="single" w:color="auto" w:sz="4" w:space="0"/>
              <w:right w:val="single" w:color="auto" w:sz="4" w:space="0"/>
            </w:tcBorders>
            <w:noWrap w:val="0"/>
            <w:vAlign w:val="center"/>
          </w:tcPr>
          <w:p w14:paraId="1D03675A">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1280" w:type="dxa"/>
            <w:tcBorders>
              <w:top w:val="single" w:color="auto" w:sz="12" w:space="0"/>
              <w:left w:val="single" w:color="auto" w:sz="4" w:space="0"/>
              <w:bottom w:val="single" w:color="auto" w:sz="4" w:space="0"/>
              <w:right w:val="single" w:color="auto" w:sz="4" w:space="0"/>
            </w:tcBorders>
            <w:noWrap w:val="0"/>
            <w:vAlign w:val="center"/>
          </w:tcPr>
          <w:p w14:paraId="27D8E25A">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单价（元）</w:t>
            </w:r>
          </w:p>
        </w:tc>
        <w:tc>
          <w:tcPr>
            <w:tcW w:w="1236" w:type="dxa"/>
            <w:tcBorders>
              <w:top w:val="single" w:color="auto" w:sz="12" w:space="0"/>
              <w:left w:val="single" w:color="auto" w:sz="4" w:space="0"/>
              <w:bottom w:val="single" w:color="auto" w:sz="4" w:space="0"/>
              <w:right w:val="single" w:color="auto" w:sz="4" w:space="0"/>
            </w:tcBorders>
            <w:noWrap w:val="0"/>
            <w:vAlign w:val="center"/>
          </w:tcPr>
          <w:p w14:paraId="01A24ED0">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报价（元）</w:t>
            </w:r>
          </w:p>
        </w:tc>
        <w:tc>
          <w:tcPr>
            <w:tcW w:w="1544" w:type="dxa"/>
            <w:tcBorders>
              <w:top w:val="single" w:color="auto" w:sz="12" w:space="0"/>
              <w:left w:val="single" w:color="auto" w:sz="4" w:space="0"/>
              <w:bottom w:val="single" w:color="auto" w:sz="4" w:space="0"/>
              <w:right w:val="single" w:color="auto" w:sz="12" w:space="0"/>
            </w:tcBorders>
            <w:noWrap w:val="0"/>
            <w:vAlign w:val="center"/>
          </w:tcPr>
          <w:p w14:paraId="3BE4A028">
            <w:pPr>
              <w:snapToGrid w:val="0"/>
              <w:spacing w:line="400" w:lineRule="exact"/>
              <w:ind w:firstLine="105" w:firstLineChars="5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084A3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3AC115B5">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9D3CF6F">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75B18828">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71023A0D">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BF8A0D8">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B891217">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4BD019F4">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36C000EC">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3355A9D7">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5DD719C6">
            <w:pPr>
              <w:snapToGrid w:val="0"/>
              <w:spacing w:line="400" w:lineRule="exact"/>
              <w:jc w:val="center"/>
              <w:rPr>
                <w:rFonts w:hint="eastAsia" w:ascii="仿宋_GB2312" w:hAnsi="宋体" w:eastAsia="仿宋_GB2312"/>
                <w:color w:val="auto"/>
                <w:sz w:val="24"/>
                <w:highlight w:val="none"/>
              </w:rPr>
            </w:pPr>
          </w:p>
        </w:tc>
      </w:tr>
      <w:tr w14:paraId="0F689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525051C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242D0B1">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4D9AC477">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71DC387B">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16528707">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5CC4885">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52FF9EE1">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AEFB1A4">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6722336">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1B1118A9">
            <w:pPr>
              <w:snapToGrid w:val="0"/>
              <w:spacing w:line="400" w:lineRule="exact"/>
              <w:jc w:val="center"/>
              <w:rPr>
                <w:rFonts w:hint="eastAsia" w:ascii="仿宋_GB2312" w:hAnsi="宋体" w:eastAsia="仿宋_GB2312"/>
                <w:color w:val="auto"/>
                <w:sz w:val="24"/>
                <w:highlight w:val="none"/>
              </w:rPr>
            </w:pPr>
          </w:p>
        </w:tc>
      </w:tr>
      <w:tr w14:paraId="3C5C3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70816BE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CB5ED1D">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00B285B7">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E45342F">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5E4CC22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0078D59">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1C6E3C2">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3421F4CE">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55D63F23">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6E63F97">
            <w:pPr>
              <w:snapToGrid w:val="0"/>
              <w:spacing w:line="400" w:lineRule="exact"/>
              <w:jc w:val="center"/>
              <w:rPr>
                <w:rFonts w:ascii="宋体" w:hAnsi="宋体"/>
                <w:color w:val="auto"/>
                <w:sz w:val="24"/>
                <w:highlight w:val="none"/>
              </w:rPr>
            </w:pPr>
          </w:p>
        </w:tc>
      </w:tr>
      <w:tr w14:paraId="40447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64D26D3C">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77782D4">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F7ECEDD">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1A59D66">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2B9638BE">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38CA4D20">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56B3D6F">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4AFBA52A">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172D218">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44A8E04D">
            <w:pPr>
              <w:snapToGrid w:val="0"/>
              <w:spacing w:line="400" w:lineRule="exact"/>
              <w:jc w:val="center"/>
              <w:rPr>
                <w:rFonts w:ascii="宋体" w:hAnsi="宋体"/>
                <w:color w:val="auto"/>
                <w:sz w:val="24"/>
                <w:highlight w:val="none"/>
              </w:rPr>
            </w:pPr>
          </w:p>
        </w:tc>
      </w:tr>
      <w:tr w14:paraId="06A87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3AE7F953">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9252F6F">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5E88315F">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55382BD9">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0FB0ECFB">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21C13DB9">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A78F949">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2CEB7D1F">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8D6F80D">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8522A76">
            <w:pPr>
              <w:snapToGrid w:val="0"/>
              <w:spacing w:line="400" w:lineRule="exact"/>
              <w:jc w:val="center"/>
              <w:rPr>
                <w:rFonts w:ascii="宋体" w:hAnsi="宋体"/>
                <w:color w:val="auto"/>
                <w:sz w:val="24"/>
                <w:highlight w:val="none"/>
              </w:rPr>
            </w:pPr>
          </w:p>
        </w:tc>
      </w:tr>
      <w:tr w14:paraId="2EC8F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2CDE9805">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D865C20">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8E960B1">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2F56A13C">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10BD4DC8">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62803A7F">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3174CA17">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4D159771">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4403BC9">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4D54C742">
            <w:pPr>
              <w:snapToGrid w:val="0"/>
              <w:spacing w:line="400" w:lineRule="exact"/>
              <w:jc w:val="center"/>
              <w:rPr>
                <w:rFonts w:ascii="宋体" w:hAnsi="宋体"/>
                <w:color w:val="auto"/>
                <w:sz w:val="24"/>
                <w:highlight w:val="none"/>
              </w:rPr>
            </w:pPr>
          </w:p>
        </w:tc>
      </w:tr>
      <w:tr w14:paraId="6B2AA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jc w:val="center"/>
        </w:trPr>
        <w:tc>
          <w:tcPr>
            <w:tcW w:w="683" w:type="dxa"/>
            <w:tcBorders>
              <w:top w:val="single" w:color="auto" w:sz="4" w:space="0"/>
              <w:left w:val="single" w:color="auto" w:sz="12" w:space="0"/>
              <w:bottom w:val="single" w:color="auto" w:sz="12" w:space="0"/>
              <w:right w:val="single" w:color="auto" w:sz="4" w:space="0"/>
            </w:tcBorders>
            <w:noWrap w:val="0"/>
            <w:vAlign w:val="center"/>
          </w:tcPr>
          <w:p w14:paraId="3674D4D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0FD51D01">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12" w:space="0"/>
              <w:right w:val="single" w:color="auto" w:sz="4" w:space="0"/>
            </w:tcBorders>
            <w:noWrap w:val="0"/>
            <w:vAlign w:val="center"/>
          </w:tcPr>
          <w:p w14:paraId="4380ED4A">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12" w:space="0"/>
              <w:right w:val="single" w:color="auto" w:sz="4" w:space="0"/>
            </w:tcBorders>
            <w:noWrap w:val="0"/>
            <w:vAlign w:val="center"/>
          </w:tcPr>
          <w:p w14:paraId="7F9FD210">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12" w:space="0"/>
              <w:right w:val="single" w:color="auto" w:sz="4" w:space="0"/>
            </w:tcBorders>
            <w:noWrap w:val="0"/>
            <w:vAlign w:val="top"/>
          </w:tcPr>
          <w:p w14:paraId="31AA323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12" w:space="0"/>
              <w:right w:val="single" w:color="auto" w:sz="4" w:space="0"/>
            </w:tcBorders>
            <w:noWrap w:val="0"/>
            <w:vAlign w:val="center"/>
          </w:tcPr>
          <w:p w14:paraId="1F029F0B">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12" w:space="0"/>
              <w:right w:val="single" w:color="auto" w:sz="4" w:space="0"/>
            </w:tcBorders>
            <w:noWrap w:val="0"/>
            <w:vAlign w:val="top"/>
          </w:tcPr>
          <w:p w14:paraId="136A3A2C">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12" w:space="0"/>
              <w:right w:val="single" w:color="auto" w:sz="4" w:space="0"/>
            </w:tcBorders>
            <w:noWrap w:val="0"/>
            <w:vAlign w:val="center"/>
          </w:tcPr>
          <w:p w14:paraId="399DAA7C">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12" w:space="0"/>
              <w:right w:val="single" w:color="auto" w:sz="4" w:space="0"/>
            </w:tcBorders>
            <w:noWrap w:val="0"/>
            <w:vAlign w:val="center"/>
          </w:tcPr>
          <w:p w14:paraId="3D7C11B1">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12" w:space="0"/>
              <w:right w:val="single" w:color="auto" w:sz="12" w:space="0"/>
            </w:tcBorders>
            <w:noWrap w:val="0"/>
            <w:vAlign w:val="center"/>
          </w:tcPr>
          <w:p w14:paraId="02D1C47F">
            <w:pPr>
              <w:snapToGrid w:val="0"/>
              <w:spacing w:line="400" w:lineRule="exact"/>
              <w:jc w:val="center"/>
              <w:rPr>
                <w:rFonts w:ascii="宋体" w:hAnsi="宋体"/>
                <w:color w:val="auto"/>
                <w:sz w:val="24"/>
                <w:highlight w:val="none"/>
              </w:rPr>
            </w:pPr>
          </w:p>
        </w:tc>
      </w:tr>
    </w:tbl>
    <w:p w14:paraId="6AE750B7">
      <w:pPr>
        <w:spacing w:line="400" w:lineRule="exact"/>
        <w:rPr>
          <w:rFonts w:hint="eastAsia" w:ascii="仿宋_GB2312" w:hAnsi="宋体" w:eastAsia="仿宋_GB2312"/>
          <w:b/>
          <w:bCs/>
          <w:color w:val="auto"/>
          <w:sz w:val="24"/>
          <w:highlight w:val="none"/>
        </w:rPr>
      </w:pPr>
      <w:r>
        <w:rPr>
          <w:rFonts w:hint="eastAsia" w:ascii="仿宋_GB2312" w:hAnsi="宋体" w:eastAsia="仿宋_GB2312"/>
          <w:color w:val="auto"/>
          <w:sz w:val="24"/>
          <w:highlight w:val="none"/>
        </w:rPr>
        <w:t xml:space="preserve">                                        </w:t>
      </w:r>
    </w:p>
    <w:p w14:paraId="729EA15D">
      <w:pPr>
        <w:spacing w:line="400" w:lineRule="exact"/>
        <w:ind w:left="840" w:hanging="840" w:hangingChars="350"/>
        <w:rPr>
          <w:rFonts w:hint="eastAsia" w:ascii="仿宋_GB2312" w:eastAsia="仿宋_GB2312"/>
          <w:color w:val="auto"/>
          <w:sz w:val="24"/>
          <w:highlight w:val="none"/>
        </w:rPr>
      </w:pPr>
    </w:p>
    <w:p w14:paraId="4BD861DC">
      <w:pPr>
        <w:spacing w:line="400" w:lineRule="exact"/>
        <w:ind w:left="840" w:hanging="840" w:hangingChars="350"/>
        <w:rPr>
          <w:rFonts w:hint="eastAsia" w:ascii="仿宋_GB2312" w:eastAsia="仿宋_GB2312"/>
          <w:color w:val="auto"/>
          <w:sz w:val="24"/>
          <w:highlight w:val="none"/>
        </w:rPr>
      </w:pPr>
    </w:p>
    <w:p w14:paraId="16CB2F5D">
      <w:pPr>
        <w:spacing w:line="400" w:lineRule="exact"/>
        <w:ind w:left="840" w:hanging="840" w:hangingChars="350"/>
        <w:rPr>
          <w:rFonts w:hint="eastAsia" w:ascii="仿宋_GB2312" w:eastAsia="仿宋_GB2312"/>
          <w:color w:val="auto"/>
          <w:sz w:val="24"/>
          <w:highlight w:val="none"/>
        </w:rPr>
      </w:pPr>
    </w:p>
    <w:p w14:paraId="17568E3E">
      <w:pPr>
        <w:spacing w:line="400" w:lineRule="exact"/>
        <w:ind w:left="840" w:hanging="840" w:hangingChars="350"/>
        <w:rPr>
          <w:rFonts w:hint="eastAsia" w:ascii="仿宋_GB2312" w:eastAsia="仿宋_GB2312"/>
          <w:color w:val="auto"/>
          <w:sz w:val="24"/>
          <w:highlight w:val="none"/>
        </w:rPr>
      </w:pPr>
    </w:p>
    <w:p w14:paraId="39B1805F">
      <w:pPr>
        <w:spacing w:line="400" w:lineRule="exact"/>
        <w:ind w:left="840" w:hanging="840" w:hangingChars="350"/>
        <w:rPr>
          <w:rFonts w:hint="eastAsia" w:ascii="仿宋_GB2312" w:eastAsia="仿宋_GB2312"/>
          <w:color w:val="auto"/>
          <w:sz w:val="24"/>
          <w:highlight w:val="none"/>
        </w:rPr>
      </w:pPr>
    </w:p>
    <w:p w14:paraId="5B229C3D">
      <w:pPr>
        <w:spacing w:line="400" w:lineRule="exact"/>
        <w:ind w:left="840" w:hanging="840" w:hangingChars="350"/>
        <w:rPr>
          <w:rFonts w:hint="eastAsia" w:ascii="仿宋_GB2312" w:eastAsia="仿宋_GB2312"/>
          <w:color w:val="auto"/>
          <w:sz w:val="24"/>
          <w:highlight w:val="none"/>
        </w:rPr>
      </w:pPr>
    </w:p>
    <w:p w14:paraId="1AFDB036">
      <w:pPr>
        <w:spacing w:line="400" w:lineRule="exact"/>
        <w:ind w:left="840" w:hanging="840" w:hangingChars="350"/>
        <w:rPr>
          <w:rFonts w:hint="eastAsia" w:ascii="仿宋_GB2312" w:eastAsia="仿宋_GB2312"/>
          <w:color w:val="auto"/>
          <w:sz w:val="24"/>
          <w:highlight w:val="none"/>
        </w:rPr>
      </w:pPr>
    </w:p>
    <w:p w14:paraId="318E4FA1">
      <w:pPr>
        <w:spacing w:line="400" w:lineRule="exact"/>
        <w:ind w:left="840" w:hanging="840" w:hangingChars="350"/>
        <w:rPr>
          <w:rFonts w:hint="eastAsia" w:ascii="仿宋_GB2312" w:eastAsia="仿宋_GB2312"/>
          <w:color w:val="auto"/>
          <w:sz w:val="24"/>
          <w:highlight w:val="none"/>
        </w:rPr>
      </w:pPr>
    </w:p>
    <w:p w14:paraId="4BFE14AA">
      <w:pPr>
        <w:spacing w:line="400" w:lineRule="exact"/>
        <w:ind w:left="840" w:hanging="840" w:hangingChars="350"/>
        <w:rPr>
          <w:rFonts w:hint="eastAsia" w:ascii="仿宋_GB2312" w:eastAsia="仿宋_GB2312"/>
          <w:color w:val="auto"/>
          <w:sz w:val="24"/>
          <w:highlight w:val="none"/>
        </w:rPr>
      </w:pPr>
    </w:p>
    <w:p w14:paraId="17000960">
      <w:pPr>
        <w:spacing w:line="260" w:lineRule="exact"/>
        <w:rPr>
          <w:rFonts w:hint="eastAsia" w:ascii="仿宋_GB2312" w:eastAsia="仿宋_GB2312"/>
          <w:color w:val="auto"/>
          <w:sz w:val="24"/>
          <w:highlight w:val="none"/>
        </w:rPr>
      </w:pPr>
      <w:r>
        <w:rPr>
          <w:rFonts w:hint="eastAsia" w:ascii="仿宋_GB2312" w:eastAsia="仿宋_GB2312"/>
          <w:color w:val="auto"/>
          <w:sz w:val="24"/>
          <w:highlight w:val="none"/>
        </w:rPr>
        <w:t xml:space="preserve"> </w:t>
      </w:r>
    </w:p>
    <w:p w14:paraId="71203ABB">
      <w:pPr>
        <w:spacing w:before="120" w:beforeLines="50"/>
        <w:ind w:left="779" w:leftChars="371" w:firstLine="210" w:firstLineChars="100"/>
        <w:rPr>
          <w:rFonts w:hint="eastAsia" w:ascii="楷体" w:hAnsi="楷体" w:eastAsia="楷体"/>
          <w:color w:val="auto"/>
          <w:szCs w:val="21"/>
          <w:highlight w:val="none"/>
        </w:rPr>
      </w:pPr>
      <w:r>
        <w:rPr>
          <w:rFonts w:hint="eastAsia" w:ascii="楷体" w:hAnsi="楷体" w:eastAsia="楷体"/>
          <w:color w:val="auto"/>
          <w:highlight w:val="none"/>
        </w:rPr>
        <w:t>说明：</w:t>
      </w:r>
      <w:r>
        <w:rPr>
          <w:rFonts w:hint="eastAsia" w:ascii="楷体" w:hAnsi="楷体" w:eastAsia="楷体"/>
          <w:color w:val="auto"/>
          <w:szCs w:val="21"/>
          <w:highlight w:val="none"/>
        </w:rPr>
        <w:t>1.“备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件报价表</w:t>
      </w:r>
      <w:r>
        <w:rPr>
          <w:rFonts w:hint="eastAsia" w:ascii="楷体" w:hAnsi="楷体" w:eastAsia="楷体"/>
          <w:color w:val="auto"/>
          <w:szCs w:val="21"/>
          <w:highlight w:val="none"/>
        </w:rPr>
        <w:t>”以包为单位填写，报价精确到元，不保留小数；</w:t>
      </w:r>
    </w:p>
    <w:p w14:paraId="3918E76C">
      <w:pPr>
        <w:spacing w:line="320" w:lineRule="exact"/>
        <w:ind w:left="779" w:leftChars="371" w:firstLine="840" w:firstLineChars="400"/>
        <w:rPr>
          <w:rFonts w:hint="eastAsia" w:ascii="楷体" w:hAnsi="楷体" w:eastAsia="楷体"/>
          <w:bCs/>
          <w:color w:val="auto"/>
          <w:szCs w:val="21"/>
          <w:highlight w:val="none"/>
        </w:rPr>
      </w:pPr>
      <w:r>
        <w:rPr>
          <w:rFonts w:hint="eastAsia" w:ascii="楷体" w:hAnsi="楷体" w:eastAsia="楷体"/>
          <w:color w:val="auto"/>
          <w:szCs w:val="21"/>
          <w:highlight w:val="none"/>
        </w:rPr>
        <w:t>2.备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件，仅作为采购人后期选择购买，其报价不包含在本次投标总价内。</w:t>
      </w:r>
    </w:p>
    <w:p w14:paraId="439D07B6">
      <w:pPr>
        <w:adjustRightInd w:val="0"/>
        <w:spacing w:line="400" w:lineRule="exact"/>
        <w:ind w:firstLine="1050" w:firstLineChars="500"/>
        <w:jc w:val="left"/>
        <w:rPr>
          <w:rFonts w:hint="eastAsia" w:ascii="楷体" w:hAnsi="楷体" w:eastAsia="楷体"/>
          <w:bCs/>
          <w:color w:val="auto"/>
          <w:szCs w:val="21"/>
          <w:highlight w:val="none"/>
        </w:rPr>
      </w:pPr>
    </w:p>
    <w:p w14:paraId="069101D7">
      <w:pPr>
        <w:adjustRightInd w:val="0"/>
        <w:spacing w:after="240" w:afterLines="100" w:line="400" w:lineRule="exact"/>
        <w:ind w:firstLine="1050" w:firstLineChars="5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0F9275E">
      <w:pPr>
        <w:spacing w:after="240" w:afterLines="100" w:line="400" w:lineRule="exact"/>
        <w:ind w:firstLine="1050" w:firstLineChars="5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171567D5">
      <w:pPr>
        <w:spacing w:line="400" w:lineRule="exact"/>
        <w:ind w:firstLine="945" w:firstLineChars="450"/>
        <w:rPr>
          <w:rFonts w:hint="eastAsia" w:ascii="宋体" w:hAnsi="宋体"/>
          <w:color w:val="auto"/>
          <w:szCs w:val="21"/>
          <w:highlight w:val="none"/>
        </w:rPr>
      </w:pPr>
      <w:r>
        <w:rPr>
          <w:rFonts w:hint="eastAsia" w:ascii="宋体" w:hAnsi="宋体"/>
          <w:color w:val="auto"/>
          <w:szCs w:val="21"/>
          <w:highlight w:val="none"/>
        </w:rPr>
        <w:t xml:space="preserve"> 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53A8BB4C">
      <w:pPr>
        <w:spacing w:line="400" w:lineRule="exact"/>
        <w:ind w:firstLine="945" w:firstLineChars="450"/>
        <w:rPr>
          <w:rFonts w:hint="eastAsia" w:ascii="宋体" w:hAnsi="宋体"/>
          <w:color w:val="auto"/>
          <w:szCs w:val="21"/>
          <w:highlight w:val="none"/>
        </w:rPr>
      </w:pPr>
    </w:p>
    <w:p w14:paraId="060FC4FE">
      <w:pPr>
        <w:spacing w:after="360" w:afterLines="150" w:line="400" w:lineRule="exact"/>
        <w:ind w:left="777" w:leftChars="86" w:hanging="596" w:hangingChars="165"/>
        <w:jc w:val="center"/>
        <w:rPr>
          <w:rFonts w:hint="eastAsia"/>
          <w:b/>
          <w:bCs/>
          <w:color w:val="auto"/>
          <w:sz w:val="36"/>
          <w:szCs w:val="36"/>
          <w:highlight w:val="none"/>
        </w:rPr>
      </w:pPr>
    </w:p>
    <w:p w14:paraId="7E90FCB5">
      <w:pPr>
        <w:spacing w:after="360" w:afterLines="150" w:line="400" w:lineRule="exact"/>
        <w:ind w:left="777" w:leftChars="86" w:hanging="596" w:hangingChars="165"/>
        <w:jc w:val="center"/>
        <w:rPr>
          <w:rFonts w:hint="eastAsia" w:ascii="仿宋_GB2312" w:hAnsi="宋体" w:eastAsia="仿宋_GB2312"/>
          <w:color w:val="auto"/>
          <w:sz w:val="28"/>
          <w:szCs w:val="28"/>
          <w:highlight w:val="none"/>
        </w:rPr>
      </w:pPr>
      <w:r>
        <w:rPr>
          <w:rFonts w:hint="eastAsia"/>
          <w:b/>
          <w:bCs/>
          <w:color w:val="auto"/>
          <w:sz w:val="36"/>
          <w:szCs w:val="36"/>
          <w:highlight w:val="none"/>
        </w:rPr>
        <w:t>五、货物（产品）说明一览表</w:t>
      </w:r>
    </w:p>
    <w:p w14:paraId="069D701B">
      <w:pPr>
        <w:pStyle w:val="7"/>
        <w:ind w:firstLine="840" w:firstLineChars="400"/>
        <w:rPr>
          <w:rFonts w:hint="eastAsia"/>
          <w:color w:val="auto"/>
          <w:highlight w:val="none"/>
        </w:rPr>
      </w:pPr>
      <w:r>
        <w:rPr>
          <w:rFonts w:hint="eastAsia" w:ascii="宋体" w:hAnsi="宋体"/>
          <w:color w:val="auto"/>
          <w:highlight w:val="none"/>
        </w:rPr>
        <w:t>投标人名称:                                                                    采购项目编号：</w:t>
      </w:r>
    </w:p>
    <w:tbl>
      <w:tblPr>
        <w:tblStyle w:val="23"/>
        <w:tblpPr w:leftFromText="180" w:rightFromText="180" w:vertAnchor="text" w:horzAnchor="margin" w:tblpXSpec="center" w:tblpY="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2356"/>
        <w:gridCol w:w="3119"/>
        <w:gridCol w:w="2380"/>
        <w:gridCol w:w="976"/>
        <w:gridCol w:w="2024"/>
      </w:tblGrid>
      <w:tr w14:paraId="47721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7" w:hRule="exact"/>
        </w:trPr>
        <w:tc>
          <w:tcPr>
            <w:tcW w:w="683" w:type="dxa"/>
            <w:tcBorders>
              <w:top w:val="single" w:color="auto" w:sz="12" w:space="0"/>
              <w:left w:val="single" w:color="auto" w:sz="12" w:space="0"/>
              <w:bottom w:val="single" w:color="auto" w:sz="4" w:space="0"/>
              <w:right w:val="single" w:color="auto" w:sz="4" w:space="0"/>
            </w:tcBorders>
            <w:noWrap w:val="0"/>
            <w:vAlign w:val="center"/>
          </w:tcPr>
          <w:p w14:paraId="37E24A06">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44F56200">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2356" w:type="dxa"/>
            <w:tcBorders>
              <w:top w:val="single" w:color="auto" w:sz="12" w:space="0"/>
              <w:left w:val="single" w:color="auto" w:sz="4" w:space="0"/>
              <w:bottom w:val="single" w:color="auto" w:sz="4" w:space="0"/>
              <w:right w:val="single" w:color="auto" w:sz="4" w:space="0"/>
            </w:tcBorders>
            <w:noWrap w:val="0"/>
            <w:vAlign w:val="center"/>
          </w:tcPr>
          <w:p w14:paraId="6F7AFB42">
            <w:pPr>
              <w:snapToGrid w:val="0"/>
              <w:spacing w:line="400" w:lineRule="exact"/>
              <w:ind w:firstLine="517" w:firstLineChars="245"/>
              <w:rPr>
                <w:rFonts w:hint="eastAsia" w:ascii="宋体" w:hAnsi="宋体"/>
                <w:b/>
                <w:color w:val="auto"/>
                <w:szCs w:val="21"/>
                <w:highlight w:val="none"/>
              </w:rPr>
            </w:pPr>
            <w:r>
              <w:rPr>
                <w:rFonts w:hint="eastAsia" w:ascii="宋体" w:hAnsi="宋体"/>
                <w:b/>
                <w:color w:val="auto"/>
                <w:szCs w:val="21"/>
                <w:highlight w:val="none"/>
              </w:rPr>
              <w:t>品牌/型号</w:t>
            </w:r>
          </w:p>
        </w:tc>
        <w:tc>
          <w:tcPr>
            <w:tcW w:w="3119" w:type="dxa"/>
            <w:tcBorders>
              <w:top w:val="single" w:color="auto" w:sz="12" w:space="0"/>
              <w:left w:val="single" w:color="auto" w:sz="4" w:space="0"/>
              <w:bottom w:val="single" w:color="auto" w:sz="4" w:space="0"/>
              <w:right w:val="single" w:color="auto" w:sz="4" w:space="0"/>
            </w:tcBorders>
            <w:noWrap w:val="0"/>
            <w:vAlign w:val="center"/>
          </w:tcPr>
          <w:p w14:paraId="4047FC00">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规格、配置及主要技术参数</w:t>
            </w:r>
          </w:p>
        </w:tc>
        <w:tc>
          <w:tcPr>
            <w:tcW w:w="2380" w:type="dxa"/>
            <w:tcBorders>
              <w:top w:val="single" w:color="auto" w:sz="12" w:space="0"/>
              <w:left w:val="single" w:color="auto" w:sz="4" w:space="0"/>
              <w:bottom w:val="single" w:color="auto" w:sz="4" w:space="0"/>
              <w:right w:val="single" w:color="auto" w:sz="4" w:space="0"/>
            </w:tcBorders>
            <w:noWrap w:val="0"/>
            <w:vAlign w:val="center"/>
          </w:tcPr>
          <w:p w14:paraId="1A995A78">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976" w:type="dxa"/>
            <w:tcBorders>
              <w:top w:val="single" w:color="auto" w:sz="12" w:space="0"/>
              <w:left w:val="single" w:color="auto" w:sz="4" w:space="0"/>
              <w:bottom w:val="single" w:color="auto" w:sz="4" w:space="0"/>
              <w:right w:val="single" w:color="auto" w:sz="4" w:space="0"/>
            </w:tcBorders>
            <w:noWrap w:val="0"/>
            <w:vAlign w:val="center"/>
          </w:tcPr>
          <w:p w14:paraId="604CFDD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024" w:type="dxa"/>
            <w:tcBorders>
              <w:top w:val="single" w:color="auto" w:sz="12" w:space="0"/>
              <w:left w:val="single" w:color="auto" w:sz="4" w:space="0"/>
              <w:bottom w:val="single" w:color="auto" w:sz="4" w:space="0"/>
              <w:right w:val="single" w:color="auto" w:sz="12" w:space="0"/>
            </w:tcBorders>
            <w:noWrap w:val="0"/>
            <w:vAlign w:val="center"/>
          </w:tcPr>
          <w:p w14:paraId="698851E3">
            <w:pPr>
              <w:snapToGrid w:val="0"/>
              <w:spacing w:line="400" w:lineRule="exact"/>
              <w:ind w:firstLine="105" w:firstLineChars="50"/>
              <w:jc w:val="center"/>
              <w:rPr>
                <w:rFonts w:hint="eastAsia" w:ascii="宋体" w:hAnsi="宋体"/>
                <w:b/>
                <w:color w:val="auto"/>
                <w:szCs w:val="21"/>
                <w:highlight w:val="none"/>
                <w:lang w:val="en-US" w:eastAsia="zh-CN"/>
              </w:rPr>
            </w:pPr>
            <w:r>
              <w:rPr>
                <w:rFonts w:hint="eastAsia" w:ascii="宋体" w:hAnsi="宋体"/>
                <w:b/>
                <w:color w:val="auto"/>
                <w:szCs w:val="21"/>
                <w:highlight w:val="none"/>
                <w:lang w:val="en-US" w:eastAsia="zh-CN"/>
              </w:rPr>
              <w:t>合同履行期限</w:t>
            </w:r>
          </w:p>
        </w:tc>
      </w:tr>
      <w:tr w14:paraId="02FA7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7437BEA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7647454">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5F702369">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292284B3">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C4A2E4C">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5256A59">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73BF83C5">
            <w:pPr>
              <w:snapToGrid w:val="0"/>
              <w:spacing w:line="400" w:lineRule="exact"/>
              <w:jc w:val="center"/>
              <w:rPr>
                <w:rFonts w:hint="eastAsia" w:ascii="仿宋_GB2312" w:hAnsi="宋体" w:eastAsia="仿宋_GB2312"/>
                <w:color w:val="auto"/>
                <w:sz w:val="24"/>
                <w:highlight w:val="none"/>
              </w:rPr>
            </w:pPr>
          </w:p>
        </w:tc>
      </w:tr>
      <w:tr w14:paraId="7E013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67572B8">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F46322D">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F85C168">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DB5AE5A">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6ED19106">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7687E3E6">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6869AD5">
            <w:pPr>
              <w:snapToGrid w:val="0"/>
              <w:spacing w:line="400" w:lineRule="exact"/>
              <w:jc w:val="center"/>
              <w:rPr>
                <w:rFonts w:hint="eastAsia" w:ascii="仿宋_GB2312" w:hAnsi="宋体" w:eastAsia="仿宋_GB2312"/>
                <w:color w:val="auto"/>
                <w:sz w:val="24"/>
                <w:highlight w:val="none"/>
              </w:rPr>
            </w:pPr>
          </w:p>
        </w:tc>
      </w:tr>
      <w:tr w14:paraId="09A10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0FD2B90D">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EF08840">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43988FE">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C9089D9">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3E8D932">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2303D9F">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759D69C8">
            <w:pPr>
              <w:snapToGrid w:val="0"/>
              <w:spacing w:line="400" w:lineRule="exact"/>
              <w:jc w:val="center"/>
              <w:rPr>
                <w:rFonts w:ascii="宋体" w:hAnsi="宋体"/>
                <w:color w:val="auto"/>
                <w:sz w:val="24"/>
                <w:highlight w:val="none"/>
              </w:rPr>
            </w:pPr>
          </w:p>
        </w:tc>
      </w:tr>
      <w:tr w14:paraId="588B4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0DD65BA">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D4B48B0">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C3760A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1A2CCBB0">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62960C50">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0396ADC">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51197ED9">
            <w:pPr>
              <w:snapToGrid w:val="0"/>
              <w:spacing w:line="400" w:lineRule="exact"/>
              <w:jc w:val="center"/>
              <w:rPr>
                <w:rFonts w:ascii="宋体" w:hAnsi="宋体"/>
                <w:color w:val="auto"/>
                <w:sz w:val="24"/>
                <w:highlight w:val="none"/>
              </w:rPr>
            </w:pPr>
          </w:p>
        </w:tc>
      </w:tr>
      <w:tr w14:paraId="642C0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72C6C01D">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6FF28F2">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7A8377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73B9564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99BEDCC">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06ED4A2">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DE794F8">
            <w:pPr>
              <w:snapToGrid w:val="0"/>
              <w:spacing w:line="400" w:lineRule="exact"/>
              <w:jc w:val="center"/>
              <w:rPr>
                <w:rFonts w:ascii="宋体" w:hAnsi="宋体"/>
                <w:color w:val="auto"/>
                <w:sz w:val="24"/>
                <w:highlight w:val="none"/>
              </w:rPr>
            </w:pPr>
          </w:p>
        </w:tc>
      </w:tr>
      <w:tr w14:paraId="2DA25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5CD2637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DCA574F">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7B91AF35">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C821A04">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CF9056B">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F1786A4">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53267A4">
            <w:pPr>
              <w:snapToGrid w:val="0"/>
              <w:spacing w:line="400" w:lineRule="exact"/>
              <w:jc w:val="center"/>
              <w:rPr>
                <w:rFonts w:ascii="宋体" w:hAnsi="宋体"/>
                <w:color w:val="auto"/>
                <w:sz w:val="24"/>
                <w:highlight w:val="none"/>
              </w:rPr>
            </w:pPr>
          </w:p>
        </w:tc>
      </w:tr>
      <w:tr w14:paraId="33AF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42D0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F9605B8">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5F08B8B">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9909B36">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1CF5130">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110853CD">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54671E0F">
            <w:pPr>
              <w:snapToGrid w:val="0"/>
              <w:spacing w:line="400" w:lineRule="exact"/>
              <w:jc w:val="center"/>
              <w:rPr>
                <w:rFonts w:ascii="宋体" w:hAnsi="宋体"/>
                <w:color w:val="auto"/>
                <w:sz w:val="24"/>
                <w:highlight w:val="none"/>
              </w:rPr>
            </w:pPr>
          </w:p>
        </w:tc>
      </w:tr>
      <w:tr w14:paraId="0198B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trPr>
        <w:tc>
          <w:tcPr>
            <w:tcW w:w="683" w:type="dxa"/>
            <w:tcBorders>
              <w:top w:val="single" w:color="auto" w:sz="4" w:space="0"/>
              <w:left w:val="single" w:color="auto" w:sz="12" w:space="0"/>
              <w:bottom w:val="single" w:color="auto" w:sz="12" w:space="0"/>
              <w:right w:val="single" w:color="auto" w:sz="4" w:space="0"/>
            </w:tcBorders>
            <w:noWrap w:val="0"/>
            <w:vAlign w:val="center"/>
          </w:tcPr>
          <w:p w14:paraId="5E666334">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29B2403D">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12" w:space="0"/>
              <w:right w:val="single" w:color="auto" w:sz="4" w:space="0"/>
            </w:tcBorders>
            <w:noWrap w:val="0"/>
            <w:vAlign w:val="center"/>
          </w:tcPr>
          <w:p w14:paraId="3C62E62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12" w:space="0"/>
              <w:right w:val="single" w:color="auto" w:sz="4" w:space="0"/>
            </w:tcBorders>
            <w:noWrap w:val="0"/>
            <w:vAlign w:val="top"/>
          </w:tcPr>
          <w:p w14:paraId="09DDC5BC">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12" w:space="0"/>
              <w:right w:val="single" w:color="auto" w:sz="4" w:space="0"/>
            </w:tcBorders>
            <w:noWrap w:val="0"/>
            <w:vAlign w:val="top"/>
          </w:tcPr>
          <w:p w14:paraId="396345AF">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12" w:space="0"/>
              <w:right w:val="single" w:color="auto" w:sz="4" w:space="0"/>
            </w:tcBorders>
            <w:noWrap w:val="0"/>
            <w:vAlign w:val="center"/>
          </w:tcPr>
          <w:p w14:paraId="512DAE1B">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12" w:space="0"/>
              <w:right w:val="single" w:color="auto" w:sz="12" w:space="0"/>
            </w:tcBorders>
            <w:noWrap w:val="0"/>
            <w:vAlign w:val="center"/>
          </w:tcPr>
          <w:p w14:paraId="7472D1DB">
            <w:pPr>
              <w:snapToGrid w:val="0"/>
              <w:spacing w:line="400" w:lineRule="exact"/>
              <w:jc w:val="center"/>
              <w:rPr>
                <w:rFonts w:ascii="宋体" w:hAnsi="宋体"/>
                <w:color w:val="auto"/>
                <w:sz w:val="24"/>
                <w:highlight w:val="none"/>
              </w:rPr>
            </w:pPr>
          </w:p>
        </w:tc>
      </w:tr>
    </w:tbl>
    <w:p w14:paraId="6DE069CF">
      <w:pPr>
        <w:pStyle w:val="7"/>
        <w:rPr>
          <w:rFonts w:hint="eastAsia"/>
          <w:color w:val="auto"/>
          <w:highlight w:val="none"/>
        </w:rPr>
      </w:pPr>
    </w:p>
    <w:p w14:paraId="6CCD3CF2">
      <w:pPr>
        <w:pStyle w:val="7"/>
        <w:spacing w:before="120" w:beforeLines="50"/>
        <w:ind w:firstLine="1050" w:firstLineChars="500"/>
        <w:rPr>
          <w:rFonts w:hint="eastAsia" w:ascii="楷体" w:hAnsi="楷体" w:eastAsia="楷体"/>
          <w:color w:val="auto"/>
          <w:highlight w:val="none"/>
        </w:rPr>
      </w:pPr>
      <w:r>
        <w:rPr>
          <w:rFonts w:hint="eastAsia" w:ascii="楷体" w:hAnsi="楷体" w:eastAsia="楷体"/>
          <w:color w:val="auto"/>
          <w:highlight w:val="none"/>
        </w:rPr>
        <w:t>说明：1.本表须逐项填写，不得空缺；如空缺将视为没有实质性响应招标文件；</w:t>
      </w:r>
    </w:p>
    <w:p w14:paraId="41D78B04">
      <w:pPr>
        <w:pStyle w:val="7"/>
        <w:ind w:firstLine="1680" w:firstLineChars="800"/>
        <w:rPr>
          <w:rFonts w:hint="eastAsia" w:ascii="楷体" w:hAnsi="楷体" w:eastAsia="楷体"/>
          <w:color w:val="auto"/>
          <w:highlight w:val="none"/>
        </w:rPr>
      </w:pPr>
      <w:r>
        <w:rPr>
          <w:rFonts w:hint="eastAsia" w:ascii="楷体" w:hAnsi="楷体" w:eastAsia="楷体"/>
          <w:color w:val="auto"/>
          <w:highlight w:val="none"/>
        </w:rPr>
        <w:t>2.货物各项详细技术性能可另页描述；若货物没有注册商标和具体型号须注明。</w:t>
      </w:r>
    </w:p>
    <w:p w14:paraId="44E3FF44">
      <w:pPr>
        <w:adjustRightInd w:val="0"/>
        <w:spacing w:after="240" w:afterLines="100" w:line="400" w:lineRule="exact"/>
        <w:ind w:firstLine="840" w:firstLineChars="4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31FE6DF">
      <w:pPr>
        <w:adjustRightInd w:val="0"/>
        <w:spacing w:after="240" w:afterLines="100" w:line="400" w:lineRule="exact"/>
        <w:ind w:firstLine="840" w:firstLineChars="400"/>
        <w:jc w:val="left"/>
        <w:rPr>
          <w:rFonts w:hint="eastAsia"/>
          <w:color w:val="auto"/>
          <w:szCs w:val="21"/>
          <w:highlight w:val="none"/>
        </w:rPr>
      </w:pPr>
      <w:r>
        <w:rPr>
          <w:rFonts w:hint="eastAsia"/>
          <w:color w:val="auto"/>
          <w:szCs w:val="21"/>
          <w:highlight w:val="none"/>
        </w:rPr>
        <w:t>法定代表人或委托代理人：</w:t>
      </w:r>
      <w:r>
        <w:rPr>
          <w:rFonts w:hint="eastAsia"/>
          <w:color w:val="auto"/>
          <w:szCs w:val="21"/>
          <w:highlight w:val="none"/>
          <w:u w:val="single"/>
        </w:rPr>
        <w:t xml:space="preserve">                  </w:t>
      </w:r>
      <w:r>
        <w:rPr>
          <w:rFonts w:hint="eastAsia"/>
          <w:color w:val="auto"/>
          <w:szCs w:val="21"/>
          <w:highlight w:val="none"/>
        </w:rPr>
        <w:t xml:space="preserve">（签字） </w:t>
      </w:r>
    </w:p>
    <w:p w14:paraId="78A59A55">
      <w:pPr>
        <w:adjustRightInd w:val="0"/>
        <w:spacing w:line="400" w:lineRule="exact"/>
        <w:ind w:firstLine="840" w:firstLineChars="400"/>
        <w:jc w:val="left"/>
        <w:rPr>
          <w:rFonts w:hint="eastAsia"/>
          <w:color w:val="auto"/>
          <w:szCs w:val="21"/>
          <w:highlight w:val="none"/>
        </w:rPr>
      </w:pPr>
      <w:r>
        <w:rPr>
          <w:rFonts w:hint="eastAsia"/>
          <w:color w:val="auto"/>
          <w:szCs w:val="21"/>
          <w:highlight w:val="none"/>
        </w:rPr>
        <w:t>日    期：</w:t>
      </w: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color w:val="auto"/>
          <w:szCs w:val="21"/>
          <w:highlight w:val="none"/>
        </w:rPr>
        <w:t>年</w:t>
      </w:r>
      <w:r>
        <w:rPr>
          <w:rFonts w:hint="eastAsia"/>
          <w:color w:val="auto"/>
          <w:szCs w:val="21"/>
          <w:highlight w:val="none"/>
          <w:u w:val="single"/>
        </w:rPr>
        <w:t xml:space="preserve">  </w:t>
      </w:r>
      <w:r>
        <w:rPr>
          <w:rFonts w:hint="eastAsia"/>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p>
    <w:p w14:paraId="794422D4">
      <w:pPr>
        <w:adjustRightInd w:val="0"/>
        <w:spacing w:line="400" w:lineRule="exact"/>
        <w:ind w:firstLine="840" w:firstLineChars="400"/>
        <w:jc w:val="left"/>
        <w:rPr>
          <w:rFonts w:ascii="仿宋_GB2312" w:eastAsia="仿宋_GB2312"/>
          <w:bCs/>
          <w:color w:val="auto"/>
          <w:szCs w:val="28"/>
          <w:highlight w:val="none"/>
        </w:rPr>
        <w:sectPr>
          <w:pgSz w:w="16840" w:h="11907" w:orient="landscape"/>
          <w:pgMar w:top="1474" w:right="1440" w:bottom="1474" w:left="1440" w:header="851" w:footer="992" w:gutter="0"/>
          <w:pgBorders>
            <w:top w:val="none" w:sz="0" w:space="0"/>
            <w:left w:val="none" w:sz="0" w:space="0"/>
            <w:bottom w:val="none" w:sz="0" w:space="0"/>
            <w:right w:val="none" w:sz="0" w:space="0"/>
          </w:pgBorders>
          <w:pgNumType w:fmt="decimal"/>
          <w:cols w:space="720" w:num="1"/>
          <w:docGrid w:linePitch="312" w:charSpace="0"/>
        </w:sectPr>
      </w:pPr>
    </w:p>
    <w:bookmarkEnd w:id="262"/>
    <w:p w14:paraId="5CE1281C">
      <w:pPr>
        <w:pStyle w:val="7"/>
        <w:spacing w:after="240" w:afterLines="100" w:line="360" w:lineRule="auto"/>
        <w:ind w:firstLine="0"/>
        <w:jc w:val="center"/>
        <w:rPr>
          <w:rFonts w:hint="eastAsia" w:ascii="宋体" w:hAnsi="宋体"/>
          <w:b/>
          <w:color w:val="auto"/>
          <w:sz w:val="36"/>
          <w:szCs w:val="36"/>
          <w:highlight w:val="none"/>
        </w:rPr>
      </w:pPr>
      <w:r>
        <w:rPr>
          <w:rFonts w:hint="eastAsia" w:ascii="宋体" w:hAnsi="宋体"/>
          <w:b/>
          <w:bCs/>
          <w:color w:val="auto"/>
          <w:sz w:val="36"/>
          <w:szCs w:val="36"/>
          <w:highlight w:val="none"/>
        </w:rPr>
        <w:t>六、商务偏离表</w:t>
      </w:r>
    </w:p>
    <w:p w14:paraId="51C5281C">
      <w:pPr>
        <w:pStyle w:val="7"/>
        <w:spacing w:after="120" w:afterLines="50"/>
        <w:ind w:firstLine="105" w:firstLineChars="5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 xml:space="preserve"> 采购项目编号：</w:t>
      </w:r>
    </w:p>
    <w:tbl>
      <w:tblPr>
        <w:tblStyle w:val="23"/>
        <w:tblW w:w="97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429"/>
        <w:gridCol w:w="1600"/>
        <w:gridCol w:w="2180"/>
        <w:gridCol w:w="1040"/>
        <w:gridCol w:w="2020"/>
        <w:gridCol w:w="977"/>
      </w:tblGrid>
      <w:tr w14:paraId="78A6C8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551" w:type="dxa"/>
            <w:noWrap w:val="0"/>
            <w:vAlign w:val="center"/>
          </w:tcPr>
          <w:p w14:paraId="5A4D860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29" w:type="dxa"/>
            <w:noWrap w:val="0"/>
            <w:vAlign w:val="center"/>
          </w:tcPr>
          <w:p w14:paraId="13C07227">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600" w:type="dxa"/>
            <w:noWrap w:val="0"/>
            <w:vAlign w:val="center"/>
          </w:tcPr>
          <w:p w14:paraId="0485AAA2">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180" w:type="dxa"/>
            <w:noWrap w:val="0"/>
            <w:vAlign w:val="center"/>
          </w:tcPr>
          <w:p w14:paraId="2ABEF522">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040" w:type="dxa"/>
            <w:noWrap w:val="0"/>
            <w:vAlign w:val="center"/>
          </w:tcPr>
          <w:p w14:paraId="4373EA08">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20" w:type="dxa"/>
            <w:noWrap w:val="0"/>
            <w:vAlign w:val="center"/>
          </w:tcPr>
          <w:p w14:paraId="0528B27C">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977" w:type="dxa"/>
            <w:noWrap w:val="0"/>
            <w:vAlign w:val="center"/>
          </w:tcPr>
          <w:p w14:paraId="0C966D74">
            <w:pPr>
              <w:adjustRightInd w:val="0"/>
              <w:snapToGrid w:val="0"/>
              <w:ind w:right="23"/>
              <w:jc w:val="center"/>
              <w:rPr>
                <w:rFonts w:hint="eastAsia" w:ascii="宋体" w:hAnsi="宋体" w:eastAsia="宋体"/>
                <w:b/>
                <w:bCs/>
                <w:color w:val="auto"/>
                <w:szCs w:val="21"/>
                <w:highlight w:val="none"/>
                <w:lang w:val="en-US" w:eastAsia="zh-CN"/>
              </w:rPr>
            </w:pPr>
            <w:r>
              <w:rPr>
                <w:rFonts w:hint="eastAsia" w:ascii="宋体" w:hAnsi="宋体"/>
                <w:b/>
                <w:bCs/>
                <w:color w:val="auto"/>
                <w:szCs w:val="21"/>
                <w:highlight w:val="none"/>
                <w:lang w:val="en-US" w:eastAsia="zh-CN"/>
              </w:rPr>
              <w:t>备注</w:t>
            </w:r>
          </w:p>
        </w:tc>
      </w:tr>
      <w:tr w14:paraId="7AEE26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6F2C54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3EE406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E6EAE4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7C4B61A">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0F65219">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19FBE7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D2D3140">
            <w:pPr>
              <w:adjustRightInd w:val="0"/>
              <w:snapToGrid w:val="0"/>
              <w:spacing w:line="360" w:lineRule="auto"/>
              <w:ind w:right="24"/>
              <w:rPr>
                <w:rFonts w:hint="eastAsia" w:ascii="黑体" w:hAnsi="华文中宋" w:eastAsia="黑体"/>
                <w:bCs/>
                <w:color w:val="auto"/>
                <w:sz w:val="24"/>
                <w:highlight w:val="none"/>
              </w:rPr>
            </w:pPr>
          </w:p>
        </w:tc>
      </w:tr>
      <w:tr w14:paraId="1502F2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F24D598">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C52F5C1">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83CC816">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D932BAD">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B574BB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4FCD65B">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0135C45">
            <w:pPr>
              <w:adjustRightInd w:val="0"/>
              <w:snapToGrid w:val="0"/>
              <w:spacing w:line="360" w:lineRule="auto"/>
              <w:ind w:right="24"/>
              <w:rPr>
                <w:rFonts w:hint="eastAsia" w:ascii="黑体" w:hAnsi="华文中宋" w:eastAsia="黑体"/>
                <w:bCs/>
                <w:color w:val="auto"/>
                <w:sz w:val="24"/>
                <w:highlight w:val="none"/>
              </w:rPr>
            </w:pPr>
          </w:p>
        </w:tc>
      </w:tr>
      <w:tr w14:paraId="676C22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016197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CF67632">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2C5530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013AEF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5619D0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C3C1F8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BD16892">
            <w:pPr>
              <w:adjustRightInd w:val="0"/>
              <w:snapToGrid w:val="0"/>
              <w:spacing w:line="360" w:lineRule="auto"/>
              <w:ind w:right="24"/>
              <w:rPr>
                <w:rFonts w:hint="eastAsia" w:ascii="黑体" w:hAnsi="华文中宋" w:eastAsia="黑体"/>
                <w:bCs/>
                <w:color w:val="auto"/>
                <w:sz w:val="24"/>
                <w:highlight w:val="none"/>
              </w:rPr>
            </w:pPr>
          </w:p>
        </w:tc>
      </w:tr>
      <w:tr w14:paraId="192CFE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F74881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688436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D8BECD0">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7EC04E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FA24FF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5EF8EF2">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8EC8310">
            <w:pPr>
              <w:adjustRightInd w:val="0"/>
              <w:snapToGrid w:val="0"/>
              <w:spacing w:line="360" w:lineRule="auto"/>
              <w:ind w:right="24"/>
              <w:rPr>
                <w:rFonts w:hint="eastAsia" w:ascii="黑体" w:hAnsi="华文中宋" w:eastAsia="黑体"/>
                <w:bCs/>
                <w:color w:val="auto"/>
                <w:sz w:val="24"/>
                <w:highlight w:val="none"/>
              </w:rPr>
            </w:pPr>
          </w:p>
        </w:tc>
      </w:tr>
      <w:tr w14:paraId="5A7B74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75D1781">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1D9847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2F5A58D">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B80770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196C15E4">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7C351FD">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8C52566">
            <w:pPr>
              <w:adjustRightInd w:val="0"/>
              <w:snapToGrid w:val="0"/>
              <w:spacing w:line="360" w:lineRule="auto"/>
              <w:ind w:right="24"/>
              <w:rPr>
                <w:rFonts w:hint="eastAsia" w:ascii="黑体" w:hAnsi="华文中宋" w:eastAsia="黑体"/>
                <w:bCs/>
                <w:color w:val="auto"/>
                <w:sz w:val="24"/>
                <w:highlight w:val="none"/>
              </w:rPr>
            </w:pPr>
          </w:p>
        </w:tc>
      </w:tr>
      <w:tr w14:paraId="499FC8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190D66E">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B62B2F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85C1647">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0CA19DD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DEDA8B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4C7901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F715CF0">
            <w:pPr>
              <w:adjustRightInd w:val="0"/>
              <w:snapToGrid w:val="0"/>
              <w:spacing w:line="360" w:lineRule="auto"/>
              <w:ind w:right="24"/>
              <w:rPr>
                <w:rFonts w:hint="eastAsia" w:ascii="黑体" w:hAnsi="华文中宋" w:eastAsia="黑体"/>
                <w:bCs/>
                <w:color w:val="auto"/>
                <w:sz w:val="24"/>
                <w:highlight w:val="none"/>
              </w:rPr>
            </w:pPr>
          </w:p>
        </w:tc>
      </w:tr>
      <w:tr w14:paraId="2372FC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175A5319">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25C3C5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5F15842">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33FCB1E">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1A4B29FF">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4ECD69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4CE51CA">
            <w:pPr>
              <w:adjustRightInd w:val="0"/>
              <w:snapToGrid w:val="0"/>
              <w:spacing w:line="360" w:lineRule="auto"/>
              <w:ind w:right="24"/>
              <w:rPr>
                <w:rFonts w:hint="eastAsia" w:ascii="黑体" w:hAnsi="华文中宋" w:eastAsia="黑体"/>
                <w:bCs/>
                <w:color w:val="auto"/>
                <w:sz w:val="24"/>
                <w:highlight w:val="none"/>
              </w:rPr>
            </w:pPr>
          </w:p>
        </w:tc>
      </w:tr>
      <w:tr w14:paraId="23E391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CC52B53">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B6BACF2">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2EFA5D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8C5DBDB">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99E7A4A">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475A0D8">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2F27FE6">
            <w:pPr>
              <w:adjustRightInd w:val="0"/>
              <w:snapToGrid w:val="0"/>
              <w:spacing w:line="360" w:lineRule="auto"/>
              <w:ind w:right="24"/>
              <w:rPr>
                <w:rFonts w:hint="eastAsia" w:ascii="黑体" w:hAnsi="华文中宋" w:eastAsia="黑体"/>
                <w:bCs/>
                <w:color w:val="auto"/>
                <w:sz w:val="24"/>
                <w:highlight w:val="none"/>
              </w:rPr>
            </w:pPr>
          </w:p>
        </w:tc>
      </w:tr>
      <w:tr w14:paraId="35F21F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B972BA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C4FC31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9588516">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9167B33">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B01DE4B">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273B37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5AB1DD8">
            <w:pPr>
              <w:adjustRightInd w:val="0"/>
              <w:snapToGrid w:val="0"/>
              <w:spacing w:line="360" w:lineRule="auto"/>
              <w:ind w:right="24"/>
              <w:rPr>
                <w:rFonts w:hint="eastAsia" w:ascii="黑体" w:hAnsi="华文中宋" w:eastAsia="黑体"/>
                <w:bCs/>
                <w:color w:val="auto"/>
                <w:sz w:val="24"/>
                <w:highlight w:val="none"/>
              </w:rPr>
            </w:pPr>
          </w:p>
        </w:tc>
      </w:tr>
      <w:tr w14:paraId="42856B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637FA81">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BC9C26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7AC957E6">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8745E2D">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992496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DDFBC27">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4144CB2">
            <w:pPr>
              <w:adjustRightInd w:val="0"/>
              <w:snapToGrid w:val="0"/>
              <w:spacing w:line="360" w:lineRule="auto"/>
              <w:ind w:right="24"/>
              <w:rPr>
                <w:rFonts w:hint="eastAsia" w:ascii="黑体" w:hAnsi="华文中宋" w:eastAsia="黑体"/>
                <w:bCs/>
                <w:color w:val="auto"/>
                <w:sz w:val="24"/>
                <w:highlight w:val="none"/>
              </w:rPr>
            </w:pPr>
          </w:p>
        </w:tc>
      </w:tr>
      <w:tr w14:paraId="1B258C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2F7E153">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4F6B86C">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BA7D30E">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CA8A51D">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3CE917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F40528B">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351035F">
            <w:pPr>
              <w:adjustRightInd w:val="0"/>
              <w:snapToGrid w:val="0"/>
              <w:spacing w:line="360" w:lineRule="auto"/>
              <w:ind w:right="24"/>
              <w:rPr>
                <w:rFonts w:hint="eastAsia" w:ascii="黑体" w:hAnsi="华文中宋" w:eastAsia="黑体"/>
                <w:bCs/>
                <w:color w:val="auto"/>
                <w:sz w:val="24"/>
                <w:highlight w:val="none"/>
              </w:rPr>
            </w:pPr>
          </w:p>
        </w:tc>
      </w:tr>
      <w:tr w14:paraId="082217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8925FEA">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14CA540">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27FFE6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01C9744A">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ECA1EE7">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9A76AA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35A6C9D">
            <w:pPr>
              <w:adjustRightInd w:val="0"/>
              <w:snapToGrid w:val="0"/>
              <w:spacing w:line="360" w:lineRule="auto"/>
              <w:ind w:right="24"/>
              <w:rPr>
                <w:rFonts w:hint="eastAsia" w:ascii="黑体" w:hAnsi="华文中宋" w:eastAsia="黑体"/>
                <w:bCs/>
                <w:color w:val="auto"/>
                <w:sz w:val="24"/>
                <w:highlight w:val="none"/>
              </w:rPr>
            </w:pPr>
          </w:p>
        </w:tc>
      </w:tr>
      <w:tr w14:paraId="118CA2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47879DE">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219B953">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743D86C">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6434E46F">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26D750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73F237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C3B1521">
            <w:pPr>
              <w:adjustRightInd w:val="0"/>
              <w:snapToGrid w:val="0"/>
              <w:spacing w:line="360" w:lineRule="auto"/>
              <w:ind w:right="24"/>
              <w:rPr>
                <w:rFonts w:hint="eastAsia" w:ascii="黑体" w:hAnsi="华文中宋" w:eastAsia="黑体"/>
                <w:bCs/>
                <w:color w:val="auto"/>
                <w:sz w:val="24"/>
                <w:highlight w:val="none"/>
              </w:rPr>
            </w:pPr>
          </w:p>
        </w:tc>
      </w:tr>
      <w:tr w14:paraId="4B8E21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18CB296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932724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4552B5C">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BC6992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AE8997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33D2497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341CE33">
            <w:pPr>
              <w:adjustRightInd w:val="0"/>
              <w:snapToGrid w:val="0"/>
              <w:spacing w:line="360" w:lineRule="auto"/>
              <w:ind w:right="24"/>
              <w:rPr>
                <w:rFonts w:hint="eastAsia" w:ascii="黑体" w:hAnsi="华文中宋" w:eastAsia="黑体"/>
                <w:bCs/>
                <w:color w:val="auto"/>
                <w:sz w:val="24"/>
                <w:highlight w:val="none"/>
              </w:rPr>
            </w:pPr>
          </w:p>
        </w:tc>
      </w:tr>
    </w:tbl>
    <w:p w14:paraId="7C9DF4C4">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2087F5E6">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1、本项目商务条款全部为重要指标（实质性要求），不得负偏离，投标人在投标文件中必须对商务条款进行一一正面响应，若不响应、逃避响应或模糊混淆概念响应，按照负偏离处理（不符合招标文件实质性要求），不能提供证明文件的不予认可。在交货后，发现部分不能实现，甲方有权退货并索取赔偿。</w:t>
      </w:r>
    </w:p>
    <w:p w14:paraId="63A6FDEB">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2、投标人必须据实填写，不得虚假响应，否则将取消其投标或中标资格，并按有关规定进行处罚。</w:t>
      </w:r>
    </w:p>
    <w:p w14:paraId="67EB6D06">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6C13449D">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765DE06C">
      <w:pPr>
        <w:adjustRightInd w:val="0"/>
        <w:spacing w:line="400" w:lineRule="exact"/>
        <w:ind w:firstLine="367" w:firstLineChars="175"/>
        <w:jc w:val="left"/>
        <w:rPr>
          <w:rFonts w:hint="eastAsia" w:ascii="宋体" w:hAnsi="宋体"/>
          <w:color w:val="auto"/>
          <w:szCs w:val="21"/>
          <w:highlight w:val="none"/>
        </w:rPr>
      </w:pPr>
    </w:p>
    <w:p w14:paraId="1379D8E5">
      <w:pPr>
        <w:adjustRightInd w:val="0"/>
        <w:spacing w:line="400" w:lineRule="exact"/>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r>
        <w:rPr>
          <w:rFonts w:hint="eastAsia" w:ascii="宋体" w:hAnsi="宋体"/>
          <w:bCs/>
          <w:color w:val="auto"/>
          <w:szCs w:val="21"/>
          <w:highlight w:val="none"/>
        </w:rPr>
        <w:t xml:space="preserve">                </w:t>
      </w:r>
    </w:p>
    <w:p w14:paraId="36080B38">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1C0D1BD2">
      <w:pPr>
        <w:numPr>
          <w:ilvl w:val="0"/>
          <w:numId w:val="6"/>
        </w:numPr>
        <w:spacing w:line="360" w:lineRule="auto"/>
        <w:jc w:val="center"/>
        <w:rPr>
          <w:rFonts w:hint="eastAsia" w:ascii="宋体" w:hAnsi="宋体" w:eastAsia="宋体" w:cs="Times New Roman"/>
          <w:b/>
          <w:bCs/>
          <w:color w:val="auto"/>
          <w:kern w:val="2"/>
          <w:sz w:val="36"/>
          <w:szCs w:val="36"/>
          <w:highlight w:val="none"/>
          <w:lang w:val="en-US" w:eastAsia="zh-CN" w:bidi="ar-SA"/>
        </w:rPr>
      </w:pPr>
      <w:r>
        <w:rPr>
          <w:rFonts w:hint="eastAsia" w:ascii="宋体" w:hAnsi="宋体" w:eastAsia="宋体" w:cs="Times New Roman"/>
          <w:b/>
          <w:bCs/>
          <w:color w:val="auto"/>
          <w:kern w:val="2"/>
          <w:sz w:val="36"/>
          <w:szCs w:val="36"/>
          <w:highlight w:val="none"/>
          <w:lang w:val="en-US" w:eastAsia="zh-CN" w:bidi="ar-SA"/>
        </w:rPr>
        <w:t>技术文件 （根据本项目评分标准顺序编写）</w:t>
      </w:r>
    </w:p>
    <w:p w14:paraId="4726FF92">
      <w:pPr>
        <w:numPr>
          <w:ilvl w:val="0"/>
          <w:numId w:val="0"/>
        </w:numPr>
        <w:spacing w:line="360" w:lineRule="auto"/>
        <w:jc w:val="both"/>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68A0C8FF">
      <w:pPr>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格式自定。</w:t>
      </w:r>
    </w:p>
    <w:p w14:paraId="089D8BD9">
      <w:pPr>
        <w:numPr>
          <w:ilvl w:val="0"/>
          <w:numId w:val="0"/>
        </w:numPr>
        <w:adjustRightInd w:val="0"/>
        <w:spacing w:line="400" w:lineRule="exact"/>
        <w:jc w:val="center"/>
        <w:rPr>
          <w:rFonts w:hint="eastAsia"/>
          <w:b/>
          <w:color w:val="auto"/>
          <w:sz w:val="36"/>
          <w:szCs w:val="36"/>
          <w:highlight w:val="none"/>
        </w:rPr>
      </w:pPr>
      <w:r>
        <w:rPr>
          <w:b/>
          <w:color w:val="auto"/>
          <w:sz w:val="36"/>
          <w:szCs w:val="36"/>
          <w:highlight w:val="none"/>
        </w:rPr>
        <w:br w:type="page"/>
      </w:r>
      <w:r>
        <w:rPr>
          <w:rFonts w:hint="eastAsia"/>
          <w:b/>
          <w:color w:val="auto"/>
          <w:sz w:val="36"/>
          <w:szCs w:val="36"/>
          <w:highlight w:val="none"/>
          <w:lang w:val="en-US" w:eastAsia="zh-CN"/>
        </w:rPr>
        <w:t>八、</w:t>
      </w:r>
      <w:r>
        <w:rPr>
          <w:rFonts w:hint="eastAsia"/>
          <w:b/>
          <w:color w:val="auto"/>
          <w:sz w:val="36"/>
          <w:szCs w:val="36"/>
          <w:highlight w:val="none"/>
        </w:rPr>
        <w:t>承诺文件</w:t>
      </w:r>
    </w:p>
    <w:p w14:paraId="2458C557">
      <w:pPr>
        <w:adjustRightInd w:val="0"/>
        <w:spacing w:line="400" w:lineRule="exact"/>
        <w:jc w:val="left"/>
        <w:rPr>
          <w:rFonts w:hint="eastAsia" w:ascii="楷体" w:hAnsi="楷体" w:eastAsia="楷体"/>
          <w:color w:val="auto"/>
          <w:szCs w:val="21"/>
          <w:highlight w:val="none"/>
        </w:rPr>
      </w:pPr>
      <w:r>
        <w:rPr>
          <w:rFonts w:hint="eastAsia"/>
          <w:b/>
          <w:color w:val="auto"/>
          <w:sz w:val="36"/>
          <w:szCs w:val="36"/>
          <w:highlight w:val="none"/>
        </w:rPr>
        <w:t xml:space="preserve"> </w:t>
      </w:r>
      <w:r>
        <w:rPr>
          <w:rFonts w:hint="eastAsia" w:ascii="楷体" w:hAnsi="楷体" w:eastAsia="楷体"/>
          <w:color w:val="auto"/>
          <w:szCs w:val="21"/>
          <w:highlight w:val="none"/>
        </w:rPr>
        <w:t>说明：</w:t>
      </w:r>
    </w:p>
    <w:p w14:paraId="6F3C8BB8">
      <w:pPr>
        <w:adjustRightInd w:val="0"/>
        <w:spacing w:line="4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格式自定。投标人根据招标文件要求和采购需求，作出质量保证承诺和质保期服务计划。</w:t>
      </w:r>
    </w:p>
    <w:p w14:paraId="37786198">
      <w:pPr>
        <w:adjustRightInd w:val="0"/>
        <w:spacing w:line="400" w:lineRule="exact"/>
        <w:jc w:val="left"/>
        <w:rPr>
          <w:rFonts w:hint="eastAsia" w:ascii="宋体" w:hAnsi="宋体"/>
          <w:b/>
          <w:bCs/>
          <w:color w:val="auto"/>
          <w:sz w:val="36"/>
          <w:szCs w:val="36"/>
          <w:highlight w:val="none"/>
        </w:rPr>
      </w:pPr>
    </w:p>
    <w:p w14:paraId="72F8C832">
      <w:pPr>
        <w:adjustRightInd w:val="0"/>
        <w:spacing w:line="400" w:lineRule="exact"/>
        <w:jc w:val="left"/>
        <w:rPr>
          <w:rFonts w:hint="eastAsia" w:ascii="宋体" w:hAnsi="宋体"/>
          <w:b/>
          <w:bCs/>
          <w:color w:val="auto"/>
          <w:sz w:val="36"/>
          <w:szCs w:val="36"/>
          <w:highlight w:val="none"/>
        </w:rPr>
      </w:pPr>
    </w:p>
    <w:p w14:paraId="6E328824">
      <w:pPr>
        <w:adjustRightInd w:val="0"/>
        <w:spacing w:line="400" w:lineRule="exact"/>
        <w:jc w:val="left"/>
        <w:rPr>
          <w:rFonts w:hint="eastAsia" w:ascii="宋体" w:hAnsi="宋体"/>
          <w:b/>
          <w:bCs/>
          <w:color w:val="auto"/>
          <w:sz w:val="36"/>
          <w:szCs w:val="36"/>
          <w:highlight w:val="none"/>
        </w:rPr>
      </w:pPr>
    </w:p>
    <w:p w14:paraId="01999C27">
      <w:pPr>
        <w:adjustRightInd w:val="0"/>
        <w:spacing w:line="400" w:lineRule="exact"/>
        <w:jc w:val="left"/>
        <w:rPr>
          <w:rFonts w:hint="eastAsia" w:ascii="宋体" w:hAnsi="宋体"/>
          <w:b/>
          <w:bCs/>
          <w:color w:val="auto"/>
          <w:sz w:val="36"/>
          <w:szCs w:val="36"/>
          <w:highlight w:val="none"/>
        </w:rPr>
      </w:pPr>
    </w:p>
    <w:p w14:paraId="3B6EBFAE">
      <w:pPr>
        <w:adjustRightInd w:val="0"/>
        <w:spacing w:line="400" w:lineRule="exact"/>
        <w:jc w:val="left"/>
        <w:rPr>
          <w:rFonts w:hint="eastAsia" w:ascii="宋体" w:hAnsi="宋体"/>
          <w:b/>
          <w:bCs/>
          <w:color w:val="auto"/>
          <w:sz w:val="36"/>
          <w:szCs w:val="36"/>
          <w:highlight w:val="none"/>
        </w:rPr>
      </w:pPr>
    </w:p>
    <w:p w14:paraId="0B3A3DC8">
      <w:pPr>
        <w:adjustRightInd w:val="0"/>
        <w:spacing w:line="400" w:lineRule="exact"/>
        <w:jc w:val="left"/>
        <w:rPr>
          <w:rFonts w:hint="eastAsia" w:ascii="宋体" w:hAnsi="宋体"/>
          <w:b/>
          <w:bCs/>
          <w:color w:val="auto"/>
          <w:sz w:val="36"/>
          <w:szCs w:val="36"/>
          <w:highlight w:val="none"/>
        </w:rPr>
      </w:pPr>
    </w:p>
    <w:p w14:paraId="0BF9030E">
      <w:pPr>
        <w:adjustRightInd w:val="0"/>
        <w:spacing w:line="400" w:lineRule="exact"/>
        <w:jc w:val="left"/>
        <w:rPr>
          <w:rFonts w:hint="eastAsia" w:ascii="宋体" w:hAnsi="宋体"/>
          <w:b/>
          <w:bCs/>
          <w:color w:val="auto"/>
          <w:sz w:val="36"/>
          <w:szCs w:val="36"/>
          <w:highlight w:val="none"/>
        </w:rPr>
      </w:pPr>
    </w:p>
    <w:p w14:paraId="49805FAD">
      <w:pPr>
        <w:adjustRightInd w:val="0"/>
        <w:spacing w:line="400" w:lineRule="exact"/>
        <w:jc w:val="left"/>
        <w:rPr>
          <w:rFonts w:hint="eastAsia" w:ascii="宋体" w:hAnsi="宋体"/>
          <w:b/>
          <w:bCs/>
          <w:color w:val="auto"/>
          <w:sz w:val="36"/>
          <w:szCs w:val="36"/>
          <w:highlight w:val="none"/>
        </w:rPr>
      </w:pPr>
    </w:p>
    <w:p w14:paraId="0C7D17F3">
      <w:pPr>
        <w:adjustRightInd w:val="0"/>
        <w:spacing w:line="400" w:lineRule="exact"/>
        <w:jc w:val="left"/>
        <w:rPr>
          <w:rFonts w:hint="eastAsia" w:ascii="宋体" w:hAnsi="宋体"/>
          <w:b/>
          <w:bCs/>
          <w:color w:val="auto"/>
          <w:sz w:val="36"/>
          <w:szCs w:val="36"/>
          <w:highlight w:val="none"/>
        </w:rPr>
      </w:pPr>
    </w:p>
    <w:p w14:paraId="24AC9BD0">
      <w:pPr>
        <w:adjustRightInd w:val="0"/>
        <w:spacing w:line="400" w:lineRule="exact"/>
        <w:jc w:val="left"/>
        <w:rPr>
          <w:rFonts w:hint="eastAsia" w:ascii="宋体" w:hAnsi="宋体"/>
          <w:b/>
          <w:bCs/>
          <w:color w:val="auto"/>
          <w:sz w:val="36"/>
          <w:szCs w:val="36"/>
          <w:highlight w:val="none"/>
        </w:rPr>
      </w:pPr>
    </w:p>
    <w:p w14:paraId="7F338227">
      <w:pPr>
        <w:adjustRightInd w:val="0"/>
        <w:spacing w:line="400" w:lineRule="exact"/>
        <w:jc w:val="left"/>
        <w:rPr>
          <w:rFonts w:hint="eastAsia" w:ascii="宋体" w:hAnsi="宋体"/>
          <w:b/>
          <w:bCs/>
          <w:color w:val="auto"/>
          <w:sz w:val="36"/>
          <w:szCs w:val="36"/>
          <w:highlight w:val="none"/>
        </w:rPr>
      </w:pPr>
    </w:p>
    <w:p w14:paraId="116E6796">
      <w:pPr>
        <w:adjustRightInd w:val="0"/>
        <w:spacing w:line="400" w:lineRule="exact"/>
        <w:jc w:val="left"/>
        <w:rPr>
          <w:rFonts w:hint="eastAsia" w:ascii="宋体" w:hAnsi="宋体"/>
          <w:b/>
          <w:bCs/>
          <w:color w:val="auto"/>
          <w:sz w:val="36"/>
          <w:szCs w:val="36"/>
          <w:highlight w:val="none"/>
        </w:rPr>
      </w:pPr>
    </w:p>
    <w:p w14:paraId="74B2C5DD">
      <w:pPr>
        <w:adjustRightInd w:val="0"/>
        <w:spacing w:line="400" w:lineRule="exact"/>
        <w:jc w:val="left"/>
        <w:rPr>
          <w:rFonts w:hint="eastAsia" w:ascii="宋体" w:hAnsi="宋体"/>
          <w:b/>
          <w:bCs/>
          <w:color w:val="auto"/>
          <w:sz w:val="36"/>
          <w:szCs w:val="36"/>
          <w:highlight w:val="none"/>
        </w:rPr>
      </w:pPr>
    </w:p>
    <w:p w14:paraId="60821060">
      <w:pPr>
        <w:adjustRightInd w:val="0"/>
        <w:spacing w:line="400" w:lineRule="exact"/>
        <w:jc w:val="left"/>
        <w:rPr>
          <w:rFonts w:hint="eastAsia" w:ascii="宋体" w:hAnsi="宋体"/>
          <w:b/>
          <w:bCs/>
          <w:color w:val="auto"/>
          <w:sz w:val="36"/>
          <w:szCs w:val="36"/>
          <w:highlight w:val="none"/>
        </w:rPr>
      </w:pPr>
    </w:p>
    <w:p w14:paraId="50EB3964">
      <w:pPr>
        <w:adjustRightInd w:val="0"/>
        <w:spacing w:line="400" w:lineRule="exact"/>
        <w:jc w:val="left"/>
        <w:rPr>
          <w:rFonts w:hint="eastAsia" w:ascii="宋体" w:hAnsi="宋体"/>
          <w:b/>
          <w:bCs/>
          <w:color w:val="auto"/>
          <w:sz w:val="36"/>
          <w:szCs w:val="36"/>
          <w:highlight w:val="none"/>
        </w:rPr>
      </w:pPr>
    </w:p>
    <w:p w14:paraId="643E4A6E">
      <w:pPr>
        <w:adjustRightInd w:val="0"/>
        <w:spacing w:line="400" w:lineRule="exact"/>
        <w:jc w:val="left"/>
        <w:rPr>
          <w:rFonts w:hint="eastAsia" w:ascii="宋体" w:hAnsi="宋体"/>
          <w:b/>
          <w:bCs/>
          <w:color w:val="auto"/>
          <w:sz w:val="36"/>
          <w:szCs w:val="36"/>
          <w:highlight w:val="none"/>
        </w:rPr>
      </w:pPr>
    </w:p>
    <w:p w14:paraId="5B69D6A7">
      <w:pPr>
        <w:adjustRightInd w:val="0"/>
        <w:spacing w:line="400" w:lineRule="exact"/>
        <w:jc w:val="left"/>
        <w:rPr>
          <w:rFonts w:hint="eastAsia" w:ascii="宋体" w:hAnsi="宋体"/>
          <w:b/>
          <w:bCs/>
          <w:color w:val="auto"/>
          <w:sz w:val="36"/>
          <w:szCs w:val="36"/>
          <w:highlight w:val="none"/>
        </w:rPr>
      </w:pPr>
    </w:p>
    <w:p w14:paraId="2AE9D5A2">
      <w:pPr>
        <w:adjustRightInd w:val="0"/>
        <w:spacing w:line="400" w:lineRule="exact"/>
        <w:jc w:val="left"/>
        <w:rPr>
          <w:rFonts w:hint="eastAsia" w:ascii="宋体" w:hAnsi="宋体"/>
          <w:b/>
          <w:bCs/>
          <w:color w:val="auto"/>
          <w:sz w:val="36"/>
          <w:szCs w:val="36"/>
          <w:highlight w:val="none"/>
        </w:rPr>
      </w:pPr>
    </w:p>
    <w:p w14:paraId="0AA4E1A9">
      <w:pPr>
        <w:adjustRightInd w:val="0"/>
        <w:spacing w:line="400" w:lineRule="exact"/>
        <w:jc w:val="left"/>
        <w:rPr>
          <w:rFonts w:hint="eastAsia" w:ascii="宋体" w:hAnsi="宋体"/>
          <w:b/>
          <w:bCs/>
          <w:color w:val="auto"/>
          <w:sz w:val="36"/>
          <w:szCs w:val="36"/>
          <w:highlight w:val="none"/>
        </w:rPr>
      </w:pPr>
    </w:p>
    <w:p w14:paraId="5B2AB5AB">
      <w:pPr>
        <w:adjustRightInd w:val="0"/>
        <w:spacing w:line="400" w:lineRule="exact"/>
        <w:jc w:val="left"/>
        <w:rPr>
          <w:rFonts w:hint="eastAsia" w:ascii="宋体" w:hAnsi="宋体"/>
          <w:b/>
          <w:bCs/>
          <w:color w:val="auto"/>
          <w:sz w:val="36"/>
          <w:szCs w:val="36"/>
          <w:highlight w:val="none"/>
        </w:rPr>
      </w:pPr>
    </w:p>
    <w:p w14:paraId="638AE01E">
      <w:pPr>
        <w:adjustRightInd w:val="0"/>
        <w:spacing w:line="400" w:lineRule="exact"/>
        <w:jc w:val="left"/>
        <w:rPr>
          <w:rFonts w:hint="eastAsia" w:ascii="宋体" w:hAnsi="宋体"/>
          <w:b/>
          <w:bCs/>
          <w:color w:val="auto"/>
          <w:sz w:val="36"/>
          <w:szCs w:val="36"/>
          <w:highlight w:val="none"/>
        </w:rPr>
      </w:pPr>
    </w:p>
    <w:p w14:paraId="4E0338CA">
      <w:pPr>
        <w:adjustRightInd w:val="0"/>
        <w:spacing w:line="400" w:lineRule="exact"/>
        <w:jc w:val="left"/>
        <w:rPr>
          <w:rFonts w:hint="eastAsia" w:ascii="宋体" w:hAnsi="宋体"/>
          <w:b/>
          <w:bCs/>
          <w:color w:val="auto"/>
          <w:sz w:val="36"/>
          <w:szCs w:val="36"/>
          <w:highlight w:val="none"/>
        </w:rPr>
      </w:pPr>
    </w:p>
    <w:p w14:paraId="7C6872CE">
      <w:pPr>
        <w:adjustRightInd w:val="0"/>
        <w:spacing w:line="400" w:lineRule="exact"/>
        <w:jc w:val="left"/>
        <w:rPr>
          <w:rFonts w:hint="eastAsia" w:ascii="宋体" w:hAnsi="宋体"/>
          <w:b/>
          <w:bCs/>
          <w:color w:val="auto"/>
          <w:sz w:val="36"/>
          <w:szCs w:val="36"/>
          <w:highlight w:val="none"/>
        </w:rPr>
      </w:pPr>
    </w:p>
    <w:p w14:paraId="7B0FD5D1">
      <w:pPr>
        <w:adjustRightInd w:val="0"/>
        <w:spacing w:line="400" w:lineRule="exact"/>
        <w:jc w:val="left"/>
        <w:rPr>
          <w:rFonts w:hint="eastAsia" w:ascii="宋体" w:hAnsi="宋体"/>
          <w:b/>
          <w:bCs/>
          <w:color w:val="auto"/>
          <w:sz w:val="36"/>
          <w:szCs w:val="36"/>
          <w:highlight w:val="none"/>
        </w:rPr>
      </w:pPr>
    </w:p>
    <w:p w14:paraId="406865D6">
      <w:pPr>
        <w:adjustRightInd w:val="0"/>
        <w:spacing w:line="400" w:lineRule="exact"/>
        <w:jc w:val="left"/>
        <w:rPr>
          <w:rFonts w:hint="eastAsia" w:ascii="宋体" w:hAnsi="宋体"/>
          <w:b/>
          <w:bCs/>
          <w:color w:val="auto"/>
          <w:sz w:val="36"/>
          <w:szCs w:val="36"/>
          <w:highlight w:val="none"/>
        </w:rPr>
      </w:pPr>
    </w:p>
    <w:p w14:paraId="0AAEF465">
      <w:pPr>
        <w:adjustRightInd w:val="0"/>
        <w:spacing w:line="400" w:lineRule="exact"/>
        <w:jc w:val="left"/>
        <w:rPr>
          <w:rFonts w:hint="eastAsia" w:ascii="宋体" w:hAnsi="宋体"/>
          <w:b/>
          <w:bCs/>
          <w:color w:val="auto"/>
          <w:sz w:val="36"/>
          <w:szCs w:val="36"/>
          <w:highlight w:val="none"/>
        </w:rPr>
      </w:pPr>
    </w:p>
    <w:p w14:paraId="5E3559CC">
      <w:pPr>
        <w:adjustRightInd w:val="0"/>
        <w:spacing w:line="400" w:lineRule="exact"/>
        <w:jc w:val="left"/>
        <w:rPr>
          <w:rFonts w:hint="eastAsia" w:ascii="宋体" w:hAnsi="宋体"/>
          <w:b/>
          <w:bCs/>
          <w:color w:val="auto"/>
          <w:sz w:val="36"/>
          <w:szCs w:val="36"/>
          <w:highlight w:val="none"/>
        </w:rPr>
      </w:pPr>
    </w:p>
    <w:p w14:paraId="13F0B38A">
      <w:pPr>
        <w:adjustRightInd w:val="0"/>
        <w:spacing w:line="400" w:lineRule="exact"/>
        <w:jc w:val="left"/>
        <w:rPr>
          <w:rFonts w:hint="eastAsia" w:ascii="宋体" w:hAnsi="宋体"/>
          <w:b/>
          <w:bCs/>
          <w:color w:val="auto"/>
          <w:sz w:val="36"/>
          <w:szCs w:val="36"/>
          <w:highlight w:val="none"/>
        </w:rPr>
      </w:pPr>
    </w:p>
    <w:p w14:paraId="3E6D01C5">
      <w:pPr>
        <w:adjustRightInd w:val="0"/>
        <w:spacing w:line="400" w:lineRule="exact"/>
        <w:jc w:val="left"/>
        <w:rPr>
          <w:rFonts w:hint="eastAsia" w:ascii="宋体" w:hAnsi="宋体"/>
          <w:b/>
          <w:bCs/>
          <w:color w:val="auto"/>
          <w:sz w:val="36"/>
          <w:szCs w:val="36"/>
          <w:highlight w:val="none"/>
        </w:rPr>
      </w:pPr>
    </w:p>
    <w:p w14:paraId="76FE8661">
      <w:pPr>
        <w:adjustRightInd w:val="0"/>
        <w:spacing w:after="240" w:afterLines="100" w:line="400" w:lineRule="exact"/>
        <w:jc w:val="center"/>
        <w:rPr>
          <w:rFonts w:hint="eastAsia"/>
          <w:b/>
          <w:color w:val="auto"/>
          <w:kern w:val="0"/>
          <w:sz w:val="36"/>
          <w:szCs w:val="36"/>
          <w:highlight w:val="none"/>
        </w:rPr>
      </w:pPr>
      <w:r>
        <w:rPr>
          <w:b/>
          <w:color w:val="auto"/>
          <w:kern w:val="0"/>
          <w:sz w:val="36"/>
          <w:szCs w:val="36"/>
          <w:highlight w:val="none"/>
        </w:rPr>
        <w:br w:type="page"/>
      </w:r>
      <w:r>
        <w:rPr>
          <w:rFonts w:hint="eastAsia"/>
          <w:b/>
          <w:color w:val="auto"/>
          <w:kern w:val="0"/>
          <w:sz w:val="36"/>
          <w:szCs w:val="36"/>
          <w:highlight w:val="none"/>
          <w:lang w:val="en-US" w:eastAsia="zh-CN"/>
        </w:rPr>
        <w:t>九</w:t>
      </w:r>
      <w:r>
        <w:rPr>
          <w:rFonts w:hint="eastAsia"/>
          <w:b/>
          <w:color w:val="auto"/>
          <w:kern w:val="0"/>
          <w:sz w:val="36"/>
          <w:szCs w:val="36"/>
          <w:highlight w:val="none"/>
        </w:rPr>
        <w:t>、售后服务文件</w:t>
      </w:r>
    </w:p>
    <w:p w14:paraId="77294C7B">
      <w:pPr>
        <w:spacing w:before="360" w:beforeLines="150"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 投标人依据产品特性和需求，按招标文件要求自拟售后服务方案和培训计划。</w:t>
      </w:r>
    </w:p>
    <w:p w14:paraId="46EBF89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 投标人应提供在售后服务中心证明材料或与合作方的协议书，这些服务中心和特</w:t>
      </w:r>
      <w:r>
        <w:rPr>
          <w:rFonts w:hint="eastAsia" w:ascii="宋体" w:hAnsi="宋体"/>
          <w:color w:val="auto"/>
          <w:szCs w:val="21"/>
          <w:highlight w:val="none"/>
          <w:lang w:eastAsia="zh-CN"/>
        </w:rPr>
        <w:t>≥</w:t>
      </w:r>
      <w:r>
        <w:rPr>
          <w:rFonts w:hint="eastAsia" w:ascii="宋体" w:hAnsi="宋体"/>
          <w:color w:val="auto"/>
          <w:szCs w:val="21"/>
          <w:highlight w:val="none"/>
        </w:rPr>
        <w:t>维修服务点的名称、地址、电话、联系人应在投标文件中一一列出（参考样式如下）。</w:t>
      </w:r>
    </w:p>
    <w:p w14:paraId="1DD43B8D">
      <w:pPr>
        <w:spacing w:after="120" w:afterLines="50"/>
        <w:jc w:val="center"/>
        <w:rPr>
          <w:rFonts w:hint="eastAsia" w:ascii="宋体" w:hAnsi="宋体"/>
          <w:b/>
          <w:color w:val="auto"/>
          <w:sz w:val="36"/>
          <w:szCs w:val="36"/>
          <w:highlight w:val="none"/>
        </w:rPr>
      </w:pPr>
      <w:r>
        <w:rPr>
          <w:rFonts w:hint="eastAsia" w:ascii="宋体" w:hAnsi="宋体"/>
          <w:b/>
          <w:color w:val="auto"/>
          <w:sz w:val="36"/>
          <w:szCs w:val="36"/>
          <w:highlight w:val="none"/>
        </w:rPr>
        <w:t>货物（产品）售后服务点联系表</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4"/>
        <w:gridCol w:w="1080"/>
        <w:gridCol w:w="1260"/>
        <w:gridCol w:w="1516"/>
        <w:gridCol w:w="2548"/>
      </w:tblGrid>
      <w:tr w14:paraId="3CB1B5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434" w:type="dxa"/>
            <w:noWrap w:val="0"/>
            <w:vAlign w:val="center"/>
          </w:tcPr>
          <w:p w14:paraId="0DB13DF0">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服务机构名称</w:t>
            </w:r>
          </w:p>
        </w:tc>
        <w:tc>
          <w:tcPr>
            <w:tcW w:w="1080" w:type="dxa"/>
            <w:noWrap w:val="0"/>
            <w:vAlign w:val="center"/>
          </w:tcPr>
          <w:p w14:paraId="114569FE">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所在地</w:t>
            </w:r>
          </w:p>
        </w:tc>
        <w:tc>
          <w:tcPr>
            <w:tcW w:w="1260" w:type="dxa"/>
            <w:noWrap w:val="0"/>
            <w:vAlign w:val="center"/>
          </w:tcPr>
          <w:p w14:paraId="03FED13D">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联系人</w:t>
            </w:r>
          </w:p>
        </w:tc>
        <w:tc>
          <w:tcPr>
            <w:tcW w:w="1516" w:type="dxa"/>
            <w:noWrap w:val="0"/>
            <w:vAlign w:val="center"/>
          </w:tcPr>
          <w:p w14:paraId="6587A727">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联系电话</w:t>
            </w:r>
          </w:p>
        </w:tc>
        <w:tc>
          <w:tcPr>
            <w:tcW w:w="2548" w:type="dxa"/>
            <w:noWrap w:val="0"/>
            <w:vAlign w:val="center"/>
          </w:tcPr>
          <w:p w14:paraId="69F2F313">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地 址</w:t>
            </w:r>
          </w:p>
        </w:tc>
      </w:tr>
      <w:tr w14:paraId="6CF7F3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34" w:type="dxa"/>
            <w:noWrap w:val="0"/>
            <w:vAlign w:val="center"/>
          </w:tcPr>
          <w:p w14:paraId="509A8406">
            <w:pPr>
              <w:spacing w:line="480" w:lineRule="exact"/>
              <w:jc w:val="center"/>
              <w:rPr>
                <w:rFonts w:ascii="宋体" w:hAnsi="宋体"/>
                <w:color w:val="auto"/>
                <w:highlight w:val="none"/>
              </w:rPr>
            </w:pPr>
          </w:p>
        </w:tc>
        <w:tc>
          <w:tcPr>
            <w:tcW w:w="1080" w:type="dxa"/>
            <w:noWrap w:val="0"/>
            <w:vAlign w:val="center"/>
          </w:tcPr>
          <w:p w14:paraId="53997D30">
            <w:pPr>
              <w:spacing w:line="480" w:lineRule="exact"/>
              <w:jc w:val="center"/>
              <w:rPr>
                <w:rFonts w:ascii="宋体" w:hAnsi="宋体"/>
                <w:color w:val="auto"/>
                <w:highlight w:val="none"/>
              </w:rPr>
            </w:pPr>
          </w:p>
        </w:tc>
        <w:tc>
          <w:tcPr>
            <w:tcW w:w="1260" w:type="dxa"/>
            <w:noWrap w:val="0"/>
            <w:vAlign w:val="center"/>
          </w:tcPr>
          <w:p w14:paraId="616511C0">
            <w:pPr>
              <w:spacing w:line="480" w:lineRule="exact"/>
              <w:jc w:val="center"/>
              <w:rPr>
                <w:rFonts w:ascii="宋体" w:hAnsi="宋体"/>
                <w:color w:val="auto"/>
                <w:highlight w:val="none"/>
              </w:rPr>
            </w:pPr>
          </w:p>
        </w:tc>
        <w:tc>
          <w:tcPr>
            <w:tcW w:w="1516" w:type="dxa"/>
            <w:noWrap w:val="0"/>
            <w:vAlign w:val="center"/>
          </w:tcPr>
          <w:p w14:paraId="71B336DE">
            <w:pPr>
              <w:spacing w:line="480" w:lineRule="exact"/>
              <w:jc w:val="center"/>
              <w:rPr>
                <w:rFonts w:ascii="宋体" w:hAnsi="宋体"/>
                <w:color w:val="auto"/>
                <w:highlight w:val="none"/>
              </w:rPr>
            </w:pPr>
          </w:p>
        </w:tc>
        <w:tc>
          <w:tcPr>
            <w:tcW w:w="2548" w:type="dxa"/>
            <w:noWrap w:val="0"/>
            <w:vAlign w:val="center"/>
          </w:tcPr>
          <w:p w14:paraId="600FCEE2">
            <w:pPr>
              <w:spacing w:line="480" w:lineRule="exact"/>
              <w:jc w:val="center"/>
              <w:rPr>
                <w:rFonts w:ascii="宋体" w:hAnsi="宋体"/>
                <w:color w:val="auto"/>
                <w:highlight w:val="none"/>
              </w:rPr>
            </w:pPr>
          </w:p>
        </w:tc>
      </w:tr>
      <w:tr w14:paraId="09A700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48BDAA36">
            <w:pPr>
              <w:spacing w:line="480" w:lineRule="exact"/>
              <w:jc w:val="center"/>
              <w:rPr>
                <w:rFonts w:ascii="宋体" w:hAnsi="宋体"/>
                <w:color w:val="auto"/>
                <w:highlight w:val="none"/>
              </w:rPr>
            </w:pPr>
          </w:p>
        </w:tc>
        <w:tc>
          <w:tcPr>
            <w:tcW w:w="1080" w:type="dxa"/>
            <w:noWrap w:val="0"/>
            <w:vAlign w:val="center"/>
          </w:tcPr>
          <w:p w14:paraId="2FE20173">
            <w:pPr>
              <w:spacing w:line="480" w:lineRule="exact"/>
              <w:jc w:val="center"/>
              <w:rPr>
                <w:rFonts w:ascii="宋体" w:hAnsi="宋体"/>
                <w:color w:val="auto"/>
                <w:highlight w:val="none"/>
              </w:rPr>
            </w:pPr>
          </w:p>
        </w:tc>
        <w:tc>
          <w:tcPr>
            <w:tcW w:w="1260" w:type="dxa"/>
            <w:noWrap w:val="0"/>
            <w:vAlign w:val="center"/>
          </w:tcPr>
          <w:p w14:paraId="1AA00726">
            <w:pPr>
              <w:spacing w:line="480" w:lineRule="exact"/>
              <w:jc w:val="center"/>
              <w:rPr>
                <w:rFonts w:ascii="宋体" w:hAnsi="宋体"/>
                <w:color w:val="auto"/>
                <w:highlight w:val="none"/>
              </w:rPr>
            </w:pPr>
          </w:p>
        </w:tc>
        <w:tc>
          <w:tcPr>
            <w:tcW w:w="1516" w:type="dxa"/>
            <w:noWrap w:val="0"/>
            <w:vAlign w:val="center"/>
          </w:tcPr>
          <w:p w14:paraId="2C5B3BA5">
            <w:pPr>
              <w:spacing w:line="480" w:lineRule="exact"/>
              <w:jc w:val="center"/>
              <w:rPr>
                <w:rFonts w:ascii="宋体" w:hAnsi="宋体"/>
                <w:color w:val="auto"/>
                <w:highlight w:val="none"/>
              </w:rPr>
            </w:pPr>
          </w:p>
        </w:tc>
        <w:tc>
          <w:tcPr>
            <w:tcW w:w="2548" w:type="dxa"/>
            <w:noWrap w:val="0"/>
            <w:vAlign w:val="center"/>
          </w:tcPr>
          <w:p w14:paraId="32ACF661">
            <w:pPr>
              <w:spacing w:line="480" w:lineRule="exact"/>
              <w:jc w:val="center"/>
              <w:rPr>
                <w:rFonts w:ascii="宋体" w:hAnsi="宋体"/>
                <w:color w:val="auto"/>
                <w:highlight w:val="none"/>
              </w:rPr>
            </w:pPr>
          </w:p>
        </w:tc>
      </w:tr>
      <w:tr w14:paraId="3BBAB3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2879D093">
            <w:pPr>
              <w:spacing w:line="480" w:lineRule="exact"/>
              <w:jc w:val="center"/>
              <w:rPr>
                <w:rFonts w:ascii="宋体" w:hAnsi="宋体"/>
                <w:color w:val="auto"/>
                <w:highlight w:val="none"/>
              </w:rPr>
            </w:pPr>
          </w:p>
        </w:tc>
        <w:tc>
          <w:tcPr>
            <w:tcW w:w="1080" w:type="dxa"/>
            <w:noWrap w:val="0"/>
            <w:vAlign w:val="center"/>
          </w:tcPr>
          <w:p w14:paraId="1C6127B8">
            <w:pPr>
              <w:spacing w:line="480" w:lineRule="exact"/>
              <w:jc w:val="center"/>
              <w:rPr>
                <w:rFonts w:ascii="宋体" w:hAnsi="宋体"/>
                <w:color w:val="auto"/>
                <w:highlight w:val="none"/>
              </w:rPr>
            </w:pPr>
          </w:p>
        </w:tc>
        <w:tc>
          <w:tcPr>
            <w:tcW w:w="1260" w:type="dxa"/>
            <w:noWrap w:val="0"/>
            <w:vAlign w:val="center"/>
          </w:tcPr>
          <w:p w14:paraId="2AC60F01">
            <w:pPr>
              <w:spacing w:line="480" w:lineRule="exact"/>
              <w:jc w:val="center"/>
              <w:rPr>
                <w:rFonts w:ascii="宋体" w:hAnsi="宋体"/>
                <w:color w:val="auto"/>
                <w:highlight w:val="none"/>
              </w:rPr>
            </w:pPr>
          </w:p>
        </w:tc>
        <w:tc>
          <w:tcPr>
            <w:tcW w:w="1516" w:type="dxa"/>
            <w:noWrap w:val="0"/>
            <w:vAlign w:val="center"/>
          </w:tcPr>
          <w:p w14:paraId="7CF16E16">
            <w:pPr>
              <w:spacing w:line="480" w:lineRule="exact"/>
              <w:jc w:val="center"/>
              <w:rPr>
                <w:rFonts w:ascii="宋体" w:hAnsi="宋体"/>
                <w:color w:val="auto"/>
                <w:highlight w:val="none"/>
              </w:rPr>
            </w:pPr>
          </w:p>
        </w:tc>
        <w:tc>
          <w:tcPr>
            <w:tcW w:w="2548" w:type="dxa"/>
            <w:noWrap w:val="0"/>
            <w:vAlign w:val="center"/>
          </w:tcPr>
          <w:p w14:paraId="49BFF713">
            <w:pPr>
              <w:spacing w:line="480" w:lineRule="exact"/>
              <w:jc w:val="center"/>
              <w:rPr>
                <w:rFonts w:ascii="宋体" w:hAnsi="宋体"/>
                <w:color w:val="auto"/>
                <w:highlight w:val="none"/>
              </w:rPr>
            </w:pPr>
          </w:p>
        </w:tc>
      </w:tr>
      <w:tr w14:paraId="3A740B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F80AFC7">
            <w:pPr>
              <w:spacing w:line="480" w:lineRule="exact"/>
              <w:jc w:val="center"/>
              <w:rPr>
                <w:rFonts w:ascii="宋体" w:hAnsi="宋体"/>
                <w:color w:val="auto"/>
                <w:highlight w:val="none"/>
              </w:rPr>
            </w:pPr>
          </w:p>
        </w:tc>
        <w:tc>
          <w:tcPr>
            <w:tcW w:w="1080" w:type="dxa"/>
            <w:noWrap w:val="0"/>
            <w:vAlign w:val="center"/>
          </w:tcPr>
          <w:p w14:paraId="34184DE7">
            <w:pPr>
              <w:spacing w:line="480" w:lineRule="exact"/>
              <w:jc w:val="center"/>
              <w:rPr>
                <w:rFonts w:ascii="宋体" w:hAnsi="宋体"/>
                <w:color w:val="auto"/>
                <w:highlight w:val="none"/>
              </w:rPr>
            </w:pPr>
          </w:p>
        </w:tc>
        <w:tc>
          <w:tcPr>
            <w:tcW w:w="1260" w:type="dxa"/>
            <w:noWrap w:val="0"/>
            <w:vAlign w:val="center"/>
          </w:tcPr>
          <w:p w14:paraId="7D6F10F1">
            <w:pPr>
              <w:spacing w:line="480" w:lineRule="exact"/>
              <w:jc w:val="center"/>
              <w:rPr>
                <w:rFonts w:ascii="宋体" w:hAnsi="宋体"/>
                <w:color w:val="auto"/>
                <w:highlight w:val="none"/>
              </w:rPr>
            </w:pPr>
          </w:p>
        </w:tc>
        <w:tc>
          <w:tcPr>
            <w:tcW w:w="1516" w:type="dxa"/>
            <w:noWrap w:val="0"/>
            <w:vAlign w:val="center"/>
          </w:tcPr>
          <w:p w14:paraId="0D1A0C0F">
            <w:pPr>
              <w:spacing w:line="480" w:lineRule="exact"/>
              <w:jc w:val="center"/>
              <w:rPr>
                <w:rFonts w:ascii="宋体" w:hAnsi="宋体"/>
                <w:color w:val="auto"/>
                <w:highlight w:val="none"/>
              </w:rPr>
            </w:pPr>
          </w:p>
        </w:tc>
        <w:tc>
          <w:tcPr>
            <w:tcW w:w="2548" w:type="dxa"/>
            <w:noWrap w:val="0"/>
            <w:vAlign w:val="center"/>
          </w:tcPr>
          <w:p w14:paraId="1A572AB8">
            <w:pPr>
              <w:spacing w:line="480" w:lineRule="exact"/>
              <w:jc w:val="center"/>
              <w:rPr>
                <w:rFonts w:ascii="宋体" w:hAnsi="宋体"/>
                <w:color w:val="auto"/>
                <w:highlight w:val="none"/>
              </w:rPr>
            </w:pPr>
          </w:p>
        </w:tc>
      </w:tr>
      <w:tr w14:paraId="545F12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5668C88">
            <w:pPr>
              <w:spacing w:line="480" w:lineRule="exact"/>
              <w:jc w:val="center"/>
              <w:rPr>
                <w:rFonts w:ascii="宋体" w:hAnsi="宋体"/>
                <w:color w:val="auto"/>
                <w:highlight w:val="none"/>
              </w:rPr>
            </w:pPr>
          </w:p>
        </w:tc>
        <w:tc>
          <w:tcPr>
            <w:tcW w:w="1080" w:type="dxa"/>
            <w:noWrap w:val="0"/>
            <w:vAlign w:val="center"/>
          </w:tcPr>
          <w:p w14:paraId="3D4BFC40">
            <w:pPr>
              <w:spacing w:line="480" w:lineRule="exact"/>
              <w:jc w:val="center"/>
              <w:rPr>
                <w:rFonts w:ascii="宋体" w:hAnsi="宋体"/>
                <w:color w:val="auto"/>
                <w:highlight w:val="none"/>
              </w:rPr>
            </w:pPr>
          </w:p>
        </w:tc>
        <w:tc>
          <w:tcPr>
            <w:tcW w:w="1260" w:type="dxa"/>
            <w:noWrap w:val="0"/>
            <w:vAlign w:val="center"/>
          </w:tcPr>
          <w:p w14:paraId="6BF058AF">
            <w:pPr>
              <w:spacing w:line="480" w:lineRule="exact"/>
              <w:jc w:val="center"/>
              <w:rPr>
                <w:rFonts w:ascii="宋体" w:hAnsi="宋体"/>
                <w:color w:val="auto"/>
                <w:highlight w:val="none"/>
              </w:rPr>
            </w:pPr>
          </w:p>
        </w:tc>
        <w:tc>
          <w:tcPr>
            <w:tcW w:w="1516" w:type="dxa"/>
            <w:noWrap w:val="0"/>
            <w:vAlign w:val="center"/>
          </w:tcPr>
          <w:p w14:paraId="7D96C12B">
            <w:pPr>
              <w:spacing w:line="480" w:lineRule="exact"/>
              <w:jc w:val="center"/>
              <w:rPr>
                <w:rFonts w:ascii="宋体" w:hAnsi="宋体"/>
                <w:color w:val="auto"/>
                <w:highlight w:val="none"/>
              </w:rPr>
            </w:pPr>
          </w:p>
        </w:tc>
        <w:tc>
          <w:tcPr>
            <w:tcW w:w="2548" w:type="dxa"/>
            <w:noWrap w:val="0"/>
            <w:vAlign w:val="center"/>
          </w:tcPr>
          <w:p w14:paraId="6111DBF2">
            <w:pPr>
              <w:spacing w:line="480" w:lineRule="exact"/>
              <w:jc w:val="center"/>
              <w:rPr>
                <w:rFonts w:ascii="宋体" w:hAnsi="宋体"/>
                <w:color w:val="auto"/>
                <w:highlight w:val="none"/>
              </w:rPr>
            </w:pPr>
          </w:p>
        </w:tc>
      </w:tr>
      <w:tr w14:paraId="1CC4B9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652AC9CF">
            <w:pPr>
              <w:spacing w:line="480" w:lineRule="exact"/>
              <w:jc w:val="center"/>
              <w:rPr>
                <w:rFonts w:ascii="宋体" w:hAnsi="宋体"/>
                <w:color w:val="auto"/>
                <w:highlight w:val="none"/>
              </w:rPr>
            </w:pPr>
          </w:p>
        </w:tc>
        <w:tc>
          <w:tcPr>
            <w:tcW w:w="1080" w:type="dxa"/>
            <w:noWrap w:val="0"/>
            <w:vAlign w:val="center"/>
          </w:tcPr>
          <w:p w14:paraId="78C2872B">
            <w:pPr>
              <w:spacing w:line="480" w:lineRule="exact"/>
              <w:jc w:val="center"/>
              <w:rPr>
                <w:rFonts w:ascii="宋体" w:hAnsi="宋体"/>
                <w:color w:val="auto"/>
                <w:highlight w:val="none"/>
              </w:rPr>
            </w:pPr>
          </w:p>
        </w:tc>
        <w:tc>
          <w:tcPr>
            <w:tcW w:w="1260" w:type="dxa"/>
            <w:noWrap w:val="0"/>
            <w:vAlign w:val="center"/>
          </w:tcPr>
          <w:p w14:paraId="6B7ACFC8">
            <w:pPr>
              <w:spacing w:line="480" w:lineRule="exact"/>
              <w:jc w:val="center"/>
              <w:rPr>
                <w:rFonts w:ascii="宋体" w:hAnsi="宋体"/>
                <w:color w:val="auto"/>
                <w:highlight w:val="none"/>
              </w:rPr>
            </w:pPr>
          </w:p>
        </w:tc>
        <w:tc>
          <w:tcPr>
            <w:tcW w:w="1516" w:type="dxa"/>
            <w:noWrap w:val="0"/>
            <w:vAlign w:val="center"/>
          </w:tcPr>
          <w:p w14:paraId="6CFA6971">
            <w:pPr>
              <w:spacing w:line="480" w:lineRule="exact"/>
              <w:jc w:val="center"/>
              <w:rPr>
                <w:rFonts w:ascii="宋体" w:hAnsi="宋体"/>
                <w:color w:val="auto"/>
                <w:highlight w:val="none"/>
              </w:rPr>
            </w:pPr>
          </w:p>
        </w:tc>
        <w:tc>
          <w:tcPr>
            <w:tcW w:w="2548" w:type="dxa"/>
            <w:noWrap w:val="0"/>
            <w:vAlign w:val="center"/>
          </w:tcPr>
          <w:p w14:paraId="3552F6CD">
            <w:pPr>
              <w:spacing w:line="480" w:lineRule="exact"/>
              <w:jc w:val="center"/>
              <w:rPr>
                <w:rFonts w:ascii="宋体" w:hAnsi="宋体"/>
                <w:color w:val="auto"/>
                <w:highlight w:val="none"/>
              </w:rPr>
            </w:pPr>
          </w:p>
        </w:tc>
      </w:tr>
      <w:tr w14:paraId="652F10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715B966C">
            <w:pPr>
              <w:spacing w:line="480" w:lineRule="exact"/>
              <w:jc w:val="center"/>
              <w:rPr>
                <w:rFonts w:ascii="宋体" w:hAnsi="宋体"/>
                <w:color w:val="auto"/>
                <w:highlight w:val="none"/>
              </w:rPr>
            </w:pPr>
          </w:p>
        </w:tc>
        <w:tc>
          <w:tcPr>
            <w:tcW w:w="1080" w:type="dxa"/>
            <w:noWrap w:val="0"/>
            <w:vAlign w:val="center"/>
          </w:tcPr>
          <w:p w14:paraId="6D3DD43F">
            <w:pPr>
              <w:spacing w:line="480" w:lineRule="exact"/>
              <w:jc w:val="center"/>
              <w:rPr>
                <w:rFonts w:ascii="宋体" w:hAnsi="宋体"/>
                <w:color w:val="auto"/>
                <w:highlight w:val="none"/>
              </w:rPr>
            </w:pPr>
          </w:p>
        </w:tc>
        <w:tc>
          <w:tcPr>
            <w:tcW w:w="1260" w:type="dxa"/>
            <w:noWrap w:val="0"/>
            <w:vAlign w:val="center"/>
          </w:tcPr>
          <w:p w14:paraId="74C69D32">
            <w:pPr>
              <w:spacing w:line="480" w:lineRule="exact"/>
              <w:jc w:val="center"/>
              <w:rPr>
                <w:rFonts w:ascii="宋体" w:hAnsi="宋体"/>
                <w:color w:val="auto"/>
                <w:highlight w:val="none"/>
              </w:rPr>
            </w:pPr>
          </w:p>
        </w:tc>
        <w:tc>
          <w:tcPr>
            <w:tcW w:w="1516" w:type="dxa"/>
            <w:noWrap w:val="0"/>
            <w:vAlign w:val="center"/>
          </w:tcPr>
          <w:p w14:paraId="2E8CEC7D">
            <w:pPr>
              <w:spacing w:line="480" w:lineRule="exact"/>
              <w:jc w:val="center"/>
              <w:rPr>
                <w:rFonts w:ascii="宋体" w:hAnsi="宋体"/>
                <w:color w:val="auto"/>
                <w:highlight w:val="none"/>
              </w:rPr>
            </w:pPr>
          </w:p>
        </w:tc>
        <w:tc>
          <w:tcPr>
            <w:tcW w:w="2548" w:type="dxa"/>
            <w:noWrap w:val="0"/>
            <w:vAlign w:val="center"/>
          </w:tcPr>
          <w:p w14:paraId="5FA3C795">
            <w:pPr>
              <w:spacing w:line="480" w:lineRule="exact"/>
              <w:jc w:val="center"/>
              <w:rPr>
                <w:rFonts w:ascii="宋体" w:hAnsi="宋体"/>
                <w:color w:val="auto"/>
                <w:highlight w:val="none"/>
              </w:rPr>
            </w:pPr>
          </w:p>
        </w:tc>
      </w:tr>
      <w:tr w14:paraId="598549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29ABF2D">
            <w:pPr>
              <w:spacing w:line="480" w:lineRule="exact"/>
              <w:jc w:val="center"/>
              <w:rPr>
                <w:rFonts w:ascii="宋体" w:hAnsi="宋体"/>
                <w:color w:val="auto"/>
                <w:highlight w:val="none"/>
              </w:rPr>
            </w:pPr>
          </w:p>
        </w:tc>
        <w:tc>
          <w:tcPr>
            <w:tcW w:w="1080" w:type="dxa"/>
            <w:noWrap w:val="0"/>
            <w:vAlign w:val="center"/>
          </w:tcPr>
          <w:p w14:paraId="0FFFE250">
            <w:pPr>
              <w:spacing w:line="480" w:lineRule="exact"/>
              <w:jc w:val="center"/>
              <w:rPr>
                <w:rFonts w:ascii="宋体" w:hAnsi="宋体"/>
                <w:color w:val="auto"/>
                <w:highlight w:val="none"/>
              </w:rPr>
            </w:pPr>
          </w:p>
        </w:tc>
        <w:tc>
          <w:tcPr>
            <w:tcW w:w="1260" w:type="dxa"/>
            <w:noWrap w:val="0"/>
            <w:vAlign w:val="center"/>
          </w:tcPr>
          <w:p w14:paraId="031C366A">
            <w:pPr>
              <w:spacing w:line="480" w:lineRule="exact"/>
              <w:jc w:val="center"/>
              <w:rPr>
                <w:rFonts w:ascii="宋体" w:hAnsi="宋体"/>
                <w:color w:val="auto"/>
                <w:highlight w:val="none"/>
              </w:rPr>
            </w:pPr>
          </w:p>
        </w:tc>
        <w:tc>
          <w:tcPr>
            <w:tcW w:w="1516" w:type="dxa"/>
            <w:noWrap w:val="0"/>
            <w:vAlign w:val="center"/>
          </w:tcPr>
          <w:p w14:paraId="64CF9B09">
            <w:pPr>
              <w:spacing w:line="480" w:lineRule="exact"/>
              <w:jc w:val="center"/>
              <w:rPr>
                <w:rFonts w:ascii="宋体" w:hAnsi="宋体"/>
                <w:color w:val="auto"/>
                <w:highlight w:val="none"/>
              </w:rPr>
            </w:pPr>
          </w:p>
        </w:tc>
        <w:tc>
          <w:tcPr>
            <w:tcW w:w="2548" w:type="dxa"/>
            <w:noWrap w:val="0"/>
            <w:vAlign w:val="center"/>
          </w:tcPr>
          <w:p w14:paraId="71A502B2">
            <w:pPr>
              <w:spacing w:line="480" w:lineRule="exact"/>
              <w:jc w:val="center"/>
              <w:rPr>
                <w:rFonts w:ascii="宋体" w:hAnsi="宋体"/>
                <w:color w:val="auto"/>
                <w:highlight w:val="none"/>
              </w:rPr>
            </w:pPr>
          </w:p>
        </w:tc>
      </w:tr>
      <w:tr w14:paraId="2CA4AE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3D01895">
            <w:pPr>
              <w:spacing w:line="480" w:lineRule="exact"/>
              <w:jc w:val="center"/>
              <w:rPr>
                <w:rFonts w:ascii="宋体" w:hAnsi="宋体"/>
                <w:color w:val="auto"/>
                <w:highlight w:val="none"/>
              </w:rPr>
            </w:pPr>
          </w:p>
        </w:tc>
        <w:tc>
          <w:tcPr>
            <w:tcW w:w="1080" w:type="dxa"/>
            <w:noWrap w:val="0"/>
            <w:vAlign w:val="center"/>
          </w:tcPr>
          <w:p w14:paraId="19C01807">
            <w:pPr>
              <w:spacing w:line="480" w:lineRule="exact"/>
              <w:jc w:val="center"/>
              <w:rPr>
                <w:rFonts w:ascii="宋体" w:hAnsi="宋体"/>
                <w:color w:val="auto"/>
                <w:highlight w:val="none"/>
              </w:rPr>
            </w:pPr>
          </w:p>
        </w:tc>
        <w:tc>
          <w:tcPr>
            <w:tcW w:w="1260" w:type="dxa"/>
            <w:noWrap w:val="0"/>
            <w:vAlign w:val="center"/>
          </w:tcPr>
          <w:p w14:paraId="3FFABAC1">
            <w:pPr>
              <w:spacing w:line="480" w:lineRule="exact"/>
              <w:jc w:val="center"/>
              <w:rPr>
                <w:rFonts w:ascii="宋体" w:hAnsi="宋体"/>
                <w:color w:val="auto"/>
                <w:highlight w:val="none"/>
              </w:rPr>
            </w:pPr>
          </w:p>
        </w:tc>
        <w:tc>
          <w:tcPr>
            <w:tcW w:w="1516" w:type="dxa"/>
            <w:noWrap w:val="0"/>
            <w:vAlign w:val="center"/>
          </w:tcPr>
          <w:p w14:paraId="2BA1B135">
            <w:pPr>
              <w:spacing w:line="480" w:lineRule="exact"/>
              <w:jc w:val="center"/>
              <w:rPr>
                <w:rFonts w:ascii="宋体" w:hAnsi="宋体"/>
                <w:color w:val="auto"/>
                <w:highlight w:val="none"/>
              </w:rPr>
            </w:pPr>
          </w:p>
        </w:tc>
        <w:tc>
          <w:tcPr>
            <w:tcW w:w="2548" w:type="dxa"/>
            <w:noWrap w:val="0"/>
            <w:vAlign w:val="center"/>
          </w:tcPr>
          <w:p w14:paraId="0D989819">
            <w:pPr>
              <w:spacing w:line="480" w:lineRule="exact"/>
              <w:jc w:val="center"/>
              <w:rPr>
                <w:rFonts w:ascii="宋体" w:hAnsi="宋体"/>
                <w:color w:val="auto"/>
                <w:highlight w:val="none"/>
              </w:rPr>
            </w:pPr>
          </w:p>
        </w:tc>
      </w:tr>
      <w:tr w14:paraId="3BA525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262EDB0">
            <w:pPr>
              <w:spacing w:line="480" w:lineRule="exact"/>
              <w:jc w:val="center"/>
              <w:rPr>
                <w:rFonts w:ascii="宋体" w:hAnsi="宋体"/>
                <w:color w:val="auto"/>
                <w:highlight w:val="none"/>
              </w:rPr>
            </w:pPr>
          </w:p>
        </w:tc>
        <w:tc>
          <w:tcPr>
            <w:tcW w:w="1080" w:type="dxa"/>
            <w:noWrap w:val="0"/>
            <w:vAlign w:val="center"/>
          </w:tcPr>
          <w:p w14:paraId="1CE6FD44">
            <w:pPr>
              <w:spacing w:line="480" w:lineRule="exact"/>
              <w:jc w:val="center"/>
              <w:rPr>
                <w:rFonts w:ascii="宋体" w:hAnsi="宋体"/>
                <w:color w:val="auto"/>
                <w:highlight w:val="none"/>
              </w:rPr>
            </w:pPr>
          </w:p>
        </w:tc>
        <w:tc>
          <w:tcPr>
            <w:tcW w:w="1260" w:type="dxa"/>
            <w:noWrap w:val="0"/>
            <w:vAlign w:val="center"/>
          </w:tcPr>
          <w:p w14:paraId="526B4E2D">
            <w:pPr>
              <w:spacing w:line="480" w:lineRule="exact"/>
              <w:jc w:val="center"/>
              <w:rPr>
                <w:rFonts w:ascii="宋体" w:hAnsi="宋体"/>
                <w:color w:val="auto"/>
                <w:highlight w:val="none"/>
              </w:rPr>
            </w:pPr>
          </w:p>
        </w:tc>
        <w:tc>
          <w:tcPr>
            <w:tcW w:w="1516" w:type="dxa"/>
            <w:noWrap w:val="0"/>
            <w:vAlign w:val="center"/>
          </w:tcPr>
          <w:p w14:paraId="77582875">
            <w:pPr>
              <w:spacing w:line="480" w:lineRule="exact"/>
              <w:jc w:val="center"/>
              <w:rPr>
                <w:rFonts w:ascii="宋体" w:hAnsi="宋体"/>
                <w:color w:val="auto"/>
                <w:highlight w:val="none"/>
              </w:rPr>
            </w:pPr>
          </w:p>
        </w:tc>
        <w:tc>
          <w:tcPr>
            <w:tcW w:w="2548" w:type="dxa"/>
            <w:noWrap w:val="0"/>
            <w:vAlign w:val="center"/>
          </w:tcPr>
          <w:p w14:paraId="22849B6F">
            <w:pPr>
              <w:spacing w:line="480" w:lineRule="exact"/>
              <w:jc w:val="center"/>
              <w:rPr>
                <w:rFonts w:ascii="宋体" w:hAnsi="宋体"/>
                <w:color w:val="auto"/>
                <w:highlight w:val="none"/>
              </w:rPr>
            </w:pPr>
          </w:p>
        </w:tc>
      </w:tr>
      <w:tr w14:paraId="5AE8D3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3754C37">
            <w:pPr>
              <w:spacing w:line="480" w:lineRule="exact"/>
              <w:jc w:val="center"/>
              <w:rPr>
                <w:rFonts w:ascii="宋体" w:hAnsi="宋体"/>
                <w:color w:val="auto"/>
                <w:highlight w:val="none"/>
              </w:rPr>
            </w:pPr>
          </w:p>
        </w:tc>
        <w:tc>
          <w:tcPr>
            <w:tcW w:w="1080" w:type="dxa"/>
            <w:noWrap w:val="0"/>
            <w:vAlign w:val="center"/>
          </w:tcPr>
          <w:p w14:paraId="3315ED27">
            <w:pPr>
              <w:spacing w:line="480" w:lineRule="exact"/>
              <w:jc w:val="center"/>
              <w:rPr>
                <w:rFonts w:ascii="宋体" w:hAnsi="宋体"/>
                <w:color w:val="auto"/>
                <w:highlight w:val="none"/>
              </w:rPr>
            </w:pPr>
          </w:p>
        </w:tc>
        <w:tc>
          <w:tcPr>
            <w:tcW w:w="1260" w:type="dxa"/>
            <w:noWrap w:val="0"/>
            <w:vAlign w:val="center"/>
          </w:tcPr>
          <w:p w14:paraId="55E140B6">
            <w:pPr>
              <w:spacing w:line="480" w:lineRule="exact"/>
              <w:jc w:val="center"/>
              <w:rPr>
                <w:rFonts w:ascii="宋体" w:hAnsi="宋体"/>
                <w:color w:val="auto"/>
                <w:highlight w:val="none"/>
              </w:rPr>
            </w:pPr>
          </w:p>
        </w:tc>
        <w:tc>
          <w:tcPr>
            <w:tcW w:w="1516" w:type="dxa"/>
            <w:noWrap w:val="0"/>
            <w:vAlign w:val="center"/>
          </w:tcPr>
          <w:p w14:paraId="79B9FF10">
            <w:pPr>
              <w:spacing w:line="480" w:lineRule="exact"/>
              <w:jc w:val="center"/>
              <w:rPr>
                <w:rFonts w:ascii="宋体" w:hAnsi="宋体"/>
                <w:color w:val="auto"/>
                <w:highlight w:val="none"/>
              </w:rPr>
            </w:pPr>
          </w:p>
        </w:tc>
        <w:tc>
          <w:tcPr>
            <w:tcW w:w="2548" w:type="dxa"/>
            <w:noWrap w:val="0"/>
            <w:vAlign w:val="center"/>
          </w:tcPr>
          <w:p w14:paraId="0B610323">
            <w:pPr>
              <w:spacing w:line="480" w:lineRule="exact"/>
              <w:jc w:val="center"/>
              <w:rPr>
                <w:rFonts w:ascii="宋体" w:hAnsi="宋体"/>
                <w:color w:val="auto"/>
                <w:highlight w:val="none"/>
              </w:rPr>
            </w:pPr>
          </w:p>
        </w:tc>
      </w:tr>
      <w:tr w14:paraId="0E9E2D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7D2DDF5">
            <w:pPr>
              <w:spacing w:line="480" w:lineRule="exact"/>
              <w:jc w:val="center"/>
              <w:rPr>
                <w:rFonts w:ascii="宋体" w:hAnsi="宋体"/>
                <w:color w:val="auto"/>
                <w:highlight w:val="none"/>
              </w:rPr>
            </w:pPr>
          </w:p>
        </w:tc>
        <w:tc>
          <w:tcPr>
            <w:tcW w:w="1080" w:type="dxa"/>
            <w:noWrap w:val="0"/>
            <w:vAlign w:val="center"/>
          </w:tcPr>
          <w:p w14:paraId="2E3D79A3">
            <w:pPr>
              <w:spacing w:line="480" w:lineRule="exact"/>
              <w:jc w:val="center"/>
              <w:rPr>
                <w:rFonts w:ascii="宋体" w:hAnsi="宋体"/>
                <w:color w:val="auto"/>
                <w:highlight w:val="none"/>
              </w:rPr>
            </w:pPr>
          </w:p>
        </w:tc>
        <w:tc>
          <w:tcPr>
            <w:tcW w:w="1260" w:type="dxa"/>
            <w:noWrap w:val="0"/>
            <w:vAlign w:val="center"/>
          </w:tcPr>
          <w:p w14:paraId="771212A9">
            <w:pPr>
              <w:spacing w:line="480" w:lineRule="exact"/>
              <w:jc w:val="center"/>
              <w:rPr>
                <w:rFonts w:ascii="宋体" w:hAnsi="宋体"/>
                <w:color w:val="auto"/>
                <w:highlight w:val="none"/>
              </w:rPr>
            </w:pPr>
          </w:p>
        </w:tc>
        <w:tc>
          <w:tcPr>
            <w:tcW w:w="1516" w:type="dxa"/>
            <w:noWrap w:val="0"/>
            <w:vAlign w:val="center"/>
          </w:tcPr>
          <w:p w14:paraId="221CDC26">
            <w:pPr>
              <w:spacing w:line="480" w:lineRule="exact"/>
              <w:jc w:val="center"/>
              <w:rPr>
                <w:rFonts w:ascii="宋体" w:hAnsi="宋体"/>
                <w:color w:val="auto"/>
                <w:highlight w:val="none"/>
              </w:rPr>
            </w:pPr>
          </w:p>
        </w:tc>
        <w:tc>
          <w:tcPr>
            <w:tcW w:w="2548" w:type="dxa"/>
            <w:noWrap w:val="0"/>
            <w:vAlign w:val="center"/>
          </w:tcPr>
          <w:p w14:paraId="23C5E99A">
            <w:pPr>
              <w:spacing w:line="480" w:lineRule="exact"/>
              <w:jc w:val="center"/>
              <w:rPr>
                <w:rFonts w:ascii="宋体" w:hAnsi="宋体"/>
                <w:color w:val="auto"/>
                <w:highlight w:val="none"/>
              </w:rPr>
            </w:pPr>
          </w:p>
        </w:tc>
      </w:tr>
      <w:tr w14:paraId="5E7635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21A048D">
            <w:pPr>
              <w:spacing w:line="480" w:lineRule="exact"/>
              <w:jc w:val="center"/>
              <w:rPr>
                <w:rFonts w:ascii="宋体" w:hAnsi="宋体"/>
                <w:color w:val="auto"/>
                <w:highlight w:val="none"/>
              </w:rPr>
            </w:pPr>
          </w:p>
        </w:tc>
        <w:tc>
          <w:tcPr>
            <w:tcW w:w="1080" w:type="dxa"/>
            <w:noWrap w:val="0"/>
            <w:vAlign w:val="center"/>
          </w:tcPr>
          <w:p w14:paraId="15AF8391">
            <w:pPr>
              <w:spacing w:line="480" w:lineRule="exact"/>
              <w:jc w:val="center"/>
              <w:rPr>
                <w:rFonts w:ascii="宋体" w:hAnsi="宋体"/>
                <w:color w:val="auto"/>
                <w:highlight w:val="none"/>
              </w:rPr>
            </w:pPr>
          </w:p>
        </w:tc>
        <w:tc>
          <w:tcPr>
            <w:tcW w:w="1260" w:type="dxa"/>
            <w:noWrap w:val="0"/>
            <w:vAlign w:val="center"/>
          </w:tcPr>
          <w:p w14:paraId="76C9E9A9">
            <w:pPr>
              <w:spacing w:line="480" w:lineRule="exact"/>
              <w:jc w:val="center"/>
              <w:rPr>
                <w:rFonts w:ascii="宋体" w:hAnsi="宋体"/>
                <w:color w:val="auto"/>
                <w:highlight w:val="none"/>
              </w:rPr>
            </w:pPr>
          </w:p>
        </w:tc>
        <w:tc>
          <w:tcPr>
            <w:tcW w:w="1516" w:type="dxa"/>
            <w:noWrap w:val="0"/>
            <w:vAlign w:val="center"/>
          </w:tcPr>
          <w:p w14:paraId="528BA376">
            <w:pPr>
              <w:spacing w:line="480" w:lineRule="exact"/>
              <w:jc w:val="center"/>
              <w:rPr>
                <w:rFonts w:ascii="宋体" w:hAnsi="宋体"/>
                <w:color w:val="auto"/>
                <w:highlight w:val="none"/>
              </w:rPr>
            </w:pPr>
          </w:p>
        </w:tc>
        <w:tc>
          <w:tcPr>
            <w:tcW w:w="2548" w:type="dxa"/>
            <w:noWrap w:val="0"/>
            <w:vAlign w:val="center"/>
          </w:tcPr>
          <w:p w14:paraId="204A2216">
            <w:pPr>
              <w:spacing w:line="480" w:lineRule="exact"/>
              <w:jc w:val="center"/>
              <w:rPr>
                <w:rFonts w:ascii="宋体" w:hAnsi="宋体"/>
                <w:color w:val="auto"/>
                <w:highlight w:val="none"/>
              </w:rPr>
            </w:pPr>
          </w:p>
        </w:tc>
      </w:tr>
      <w:tr w14:paraId="38B687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EDD3703">
            <w:pPr>
              <w:spacing w:line="480" w:lineRule="exact"/>
              <w:jc w:val="center"/>
              <w:rPr>
                <w:rFonts w:ascii="宋体" w:hAnsi="宋体"/>
                <w:color w:val="auto"/>
                <w:highlight w:val="none"/>
              </w:rPr>
            </w:pPr>
          </w:p>
        </w:tc>
        <w:tc>
          <w:tcPr>
            <w:tcW w:w="1080" w:type="dxa"/>
            <w:noWrap w:val="0"/>
            <w:vAlign w:val="center"/>
          </w:tcPr>
          <w:p w14:paraId="4F812C07">
            <w:pPr>
              <w:spacing w:line="480" w:lineRule="exact"/>
              <w:jc w:val="center"/>
              <w:rPr>
                <w:rFonts w:ascii="宋体" w:hAnsi="宋体"/>
                <w:color w:val="auto"/>
                <w:highlight w:val="none"/>
              </w:rPr>
            </w:pPr>
          </w:p>
        </w:tc>
        <w:tc>
          <w:tcPr>
            <w:tcW w:w="1260" w:type="dxa"/>
            <w:noWrap w:val="0"/>
            <w:vAlign w:val="center"/>
          </w:tcPr>
          <w:p w14:paraId="09863627">
            <w:pPr>
              <w:spacing w:line="480" w:lineRule="exact"/>
              <w:jc w:val="center"/>
              <w:rPr>
                <w:rFonts w:ascii="宋体" w:hAnsi="宋体"/>
                <w:color w:val="auto"/>
                <w:highlight w:val="none"/>
              </w:rPr>
            </w:pPr>
          </w:p>
        </w:tc>
        <w:tc>
          <w:tcPr>
            <w:tcW w:w="1516" w:type="dxa"/>
            <w:noWrap w:val="0"/>
            <w:vAlign w:val="center"/>
          </w:tcPr>
          <w:p w14:paraId="0BFCE0F1">
            <w:pPr>
              <w:spacing w:line="480" w:lineRule="exact"/>
              <w:jc w:val="center"/>
              <w:rPr>
                <w:rFonts w:ascii="宋体" w:hAnsi="宋体"/>
                <w:color w:val="auto"/>
                <w:highlight w:val="none"/>
              </w:rPr>
            </w:pPr>
          </w:p>
        </w:tc>
        <w:tc>
          <w:tcPr>
            <w:tcW w:w="2548" w:type="dxa"/>
            <w:noWrap w:val="0"/>
            <w:vAlign w:val="center"/>
          </w:tcPr>
          <w:p w14:paraId="3E640DA0">
            <w:pPr>
              <w:spacing w:line="480" w:lineRule="exact"/>
              <w:jc w:val="center"/>
              <w:rPr>
                <w:rFonts w:ascii="宋体" w:hAnsi="宋体"/>
                <w:color w:val="auto"/>
                <w:highlight w:val="none"/>
              </w:rPr>
            </w:pPr>
          </w:p>
        </w:tc>
      </w:tr>
    </w:tbl>
    <w:p w14:paraId="7CF42A31">
      <w:pPr>
        <w:spacing w:before="240" w:beforeLines="100" w:line="360" w:lineRule="auto"/>
        <w:ind w:firstLine="409" w:firstLineChars="195"/>
        <w:rPr>
          <w:rFonts w:hint="eastAsia" w:ascii="楷体" w:hAnsi="楷体" w:eastAsia="楷体"/>
          <w:bCs/>
          <w:iCs/>
          <w:color w:val="auto"/>
          <w:highlight w:val="none"/>
        </w:rPr>
      </w:pPr>
      <w:r>
        <w:rPr>
          <w:rFonts w:hint="eastAsia" w:ascii="楷体" w:hAnsi="楷体" w:eastAsia="楷体"/>
          <w:bCs/>
          <w:iCs/>
          <w:color w:val="auto"/>
          <w:highlight w:val="none"/>
        </w:rPr>
        <w:t>注：采购人将核实中标人承诺的售后服务机构，如果不属实，则从扣除合同总额的2％作为违</w:t>
      </w:r>
      <w:r>
        <w:rPr>
          <w:rFonts w:hint="eastAsia" w:ascii="楷体" w:hAnsi="楷体" w:eastAsia="楷体"/>
          <w:bCs/>
          <w:iCs/>
          <w:color w:val="auto"/>
          <w:highlight w:val="none"/>
          <w:lang w:val="en-US" w:eastAsia="zh-CN"/>
        </w:rPr>
        <w:t>约</w:t>
      </w:r>
      <w:r>
        <w:rPr>
          <w:rFonts w:hint="eastAsia" w:ascii="楷体" w:hAnsi="楷体" w:eastAsia="楷体"/>
          <w:bCs/>
          <w:iCs/>
          <w:color w:val="auto"/>
          <w:highlight w:val="none"/>
        </w:rPr>
        <w:t>处罚。</w:t>
      </w:r>
    </w:p>
    <w:p w14:paraId="2173DE50">
      <w:pPr>
        <w:spacing w:before="240" w:beforeLines="100" w:line="360" w:lineRule="auto"/>
        <w:ind w:firstLine="409" w:firstLineChars="195"/>
        <w:rPr>
          <w:rFonts w:hint="eastAsia" w:ascii="仿宋_GB2312" w:hAnsi="宋体" w:eastAsia="仿宋_GB2312"/>
          <w:bCs/>
          <w:iCs/>
          <w:color w:val="auto"/>
          <w:highlight w:val="none"/>
        </w:rPr>
      </w:pPr>
    </w:p>
    <w:p w14:paraId="199EEC68">
      <w:pPr>
        <w:spacing w:before="240" w:beforeLines="100" w:line="360" w:lineRule="auto"/>
        <w:ind w:firstLine="409" w:firstLineChars="195"/>
        <w:rPr>
          <w:rFonts w:hint="eastAsia" w:ascii="仿宋_GB2312" w:hAnsi="宋体" w:eastAsia="仿宋_GB2312"/>
          <w:bCs/>
          <w:iCs/>
          <w:color w:val="auto"/>
          <w:highlight w:val="none"/>
        </w:rPr>
      </w:pPr>
    </w:p>
    <w:p w14:paraId="5B0A417D">
      <w:pPr>
        <w:pageBreakBefore/>
        <w:spacing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lang w:val="en-US" w:eastAsia="zh-CN"/>
        </w:rPr>
        <w:t>十</w:t>
      </w:r>
      <w:r>
        <w:rPr>
          <w:rFonts w:hint="eastAsia" w:ascii="宋体" w:hAnsi="宋体"/>
          <w:b/>
          <w:color w:val="auto"/>
          <w:sz w:val="36"/>
          <w:szCs w:val="36"/>
          <w:highlight w:val="none"/>
        </w:rPr>
        <w:t>、其他证明材料</w:t>
      </w:r>
    </w:p>
    <w:p w14:paraId="6630359A">
      <w:pPr>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026CDD89">
      <w:pPr>
        <w:spacing w:line="360" w:lineRule="auto"/>
        <w:ind w:firstLine="420" w:firstLineChars="200"/>
        <w:outlineLvl w:val="1"/>
        <w:rPr>
          <w:rFonts w:hint="eastAsia" w:ascii="楷体" w:hAnsi="楷体" w:eastAsia="楷体" w:cs="宋体"/>
          <w:bCs/>
          <w:color w:val="auto"/>
          <w:spacing w:val="6"/>
          <w:kern w:val="0"/>
          <w:szCs w:val="21"/>
          <w:highlight w:val="none"/>
        </w:rPr>
      </w:pPr>
      <w:bookmarkStart w:id="263" w:name="_Toc205"/>
      <w:r>
        <w:rPr>
          <w:rFonts w:hint="eastAsia" w:ascii="楷体" w:hAnsi="楷体" w:eastAsia="楷体"/>
          <w:color w:val="auto"/>
          <w:szCs w:val="21"/>
          <w:highlight w:val="none"/>
          <w:lang w:val="en-US" w:eastAsia="zh-CN"/>
        </w:rPr>
        <w:t>1</w:t>
      </w:r>
      <w:r>
        <w:rPr>
          <w:rFonts w:hint="eastAsia" w:ascii="楷体" w:hAnsi="楷体" w:eastAsia="楷体"/>
          <w:color w:val="auto"/>
          <w:szCs w:val="21"/>
          <w:highlight w:val="none"/>
        </w:rPr>
        <w:t>.</w:t>
      </w:r>
      <w:r>
        <w:rPr>
          <w:rFonts w:hint="eastAsia" w:ascii="楷体" w:hAnsi="楷体" w:eastAsia="楷体" w:cs="宋体"/>
          <w:bCs/>
          <w:color w:val="auto"/>
          <w:spacing w:val="6"/>
          <w:kern w:val="0"/>
          <w:szCs w:val="21"/>
          <w:highlight w:val="none"/>
        </w:rPr>
        <w:t>提供投标人</w:t>
      </w:r>
      <w:r>
        <w:rPr>
          <w:rFonts w:hint="eastAsia" w:ascii="楷体" w:hAnsi="楷体" w:eastAsia="楷体" w:cs="宋体"/>
          <w:bCs/>
          <w:color w:val="auto"/>
          <w:spacing w:val="6"/>
          <w:kern w:val="0"/>
          <w:szCs w:val="21"/>
          <w:highlight w:val="none"/>
          <w:lang w:val="en-US" w:eastAsia="zh-CN"/>
        </w:rPr>
        <w:t>2021年1月1日至今类似业绩</w:t>
      </w:r>
      <w:r>
        <w:rPr>
          <w:rFonts w:hint="eastAsia" w:ascii="楷体" w:hAnsi="楷体" w:eastAsia="楷体" w:cs="宋体"/>
          <w:bCs/>
          <w:color w:val="auto"/>
          <w:spacing w:val="6"/>
          <w:kern w:val="0"/>
          <w:szCs w:val="21"/>
          <w:highlight w:val="none"/>
        </w:rPr>
        <w:t>证明材料；</w:t>
      </w:r>
      <w:bookmarkEnd w:id="263"/>
    </w:p>
    <w:p w14:paraId="0587A058">
      <w:pPr>
        <w:tabs>
          <w:tab w:val="left" w:pos="3600"/>
        </w:tabs>
        <w:adjustRightInd w:val="0"/>
        <w:snapToGrid w:val="0"/>
        <w:ind w:firstLine="444" w:firstLineChars="200"/>
        <w:rPr>
          <w:rFonts w:hint="eastAsia" w:ascii="楷体" w:hAnsi="楷体" w:eastAsia="楷体" w:cs="宋体"/>
          <w:bCs/>
          <w:color w:val="auto"/>
          <w:spacing w:val="6"/>
          <w:kern w:val="0"/>
          <w:szCs w:val="21"/>
          <w:highlight w:val="none"/>
        </w:rPr>
      </w:pPr>
      <w:r>
        <w:rPr>
          <w:rFonts w:hint="eastAsia" w:ascii="楷体" w:hAnsi="楷体" w:eastAsia="楷体" w:cs="宋体"/>
          <w:bCs/>
          <w:color w:val="auto"/>
          <w:spacing w:val="6"/>
          <w:kern w:val="0"/>
          <w:szCs w:val="21"/>
          <w:highlight w:val="none"/>
          <w:lang w:val="en-US" w:eastAsia="zh-CN"/>
        </w:rPr>
        <w:t>2</w:t>
      </w:r>
      <w:r>
        <w:rPr>
          <w:rFonts w:hint="eastAsia" w:ascii="楷体" w:hAnsi="楷体" w:eastAsia="楷体" w:cs="宋体"/>
          <w:bCs/>
          <w:color w:val="auto"/>
          <w:spacing w:val="6"/>
          <w:kern w:val="0"/>
          <w:szCs w:val="21"/>
          <w:highlight w:val="none"/>
        </w:rPr>
        <w:t>.其他条件证明材料，非投标人必备证明材料，仅作为评审的因素。</w:t>
      </w:r>
    </w:p>
    <w:p w14:paraId="35B2AF43">
      <w:pPr>
        <w:spacing w:line="360" w:lineRule="auto"/>
        <w:ind w:firstLine="420" w:firstLineChars="200"/>
        <w:rPr>
          <w:rFonts w:hint="eastAsia" w:ascii="宋体" w:hAnsi="宋体"/>
          <w:color w:val="auto"/>
          <w:szCs w:val="21"/>
          <w:highlight w:val="none"/>
        </w:rPr>
      </w:pPr>
    </w:p>
    <w:p w14:paraId="65EE19AB">
      <w:pPr>
        <w:adjustRightInd w:val="0"/>
        <w:spacing w:line="400" w:lineRule="exact"/>
        <w:jc w:val="left"/>
        <w:rPr>
          <w:rFonts w:hint="eastAsia" w:ascii="宋体" w:hAnsi="宋体"/>
          <w:b/>
          <w:bCs/>
          <w:color w:val="auto"/>
          <w:sz w:val="36"/>
          <w:szCs w:val="36"/>
          <w:highlight w:val="none"/>
        </w:rPr>
      </w:pPr>
    </w:p>
    <w:p w14:paraId="25CBCB73">
      <w:pPr>
        <w:adjustRightInd w:val="0"/>
        <w:spacing w:line="400" w:lineRule="exact"/>
        <w:jc w:val="left"/>
        <w:rPr>
          <w:rFonts w:hint="eastAsia" w:ascii="宋体" w:hAnsi="宋体"/>
          <w:b/>
          <w:bCs/>
          <w:color w:val="auto"/>
          <w:sz w:val="36"/>
          <w:szCs w:val="36"/>
          <w:highlight w:val="none"/>
        </w:rPr>
      </w:pPr>
    </w:p>
    <w:p w14:paraId="62771B5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C876E1B">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328519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A0A00D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FA4045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ACD34B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CE5F9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CECDBC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8D0DC9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CBF228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52BEAA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F97C78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906E9D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B138A85">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B0FF5A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7ED1BB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5A302D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F13570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5F9CF3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63925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BD0ADC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DE1D49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FDC662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1A891F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327BAC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CABC4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27F113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36FF54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A093A1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CD0192A">
      <w:pPr>
        <w:pStyle w:val="34"/>
        <w:ind w:firstLine="504"/>
        <w:rPr>
          <w:rFonts w:hint="eastAsia" w:ascii="宋体" w:hAnsi="宋体" w:cs="宋体"/>
          <w:bCs/>
          <w:color w:val="auto"/>
          <w:spacing w:val="6"/>
          <w:kern w:val="0"/>
          <w:sz w:val="24"/>
          <w:highlight w:val="none"/>
        </w:rPr>
      </w:pPr>
    </w:p>
    <w:p w14:paraId="095AFD71">
      <w:pPr>
        <w:pStyle w:val="34"/>
        <w:ind w:firstLine="504"/>
        <w:rPr>
          <w:rFonts w:hint="eastAsia" w:ascii="宋体" w:hAnsi="宋体" w:cs="宋体"/>
          <w:bCs/>
          <w:color w:val="auto"/>
          <w:spacing w:val="6"/>
          <w:kern w:val="0"/>
          <w:sz w:val="24"/>
          <w:highlight w:val="none"/>
        </w:rPr>
      </w:pPr>
    </w:p>
    <w:p w14:paraId="2F1EED19">
      <w:pPr>
        <w:tabs>
          <w:tab w:val="left" w:pos="3600"/>
        </w:tabs>
        <w:adjustRightInd w:val="0"/>
        <w:snapToGrid w:val="0"/>
        <w:rPr>
          <w:rFonts w:hint="eastAsia" w:ascii="仿宋_GB2312" w:hAnsi="宋体" w:eastAsia="仿宋_GB2312" w:cs="宋体"/>
          <w:bCs/>
          <w:color w:val="auto"/>
          <w:spacing w:val="6"/>
          <w:kern w:val="0"/>
          <w:szCs w:val="21"/>
          <w:highlight w:val="none"/>
        </w:rPr>
      </w:pPr>
    </w:p>
    <w:p w14:paraId="53D2D791">
      <w:pPr>
        <w:pageBreakBefore/>
        <w:adjustRightInd w:val="0"/>
        <w:snapToGrid w:val="0"/>
        <w:spacing w:after="120" w:afterLines="50" w:line="360" w:lineRule="auto"/>
        <w:jc w:val="center"/>
        <w:outlineLvl w:val="1"/>
        <w:rPr>
          <w:rFonts w:hint="eastAsia" w:ascii="宋体" w:hAnsi="宋体"/>
          <w:b/>
          <w:bCs/>
          <w:color w:val="auto"/>
          <w:sz w:val="36"/>
          <w:szCs w:val="36"/>
          <w:highlight w:val="none"/>
        </w:rPr>
      </w:pPr>
      <w:bookmarkStart w:id="264" w:name="_Toc2932"/>
      <w:r>
        <w:rPr>
          <w:rFonts w:hint="eastAsia" w:ascii="宋体" w:hAnsi="宋体"/>
          <w:b/>
          <w:bCs/>
          <w:color w:val="auto"/>
          <w:sz w:val="36"/>
          <w:szCs w:val="36"/>
          <w:highlight w:val="none"/>
          <w:lang w:val="en-US" w:eastAsia="zh-CN"/>
        </w:rPr>
        <w:t>1</w:t>
      </w:r>
      <w:r>
        <w:rPr>
          <w:rFonts w:hint="eastAsia" w:ascii="宋体" w:hAnsi="宋体"/>
          <w:b/>
          <w:bCs/>
          <w:color w:val="auto"/>
          <w:sz w:val="36"/>
          <w:szCs w:val="36"/>
          <w:highlight w:val="none"/>
        </w:rPr>
        <w:t>.投标人完成的类似业绩证明材料</w:t>
      </w:r>
      <w:bookmarkEnd w:id="264"/>
    </w:p>
    <w:p w14:paraId="5A2A4055">
      <w:pPr>
        <w:pStyle w:val="3"/>
        <w:spacing w:before="240" w:beforeLines="100" w:line="400" w:lineRule="exact"/>
        <w:jc w:val="center"/>
        <w:rPr>
          <w:rFonts w:hint="eastAsia" w:ascii="宋体" w:hAnsi="宋体" w:eastAsia="宋体" w:cs="Arial"/>
          <w:bCs/>
          <w:color w:val="auto"/>
          <w:sz w:val="36"/>
          <w:szCs w:val="36"/>
          <w:highlight w:val="none"/>
        </w:rPr>
      </w:pPr>
      <w:bookmarkStart w:id="265" w:name="_Toc24411"/>
      <w:r>
        <w:rPr>
          <w:rFonts w:hint="eastAsia" w:ascii="宋体" w:hAnsi="宋体" w:eastAsia="宋体" w:cs="Arial"/>
          <w:bCs/>
          <w:color w:val="auto"/>
          <w:sz w:val="36"/>
          <w:szCs w:val="36"/>
          <w:highlight w:val="none"/>
        </w:rPr>
        <w:t>类似项目业绩一览表</w:t>
      </w:r>
      <w:bookmarkEnd w:id="265"/>
    </w:p>
    <w:p w14:paraId="108F8B60">
      <w:pPr>
        <w:pStyle w:val="3"/>
        <w:spacing w:after="120" w:line="400" w:lineRule="exact"/>
        <w:ind w:firstLine="210" w:firstLineChars="100"/>
        <w:rPr>
          <w:rFonts w:hint="eastAsia" w:ascii="宋体" w:hAnsi="宋体" w:eastAsia="宋体" w:cs="Arial"/>
          <w:b w:val="0"/>
          <w:bCs/>
          <w:color w:val="auto"/>
          <w:sz w:val="21"/>
          <w:szCs w:val="21"/>
          <w:highlight w:val="none"/>
        </w:rPr>
      </w:pPr>
      <w:bookmarkStart w:id="266" w:name="_Toc16705"/>
      <w:r>
        <w:rPr>
          <w:rFonts w:hint="eastAsia" w:ascii="宋体" w:hAnsi="宋体" w:eastAsia="宋体" w:cs="Arial"/>
          <w:b w:val="0"/>
          <w:bCs/>
          <w:color w:val="auto"/>
          <w:sz w:val="21"/>
          <w:szCs w:val="21"/>
          <w:highlight w:val="none"/>
        </w:rPr>
        <w:t>投标人名称：                                                  单位：万元</w:t>
      </w:r>
      <w:bookmarkEnd w:id="266"/>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20"/>
        <w:gridCol w:w="1596"/>
        <w:gridCol w:w="1288"/>
        <w:gridCol w:w="1259"/>
        <w:gridCol w:w="1701"/>
        <w:gridCol w:w="904"/>
      </w:tblGrid>
      <w:tr w14:paraId="22C872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0" w:type="dxa"/>
            <w:noWrap w:val="0"/>
            <w:vAlign w:val="center"/>
          </w:tcPr>
          <w:p w14:paraId="0728ED62">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1620" w:type="dxa"/>
            <w:noWrap w:val="0"/>
            <w:vAlign w:val="center"/>
          </w:tcPr>
          <w:p w14:paraId="1FC57F7A">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596" w:type="dxa"/>
            <w:noWrap w:val="0"/>
            <w:vAlign w:val="center"/>
          </w:tcPr>
          <w:p w14:paraId="55AAE4B8">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288" w:type="dxa"/>
            <w:noWrap w:val="0"/>
            <w:vAlign w:val="center"/>
          </w:tcPr>
          <w:p w14:paraId="73E95369">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259" w:type="dxa"/>
            <w:noWrap w:val="0"/>
            <w:vAlign w:val="center"/>
          </w:tcPr>
          <w:p w14:paraId="2B0D897B">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完成时间</w:t>
            </w:r>
          </w:p>
        </w:tc>
        <w:tc>
          <w:tcPr>
            <w:tcW w:w="1701" w:type="dxa"/>
            <w:noWrap w:val="0"/>
            <w:vAlign w:val="center"/>
          </w:tcPr>
          <w:p w14:paraId="103E55A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是否通过验收</w:t>
            </w:r>
          </w:p>
        </w:tc>
        <w:tc>
          <w:tcPr>
            <w:tcW w:w="904" w:type="dxa"/>
            <w:noWrap w:val="0"/>
            <w:vAlign w:val="center"/>
          </w:tcPr>
          <w:p w14:paraId="4D17012B">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10A228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88D292A">
            <w:pPr>
              <w:pStyle w:val="7"/>
              <w:ind w:firstLine="0"/>
              <w:rPr>
                <w:rFonts w:hint="eastAsia"/>
                <w:color w:val="auto"/>
                <w:sz w:val="24"/>
                <w:szCs w:val="24"/>
                <w:highlight w:val="none"/>
              </w:rPr>
            </w:pPr>
          </w:p>
        </w:tc>
        <w:tc>
          <w:tcPr>
            <w:tcW w:w="1620" w:type="dxa"/>
            <w:noWrap w:val="0"/>
            <w:vAlign w:val="top"/>
          </w:tcPr>
          <w:p w14:paraId="41EDDBF7">
            <w:pPr>
              <w:pStyle w:val="7"/>
              <w:ind w:firstLine="0"/>
              <w:rPr>
                <w:rFonts w:hint="eastAsia"/>
                <w:color w:val="auto"/>
                <w:sz w:val="24"/>
                <w:szCs w:val="24"/>
                <w:highlight w:val="none"/>
              </w:rPr>
            </w:pPr>
          </w:p>
        </w:tc>
        <w:tc>
          <w:tcPr>
            <w:tcW w:w="1596" w:type="dxa"/>
            <w:noWrap w:val="0"/>
            <w:vAlign w:val="top"/>
          </w:tcPr>
          <w:p w14:paraId="3C382EDA">
            <w:pPr>
              <w:pStyle w:val="7"/>
              <w:ind w:firstLine="0"/>
              <w:rPr>
                <w:rFonts w:hint="eastAsia"/>
                <w:color w:val="auto"/>
                <w:sz w:val="24"/>
                <w:szCs w:val="24"/>
                <w:highlight w:val="none"/>
              </w:rPr>
            </w:pPr>
          </w:p>
        </w:tc>
        <w:tc>
          <w:tcPr>
            <w:tcW w:w="1288" w:type="dxa"/>
            <w:noWrap w:val="0"/>
            <w:vAlign w:val="top"/>
          </w:tcPr>
          <w:p w14:paraId="6C182D22">
            <w:pPr>
              <w:pStyle w:val="7"/>
              <w:ind w:firstLine="0"/>
              <w:rPr>
                <w:rFonts w:hint="eastAsia"/>
                <w:color w:val="auto"/>
                <w:sz w:val="24"/>
                <w:szCs w:val="24"/>
                <w:highlight w:val="none"/>
              </w:rPr>
            </w:pPr>
          </w:p>
        </w:tc>
        <w:tc>
          <w:tcPr>
            <w:tcW w:w="1259" w:type="dxa"/>
            <w:noWrap w:val="0"/>
            <w:vAlign w:val="top"/>
          </w:tcPr>
          <w:p w14:paraId="70F4EC13">
            <w:pPr>
              <w:pStyle w:val="7"/>
              <w:ind w:firstLine="0"/>
              <w:rPr>
                <w:rFonts w:hint="eastAsia"/>
                <w:color w:val="auto"/>
                <w:sz w:val="24"/>
                <w:szCs w:val="24"/>
                <w:highlight w:val="none"/>
              </w:rPr>
            </w:pPr>
          </w:p>
        </w:tc>
        <w:tc>
          <w:tcPr>
            <w:tcW w:w="1701" w:type="dxa"/>
            <w:noWrap w:val="0"/>
            <w:vAlign w:val="top"/>
          </w:tcPr>
          <w:p w14:paraId="582F7571">
            <w:pPr>
              <w:pStyle w:val="7"/>
              <w:ind w:firstLine="0"/>
              <w:rPr>
                <w:rFonts w:hint="eastAsia"/>
                <w:color w:val="auto"/>
                <w:sz w:val="24"/>
                <w:szCs w:val="24"/>
                <w:highlight w:val="none"/>
              </w:rPr>
            </w:pPr>
          </w:p>
        </w:tc>
        <w:tc>
          <w:tcPr>
            <w:tcW w:w="904" w:type="dxa"/>
            <w:noWrap w:val="0"/>
            <w:vAlign w:val="top"/>
          </w:tcPr>
          <w:p w14:paraId="4B8FBA1E">
            <w:pPr>
              <w:pStyle w:val="7"/>
              <w:ind w:firstLine="0"/>
              <w:rPr>
                <w:rFonts w:hint="eastAsia"/>
                <w:color w:val="auto"/>
                <w:sz w:val="24"/>
                <w:szCs w:val="24"/>
                <w:highlight w:val="none"/>
              </w:rPr>
            </w:pPr>
          </w:p>
        </w:tc>
      </w:tr>
      <w:tr w14:paraId="3C7E6A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47F8FBA">
            <w:pPr>
              <w:pStyle w:val="7"/>
              <w:ind w:firstLine="0"/>
              <w:rPr>
                <w:rFonts w:hint="eastAsia"/>
                <w:color w:val="auto"/>
                <w:sz w:val="24"/>
                <w:szCs w:val="24"/>
                <w:highlight w:val="none"/>
              </w:rPr>
            </w:pPr>
          </w:p>
        </w:tc>
        <w:tc>
          <w:tcPr>
            <w:tcW w:w="1620" w:type="dxa"/>
            <w:noWrap w:val="0"/>
            <w:vAlign w:val="top"/>
          </w:tcPr>
          <w:p w14:paraId="659F6B96">
            <w:pPr>
              <w:pStyle w:val="7"/>
              <w:ind w:firstLine="0"/>
              <w:rPr>
                <w:rFonts w:hint="eastAsia"/>
                <w:color w:val="auto"/>
                <w:sz w:val="24"/>
                <w:szCs w:val="24"/>
                <w:highlight w:val="none"/>
              </w:rPr>
            </w:pPr>
          </w:p>
        </w:tc>
        <w:tc>
          <w:tcPr>
            <w:tcW w:w="1596" w:type="dxa"/>
            <w:noWrap w:val="0"/>
            <w:vAlign w:val="top"/>
          </w:tcPr>
          <w:p w14:paraId="7C17F94C">
            <w:pPr>
              <w:pStyle w:val="7"/>
              <w:ind w:firstLine="0"/>
              <w:rPr>
                <w:rFonts w:hint="eastAsia"/>
                <w:color w:val="auto"/>
                <w:sz w:val="24"/>
                <w:szCs w:val="24"/>
                <w:highlight w:val="none"/>
              </w:rPr>
            </w:pPr>
          </w:p>
        </w:tc>
        <w:tc>
          <w:tcPr>
            <w:tcW w:w="1288" w:type="dxa"/>
            <w:noWrap w:val="0"/>
            <w:vAlign w:val="top"/>
          </w:tcPr>
          <w:p w14:paraId="4B3A51E0">
            <w:pPr>
              <w:pStyle w:val="7"/>
              <w:ind w:firstLine="0"/>
              <w:rPr>
                <w:rFonts w:hint="eastAsia"/>
                <w:color w:val="auto"/>
                <w:sz w:val="24"/>
                <w:szCs w:val="24"/>
                <w:highlight w:val="none"/>
              </w:rPr>
            </w:pPr>
          </w:p>
        </w:tc>
        <w:tc>
          <w:tcPr>
            <w:tcW w:w="1259" w:type="dxa"/>
            <w:noWrap w:val="0"/>
            <w:vAlign w:val="top"/>
          </w:tcPr>
          <w:p w14:paraId="5FAC8B22">
            <w:pPr>
              <w:pStyle w:val="7"/>
              <w:ind w:firstLine="0"/>
              <w:rPr>
                <w:rFonts w:hint="eastAsia"/>
                <w:color w:val="auto"/>
                <w:sz w:val="24"/>
                <w:szCs w:val="24"/>
                <w:highlight w:val="none"/>
              </w:rPr>
            </w:pPr>
          </w:p>
        </w:tc>
        <w:tc>
          <w:tcPr>
            <w:tcW w:w="1701" w:type="dxa"/>
            <w:noWrap w:val="0"/>
            <w:vAlign w:val="top"/>
          </w:tcPr>
          <w:p w14:paraId="3E179329">
            <w:pPr>
              <w:pStyle w:val="7"/>
              <w:ind w:firstLine="0"/>
              <w:rPr>
                <w:rFonts w:hint="eastAsia"/>
                <w:color w:val="auto"/>
                <w:sz w:val="24"/>
                <w:szCs w:val="24"/>
                <w:highlight w:val="none"/>
              </w:rPr>
            </w:pPr>
          </w:p>
        </w:tc>
        <w:tc>
          <w:tcPr>
            <w:tcW w:w="904" w:type="dxa"/>
            <w:noWrap w:val="0"/>
            <w:vAlign w:val="top"/>
          </w:tcPr>
          <w:p w14:paraId="04B29A1D">
            <w:pPr>
              <w:pStyle w:val="7"/>
              <w:ind w:firstLine="0"/>
              <w:rPr>
                <w:rFonts w:hint="eastAsia"/>
                <w:color w:val="auto"/>
                <w:sz w:val="24"/>
                <w:szCs w:val="24"/>
                <w:highlight w:val="none"/>
              </w:rPr>
            </w:pPr>
          </w:p>
        </w:tc>
      </w:tr>
      <w:tr w14:paraId="64769C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1240B335">
            <w:pPr>
              <w:pStyle w:val="7"/>
              <w:ind w:firstLine="0"/>
              <w:rPr>
                <w:rFonts w:hint="eastAsia"/>
                <w:color w:val="auto"/>
                <w:sz w:val="24"/>
                <w:szCs w:val="24"/>
                <w:highlight w:val="none"/>
              </w:rPr>
            </w:pPr>
          </w:p>
        </w:tc>
        <w:tc>
          <w:tcPr>
            <w:tcW w:w="1620" w:type="dxa"/>
            <w:noWrap w:val="0"/>
            <w:vAlign w:val="top"/>
          </w:tcPr>
          <w:p w14:paraId="16A8C386">
            <w:pPr>
              <w:pStyle w:val="7"/>
              <w:ind w:firstLine="0"/>
              <w:rPr>
                <w:rFonts w:hint="eastAsia"/>
                <w:color w:val="auto"/>
                <w:sz w:val="24"/>
                <w:szCs w:val="24"/>
                <w:highlight w:val="none"/>
              </w:rPr>
            </w:pPr>
          </w:p>
        </w:tc>
        <w:tc>
          <w:tcPr>
            <w:tcW w:w="1596" w:type="dxa"/>
            <w:noWrap w:val="0"/>
            <w:vAlign w:val="top"/>
          </w:tcPr>
          <w:p w14:paraId="3530CA16">
            <w:pPr>
              <w:pStyle w:val="7"/>
              <w:ind w:firstLine="0"/>
              <w:rPr>
                <w:rFonts w:hint="eastAsia"/>
                <w:color w:val="auto"/>
                <w:sz w:val="24"/>
                <w:szCs w:val="24"/>
                <w:highlight w:val="none"/>
              </w:rPr>
            </w:pPr>
          </w:p>
        </w:tc>
        <w:tc>
          <w:tcPr>
            <w:tcW w:w="1288" w:type="dxa"/>
            <w:noWrap w:val="0"/>
            <w:vAlign w:val="top"/>
          </w:tcPr>
          <w:p w14:paraId="34372E38">
            <w:pPr>
              <w:pStyle w:val="7"/>
              <w:ind w:firstLine="0"/>
              <w:rPr>
                <w:rFonts w:hint="eastAsia"/>
                <w:color w:val="auto"/>
                <w:sz w:val="24"/>
                <w:szCs w:val="24"/>
                <w:highlight w:val="none"/>
              </w:rPr>
            </w:pPr>
          </w:p>
        </w:tc>
        <w:tc>
          <w:tcPr>
            <w:tcW w:w="1259" w:type="dxa"/>
            <w:noWrap w:val="0"/>
            <w:vAlign w:val="top"/>
          </w:tcPr>
          <w:p w14:paraId="6F1E1613">
            <w:pPr>
              <w:pStyle w:val="7"/>
              <w:ind w:firstLine="0"/>
              <w:rPr>
                <w:rFonts w:hint="eastAsia"/>
                <w:color w:val="auto"/>
                <w:sz w:val="24"/>
                <w:szCs w:val="24"/>
                <w:highlight w:val="none"/>
              </w:rPr>
            </w:pPr>
          </w:p>
        </w:tc>
        <w:tc>
          <w:tcPr>
            <w:tcW w:w="1701" w:type="dxa"/>
            <w:noWrap w:val="0"/>
            <w:vAlign w:val="top"/>
          </w:tcPr>
          <w:p w14:paraId="36C5857B">
            <w:pPr>
              <w:pStyle w:val="7"/>
              <w:ind w:firstLine="0"/>
              <w:rPr>
                <w:rFonts w:hint="eastAsia"/>
                <w:color w:val="auto"/>
                <w:sz w:val="24"/>
                <w:szCs w:val="24"/>
                <w:highlight w:val="none"/>
              </w:rPr>
            </w:pPr>
          </w:p>
        </w:tc>
        <w:tc>
          <w:tcPr>
            <w:tcW w:w="904" w:type="dxa"/>
            <w:noWrap w:val="0"/>
            <w:vAlign w:val="top"/>
          </w:tcPr>
          <w:p w14:paraId="711D5885">
            <w:pPr>
              <w:pStyle w:val="7"/>
              <w:ind w:firstLine="0"/>
              <w:rPr>
                <w:rFonts w:hint="eastAsia"/>
                <w:color w:val="auto"/>
                <w:sz w:val="24"/>
                <w:szCs w:val="24"/>
                <w:highlight w:val="none"/>
              </w:rPr>
            </w:pPr>
          </w:p>
        </w:tc>
      </w:tr>
      <w:tr w14:paraId="2DE73F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75FE7B24">
            <w:pPr>
              <w:pStyle w:val="7"/>
              <w:ind w:firstLine="0"/>
              <w:rPr>
                <w:rFonts w:hint="eastAsia"/>
                <w:color w:val="auto"/>
                <w:sz w:val="24"/>
                <w:szCs w:val="24"/>
                <w:highlight w:val="none"/>
              </w:rPr>
            </w:pPr>
          </w:p>
        </w:tc>
        <w:tc>
          <w:tcPr>
            <w:tcW w:w="1620" w:type="dxa"/>
            <w:noWrap w:val="0"/>
            <w:vAlign w:val="top"/>
          </w:tcPr>
          <w:p w14:paraId="076E6092">
            <w:pPr>
              <w:pStyle w:val="7"/>
              <w:ind w:firstLine="0"/>
              <w:rPr>
                <w:rFonts w:hint="eastAsia"/>
                <w:color w:val="auto"/>
                <w:sz w:val="24"/>
                <w:szCs w:val="24"/>
                <w:highlight w:val="none"/>
              </w:rPr>
            </w:pPr>
          </w:p>
        </w:tc>
        <w:tc>
          <w:tcPr>
            <w:tcW w:w="1596" w:type="dxa"/>
            <w:noWrap w:val="0"/>
            <w:vAlign w:val="top"/>
          </w:tcPr>
          <w:p w14:paraId="2A5387A0">
            <w:pPr>
              <w:pStyle w:val="7"/>
              <w:ind w:firstLine="0"/>
              <w:rPr>
                <w:rFonts w:hint="eastAsia"/>
                <w:color w:val="auto"/>
                <w:sz w:val="24"/>
                <w:szCs w:val="24"/>
                <w:highlight w:val="none"/>
              </w:rPr>
            </w:pPr>
          </w:p>
        </w:tc>
        <w:tc>
          <w:tcPr>
            <w:tcW w:w="1288" w:type="dxa"/>
            <w:noWrap w:val="0"/>
            <w:vAlign w:val="top"/>
          </w:tcPr>
          <w:p w14:paraId="4119787F">
            <w:pPr>
              <w:pStyle w:val="7"/>
              <w:ind w:firstLine="0"/>
              <w:rPr>
                <w:rFonts w:hint="eastAsia"/>
                <w:color w:val="auto"/>
                <w:sz w:val="24"/>
                <w:szCs w:val="24"/>
                <w:highlight w:val="none"/>
              </w:rPr>
            </w:pPr>
          </w:p>
        </w:tc>
        <w:tc>
          <w:tcPr>
            <w:tcW w:w="1259" w:type="dxa"/>
            <w:noWrap w:val="0"/>
            <w:vAlign w:val="top"/>
          </w:tcPr>
          <w:p w14:paraId="71FE2AC6">
            <w:pPr>
              <w:pStyle w:val="7"/>
              <w:ind w:firstLine="0"/>
              <w:rPr>
                <w:rFonts w:hint="eastAsia"/>
                <w:color w:val="auto"/>
                <w:sz w:val="24"/>
                <w:szCs w:val="24"/>
                <w:highlight w:val="none"/>
              </w:rPr>
            </w:pPr>
          </w:p>
        </w:tc>
        <w:tc>
          <w:tcPr>
            <w:tcW w:w="1701" w:type="dxa"/>
            <w:noWrap w:val="0"/>
            <w:vAlign w:val="top"/>
          </w:tcPr>
          <w:p w14:paraId="334F6979">
            <w:pPr>
              <w:pStyle w:val="7"/>
              <w:ind w:firstLine="0"/>
              <w:rPr>
                <w:rFonts w:hint="eastAsia"/>
                <w:color w:val="auto"/>
                <w:sz w:val="24"/>
                <w:szCs w:val="24"/>
                <w:highlight w:val="none"/>
              </w:rPr>
            </w:pPr>
          </w:p>
        </w:tc>
        <w:tc>
          <w:tcPr>
            <w:tcW w:w="904" w:type="dxa"/>
            <w:noWrap w:val="0"/>
            <w:vAlign w:val="top"/>
          </w:tcPr>
          <w:p w14:paraId="307CC299">
            <w:pPr>
              <w:pStyle w:val="7"/>
              <w:ind w:firstLine="0"/>
              <w:rPr>
                <w:rFonts w:hint="eastAsia"/>
                <w:color w:val="auto"/>
                <w:sz w:val="24"/>
                <w:szCs w:val="24"/>
                <w:highlight w:val="none"/>
              </w:rPr>
            </w:pPr>
          </w:p>
        </w:tc>
      </w:tr>
      <w:tr w14:paraId="1A275D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F3678F5">
            <w:pPr>
              <w:pStyle w:val="7"/>
              <w:ind w:firstLine="0"/>
              <w:rPr>
                <w:rFonts w:hint="eastAsia"/>
                <w:color w:val="auto"/>
                <w:sz w:val="24"/>
                <w:szCs w:val="24"/>
                <w:highlight w:val="none"/>
              </w:rPr>
            </w:pPr>
          </w:p>
        </w:tc>
        <w:tc>
          <w:tcPr>
            <w:tcW w:w="1620" w:type="dxa"/>
            <w:noWrap w:val="0"/>
            <w:vAlign w:val="top"/>
          </w:tcPr>
          <w:p w14:paraId="5F75CAEE">
            <w:pPr>
              <w:pStyle w:val="7"/>
              <w:ind w:firstLine="0"/>
              <w:rPr>
                <w:rFonts w:hint="eastAsia"/>
                <w:color w:val="auto"/>
                <w:sz w:val="24"/>
                <w:szCs w:val="24"/>
                <w:highlight w:val="none"/>
              </w:rPr>
            </w:pPr>
          </w:p>
        </w:tc>
        <w:tc>
          <w:tcPr>
            <w:tcW w:w="1596" w:type="dxa"/>
            <w:noWrap w:val="0"/>
            <w:vAlign w:val="top"/>
          </w:tcPr>
          <w:p w14:paraId="3911E566">
            <w:pPr>
              <w:pStyle w:val="7"/>
              <w:ind w:firstLine="0"/>
              <w:rPr>
                <w:rFonts w:hint="eastAsia"/>
                <w:color w:val="auto"/>
                <w:sz w:val="24"/>
                <w:szCs w:val="24"/>
                <w:highlight w:val="none"/>
              </w:rPr>
            </w:pPr>
          </w:p>
        </w:tc>
        <w:tc>
          <w:tcPr>
            <w:tcW w:w="1288" w:type="dxa"/>
            <w:noWrap w:val="0"/>
            <w:vAlign w:val="top"/>
          </w:tcPr>
          <w:p w14:paraId="000AB53D">
            <w:pPr>
              <w:pStyle w:val="7"/>
              <w:ind w:firstLine="0"/>
              <w:rPr>
                <w:rFonts w:hint="eastAsia"/>
                <w:color w:val="auto"/>
                <w:sz w:val="24"/>
                <w:szCs w:val="24"/>
                <w:highlight w:val="none"/>
              </w:rPr>
            </w:pPr>
          </w:p>
        </w:tc>
        <w:tc>
          <w:tcPr>
            <w:tcW w:w="1259" w:type="dxa"/>
            <w:noWrap w:val="0"/>
            <w:vAlign w:val="top"/>
          </w:tcPr>
          <w:p w14:paraId="57334B1C">
            <w:pPr>
              <w:pStyle w:val="7"/>
              <w:ind w:firstLine="0"/>
              <w:rPr>
                <w:rFonts w:hint="eastAsia"/>
                <w:color w:val="auto"/>
                <w:sz w:val="24"/>
                <w:szCs w:val="24"/>
                <w:highlight w:val="none"/>
              </w:rPr>
            </w:pPr>
          </w:p>
        </w:tc>
        <w:tc>
          <w:tcPr>
            <w:tcW w:w="1701" w:type="dxa"/>
            <w:noWrap w:val="0"/>
            <w:vAlign w:val="top"/>
          </w:tcPr>
          <w:p w14:paraId="38863F3C">
            <w:pPr>
              <w:pStyle w:val="7"/>
              <w:ind w:firstLine="0"/>
              <w:rPr>
                <w:rFonts w:hint="eastAsia"/>
                <w:color w:val="auto"/>
                <w:sz w:val="24"/>
                <w:szCs w:val="24"/>
                <w:highlight w:val="none"/>
              </w:rPr>
            </w:pPr>
          </w:p>
        </w:tc>
        <w:tc>
          <w:tcPr>
            <w:tcW w:w="904" w:type="dxa"/>
            <w:noWrap w:val="0"/>
            <w:vAlign w:val="top"/>
          </w:tcPr>
          <w:p w14:paraId="24FD931C">
            <w:pPr>
              <w:pStyle w:val="7"/>
              <w:ind w:firstLine="0"/>
              <w:rPr>
                <w:rFonts w:hint="eastAsia"/>
                <w:color w:val="auto"/>
                <w:sz w:val="24"/>
                <w:szCs w:val="24"/>
                <w:highlight w:val="none"/>
              </w:rPr>
            </w:pPr>
          </w:p>
        </w:tc>
      </w:tr>
      <w:tr w14:paraId="5102F0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D20BB65">
            <w:pPr>
              <w:pStyle w:val="7"/>
              <w:ind w:firstLine="0"/>
              <w:rPr>
                <w:rFonts w:hint="eastAsia"/>
                <w:color w:val="auto"/>
                <w:sz w:val="24"/>
                <w:szCs w:val="24"/>
                <w:highlight w:val="none"/>
              </w:rPr>
            </w:pPr>
          </w:p>
        </w:tc>
        <w:tc>
          <w:tcPr>
            <w:tcW w:w="1620" w:type="dxa"/>
            <w:noWrap w:val="0"/>
            <w:vAlign w:val="top"/>
          </w:tcPr>
          <w:p w14:paraId="56120DA6">
            <w:pPr>
              <w:pStyle w:val="7"/>
              <w:ind w:firstLine="0"/>
              <w:rPr>
                <w:rFonts w:hint="eastAsia"/>
                <w:color w:val="auto"/>
                <w:sz w:val="24"/>
                <w:szCs w:val="24"/>
                <w:highlight w:val="none"/>
              </w:rPr>
            </w:pPr>
          </w:p>
        </w:tc>
        <w:tc>
          <w:tcPr>
            <w:tcW w:w="1596" w:type="dxa"/>
            <w:noWrap w:val="0"/>
            <w:vAlign w:val="top"/>
          </w:tcPr>
          <w:p w14:paraId="3F6F8549">
            <w:pPr>
              <w:pStyle w:val="7"/>
              <w:ind w:firstLine="0"/>
              <w:rPr>
                <w:rFonts w:hint="eastAsia"/>
                <w:color w:val="auto"/>
                <w:sz w:val="24"/>
                <w:szCs w:val="24"/>
                <w:highlight w:val="none"/>
              </w:rPr>
            </w:pPr>
          </w:p>
        </w:tc>
        <w:tc>
          <w:tcPr>
            <w:tcW w:w="1288" w:type="dxa"/>
            <w:noWrap w:val="0"/>
            <w:vAlign w:val="top"/>
          </w:tcPr>
          <w:p w14:paraId="3CC04D2E">
            <w:pPr>
              <w:pStyle w:val="7"/>
              <w:ind w:firstLine="0"/>
              <w:rPr>
                <w:rFonts w:hint="eastAsia"/>
                <w:color w:val="auto"/>
                <w:sz w:val="24"/>
                <w:szCs w:val="24"/>
                <w:highlight w:val="none"/>
              </w:rPr>
            </w:pPr>
          </w:p>
        </w:tc>
        <w:tc>
          <w:tcPr>
            <w:tcW w:w="1259" w:type="dxa"/>
            <w:noWrap w:val="0"/>
            <w:vAlign w:val="top"/>
          </w:tcPr>
          <w:p w14:paraId="563945CE">
            <w:pPr>
              <w:pStyle w:val="7"/>
              <w:ind w:firstLine="0"/>
              <w:rPr>
                <w:rFonts w:hint="eastAsia"/>
                <w:color w:val="auto"/>
                <w:sz w:val="24"/>
                <w:szCs w:val="24"/>
                <w:highlight w:val="none"/>
              </w:rPr>
            </w:pPr>
          </w:p>
        </w:tc>
        <w:tc>
          <w:tcPr>
            <w:tcW w:w="1701" w:type="dxa"/>
            <w:noWrap w:val="0"/>
            <w:vAlign w:val="top"/>
          </w:tcPr>
          <w:p w14:paraId="742ED51A">
            <w:pPr>
              <w:pStyle w:val="7"/>
              <w:ind w:firstLine="0"/>
              <w:rPr>
                <w:rFonts w:hint="eastAsia"/>
                <w:color w:val="auto"/>
                <w:sz w:val="24"/>
                <w:szCs w:val="24"/>
                <w:highlight w:val="none"/>
              </w:rPr>
            </w:pPr>
          </w:p>
        </w:tc>
        <w:tc>
          <w:tcPr>
            <w:tcW w:w="904" w:type="dxa"/>
            <w:noWrap w:val="0"/>
            <w:vAlign w:val="top"/>
          </w:tcPr>
          <w:p w14:paraId="1F5D7318">
            <w:pPr>
              <w:pStyle w:val="7"/>
              <w:ind w:firstLine="0"/>
              <w:rPr>
                <w:rFonts w:hint="eastAsia"/>
                <w:color w:val="auto"/>
                <w:sz w:val="24"/>
                <w:szCs w:val="24"/>
                <w:highlight w:val="none"/>
              </w:rPr>
            </w:pPr>
          </w:p>
        </w:tc>
      </w:tr>
      <w:tr w14:paraId="048111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155E07D1">
            <w:pPr>
              <w:pStyle w:val="7"/>
              <w:ind w:firstLine="0"/>
              <w:rPr>
                <w:rFonts w:hint="eastAsia"/>
                <w:color w:val="auto"/>
                <w:sz w:val="24"/>
                <w:szCs w:val="24"/>
                <w:highlight w:val="none"/>
              </w:rPr>
            </w:pPr>
          </w:p>
        </w:tc>
        <w:tc>
          <w:tcPr>
            <w:tcW w:w="1620" w:type="dxa"/>
            <w:noWrap w:val="0"/>
            <w:vAlign w:val="top"/>
          </w:tcPr>
          <w:p w14:paraId="55426592">
            <w:pPr>
              <w:pStyle w:val="7"/>
              <w:ind w:firstLine="0"/>
              <w:rPr>
                <w:rFonts w:hint="eastAsia"/>
                <w:color w:val="auto"/>
                <w:sz w:val="24"/>
                <w:szCs w:val="24"/>
                <w:highlight w:val="none"/>
              </w:rPr>
            </w:pPr>
          </w:p>
        </w:tc>
        <w:tc>
          <w:tcPr>
            <w:tcW w:w="1596" w:type="dxa"/>
            <w:noWrap w:val="0"/>
            <w:vAlign w:val="top"/>
          </w:tcPr>
          <w:p w14:paraId="3AA2F965">
            <w:pPr>
              <w:pStyle w:val="7"/>
              <w:ind w:firstLine="0"/>
              <w:rPr>
                <w:rFonts w:hint="eastAsia"/>
                <w:color w:val="auto"/>
                <w:sz w:val="24"/>
                <w:szCs w:val="24"/>
                <w:highlight w:val="none"/>
              </w:rPr>
            </w:pPr>
          </w:p>
        </w:tc>
        <w:tc>
          <w:tcPr>
            <w:tcW w:w="1288" w:type="dxa"/>
            <w:noWrap w:val="0"/>
            <w:vAlign w:val="top"/>
          </w:tcPr>
          <w:p w14:paraId="52F0F224">
            <w:pPr>
              <w:pStyle w:val="7"/>
              <w:ind w:firstLine="0"/>
              <w:rPr>
                <w:rFonts w:hint="eastAsia"/>
                <w:color w:val="auto"/>
                <w:sz w:val="24"/>
                <w:szCs w:val="24"/>
                <w:highlight w:val="none"/>
              </w:rPr>
            </w:pPr>
          </w:p>
        </w:tc>
        <w:tc>
          <w:tcPr>
            <w:tcW w:w="1259" w:type="dxa"/>
            <w:noWrap w:val="0"/>
            <w:vAlign w:val="top"/>
          </w:tcPr>
          <w:p w14:paraId="70CA496B">
            <w:pPr>
              <w:pStyle w:val="7"/>
              <w:ind w:firstLine="0"/>
              <w:rPr>
                <w:rFonts w:hint="eastAsia"/>
                <w:color w:val="auto"/>
                <w:sz w:val="24"/>
                <w:szCs w:val="24"/>
                <w:highlight w:val="none"/>
              </w:rPr>
            </w:pPr>
          </w:p>
        </w:tc>
        <w:tc>
          <w:tcPr>
            <w:tcW w:w="1701" w:type="dxa"/>
            <w:noWrap w:val="0"/>
            <w:vAlign w:val="top"/>
          </w:tcPr>
          <w:p w14:paraId="0CDEF146">
            <w:pPr>
              <w:pStyle w:val="7"/>
              <w:ind w:firstLine="0"/>
              <w:rPr>
                <w:rFonts w:hint="eastAsia"/>
                <w:color w:val="auto"/>
                <w:sz w:val="24"/>
                <w:szCs w:val="24"/>
                <w:highlight w:val="none"/>
              </w:rPr>
            </w:pPr>
          </w:p>
        </w:tc>
        <w:tc>
          <w:tcPr>
            <w:tcW w:w="904" w:type="dxa"/>
            <w:noWrap w:val="0"/>
            <w:vAlign w:val="top"/>
          </w:tcPr>
          <w:p w14:paraId="3CD48267">
            <w:pPr>
              <w:pStyle w:val="7"/>
              <w:ind w:firstLine="0"/>
              <w:rPr>
                <w:rFonts w:hint="eastAsia"/>
                <w:color w:val="auto"/>
                <w:sz w:val="24"/>
                <w:szCs w:val="24"/>
                <w:highlight w:val="none"/>
              </w:rPr>
            </w:pPr>
          </w:p>
        </w:tc>
      </w:tr>
      <w:tr w14:paraId="3C64BB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7EBCFDB7">
            <w:pPr>
              <w:pStyle w:val="7"/>
              <w:ind w:firstLine="0"/>
              <w:rPr>
                <w:rFonts w:hint="eastAsia"/>
                <w:color w:val="auto"/>
                <w:sz w:val="24"/>
                <w:szCs w:val="24"/>
                <w:highlight w:val="none"/>
              </w:rPr>
            </w:pPr>
          </w:p>
        </w:tc>
        <w:tc>
          <w:tcPr>
            <w:tcW w:w="1620" w:type="dxa"/>
            <w:noWrap w:val="0"/>
            <w:vAlign w:val="top"/>
          </w:tcPr>
          <w:p w14:paraId="7C0BA2FD">
            <w:pPr>
              <w:pStyle w:val="7"/>
              <w:ind w:firstLine="0"/>
              <w:rPr>
                <w:rFonts w:hint="eastAsia"/>
                <w:color w:val="auto"/>
                <w:sz w:val="24"/>
                <w:szCs w:val="24"/>
                <w:highlight w:val="none"/>
              </w:rPr>
            </w:pPr>
          </w:p>
        </w:tc>
        <w:tc>
          <w:tcPr>
            <w:tcW w:w="1596" w:type="dxa"/>
            <w:noWrap w:val="0"/>
            <w:vAlign w:val="top"/>
          </w:tcPr>
          <w:p w14:paraId="3AEBE448">
            <w:pPr>
              <w:pStyle w:val="7"/>
              <w:ind w:firstLine="0"/>
              <w:rPr>
                <w:rFonts w:hint="eastAsia"/>
                <w:color w:val="auto"/>
                <w:sz w:val="24"/>
                <w:szCs w:val="24"/>
                <w:highlight w:val="none"/>
              </w:rPr>
            </w:pPr>
          </w:p>
        </w:tc>
        <w:tc>
          <w:tcPr>
            <w:tcW w:w="1288" w:type="dxa"/>
            <w:noWrap w:val="0"/>
            <w:vAlign w:val="top"/>
          </w:tcPr>
          <w:p w14:paraId="75F236F4">
            <w:pPr>
              <w:pStyle w:val="7"/>
              <w:ind w:firstLine="0"/>
              <w:rPr>
                <w:rFonts w:hint="eastAsia"/>
                <w:color w:val="auto"/>
                <w:sz w:val="24"/>
                <w:szCs w:val="24"/>
                <w:highlight w:val="none"/>
              </w:rPr>
            </w:pPr>
          </w:p>
        </w:tc>
        <w:tc>
          <w:tcPr>
            <w:tcW w:w="1259" w:type="dxa"/>
            <w:noWrap w:val="0"/>
            <w:vAlign w:val="top"/>
          </w:tcPr>
          <w:p w14:paraId="714160FB">
            <w:pPr>
              <w:pStyle w:val="7"/>
              <w:ind w:firstLine="0"/>
              <w:rPr>
                <w:rFonts w:hint="eastAsia"/>
                <w:color w:val="auto"/>
                <w:sz w:val="24"/>
                <w:szCs w:val="24"/>
                <w:highlight w:val="none"/>
              </w:rPr>
            </w:pPr>
          </w:p>
        </w:tc>
        <w:tc>
          <w:tcPr>
            <w:tcW w:w="1701" w:type="dxa"/>
            <w:noWrap w:val="0"/>
            <w:vAlign w:val="top"/>
          </w:tcPr>
          <w:p w14:paraId="0FF193E3">
            <w:pPr>
              <w:pStyle w:val="7"/>
              <w:ind w:firstLine="0"/>
              <w:rPr>
                <w:rFonts w:hint="eastAsia"/>
                <w:color w:val="auto"/>
                <w:sz w:val="24"/>
                <w:szCs w:val="24"/>
                <w:highlight w:val="none"/>
              </w:rPr>
            </w:pPr>
          </w:p>
        </w:tc>
        <w:tc>
          <w:tcPr>
            <w:tcW w:w="904" w:type="dxa"/>
            <w:noWrap w:val="0"/>
            <w:vAlign w:val="top"/>
          </w:tcPr>
          <w:p w14:paraId="27ABE873">
            <w:pPr>
              <w:pStyle w:val="7"/>
              <w:ind w:firstLine="0"/>
              <w:rPr>
                <w:rFonts w:hint="eastAsia"/>
                <w:color w:val="auto"/>
                <w:sz w:val="24"/>
                <w:szCs w:val="24"/>
                <w:highlight w:val="none"/>
              </w:rPr>
            </w:pPr>
          </w:p>
        </w:tc>
      </w:tr>
      <w:tr w14:paraId="3EAFCE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6AD25660">
            <w:pPr>
              <w:pStyle w:val="7"/>
              <w:ind w:firstLine="0"/>
              <w:rPr>
                <w:rFonts w:hint="eastAsia"/>
                <w:color w:val="auto"/>
                <w:sz w:val="24"/>
                <w:szCs w:val="24"/>
                <w:highlight w:val="none"/>
              </w:rPr>
            </w:pPr>
          </w:p>
        </w:tc>
        <w:tc>
          <w:tcPr>
            <w:tcW w:w="1620" w:type="dxa"/>
            <w:noWrap w:val="0"/>
            <w:vAlign w:val="top"/>
          </w:tcPr>
          <w:p w14:paraId="6A00DC0C">
            <w:pPr>
              <w:pStyle w:val="7"/>
              <w:ind w:firstLine="0"/>
              <w:rPr>
                <w:rFonts w:hint="eastAsia"/>
                <w:color w:val="auto"/>
                <w:sz w:val="24"/>
                <w:szCs w:val="24"/>
                <w:highlight w:val="none"/>
              </w:rPr>
            </w:pPr>
          </w:p>
        </w:tc>
        <w:tc>
          <w:tcPr>
            <w:tcW w:w="1596" w:type="dxa"/>
            <w:noWrap w:val="0"/>
            <w:vAlign w:val="top"/>
          </w:tcPr>
          <w:p w14:paraId="5D7E0261">
            <w:pPr>
              <w:pStyle w:val="7"/>
              <w:ind w:firstLine="0"/>
              <w:rPr>
                <w:rFonts w:hint="eastAsia"/>
                <w:color w:val="auto"/>
                <w:sz w:val="24"/>
                <w:szCs w:val="24"/>
                <w:highlight w:val="none"/>
              </w:rPr>
            </w:pPr>
          </w:p>
        </w:tc>
        <w:tc>
          <w:tcPr>
            <w:tcW w:w="1288" w:type="dxa"/>
            <w:noWrap w:val="0"/>
            <w:vAlign w:val="top"/>
          </w:tcPr>
          <w:p w14:paraId="72594F74">
            <w:pPr>
              <w:pStyle w:val="7"/>
              <w:ind w:firstLine="0"/>
              <w:rPr>
                <w:rFonts w:hint="eastAsia"/>
                <w:color w:val="auto"/>
                <w:sz w:val="24"/>
                <w:szCs w:val="24"/>
                <w:highlight w:val="none"/>
              </w:rPr>
            </w:pPr>
          </w:p>
        </w:tc>
        <w:tc>
          <w:tcPr>
            <w:tcW w:w="1259" w:type="dxa"/>
            <w:noWrap w:val="0"/>
            <w:vAlign w:val="top"/>
          </w:tcPr>
          <w:p w14:paraId="7E30B977">
            <w:pPr>
              <w:pStyle w:val="7"/>
              <w:ind w:firstLine="0"/>
              <w:rPr>
                <w:rFonts w:hint="eastAsia"/>
                <w:color w:val="auto"/>
                <w:sz w:val="24"/>
                <w:szCs w:val="24"/>
                <w:highlight w:val="none"/>
              </w:rPr>
            </w:pPr>
          </w:p>
        </w:tc>
        <w:tc>
          <w:tcPr>
            <w:tcW w:w="1701" w:type="dxa"/>
            <w:noWrap w:val="0"/>
            <w:vAlign w:val="top"/>
          </w:tcPr>
          <w:p w14:paraId="300D341D">
            <w:pPr>
              <w:pStyle w:val="7"/>
              <w:ind w:firstLine="0"/>
              <w:rPr>
                <w:rFonts w:hint="eastAsia"/>
                <w:color w:val="auto"/>
                <w:sz w:val="24"/>
                <w:szCs w:val="24"/>
                <w:highlight w:val="none"/>
              </w:rPr>
            </w:pPr>
          </w:p>
        </w:tc>
        <w:tc>
          <w:tcPr>
            <w:tcW w:w="904" w:type="dxa"/>
            <w:noWrap w:val="0"/>
            <w:vAlign w:val="top"/>
          </w:tcPr>
          <w:p w14:paraId="7C678378">
            <w:pPr>
              <w:pStyle w:val="7"/>
              <w:ind w:firstLine="0"/>
              <w:rPr>
                <w:rFonts w:hint="eastAsia"/>
                <w:color w:val="auto"/>
                <w:sz w:val="24"/>
                <w:szCs w:val="24"/>
                <w:highlight w:val="none"/>
              </w:rPr>
            </w:pPr>
          </w:p>
        </w:tc>
      </w:tr>
      <w:tr w14:paraId="6107E8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33DD01B">
            <w:pPr>
              <w:pStyle w:val="7"/>
              <w:ind w:firstLine="0"/>
              <w:rPr>
                <w:rFonts w:hint="eastAsia"/>
                <w:color w:val="auto"/>
                <w:sz w:val="24"/>
                <w:szCs w:val="24"/>
                <w:highlight w:val="none"/>
              </w:rPr>
            </w:pPr>
          </w:p>
        </w:tc>
        <w:tc>
          <w:tcPr>
            <w:tcW w:w="1620" w:type="dxa"/>
            <w:noWrap w:val="0"/>
            <w:vAlign w:val="top"/>
          </w:tcPr>
          <w:p w14:paraId="32920968">
            <w:pPr>
              <w:pStyle w:val="7"/>
              <w:ind w:firstLine="0"/>
              <w:rPr>
                <w:rFonts w:hint="eastAsia"/>
                <w:color w:val="auto"/>
                <w:sz w:val="24"/>
                <w:szCs w:val="24"/>
                <w:highlight w:val="none"/>
              </w:rPr>
            </w:pPr>
          </w:p>
        </w:tc>
        <w:tc>
          <w:tcPr>
            <w:tcW w:w="1596" w:type="dxa"/>
            <w:noWrap w:val="0"/>
            <w:vAlign w:val="top"/>
          </w:tcPr>
          <w:p w14:paraId="09AD7667">
            <w:pPr>
              <w:pStyle w:val="7"/>
              <w:ind w:firstLine="0"/>
              <w:rPr>
                <w:rFonts w:hint="eastAsia"/>
                <w:color w:val="auto"/>
                <w:sz w:val="24"/>
                <w:szCs w:val="24"/>
                <w:highlight w:val="none"/>
              </w:rPr>
            </w:pPr>
          </w:p>
        </w:tc>
        <w:tc>
          <w:tcPr>
            <w:tcW w:w="1288" w:type="dxa"/>
            <w:noWrap w:val="0"/>
            <w:vAlign w:val="top"/>
          </w:tcPr>
          <w:p w14:paraId="411A08F8">
            <w:pPr>
              <w:pStyle w:val="7"/>
              <w:ind w:firstLine="0"/>
              <w:rPr>
                <w:rFonts w:hint="eastAsia"/>
                <w:color w:val="auto"/>
                <w:sz w:val="24"/>
                <w:szCs w:val="24"/>
                <w:highlight w:val="none"/>
              </w:rPr>
            </w:pPr>
          </w:p>
        </w:tc>
        <w:tc>
          <w:tcPr>
            <w:tcW w:w="1259" w:type="dxa"/>
            <w:noWrap w:val="0"/>
            <w:vAlign w:val="top"/>
          </w:tcPr>
          <w:p w14:paraId="1668D23A">
            <w:pPr>
              <w:pStyle w:val="7"/>
              <w:ind w:firstLine="0"/>
              <w:rPr>
                <w:rFonts w:hint="eastAsia"/>
                <w:color w:val="auto"/>
                <w:sz w:val="24"/>
                <w:szCs w:val="24"/>
                <w:highlight w:val="none"/>
              </w:rPr>
            </w:pPr>
          </w:p>
        </w:tc>
        <w:tc>
          <w:tcPr>
            <w:tcW w:w="1701" w:type="dxa"/>
            <w:noWrap w:val="0"/>
            <w:vAlign w:val="top"/>
          </w:tcPr>
          <w:p w14:paraId="0C484A2A">
            <w:pPr>
              <w:pStyle w:val="7"/>
              <w:ind w:firstLine="0"/>
              <w:rPr>
                <w:rFonts w:hint="eastAsia"/>
                <w:color w:val="auto"/>
                <w:sz w:val="24"/>
                <w:szCs w:val="24"/>
                <w:highlight w:val="none"/>
              </w:rPr>
            </w:pPr>
          </w:p>
        </w:tc>
        <w:tc>
          <w:tcPr>
            <w:tcW w:w="904" w:type="dxa"/>
            <w:noWrap w:val="0"/>
            <w:vAlign w:val="top"/>
          </w:tcPr>
          <w:p w14:paraId="7B9695E2">
            <w:pPr>
              <w:pStyle w:val="7"/>
              <w:ind w:firstLine="0"/>
              <w:rPr>
                <w:rFonts w:hint="eastAsia"/>
                <w:color w:val="auto"/>
                <w:sz w:val="24"/>
                <w:szCs w:val="24"/>
                <w:highlight w:val="none"/>
              </w:rPr>
            </w:pPr>
          </w:p>
        </w:tc>
      </w:tr>
      <w:tr w14:paraId="26B762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4A44E932">
            <w:pPr>
              <w:pStyle w:val="7"/>
              <w:ind w:firstLine="0"/>
              <w:rPr>
                <w:rFonts w:hint="eastAsia"/>
                <w:color w:val="auto"/>
                <w:sz w:val="24"/>
                <w:szCs w:val="24"/>
                <w:highlight w:val="none"/>
              </w:rPr>
            </w:pPr>
          </w:p>
        </w:tc>
        <w:tc>
          <w:tcPr>
            <w:tcW w:w="1620" w:type="dxa"/>
            <w:noWrap w:val="0"/>
            <w:vAlign w:val="top"/>
          </w:tcPr>
          <w:p w14:paraId="429B9A14">
            <w:pPr>
              <w:pStyle w:val="7"/>
              <w:ind w:firstLine="0"/>
              <w:rPr>
                <w:rFonts w:hint="eastAsia"/>
                <w:color w:val="auto"/>
                <w:sz w:val="24"/>
                <w:szCs w:val="24"/>
                <w:highlight w:val="none"/>
              </w:rPr>
            </w:pPr>
          </w:p>
        </w:tc>
        <w:tc>
          <w:tcPr>
            <w:tcW w:w="1596" w:type="dxa"/>
            <w:noWrap w:val="0"/>
            <w:vAlign w:val="top"/>
          </w:tcPr>
          <w:p w14:paraId="2843A966">
            <w:pPr>
              <w:pStyle w:val="7"/>
              <w:ind w:firstLine="0"/>
              <w:rPr>
                <w:rFonts w:hint="eastAsia"/>
                <w:color w:val="auto"/>
                <w:sz w:val="24"/>
                <w:szCs w:val="24"/>
                <w:highlight w:val="none"/>
              </w:rPr>
            </w:pPr>
          </w:p>
        </w:tc>
        <w:tc>
          <w:tcPr>
            <w:tcW w:w="1288" w:type="dxa"/>
            <w:noWrap w:val="0"/>
            <w:vAlign w:val="top"/>
          </w:tcPr>
          <w:p w14:paraId="691EAC39">
            <w:pPr>
              <w:pStyle w:val="7"/>
              <w:ind w:firstLine="0"/>
              <w:rPr>
                <w:rFonts w:hint="eastAsia"/>
                <w:color w:val="auto"/>
                <w:sz w:val="24"/>
                <w:szCs w:val="24"/>
                <w:highlight w:val="none"/>
              </w:rPr>
            </w:pPr>
          </w:p>
        </w:tc>
        <w:tc>
          <w:tcPr>
            <w:tcW w:w="1259" w:type="dxa"/>
            <w:noWrap w:val="0"/>
            <w:vAlign w:val="top"/>
          </w:tcPr>
          <w:p w14:paraId="6E3413B4">
            <w:pPr>
              <w:pStyle w:val="7"/>
              <w:ind w:firstLine="0"/>
              <w:rPr>
                <w:rFonts w:hint="eastAsia"/>
                <w:color w:val="auto"/>
                <w:sz w:val="24"/>
                <w:szCs w:val="24"/>
                <w:highlight w:val="none"/>
              </w:rPr>
            </w:pPr>
          </w:p>
        </w:tc>
        <w:tc>
          <w:tcPr>
            <w:tcW w:w="1701" w:type="dxa"/>
            <w:noWrap w:val="0"/>
            <w:vAlign w:val="top"/>
          </w:tcPr>
          <w:p w14:paraId="696B4615">
            <w:pPr>
              <w:pStyle w:val="7"/>
              <w:ind w:firstLine="0"/>
              <w:rPr>
                <w:rFonts w:hint="eastAsia"/>
                <w:color w:val="auto"/>
                <w:sz w:val="24"/>
                <w:szCs w:val="24"/>
                <w:highlight w:val="none"/>
              </w:rPr>
            </w:pPr>
          </w:p>
        </w:tc>
        <w:tc>
          <w:tcPr>
            <w:tcW w:w="904" w:type="dxa"/>
            <w:noWrap w:val="0"/>
            <w:vAlign w:val="top"/>
          </w:tcPr>
          <w:p w14:paraId="268F20EE">
            <w:pPr>
              <w:pStyle w:val="7"/>
              <w:ind w:firstLine="0"/>
              <w:rPr>
                <w:rFonts w:hint="eastAsia"/>
                <w:color w:val="auto"/>
                <w:sz w:val="24"/>
                <w:szCs w:val="24"/>
                <w:highlight w:val="none"/>
              </w:rPr>
            </w:pPr>
          </w:p>
        </w:tc>
      </w:tr>
      <w:tr w14:paraId="4A5F15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00" w:type="dxa"/>
            <w:noWrap w:val="0"/>
            <w:vAlign w:val="top"/>
          </w:tcPr>
          <w:p w14:paraId="2DC28F8C">
            <w:pPr>
              <w:pStyle w:val="7"/>
              <w:ind w:firstLine="0"/>
              <w:rPr>
                <w:rFonts w:hint="eastAsia"/>
                <w:color w:val="auto"/>
                <w:sz w:val="24"/>
                <w:szCs w:val="24"/>
                <w:highlight w:val="none"/>
              </w:rPr>
            </w:pPr>
          </w:p>
        </w:tc>
        <w:tc>
          <w:tcPr>
            <w:tcW w:w="1620" w:type="dxa"/>
            <w:noWrap w:val="0"/>
            <w:vAlign w:val="top"/>
          </w:tcPr>
          <w:p w14:paraId="0EA87330">
            <w:pPr>
              <w:pStyle w:val="7"/>
              <w:ind w:firstLine="0"/>
              <w:rPr>
                <w:rFonts w:hint="eastAsia"/>
                <w:color w:val="auto"/>
                <w:sz w:val="24"/>
                <w:szCs w:val="24"/>
                <w:highlight w:val="none"/>
              </w:rPr>
            </w:pPr>
          </w:p>
        </w:tc>
        <w:tc>
          <w:tcPr>
            <w:tcW w:w="1596" w:type="dxa"/>
            <w:noWrap w:val="0"/>
            <w:vAlign w:val="top"/>
          </w:tcPr>
          <w:p w14:paraId="5606DF9D">
            <w:pPr>
              <w:pStyle w:val="7"/>
              <w:ind w:firstLine="0"/>
              <w:rPr>
                <w:rFonts w:hint="eastAsia"/>
                <w:color w:val="auto"/>
                <w:sz w:val="24"/>
                <w:szCs w:val="24"/>
                <w:highlight w:val="none"/>
              </w:rPr>
            </w:pPr>
          </w:p>
        </w:tc>
        <w:tc>
          <w:tcPr>
            <w:tcW w:w="1288" w:type="dxa"/>
            <w:noWrap w:val="0"/>
            <w:vAlign w:val="top"/>
          </w:tcPr>
          <w:p w14:paraId="62D43272">
            <w:pPr>
              <w:pStyle w:val="7"/>
              <w:ind w:firstLine="0"/>
              <w:rPr>
                <w:rFonts w:hint="eastAsia"/>
                <w:color w:val="auto"/>
                <w:sz w:val="24"/>
                <w:szCs w:val="24"/>
                <w:highlight w:val="none"/>
              </w:rPr>
            </w:pPr>
          </w:p>
        </w:tc>
        <w:tc>
          <w:tcPr>
            <w:tcW w:w="1259" w:type="dxa"/>
            <w:noWrap w:val="0"/>
            <w:vAlign w:val="top"/>
          </w:tcPr>
          <w:p w14:paraId="0B0FF702">
            <w:pPr>
              <w:pStyle w:val="7"/>
              <w:ind w:firstLine="0"/>
              <w:rPr>
                <w:rFonts w:hint="eastAsia"/>
                <w:color w:val="auto"/>
                <w:sz w:val="24"/>
                <w:szCs w:val="24"/>
                <w:highlight w:val="none"/>
              </w:rPr>
            </w:pPr>
          </w:p>
        </w:tc>
        <w:tc>
          <w:tcPr>
            <w:tcW w:w="1701" w:type="dxa"/>
            <w:noWrap w:val="0"/>
            <w:vAlign w:val="top"/>
          </w:tcPr>
          <w:p w14:paraId="0E75F4AA">
            <w:pPr>
              <w:pStyle w:val="7"/>
              <w:ind w:firstLine="0"/>
              <w:rPr>
                <w:rFonts w:hint="eastAsia"/>
                <w:color w:val="auto"/>
                <w:sz w:val="24"/>
                <w:szCs w:val="24"/>
                <w:highlight w:val="none"/>
              </w:rPr>
            </w:pPr>
          </w:p>
        </w:tc>
        <w:tc>
          <w:tcPr>
            <w:tcW w:w="904" w:type="dxa"/>
            <w:noWrap w:val="0"/>
            <w:vAlign w:val="top"/>
          </w:tcPr>
          <w:p w14:paraId="3578D65E">
            <w:pPr>
              <w:pStyle w:val="7"/>
              <w:ind w:firstLine="0"/>
              <w:rPr>
                <w:rFonts w:hint="eastAsia"/>
                <w:color w:val="auto"/>
                <w:sz w:val="24"/>
                <w:szCs w:val="24"/>
                <w:highlight w:val="none"/>
              </w:rPr>
            </w:pPr>
          </w:p>
        </w:tc>
      </w:tr>
    </w:tbl>
    <w:p w14:paraId="03CD3DB1">
      <w:pPr>
        <w:pStyle w:val="7"/>
        <w:rPr>
          <w:rFonts w:hint="eastAsia"/>
          <w:color w:val="auto"/>
          <w:highlight w:val="none"/>
        </w:rPr>
      </w:pPr>
    </w:p>
    <w:p w14:paraId="657F8FBA">
      <w:pPr>
        <w:autoSpaceDE w:val="0"/>
        <w:autoSpaceDN w:val="0"/>
        <w:spacing w:line="360" w:lineRule="auto"/>
        <w:rPr>
          <w:rFonts w:hint="eastAsia" w:ascii="宋体" w:hAnsi="宋体" w:eastAsia="宋体" w:cs="宋体"/>
          <w:bCs/>
          <w:color w:val="auto"/>
          <w:szCs w:val="21"/>
          <w:highlight w:val="none"/>
        </w:rPr>
      </w:pPr>
      <w:r>
        <w:rPr>
          <w:rFonts w:hint="eastAsia" w:ascii="宋体" w:hAnsi="宋体" w:eastAsia="宋体" w:cs="宋体"/>
          <w:color w:val="auto"/>
          <w:szCs w:val="21"/>
          <w:highlight w:val="none"/>
        </w:rPr>
        <w:t>说明：1.</w:t>
      </w:r>
      <w:r>
        <w:rPr>
          <w:rFonts w:hint="eastAsia" w:ascii="宋体" w:hAnsi="宋体" w:eastAsia="宋体" w:cs="宋体"/>
          <w:color w:val="auto"/>
          <w:kern w:val="0"/>
          <w:highlight w:val="none"/>
          <w:lang w:val="zh-CN"/>
        </w:rPr>
        <w:t>提供</w:t>
      </w:r>
      <w:r>
        <w:rPr>
          <w:rFonts w:hint="eastAsia" w:ascii="宋体" w:hAnsi="宋体" w:eastAsia="宋体" w:cs="宋体"/>
          <w:color w:val="auto"/>
          <w:kern w:val="0"/>
          <w:highlight w:val="none"/>
          <w:u w:val="single"/>
          <w:lang w:val="zh-CN"/>
        </w:rPr>
        <w:t>2021年1月1日至</w:t>
      </w:r>
      <w:r>
        <w:rPr>
          <w:rFonts w:hint="eastAsia" w:ascii="宋体" w:hAnsi="宋体" w:cs="宋体"/>
          <w:color w:val="auto"/>
          <w:kern w:val="0"/>
          <w:highlight w:val="none"/>
          <w:u w:val="single"/>
          <w:lang w:val="en-US" w:eastAsia="zh-CN"/>
        </w:rPr>
        <w:t>投标截止时间</w:t>
      </w:r>
      <w:r>
        <w:rPr>
          <w:rFonts w:hint="eastAsia" w:ascii="宋体" w:hAnsi="宋体" w:eastAsia="宋体" w:cs="宋体"/>
          <w:color w:val="auto"/>
          <w:kern w:val="0"/>
          <w:highlight w:val="none"/>
          <w:lang w:val="zh-CN"/>
        </w:rPr>
        <w:t>以来的类似业绩证明材料。类似业绩是指与采购项目在产品类型、使用功能等方面相同或相近的项目；</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.投标人</w:t>
      </w:r>
      <w:r>
        <w:rPr>
          <w:rFonts w:hint="eastAsia" w:ascii="宋体" w:hAnsi="宋体" w:eastAsia="宋体" w:cs="宋体"/>
          <w:bCs/>
          <w:color w:val="auto"/>
          <w:szCs w:val="21"/>
          <w:highlight w:val="none"/>
        </w:rPr>
        <w:t>未按上述要求提供、</w:t>
      </w:r>
      <w:r>
        <w:rPr>
          <w:rFonts w:hint="eastAsia" w:ascii="宋体" w:hAnsi="宋体" w:eastAsia="宋体" w:cs="宋体"/>
          <w:color w:val="auto"/>
          <w:szCs w:val="21"/>
          <w:highlight w:val="none"/>
        </w:rPr>
        <w:t>填写</w:t>
      </w:r>
      <w:r>
        <w:rPr>
          <w:rFonts w:hint="eastAsia" w:ascii="宋体" w:hAnsi="宋体" w:eastAsia="宋体" w:cs="宋体"/>
          <w:bCs/>
          <w:color w:val="auto"/>
          <w:szCs w:val="21"/>
          <w:highlight w:val="none"/>
        </w:rPr>
        <w:t>的，评标时不予加分。</w:t>
      </w:r>
    </w:p>
    <w:p w14:paraId="2651CA1A">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344CE9D7">
      <w:pPr>
        <w:pStyle w:val="39"/>
        <w:spacing w:before="360" w:beforeLines="150" w:line="360" w:lineRule="auto"/>
        <w:ind w:firstLine="105" w:firstLineChars="50"/>
        <w:rPr>
          <w:rFonts w:hint="eastAsia" w:ascii="宋体" w:hAnsi="宋体"/>
          <w:bCs/>
          <w:color w:val="auto"/>
          <w:highlight w:val="none"/>
        </w:rPr>
      </w:pPr>
      <w:r>
        <w:rPr>
          <w:rFonts w:hint="eastAsia" w:ascii="宋体" w:hAnsi="宋体"/>
          <w:color w:val="auto"/>
          <w:highlight w:val="none"/>
        </w:rPr>
        <w:t>法定代表人或委托代理人：</w:t>
      </w:r>
      <w:r>
        <w:rPr>
          <w:rFonts w:hint="eastAsia" w:ascii="宋体" w:hAnsi="宋体"/>
          <w:color w:val="auto"/>
          <w:highlight w:val="none"/>
          <w:u w:val="single"/>
        </w:rPr>
        <w:t xml:space="preserve">                </w:t>
      </w:r>
      <w:r>
        <w:rPr>
          <w:rFonts w:hint="eastAsia" w:ascii="宋体" w:hAnsi="宋体"/>
          <w:color w:val="auto"/>
          <w:highlight w:val="none"/>
        </w:rPr>
        <w:t>（签字）</w:t>
      </w:r>
    </w:p>
    <w:p w14:paraId="14EC9847">
      <w:pPr>
        <w:pStyle w:val="39"/>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0D85FC2E">
      <w:pPr>
        <w:adjustRightInd w:val="0"/>
        <w:spacing w:after="480" w:afterLines="200" w:line="360" w:lineRule="auto"/>
        <w:jc w:val="center"/>
        <w:rPr>
          <w:rFonts w:hint="eastAsia" w:ascii="宋体" w:hAnsi="宋体"/>
          <w:b/>
          <w:bCs/>
          <w:color w:val="auto"/>
          <w:sz w:val="36"/>
          <w:szCs w:val="36"/>
          <w:highlight w:val="none"/>
        </w:rPr>
      </w:pPr>
    </w:p>
    <w:p w14:paraId="30FAF468">
      <w:pPr>
        <w:pStyle w:val="3"/>
        <w:spacing w:before="0" w:after="480" w:afterLines="200" w:line="240" w:lineRule="auto"/>
        <w:jc w:val="center"/>
        <w:rPr>
          <w:rFonts w:hint="eastAsia" w:ascii="宋体" w:hAnsi="宋体" w:eastAsia="宋体"/>
          <w:bCs/>
          <w:color w:val="auto"/>
          <w:kern w:val="0"/>
          <w:sz w:val="36"/>
          <w:szCs w:val="36"/>
          <w:highlight w:val="none"/>
        </w:rPr>
      </w:pPr>
      <w:bookmarkStart w:id="267" w:name="_Toc5934"/>
      <w:r>
        <w:rPr>
          <w:rFonts w:hint="eastAsia" w:ascii="宋体" w:hAnsi="宋体" w:eastAsia="宋体"/>
          <w:bCs/>
          <w:color w:val="auto"/>
          <w:kern w:val="0"/>
          <w:sz w:val="36"/>
          <w:szCs w:val="36"/>
          <w:highlight w:val="none"/>
        </w:rPr>
        <w:t>十</w:t>
      </w:r>
      <w:r>
        <w:rPr>
          <w:rFonts w:hint="eastAsia" w:ascii="宋体" w:hAnsi="宋体" w:eastAsia="宋体"/>
          <w:bCs/>
          <w:color w:val="auto"/>
          <w:kern w:val="0"/>
          <w:sz w:val="36"/>
          <w:szCs w:val="36"/>
          <w:highlight w:val="none"/>
          <w:lang w:val="en-US" w:eastAsia="zh-CN"/>
        </w:rPr>
        <w:t>一</w:t>
      </w:r>
      <w:r>
        <w:rPr>
          <w:rFonts w:hint="eastAsia" w:ascii="宋体" w:hAnsi="宋体" w:eastAsia="宋体"/>
          <w:bCs/>
          <w:color w:val="auto"/>
          <w:kern w:val="0"/>
          <w:sz w:val="36"/>
          <w:szCs w:val="36"/>
          <w:highlight w:val="none"/>
        </w:rPr>
        <w:t>、</w:t>
      </w:r>
      <w:bookmarkEnd w:id="267"/>
      <w:r>
        <w:rPr>
          <w:rFonts w:hint="eastAsia" w:ascii="宋体" w:hAnsi="宋体" w:eastAsia="宋体"/>
          <w:bCs/>
          <w:color w:val="auto"/>
          <w:kern w:val="0"/>
          <w:sz w:val="36"/>
          <w:szCs w:val="36"/>
          <w:highlight w:val="none"/>
        </w:rPr>
        <w:t>技术规格偏离表</w:t>
      </w:r>
    </w:p>
    <w:p w14:paraId="2CF6FCC2">
      <w:pPr>
        <w:pStyle w:val="7"/>
        <w:spacing w:before="120" w:beforeLines="50" w:after="120" w:afterLines="50"/>
        <w:ind w:firstLine="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项目编号：</w:t>
      </w:r>
    </w:p>
    <w:tbl>
      <w:tblPr>
        <w:tblStyle w:val="23"/>
        <w:tblW w:w="99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474"/>
        <w:gridCol w:w="1865"/>
        <w:gridCol w:w="2542"/>
        <w:gridCol w:w="841"/>
        <w:gridCol w:w="1684"/>
        <w:gridCol w:w="659"/>
      </w:tblGrid>
      <w:tr w14:paraId="0CA22A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841" w:type="dxa"/>
            <w:noWrap w:val="0"/>
            <w:vAlign w:val="center"/>
          </w:tcPr>
          <w:p w14:paraId="0DBD56DF">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74" w:type="dxa"/>
            <w:noWrap w:val="0"/>
            <w:vAlign w:val="center"/>
          </w:tcPr>
          <w:p w14:paraId="6529FECC">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865" w:type="dxa"/>
            <w:noWrap w:val="0"/>
            <w:vAlign w:val="center"/>
          </w:tcPr>
          <w:p w14:paraId="61BD44AB">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采购规格及</w:t>
            </w:r>
          </w:p>
          <w:p w14:paraId="5EE93DFB">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技术需求</w:t>
            </w:r>
          </w:p>
        </w:tc>
        <w:tc>
          <w:tcPr>
            <w:tcW w:w="2542" w:type="dxa"/>
            <w:noWrap w:val="0"/>
            <w:vAlign w:val="center"/>
          </w:tcPr>
          <w:p w14:paraId="7A2B334F">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投标文件规格及</w:t>
            </w:r>
          </w:p>
          <w:p w14:paraId="73884828">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技术参数</w:t>
            </w:r>
          </w:p>
        </w:tc>
        <w:tc>
          <w:tcPr>
            <w:tcW w:w="841" w:type="dxa"/>
            <w:noWrap w:val="0"/>
            <w:vAlign w:val="center"/>
          </w:tcPr>
          <w:p w14:paraId="7C59918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1684" w:type="dxa"/>
            <w:noWrap w:val="0"/>
            <w:vAlign w:val="center"/>
          </w:tcPr>
          <w:p w14:paraId="0F585EE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659" w:type="dxa"/>
            <w:noWrap w:val="0"/>
            <w:vAlign w:val="center"/>
          </w:tcPr>
          <w:p w14:paraId="13C9BD2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lang w:val="en-US" w:eastAsia="zh-CN"/>
              </w:rPr>
              <w:t>备注</w:t>
            </w:r>
          </w:p>
        </w:tc>
      </w:tr>
      <w:tr w14:paraId="1B954B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36002F1">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ED50C63">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BE31A5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0600CBC">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3651CD8">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10E6AF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7025EB">
            <w:pPr>
              <w:adjustRightInd w:val="0"/>
              <w:snapToGrid w:val="0"/>
              <w:spacing w:line="360" w:lineRule="auto"/>
              <w:ind w:right="24"/>
              <w:rPr>
                <w:rFonts w:hint="eastAsia" w:ascii="宋体" w:hAnsi="宋体"/>
                <w:bCs/>
                <w:color w:val="auto"/>
                <w:sz w:val="24"/>
                <w:highlight w:val="none"/>
              </w:rPr>
            </w:pPr>
          </w:p>
        </w:tc>
      </w:tr>
      <w:tr w14:paraId="5968BE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0354D07">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30F2A2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99F975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C8EE2BF">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16CAFA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A42CE5C">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9E418AD">
            <w:pPr>
              <w:adjustRightInd w:val="0"/>
              <w:snapToGrid w:val="0"/>
              <w:spacing w:line="360" w:lineRule="auto"/>
              <w:ind w:right="24"/>
              <w:rPr>
                <w:rFonts w:hint="eastAsia" w:ascii="宋体" w:hAnsi="宋体"/>
                <w:bCs/>
                <w:color w:val="auto"/>
                <w:sz w:val="24"/>
                <w:highlight w:val="none"/>
              </w:rPr>
            </w:pPr>
          </w:p>
        </w:tc>
      </w:tr>
      <w:tr w14:paraId="52C3EF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2207E57">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6751F1D">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F7E71F7">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15C67A2">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FABA2C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7CE1DF5">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9DC9CA9">
            <w:pPr>
              <w:adjustRightInd w:val="0"/>
              <w:snapToGrid w:val="0"/>
              <w:spacing w:line="360" w:lineRule="auto"/>
              <w:ind w:right="24"/>
              <w:rPr>
                <w:rFonts w:hint="eastAsia" w:ascii="宋体" w:hAnsi="宋体"/>
                <w:bCs/>
                <w:color w:val="auto"/>
                <w:sz w:val="24"/>
                <w:highlight w:val="none"/>
              </w:rPr>
            </w:pPr>
          </w:p>
        </w:tc>
      </w:tr>
      <w:tr w14:paraId="35C06D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158F83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685556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E7FF72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4D255D5">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C97CA04">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F4E51C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89D0D24">
            <w:pPr>
              <w:adjustRightInd w:val="0"/>
              <w:snapToGrid w:val="0"/>
              <w:spacing w:line="360" w:lineRule="auto"/>
              <w:ind w:right="24"/>
              <w:rPr>
                <w:rFonts w:hint="eastAsia" w:ascii="宋体" w:hAnsi="宋体"/>
                <w:bCs/>
                <w:color w:val="auto"/>
                <w:sz w:val="24"/>
                <w:highlight w:val="none"/>
              </w:rPr>
            </w:pPr>
          </w:p>
        </w:tc>
      </w:tr>
      <w:tr w14:paraId="2279B2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BC29187">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E94DF4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3BEBA1C2">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359F232">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F6B2FB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FAD049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75A5BB2">
            <w:pPr>
              <w:adjustRightInd w:val="0"/>
              <w:snapToGrid w:val="0"/>
              <w:spacing w:line="360" w:lineRule="auto"/>
              <w:ind w:right="24"/>
              <w:rPr>
                <w:rFonts w:hint="eastAsia" w:ascii="宋体" w:hAnsi="宋体"/>
                <w:bCs/>
                <w:color w:val="auto"/>
                <w:sz w:val="24"/>
                <w:highlight w:val="none"/>
              </w:rPr>
            </w:pPr>
          </w:p>
        </w:tc>
      </w:tr>
      <w:tr w14:paraId="4BB6F6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F1150B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295289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B5D0A1A">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B690869">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4255D9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29A29A5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ABD8769">
            <w:pPr>
              <w:adjustRightInd w:val="0"/>
              <w:snapToGrid w:val="0"/>
              <w:spacing w:line="360" w:lineRule="auto"/>
              <w:ind w:right="24"/>
              <w:rPr>
                <w:rFonts w:hint="eastAsia" w:ascii="宋体" w:hAnsi="宋体"/>
                <w:bCs/>
                <w:color w:val="auto"/>
                <w:sz w:val="24"/>
                <w:highlight w:val="none"/>
              </w:rPr>
            </w:pPr>
          </w:p>
        </w:tc>
      </w:tr>
      <w:tr w14:paraId="3154E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3B63A2A">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2A2CA3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5F42A41">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0B31234">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2940DA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3BD76CE">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808BFD2">
            <w:pPr>
              <w:adjustRightInd w:val="0"/>
              <w:snapToGrid w:val="0"/>
              <w:spacing w:line="360" w:lineRule="auto"/>
              <w:ind w:right="24"/>
              <w:rPr>
                <w:rFonts w:hint="eastAsia" w:ascii="宋体" w:hAnsi="宋体"/>
                <w:bCs/>
                <w:color w:val="auto"/>
                <w:sz w:val="24"/>
                <w:highlight w:val="none"/>
              </w:rPr>
            </w:pPr>
          </w:p>
        </w:tc>
      </w:tr>
      <w:tr w14:paraId="07C315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9B2464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71C5122">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035BF5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A5DAD05">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8EAD9F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D433ED1">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906898E">
            <w:pPr>
              <w:adjustRightInd w:val="0"/>
              <w:snapToGrid w:val="0"/>
              <w:spacing w:line="360" w:lineRule="auto"/>
              <w:ind w:right="24"/>
              <w:rPr>
                <w:rFonts w:hint="eastAsia" w:ascii="宋体" w:hAnsi="宋体"/>
                <w:bCs/>
                <w:color w:val="auto"/>
                <w:sz w:val="24"/>
                <w:highlight w:val="none"/>
              </w:rPr>
            </w:pPr>
          </w:p>
        </w:tc>
      </w:tr>
      <w:tr w14:paraId="77A162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864FEFC">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4D7E22D">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BA2B78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B54BC5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C0FB92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3C0A0AB">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32B96D7">
            <w:pPr>
              <w:adjustRightInd w:val="0"/>
              <w:snapToGrid w:val="0"/>
              <w:spacing w:line="360" w:lineRule="auto"/>
              <w:ind w:right="24"/>
              <w:rPr>
                <w:rFonts w:hint="eastAsia" w:ascii="宋体" w:hAnsi="宋体"/>
                <w:bCs/>
                <w:color w:val="auto"/>
                <w:sz w:val="24"/>
                <w:highlight w:val="none"/>
              </w:rPr>
            </w:pPr>
          </w:p>
        </w:tc>
      </w:tr>
      <w:tr w14:paraId="6E15F9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71E3D9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A6D5E45">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9C715F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BA8374D">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07CA3DF0">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7763B2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0AFDD38">
            <w:pPr>
              <w:adjustRightInd w:val="0"/>
              <w:snapToGrid w:val="0"/>
              <w:spacing w:line="360" w:lineRule="auto"/>
              <w:ind w:right="24"/>
              <w:rPr>
                <w:rFonts w:hint="eastAsia" w:ascii="宋体" w:hAnsi="宋体"/>
                <w:bCs/>
                <w:color w:val="auto"/>
                <w:sz w:val="24"/>
                <w:highlight w:val="none"/>
              </w:rPr>
            </w:pPr>
          </w:p>
        </w:tc>
      </w:tr>
      <w:tr w14:paraId="51E7F6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D72F88F">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505DE2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51EE13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595CA3F">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9349BE9">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622F84E">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8BB8B2F">
            <w:pPr>
              <w:adjustRightInd w:val="0"/>
              <w:snapToGrid w:val="0"/>
              <w:spacing w:line="360" w:lineRule="auto"/>
              <w:ind w:right="24"/>
              <w:rPr>
                <w:rFonts w:hint="eastAsia" w:ascii="宋体" w:hAnsi="宋体"/>
                <w:bCs/>
                <w:color w:val="auto"/>
                <w:sz w:val="24"/>
                <w:highlight w:val="none"/>
              </w:rPr>
            </w:pPr>
          </w:p>
        </w:tc>
      </w:tr>
      <w:tr w14:paraId="58DFE8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3D82333">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DE18D9E">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D27AC8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8DEAB6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6A74980">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D8B9BE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6159F2E">
            <w:pPr>
              <w:adjustRightInd w:val="0"/>
              <w:snapToGrid w:val="0"/>
              <w:spacing w:line="360" w:lineRule="auto"/>
              <w:ind w:right="24"/>
              <w:rPr>
                <w:rFonts w:hint="eastAsia" w:ascii="宋体" w:hAnsi="宋体"/>
                <w:bCs/>
                <w:color w:val="auto"/>
                <w:sz w:val="24"/>
                <w:highlight w:val="none"/>
              </w:rPr>
            </w:pPr>
          </w:p>
        </w:tc>
      </w:tr>
      <w:tr w14:paraId="0F78E1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1A7388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527D220">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C776CA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C65992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6CEBFA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86E43B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7D6396B">
            <w:pPr>
              <w:adjustRightInd w:val="0"/>
              <w:snapToGrid w:val="0"/>
              <w:spacing w:line="360" w:lineRule="auto"/>
              <w:ind w:right="24"/>
              <w:rPr>
                <w:rFonts w:hint="eastAsia" w:ascii="宋体" w:hAnsi="宋体"/>
                <w:bCs/>
                <w:color w:val="auto"/>
                <w:sz w:val="24"/>
                <w:highlight w:val="none"/>
              </w:rPr>
            </w:pPr>
          </w:p>
        </w:tc>
      </w:tr>
      <w:tr w14:paraId="2E0903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3AB5983C">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4C22421">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30144D2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7639787">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D14B5B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C3F659A">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C1DD06C">
            <w:pPr>
              <w:adjustRightInd w:val="0"/>
              <w:snapToGrid w:val="0"/>
              <w:spacing w:line="360" w:lineRule="auto"/>
              <w:ind w:right="24"/>
              <w:rPr>
                <w:rFonts w:hint="eastAsia" w:ascii="宋体" w:hAnsi="宋体"/>
                <w:bCs/>
                <w:color w:val="auto"/>
                <w:sz w:val="24"/>
                <w:highlight w:val="none"/>
              </w:rPr>
            </w:pPr>
          </w:p>
        </w:tc>
      </w:tr>
      <w:tr w14:paraId="5981E2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B657A2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BD5A672">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5A94D9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1719231">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417F042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B6013C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3293E66">
            <w:pPr>
              <w:adjustRightInd w:val="0"/>
              <w:snapToGrid w:val="0"/>
              <w:spacing w:line="360" w:lineRule="auto"/>
              <w:ind w:right="24"/>
              <w:rPr>
                <w:rFonts w:hint="eastAsia" w:ascii="宋体" w:hAnsi="宋体"/>
                <w:bCs/>
                <w:color w:val="auto"/>
                <w:sz w:val="24"/>
                <w:highlight w:val="none"/>
              </w:rPr>
            </w:pPr>
          </w:p>
        </w:tc>
      </w:tr>
    </w:tbl>
    <w:p w14:paraId="6D373795">
      <w:pPr>
        <w:pStyle w:val="11"/>
        <w:tabs>
          <w:tab w:val="left" w:pos="600"/>
        </w:tabs>
        <w:spacing w:line="360" w:lineRule="auto"/>
        <w:ind w:firstLine="361" w:firstLineChars="200"/>
        <w:rPr>
          <w:rFonts w:hint="eastAsia" w:ascii="宋体" w:hAnsi="宋体"/>
          <w:b/>
          <w:bCs/>
          <w:color w:val="auto"/>
          <w:sz w:val="18"/>
          <w:szCs w:val="18"/>
          <w:highlight w:val="none"/>
        </w:rPr>
      </w:pPr>
      <w:r>
        <w:rPr>
          <w:rFonts w:hint="eastAsia" w:ascii="宋体" w:hAnsi="宋体"/>
          <w:b/>
          <w:bCs/>
          <w:color w:val="auto"/>
          <w:sz w:val="18"/>
          <w:szCs w:val="18"/>
          <w:highlight w:val="none"/>
        </w:rPr>
        <w:t>注：1、投标人在投标文件技术偏离表中必须对技术条款进行一一正面响应，若不响应、逃避响应或模糊混淆概念响应，按照重要指标负偏离处理，不能提供证明文件的不予认可</w:t>
      </w:r>
      <w:r>
        <w:rPr>
          <w:rFonts w:hint="eastAsia" w:ascii="宋体" w:hAnsi="宋体"/>
          <w:b/>
          <w:bCs/>
          <w:color w:val="auto"/>
          <w:sz w:val="18"/>
          <w:szCs w:val="18"/>
          <w:highlight w:val="none"/>
          <w:lang w:eastAsia="zh-CN"/>
        </w:rPr>
        <w:t>，给予扣分处理</w:t>
      </w:r>
      <w:r>
        <w:rPr>
          <w:rFonts w:hint="eastAsia" w:ascii="宋体" w:hAnsi="宋体"/>
          <w:b/>
          <w:bCs/>
          <w:color w:val="auto"/>
          <w:sz w:val="18"/>
          <w:szCs w:val="18"/>
          <w:highlight w:val="none"/>
        </w:rPr>
        <w:t>。通过篡改数据响应的按照无效标处理并追究法律责任。在交货后，发现部分不能实现，甲方有权退货并索取赔偿。</w:t>
      </w:r>
    </w:p>
    <w:p w14:paraId="0DFAFE77">
      <w:pPr>
        <w:pStyle w:val="11"/>
        <w:tabs>
          <w:tab w:val="left" w:pos="600"/>
        </w:tabs>
        <w:spacing w:line="360" w:lineRule="auto"/>
        <w:ind w:firstLine="361" w:firstLineChars="200"/>
        <w:rPr>
          <w:rFonts w:hint="eastAsia" w:ascii="仿宋_GB2312" w:hAnsi="宋体" w:eastAsia="仿宋_GB2312"/>
          <w:bCs/>
          <w:color w:val="auto"/>
          <w:sz w:val="18"/>
          <w:szCs w:val="18"/>
          <w:highlight w:val="none"/>
        </w:rPr>
      </w:pPr>
      <w:r>
        <w:rPr>
          <w:rFonts w:hint="eastAsia" w:ascii="宋体" w:hAnsi="宋体"/>
          <w:b/>
          <w:bCs/>
          <w:color w:val="auto"/>
          <w:sz w:val="18"/>
          <w:szCs w:val="18"/>
          <w:highlight w:val="none"/>
        </w:rPr>
        <w:t>2、投标人必须据实填写，不得虚假响应，否则将取消其投标或中标资格，并按有关规定进行处罚。</w:t>
      </w:r>
    </w:p>
    <w:p w14:paraId="2BCAC4BF">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3A776E0C">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78B642BE">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日    期:</w:t>
      </w:r>
      <w:bookmarkStart w:id="268" w:name="_Toc217446088"/>
      <w:r>
        <w:rPr>
          <w:rFonts w:hint="eastAsia" w:ascii="宋体" w:hAnsi="宋体"/>
          <w:bCs/>
          <w:color w:val="auto"/>
          <w:szCs w:val="21"/>
          <w:highlight w:val="none"/>
        </w:rPr>
        <w:t>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2D31F46E">
      <w:pPr>
        <w:pStyle w:val="34"/>
        <w:rPr>
          <w:rFonts w:hint="eastAsia" w:ascii="宋体" w:hAnsi="宋体"/>
          <w:bCs/>
          <w:color w:val="auto"/>
          <w:szCs w:val="21"/>
          <w:highlight w:val="none"/>
        </w:rPr>
      </w:pPr>
    </w:p>
    <w:p w14:paraId="75100AA4">
      <w:pPr>
        <w:pStyle w:val="34"/>
        <w:rPr>
          <w:rFonts w:hint="eastAsia" w:ascii="宋体" w:hAnsi="宋体"/>
          <w:bCs/>
          <w:color w:val="auto"/>
          <w:szCs w:val="21"/>
          <w:highlight w:val="none"/>
        </w:rPr>
      </w:pPr>
    </w:p>
    <w:p w14:paraId="0279A484">
      <w:pPr>
        <w:pStyle w:val="34"/>
        <w:rPr>
          <w:rFonts w:hint="eastAsia" w:ascii="宋体" w:hAnsi="宋体"/>
          <w:bCs/>
          <w:color w:val="auto"/>
          <w:szCs w:val="21"/>
          <w:highlight w:val="none"/>
        </w:rPr>
      </w:pPr>
    </w:p>
    <w:p w14:paraId="4CBD341A">
      <w:pPr>
        <w:pStyle w:val="34"/>
        <w:rPr>
          <w:rFonts w:hint="eastAsia" w:ascii="宋体" w:hAnsi="宋体"/>
          <w:bCs/>
          <w:color w:val="auto"/>
          <w:szCs w:val="21"/>
          <w:highlight w:val="none"/>
        </w:rPr>
      </w:pPr>
    </w:p>
    <w:bookmarkEnd w:id="268"/>
    <w:p w14:paraId="59465BBA">
      <w:pPr>
        <w:pStyle w:val="39"/>
        <w:spacing w:line="400" w:lineRule="exact"/>
        <w:jc w:val="center"/>
        <w:rPr>
          <w:rFonts w:hint="eastAsia" w:ascii="宋体" w:hAnsi="宋体"/>
          <w:b/>
          <w:color w:val="auto"/>
          <w:sz w:val="36"/>
          <w:szCs w:val="36"/>
          <w:highlight w:val="none"/>
        </w:rPr>
      </w:pPr>
      <w:r>
        <w:rPr>
          <w:rFonts w:hint="eastAsia" w:ascii="宋体" w:hAnsi="宋体"/>
          <w:b/>
          <w:color w:val="auto"/>
          <w:sz w:val="36"/>
          <w:szCs w:val="36"/>
          <w:highlight w:val="none"/>
        </w:rPr>
        <w:t>十</w:t>
      </w:r>
      <w:r>
        <w:rPr>
          <w:rFonts w:hint="eastAsia" w:ascii="宋体" w:hAnsi="宋体"/>
          <w:b/>
          <w:color w:val="auto"/>
          <w:sz w:val="36"/>
          <w:szCs w:val="36"/>
          <w:highlight w:val="none"/>
          <w:lang w:val="en-US" w:eastAsia="zh-CN"/>
        </w:rPr>
        <w:t>二</w:t>
      </w:r>
      <w:r>
        <w:rPr>
          <w:rFonts w:hint="eastAsia" w:ascii="宋体" w:hAnsi="宋体"/>
          <w:b/>
          <w:color w:val="auto"/>
          <w:sz w:val="36"/>
          <w:szCs w:val="36"/>
          <w:highlight w:val="none"/>
        </w:rPr>
        <w:t>、投标人认为有必要补充说明的事项</w:t>
      </w:r>
    </w:p>
    <w:p w14:paraId="5F8F3710">
      <w:pPr>
        <w:pStyle w:val="39"/>
        <w:spacing w:line="400" w:lineRule="exact"/>
        <w:rPr>
          <w:rFonts w:hint="eastAsia" w:ascii="楷体" w:hAnsi="楷体" w:eastAsia="楷体"/>
          <w:color w:val="auto"/>
          <w:highlight w:val="none"/>
        </w:rPr>
      </w:pPr>
      <w:r>
        <w:rPr>
          <w:rFonts w:hint="eastAsia" w:ascii="楷体" w:hAnsi="楷体" w:eastAsia="楷体"/>
          <w:color w:val="auto"/>
          <w:highlight w:val="none"/>
        </w:rPr>
        <w:t>说明：</w:t>
      </w:r>
    </w:p>
    <w:p w14:paraId="60A98481">
      <w:pPr>
        <w:pStyle w:val="39"/>
        <w:spacing w:line="400" w:lineRule="exact"/>
        <w:rPr>
          <w:rFonts w:ascii="楷体" w:hAnsi="楷体" w:eastAsia="楷体"/>
          <w:color w:val="auto"/>
          <w:highlight w:val="none"/>
        </w:rPr>
      </w:pPr>
      <w:r>
        <w:rPr>
          <w:rFonts w:hint="eastAsia" w:ascii="楷体" w:hAnsi="楷体" w:eastAsia="楷体"/>
          <w:color w:val="auto"/>
          <w:highlight w:val="none"/>
        </w:rPr>
        <w:t xml:space="preserve">     格式自定。</w:t>
      </w:r>
    </w:p>
    <w:p w14:paraId="59F54993">
      <w:pPr>
        <w:rPr>
          <w:color w:val="auto"/>
          <w:highlight w:val="none"/>
        </w:rPr>
      </w:pPr>
    </w:p>
    <w:p w14:paraId="556AABFB">
      <w:pPr>
        <w:rPr>
          <w:color w:val="auto"/>
          <w:highlight w:val="none"/>
        </w:rPr>
      </w:pPr>
    </w:p>
    <w:p w14:paraId="17EAC00C">
      <w:pPr>
        <w:rPr>
          <w:color w:val="auto"/>
          <w:highlight w:val="none"/>
        </w:rPr>
      </w:pPr>
    </w:p>
    <w:p w14:paraId="0FECDE97">
      <w:pPr>
        <w:rPr>
          <w:color w:val="auto"/>
          <w:highlight w:val="none"/>
        </w:rPr>
      </w:pPr>
    </w:p>
    <w:p w14:paraId="36FAE6B3">
      <w:pPr>
        <w:rPr>
          <w:color w:val="auto"/>
          <w:highlight w:val="none"/>
        </w:rPr>
      </w:pPr>
    </w:p>
    <w:p w14:paraId="481FC1BC">
      <w:pPr>
        <w:rPr>
          <w:color w:val="auto"/>
          <w:highlight w:val="none"/>
        </w:rPr>
      </w:pPr>
    </w:p>
    <w:p w14:paraId="78EB306D">
      <w:pPr>
        <w:rPr>
          <w:color w:val="auto"/>
          <w:highlight w:val="none"/>
        </w:rPr>
      </w:pPr>
    </w:p>
    <w:p w14:paraId="3E6E7A82">
      <w:pPr>
        <w:rPr>
          <w:color w:val="auto"/>
          <w:highlight w:val="none"/>
        </w:rPr>
      </w:pPr>
    </w:p>
    <w:p w14:paraId="4069E475">
      <w:pPr>
        <w:rPr>
          <w:color w:val="auto"/>
          <w:highlight w:val="none"/>
        </w:rPr>
      </w:pPr>
    </w:p>
    <w:p w14:paraId="5FF5C60F">
      <w:pPr>
        <w:rPr>
          <w:color w:val="auto"/>
          <w:highlight w:val="none"/>
        </w:rPr>
      </w:pPr>
    </w:p>
    <w:p w14:paraId="727CF2C5">
      <w:pPr>
        <w:rPr>
          <w:color w:val="auto"/>
          <w:highlight w:val="none"/>
        </w:rPr>
      </w:pPr>
    </w:p>
    <w:p w14:paraId="17A46307">
      <w:pPr>
        <w:rPr>
          <w:color w:val="auto"/>
          <w:highlight w:val="none"/>
        </w:rPr>
      </w:pPr>
    </w:p>
    <w:p w14:paraId="184F0CDE">
      <w:pPr>
        <w:rPr>
          <w:color w:val="auto"/>
          <w:highlight w:val="none"/>
        </w:rPr>
      </w:pPr>
    </w:p>
    <w:p w14:paraId="0BE25C5C">
      <w:pPr>
        <w:rPr>
          <w:color w:val="auto"/>
          <w:highlight w:val="none"/>
        </w:rPr>
      </w:pPr>
    </w:p>
    <w:p w14:paraId="54AD4E3A">
      <w:pPr>
        <w:rPr>
          <w:color w:val="auto"/>
          <w:highlight w:val="none"/>
        </w:rPr>
      </w:pPr>
    </w:p>
    <w:p w14:paraId="5F04E8C3">
      <w:pPr>
        <w:rPr>
          <w:color w:val="auto"/>
          <w:highlight w:val="none"/>
        </w:rPr>
      </w:pPr>
    </w:p>
    <w:p w14:paraId="64D74834">
      <w:pPr>
        <w:rPr>
          <w:color w:val="auto"/>
          <w:highlight w:val="none"/>
        </w:rPr>
      </w:pPr>
    </w:p>
    <w:p w14:paraId="689266E2">
      <w:pPr>
        <w:rPr>
          <w:color w:val="auto"/>
          <w:highlight w:val="none"/>
        </w:rPr>
      </w:pPr>
    </w:p>
    <w:p w14:paraId="6BF4A49E">
      <w:pPr>
        <w:rPr>
          <w:color w:val="auto"/>
          <w:highlight w:val="none"/>
        </w:rPr>
      </w:pPr>
    </w:p>
    <w:p w14:paraId="1326FE7E">
      <w:pPr>
        <w:rPr>
          <w:color w:val="auto"/>
          <w:highlight w:val="none"/>
        </w:rPr>
      </w:pPr>
    </w:p>
    <w:p w14:paraId="15998D3C">
      <w:pPr>
        <w:rPr>
          <w:color w:val="auto"/>
          <w:highlight w:val="none"/>
        </w:rPr>
      </w:pPr>
    </w:p>
    <w:p w14:paraId="2CDF28B3">
      <w:pPr>
        <w:rPr>
          <w:color w:val="auto"/>
          <w:highlight w:val="none"/>
        </w:rPr>
      </w:pPr>
    </w:p>
    <w:p w14:paraId="2DD0C09A">
      <w:pPr>
        <w:rPr>
          <w:color w:val="auto"/>
          <w:highlight w:val="none"/>
        </w:rPr>
      </w:pPr>
    </w:p>
    <w:p w14:paraId="5F7FFA24">
      <w:pPr>
        <w:rPr>
          <w:color w:val="auto"/>
          <w:highlight w:val="none"/>
        </w:rPr>
      </w:pPr>
    </w:p>
    <w:p w14:paraId="77255267">
      <w:pPr>
        <w:rPr>
          <w:color w:val="auto"/>
          <w:highlight w:val="none"/>
        </w:rPr>
      </w:pPr>
    </w:p>
    <w:p w14:paraId="6636ABA2">
      <w:pPr>
        <w:rPr>
          <w:color w:val="auto"/>
          <w:highlight w:val="none"/>
        </w:rPr>
      </w:pPr>
    </w:p>
    <w:p w14:paraId="25D71EAA">
      <w:pPr>
        <w:rPr>
          <w:color w:val="auto"/>
          <w:highlight w:val="none"/>
        </w:rPr>
      </w:pPr>
    </w:p>
    <w:p w14:paraId="4A38D9B6">
      <w:pPr>
        <w:rPr>
          <w:color w:val="auto"/>
          <w:highlight w:val="none"/>
        </w:rPr>
      </w:pPr>
    </w:p>
    <w:p w14:paraId="43E001A2">
      <w:pPr>
        <w:rPr>
          <w:color w:val="auto"/>
          <w:highlight w:val="none"/>
        </w:rPr>
      </w:pPr>
    </w:p>
    <w:p w14:paraId="5D23143D">
      <w:pPr>
        <w:rPr>
          <w:color w:val="auto"/>
          <w:highlight w:val="none"/>
        </w:rPr>
      </w:pPr>
    </w:p>
    <w:p w14:paraId="0730FFDF">
      <w:pPr>
        <w:rPr>
          <w:color w:val="auto"/>
          <w:highlight w:val="none"/>
        </w:rPr>
      </w:pPr>
    </w:p>
    <w:p w14:paraId="5C0F13FB">
      <w:pPr>
        <w:rPr>
          <w:color w:val="auto"/>
          <w:highlight w:val="none"/>
        </w:rPr>
      </w:pPr>
    </w:p>
    <w:p w14:paraId="73C7C3A1">
      <w:pPr>
        <w:rPr>
          <w:color w:val="auto"/>
          <w:highlight w:val="none"/>
        </w:rPr>
      </w:pPr>
    </w:p>
    <w:p w14:paraId="51418B89">
      <w:pPr>
        <w:rPr>
          <w:color w:val="auto"/>
          <w:highlight w:val="none"/>
        </w:rPr>
      </w:pPr>
    </w:p>
    <w:p w14:paraId="7050E3D4">
      <w:pPr>
        <w:rPr>
          <w:color w:val="auto"/>
          <w:highlight w:val="none"/>
        </w:rPr>
      </w:pPr>
    </w:p>
    <w:p w14:paraId="70446432">
      <w:pPr>
        <w:rPr>
          <w:color w:val="auto"/>
          <w:highlight w:val="none"/>
        </w:rPr>
      </w:pPr>
    </w:p>
    <w:p w14:paraId="384185FC">
      <w:pPr>
        <w:rPr>
          <w:color w:val="auto"/>
          <w:highlight w:val="none"/>
        </w:rPr>
      </w:pPr>
    </w:p>
    <w:p w14:paraId="145B4BA0">
      <w:pPr>
        <w:rPr>
          <w:color w:val="auto"/>
          <w:highlight w:val="none"/>
        </w:rPr>
      </w:pPr>
    </w:p>
    <w:p w14:paraId="6A72039C">
      <w:pPr>
        <w:rPr>
          <w:color w:val="auto"/>
          <w:highlight w:val="none"/>
        </w:rPr>
      </w:pPr>
    </w:p>
    <w:p w14:paraId="5DB7F52A">
      <w:pPr>
        <w:rPr>
          <w:color w:val="auto"/>
          <w:highlight w:val="none"/>
        </w:rPr>
      </w:pPr>
    </w:p>
    <w:p w14:paraId="36E96D4F">
      <w:pPr>
        <w:rPr>
          <w:color w:val="auto"/>
          <w:highlight w:val="none"/>
        </w:rPr>
      </w:pPr>
    </w:p>
    <w:p w14:paraId="6B29C2CA">
      <w:pPr>
        <w:rPr>
          <w:color w:val="auto"/>
          <w:highlight w:val="none"/>
        </w:rPr>
      </w:pPr>
    </w:p>
    <w:p w14:paraId="2AB107B0">
      <w:pPr>
        <w:rPr>
          <w:color w:val="auto"/>
          <w:highlight w:val="none"/>
        </w:rPr>
      </w:pPr>
    </w:p>
    <w:p w14:paraId="69005B84">
      <w:pPr>
        <w:rPr>
          <w:color w:val="auto"/>
          <w:highlight w:val="none"/>
        </w:rPr>
      </w:pPr>
    </w:p>
    <w:p w14:paraId="11265322">
      <w:pPr>
        <w:rPr>
          <w:color w:val="auto"/>
          <w:highlight w:val="none"/>
        </w:rPr>
      </w:pPr>
    </w:p>
    <w:p w14:paraId="5A166139">
      <w:pPr>
        <w:rPr>
          <w:color w:val="auto"/>
          <w:highlight w:val="none"/>
        </w:rPr>
      </w:pPr>
    </w:p>
    <w:p w14:paraId="759825EA">
      <w:pPr>
        <w:rPr>
          <w:color w:val="auto"/>
          <w:highlight w:val="none"/>
        </w:rPr>
      </w:pPr>
    </w:p>
    <w:p w14:paraId="06732B5D">
      <w:pPr>
        <w:rPr>
          <w:color w:val="auto"/>
          <w:highlight w:val="none"/>
        </w:rPr>
      </w:pPr>
    </w:p>
    <w:p w14:paraId="35CF713A">
      <w:pPr>
        <w:rPr>
          <w:color w:val="auto"/>
          <w:highlight w:val="none"/>
        </w:rPr>
      </w:pPr>
    </w:p>
    <w:p w14:paraId="48BC8348">
      <w:pPr>
        <w:rPr>
          <w:color w:val="auto"/>
          <w:highlight w:val="none"/>
        </w:rPr>
      </w:pPr>
    </w:p>
    <w:p w14:paraId="2455DB1F">
      <w:pPr>
        <w:rPr>
          <w:color w:val="auto"/>
          <w:highlight w:val="none"/>
        </w:rPr>
      </w:pPr>
    </w:p>
    <w:sectPr>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2C57022-BAFE-4CC4-B232-0AADC62AB5C4}"/>
  </w:font>
  <w:font w:name="黑体">
    <w:panose1 w:val="02010609060101010101"/>
    <w:charset w:val="86"/>
    <w:family w:val="auto"/>
    <w:pitch w:val="default"/>
    <w:sig w:usb0="800002BF" w:usb1="38CF7CFA" w:usb2="00000016" w:usb3="00000000" w:csb0="00040001" w:csb1="00000000"/>
    <w:embedRegular r:id="rId2" w:fontKey="{2A544218-8701-484F-8D4A-508DA71E4ADD}"/>
  </w:font>
  <w:font w:name="Courier New">
    <w:panose1 w:val="02070309020205020404"/>
    <w:charset w:val="01"/>
    <w:family w:val="modern"/>
    <w:pitch w:val="default"/>
    <w:sig w:usb0="E0002EFF" w:usb1="C0007843" w:usb2="00000009" w:usb3="00000000" w:csb0="400001FF" w:csb1="FFFF0000"/>
    <w:embedRegular r:id="rId3" w:fontKey="{424A9DB6-AC95-4CB8-B9E7-BB642B31F46C}"/>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Helvetica">
    <w:panose1 w:val="020B0604020202020204"/>
    <w:charset w:val="00"/>
    <w:family w:val="swiss"/>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4" w:fontKey="{FBFED38B-0084-4B0C-9C5C-E52B87B2CE3B}"/>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embedRegular r:id="rId5" w:fontKey="{63B24A34-00B9-4710-8207-B3A342E92DE8}"/>
  </w:font>
  <w:font w:name="仿宋_GB2312">
    <w:panose1 w:val="02010609030101010101"/>
    <w:charset w:val="86"/>
    <w:family w:val="modern"/>
    <w:pitch w:val="default"/>
    <w:sig w:usb0="00000001" w:usb1="080E0000" w:usb2="00000000" w:usb3="00000000" w:csb0="00040000" w:csb1="00000000"/>
    <w:embedRegular r:id="rId6" w:fontKey="{BD1C54DC-F043-4227-A2E1-1B9819E281FA}"/>
  </w:font>
  <w:font w:name="华文中宋">
    <w:panose1 w:val="02010600040101010101"/>
    <w:charset w:val="86"/>
    <w:family w:val="auto"/>
    <w:pitch w:val="default"/>
    <w:sig w:usb0="00000287" w:usb1="080F0000" w:usb2="00000000" w:usb3="00000000" w:csb0="0004009F" w:csb1="DFD70000"/>
    <w:embedRegular r:id="rId7" w:fontKey="{69A823C6-7A6C-4537-BC20-07EDB7E76141}"/>
  </w:font>
  <w:font w:name="Wingdings 2">
    <w:panose1 w:val="05020102010507070707"/>
    <w:charset w:val="02"/>
    <w:family w:val="decorative"/>
    <w:pitch w:val="default"/>
    <w:sig w:usb0="00000000" w:usb1="00000000" w:usb2="00000000" w:usb3="00000000" w:csb0="80000000" w:csb1="00000000"/>
    <w:embedRegular r:id="rId8" w:fontKey="{30BD2622-BCFA-4462-9E1B-67AB3B184A45}"/>
  </w:font>
  <w:font w:name="楷体">
    <w:panose1 w:val="02010609060101010101"/>
    <w:charset w:val="86"/>
    <w:family w:val="auto"/>
    <w:pitch w:val="default"/>
    <w:sig w:usb0="800002BF" w:usb1="38CF7CFA" w:usb2="00000016" w:usb3="00000000" w:csb0="00040001" w:csb1="00000000"/>
    <w:embedRegular r:id="rId9" w:fontKey="{39DD832D-02C9-443C-B39F-44AAA4FDA85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6D8CA7">
    <w:pPr>
      <w:pStyle w:val="15"/>
      <w:ind w:right="7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01CA2D">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IA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lB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kgBjICAABjBAAADgAAAAAAAAABACAAAAAfAQAAZHJzL2Uyb0RvYy54bWxQSwUG&#10;AAAAAAYABgBZAQAAwwUAAAAA&#10;">
              <v:fill on="f" focussize="0,0"/>
              <v:stroke on="f" weight="0.5pt"/>
              <v:imagedata o:title=""/>
              <o:lock v:ext="edit" aspectratio="f"/>
              <v:textbox inset="0mm,0mm,0mm,0mm" style="mso-fit-shape-to-text:t;">
                <w:txbxContent>
                  <w:p w14:paraId="7201CA2D">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B2667">
    <w:pPr>
      <w:pStyle w:val="15"/>
      <w:framePr w:wrap="around" w:vAnchor="text" w:hAnchor="margin" w:xAlign="center" w:y="1"/>
      <w:rPr>
        <w:rStyle w:val="27"/>
      </w:rPr>
    </w:pPr>
    <w:r>
      <w:fldChar w:fldCharType="begin"/>
    </w:r>
    <w:r>
      <w:rPr>
        <w:rStyle w:val="27"/>
      </w:rPr>
      <w:instrText xml:space="preserve">PAGE  </w:instrText>
    </w:r>
    <w:r>
      <w:fldChar w:fldCharType="end"/>
    </w:r>
  </w:p>
  <w:p w14:paraId="19F410D7">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4D417">
    <w:pPr>
      <w:pStyle w:val="10"/>
      <w:spacing w:line="14" w:lineRule="auto"/>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EFD822">
                          <w:pPr>
                            <w:pStyle w:val="15"/>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34EFD822">
                    <w:pPr>
                      <w:pStyle w:val="15"/>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67BA91">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B0731">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5E4B0731">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2BCAA">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B583B2">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6BB583B2">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6DA03">
    <w:pPr>
      <w:pStyle w:val="16"/>
      <w:pBdr>
        <w:bottom w:val="single" w:color="auto" w:sz="4" w:space="1"/>
      </w:pBdr>
      <w:jc w:val="both"/>
      <w:rPr>
        <w:rFonts w:hint="default"/>
        <w:sz w:val="18"/>
        <w:szCs w:val="20"/>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B44A9">
    <w:pPr>
      <w:pStyle w:val="16"/>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19495" cy="6119495"/>
          <wp:effectExtent l="0" t="0" r="14605" b="14605"/>
          <wp:wrapNone/>
          <wp:docPr id="1" name="WordPictureWaterma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
                  <pic:cNvPicPr>
                    <a:picLocks noChangeAspect="1"/>
                  </pic:cNvPicPr>
                </pic:nvPicPr>
                <pic:blipFill>
                  <a:blip r:embed="rId1">
                    <a:lum bright="70001" contrast="-70000"/>
                  </a:blip>
                  <a:stretch>
                    <a:fillRect/>
                  </a:stretch>
                </pic:blipFill>
                <pic:spPr>
                  <a:xfrm>
                    <a:off x="0" y="0"/>
                    <a:ext cx="6119495" cy="611949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F305D">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14CA8">
    <w:pPr>
      <w:pStyle w:val="16"/>
      <w:jc w:val="both"/>
      <w:rPr>
        <w:rFonts w:hint="default"/>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9ADA6D"/>
    <w:multiLevelType w:val="singleLevel"/>
    <w:tmpl w:val="919ADA6D"/>
    <w:lvl w:ilvl="0" w:tentative="0">
      <w:start w:val="1"/>
      <w:numFmt w:val="decimal"/>
      <w:suff w:val="nothing"/>
      <w:lvlText w:val="%1、"/>
      <w:lvlJc w:val="left"/>
    </w:lvl>
  </w:abstractNum>
  <w:abstractNum w:abstractNumId="1">
    <w:nsid w:val="BAAB5AE7"/>
    <w:multiLevelType w:val="singleLevel"/>
    <w:tmpl w:val="BAAB5AE7"/>
    <w:lvl w:ilvl="0" w:tentative="0">
      <w:start w:val="1"/>
      <w:numFmt w:val="decimal"/>
      <w:lvlText w:val="%1."/>
      <w:lvlJc w:val="left"/>
      <w:pPr>
        <w:tabs>
          <w:tab w:val="left" w:pos="312"/>
        </w:tabs>
      </w:pPr>
    </w:lvl>
  </w:abstractNum>
  <w:abstractNum w:abstractNumId="2">
    <w:nsid w:val="BDCA9B01"/>
    <w:multiLevelType w:val="singleLevel"/>
    <w:tmpl w:val="BDCA9B01"/>
    <w:lvl w:ilvl="0" w:tentative="0">
      <w:start w:val="1"/>
      <w:numFmt w:val="chineseCounting"/>
      <w:suff w:val="nothing"/>
      <w:lvlText w:val="%1、"/>
      <w:lvlJc w:val="left"/>
      <w:rPr>
        <w:rFonts w:hint="eastAsia"/>
      </w:rPr>
    </w:lvl>
  </w:abstractNum>
  <w:abstractNum w:abstractNumId="3">
    <w:nsid w:val="ECC1933A"/>
    <w:multiLevelType w:val="singleLevel"/>
    <w:tmpl w:val="ECC1933A"/>
    <w:lvl w:ilvl="0" w:tentative="0">
      <w:start w:val="1"/>
      <w:numFmt w:val="decimal"/>
      <w:lvlText w:val="%1."/>
      <w:lvlJc w:val="left"/>
      <w:pPr>
        <w:tabs>
          <w:tab w:val="left" w:pos="312"/>
        </w:tabs>
      </w:pPr>
    </w:lvl>
  </w:abstractNum>
  <w:abstractNum w:abstractNumId="4">
    <w:nsid w:val="028A6393"/>
    <w:multiLevelType w:val="singleLevel"/>
    <w:tmpl w:val="028A6393"/>
    <w:lvl w:ilvl="0" w:tentative="0">
      <w:start w:val="7"/>
      <w:numFmt w:val="chineseCounting"/>
      <w:suff w:val="nothing"/>
      <w:lvlText w:val="%1、"/>
      <w:lvlJc w:val="left"/>
      <w:rPr>
        <w:rFonts w:hint="eastAsia"/>
      </w:rPr>
    </w:lvl>
  </w:abstractNum>
  <w:abstractNum w:abstractNumId="5">
    <w:nsid w:val="1F89C42A"/>
    <w:multiLevelType w:val="singleLevel"/>
    <w:tmpl w:val="1F89C42A"/>
    <w:lvl w:ilvl="0" w:tentative="0">
      <w:start w:val="1"/>
      <w:numFmt w:val="decimal"/>
      <w:lvlText w:val="%1."/>
      <w:lvlJc w:val="left"/>
      <w:pPr>
        <w:tabs>
          <w:tab w:val="left" w:pos="312"/>
        </w:tabs>
      </w:pPr>
    </w:lvl>
  </w:abstractNum>
  <w:num w:numId="1">
    <w:abstractNumId w:val="0"/>
  </w:num>
  <w:num w:numId="2">
    <w:abstractNumId w:val="1"/>
  </w:num>
  <w:num w:numId="3">
    <w:abstractNumId w:val="5"/>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JhZDVhOGU2N2VmMDhlYzQ1ZjQ1ZTVlMGUwNTMxY2IifQ=="/>
  </w:docVars>
  <w:rsids>
    <w:rsidRoot w:val="0BD46CE0"/>
    <w:rsid w:val="000C3DA7"/>
    <w:rsid w:val="000E54C6"/>
    <w:rsid w:val="001D4206"/>
    <w:rsid w:val="00305CE7"/>
    <w:rsid w:val="004E43BF"/>
    <w:rsid w:val="005A0FB6"/>
    <w:rsid w:val="005E0AA6"/>
    <w:rsid w:val="005F0D0D"/>
    <w:rsid w:val="00610597"/>
    <w:rsid w:val="007C2CDB"/>
    <w:rsid w:val="00846033"/>
    <w:rsid w:val="00874E29"/>
    <w:rsid w:val="00893649"/>
    <w:rsid w:val="008B3C54"/>
    <w:rsid w:val="008B5614"/>
    <w:rsid w:val="009C337D"/>
    <w:rsid w:val="00A0756A"/>
    <w:rsid w:val="00A2778E"/>
    <w:rsid w:val="00A641FB"/>
    <w:rsid w:val="00A81D22"/>
    <w:rsid w:val="00C36B5B"/>
    <w:rsid w:val="00C85F20"/>
    <w:rsid w:val="00CE72AE"/>
    <w:rsid w:val="00F211EF"/>
    <w:rsid w:val="00F52A8D"/>
    <w:rsid w:val="00F72CA9"/>
    <w:rsid w:val="010F737D"/>
    <w:rsid w:val="01213882"/>
    <w:rsid w:val="01284C10"/>
    <w:rsid w:val="012D0479"/>
    <w:rsid w:val="012D66CB"/>
    <w:rsid w:val="01401F5A"/>
    <w:rsid w:val="0156177E"/>
    <w:rsid w:val="01583748"/>
    <w:rsid w:val="018A1427"/>
    <w:rsid w:val="01981D96"/>
    <w:rsid w:val="01A41E1E"/>
    <w:rsid w:val="01BA61B0"/>
    <w:rsid w:val="01BB7833"/>
    <w:rsid w:val="01BF37C7"/>
    <w:rsid w:val="01C33475"/>
    <w:rsid w:val="01C81F50"/>
    <w:rsid w:val="01D46B46"/>
    <w:rsid w:val="01DD59FB"/>
    <w:rsid w:val="01E23011"/>
    <w:rsid w:val="01FA0599"/>
    <w:rsid w:val="02021905"/>
    <w:rsid w:val="02353A89"/>
    <w:rsid w:val="023A109F"/>
    <w:rsid w:val="02557C87"/>
    <w:rsid w:val="02624152"/>
    <w:rsid w:val="02674585"/>
    <w:rsid w:val="027F4D04"/>
    <w:rsid w:val="028B4F54"/>
    <w:rsid w:val="029F53A6"/>
    <w:rsid w:val="02BE4F7A"/>
    <w:rsid w:val="02CB7F49"/>
    <w:rsid w:val="02D05560"/>
    <w:rsid w:val="02ED6112"/>
    <w:rsid w:val="02F56D74"/>
    <w:rsid w:val="030E51FC"/>
    <w:rsid w:val="0321400D"/>
    <w:rsid w:val="0334789D"/>
    <w:rsid w:val="03483348"/>
    <w:rsid w:val="03525F75"/>
    <w:rsid w:val="035B751F"/>
    <w:rsid w:val="03766107"/>
    <w:rsid w:val="038274A1"/>
    <w:rsid w:val="038A570F"/>
    <w:rsid w:val="039447DF"/>
    <w:rsid w:val="03A72764"/>
    <w:rsid w:val="03B25314"/>
    <w:rsid w:val="03B64756"/>
    <w:rsid w:val="03C74BB5"/>
    <w:rsid w:val="03E07A24"/>
    <w:rsid w:val="03EC461B"/>
    <w:rsid w:val="040134DD"/>
    <w:rsid w:val="040B7160"/>
    <w:rsid w:val="04363AE8"/>
    <w:rsid w:val="04784101"/>
    <w:rsid w:val="047D34C5"/>
    <w:rsid w:val="04891E6A"/>
    <w:rsid w:val="048C54B6"/>
    <w:rsid w:val="048D2BD8"/>
    <w:rsid w:val="049251C3"/>
    <w:rsid w:val="04A42800"/>
    <w:rsid w:val="04A86794"/>
    <w:rsid w:val="04B8274F"/>
    <w:rsid w:val="04CE5ACF"/>
    <w:rsid w:val="04FD0A58"/>
    <w:rsid w:val="05025778"/>
    <w:rsid w:val="050B0AD1"/>
    <w:rsid w:val="05137986"/>
    <w:rsid w:val="051675BB"/>
    <w:rsid w:val="051E0804"/>
    <w:rsid w:val="051E6349"/>
    <w:rsid w:val="051E6A56"/>
    <w:rsid w:val="053D2709"/>
    <w:rsid w:val="054144F3"/>
    <w:rsid w:val="054B5371"/>
    <w:rsid w:val="056326BB"/>
    <w:rsid w:val="05654685"/>
    <w:rsid w:val="05687253"/>
    <w:rsid w:val="056C5B99"/>
    <w:rsid w:val="057C22D7"/>
    <w:rsid w:val="058E4B26"/>
    <w:rsid w:val="05962A91"/>
    <w:rsid w:val="05AA02EA"/>
    <w:rsid w:val="05BC1DCB"/>
    <w:rsid w:val="05D26E3A"/>
    <w:rsid w:val="05D45367"/>
    <w:rsid w:val="05D830A9"/>
    <w:rsid w:val="06071298"/>
    <w:rsid w:val="060A1DD1"/>
    <w:rsid w:val="060C1E02"/>
    <w:rsid w:val="062537E8"/>
    <w:rsid w:val="064918B1"/>
    <w:rsid w:val="064A387B"/>
    <w:rsid w:val="065D535C"/>
    <w:rsid w:val="066761DB"/>
    <w:rsid w:val="06734B80"/>
    <w:rsid w:val="068376C5"/>
    <w:rsid w:val="0686090F"/>
    <w:rsid w:val="068A3C77"/>
    <w:rsid w:val="06AE5BB8"/>
    <w:rsid w:val="06C07699"/>
    <w:rsid w:val="06C90C44"/>
    <w:rsid w:val="06F26EE0"/>
    <w:rsid w:val="06F53C79"/>
    <w:rsid w:val="06FC4AE5"/>
    <w:rsid w:val="06FD08ED"/>
    <w:rsid w:val="0701218C"/>
    <w:rsid w:val="070E5AAE"/>
    <w:rsid w:val="07131EBF"/>
    <w:rsid w:val="071E297C"/>
    <w:rsid w:val="0730481F"/>
    <w:rsid w:val="073065CD"/>
    <w:rsid w:val="074107DA"/>
    <w:rsid w:val="07487DBA"/>
    <w:rsid w:val="07697D31"/>
    <w:rsid w:val="07797F74"/>
    <w:rsid w:val="0781151E"/>
    <w:rsid w:val="07812C00"/>
    <w:rsid w:val="079E6452"/>
    <w:rsid w:val="07BA233A"/>
    <w:rsid w:val="07CD206E"/>
    <w:rsid w:val="07CE4824"/>
    <w:rsid w:val="07DB0C2F"/>
    <w:rsid w:val="07DB29DD"/>
    <w:rsid w:val="07E86EA8"/>
    <w:rsid w:val="080261BB"/>
    <w:rsid w:val="082C3238"/>
    <w:rsid w:val="08326375"/>
    <w:rsid w:val="083B791F"/>
    <w:rsid w:val="086B33F4"/>
    <w:rsid w:val="087D3A94"/>
    <w:rsid w:val="089A76B6"/>
    <w:rsid w:val="089B4494"/>
    <w:rsid w:val="08A90D2D"/>
    <w:rsid w:val="08B1373D"/>
    <w:rsid w:val="08B651F8"/>
    <w:rsid w:val="08BB4929"/>
    <w:rsid w:val="08DA426D"/>
    <w:rsid w:val="08E12275"/>
    <w:rsid w:val="08EA320A"/>
    <w:rsid w:val="08F33D56"/>
    <w:rsid w:val="08FE1A92"/>
    <w:rsid w:val="091343F8"/>
    <w:rsid w:val="09150170"/>
    <w:rsid w:val="091D6C80"/>
    <w:rsid w:val="092263E9"/>
    <w:rsid w:val="09287EA3"/>
    <w:rsid w:val="093C56FD"/>
    <w:rsid w:val="09410F65"/>
    <w:rsid w:val="09476079"/>
    <w:rsid w:val="094B1DE4"/>
    <w:rsid w:val="094E6E4D"/>
    <w:rsid w:val="097C1F9D"/>
    <w:rsid w:val="097E3F67"/>
    <w:rsid w:val="09B01C47"/>
    <w:rsid w:val="09B259BF"/>
    <w:rsid w:val="09D9119E"/>
    <w:rsid w:val="09ED0EE7"/>
    <w:rsid w:val="09F2225F"/>
    <w:rsid w:val="0A0E5ECB"/>
    <w:rsid w:val="0A116B8A"/>
    <w:rsid w:val="0A1C3158"/>
    <w:rsid w:val="0A246083"/>
    <w:rsid w:val="0A342878"/>
    <w:rsid w:val="0A546A76"/>
    <w:rsid w:val="0A5E78F5"/>
    <w:rsid w:val="0A70536D"/>
    <w:rsid w:val="0A8530D4"/>
    <w:rsid w:val="0A9D666F"/>
    <w:rsid w:val="0AA95014"/>
    <w:rsid w:val="0ABC5446"/>
    <w:rsid w:val="0AE0030A"/>
    <w:rsid w:val="0AEA2F37"/>
    <w:rsid w:val="0AEB1631"/>
    <w:rsid w:val="0AF52179"/>
    <w:rsid w:val="0B04224A"/>
    <w:rsid w:val="0B220922"/>
    <w:rsid w:val="0B297F03"/>
    <w:rsid w:val="0B416FFB"/>
    <w:rsid w:val="0B495EAF"/>
    <w:rsid w:val="0B4B7B42"/>
    <w:rsid w:val="0B705B32"/>
    <w:rsid w:val="0B725406"/>
    <w:rsid w:val="0B7A250D"/>
    <w:rsid w:val="0B884C29"/>
    <w:rsid w:val="0B995089"/>
    <w:rsid w:val="0BA13F3D"/>
    <w:rsid w:val="0BA63302"/>
    <w:rsid w:val="0BB7550F"/>
    <w:rsid w:val="0BD46CE0"/>
    <w:rsid w:val="0BD5582F"/>
    <w:rsid w:val="0BE67BA2"/>
    <w:rsid w:val="0BED1BBC"/>
    <w:rsid w:val="0BF24799"/>
    <w:rsid w:val="0C055274"/>
    <w:rsid w:val="0C0B13B7"/>
    <w:rsid w:val="0C104C1F"/>
    <w:rsid w:val="0C1163E6"/>
    <w:rsid w:val="0C2506CA"/>
    <w:rsid w:val="0C540FAF"/>
    <w:rsid w:val="0C6311F3"/>
    <w:rsid w:val="0C8A677F"/>
    <w:rsid w:val="0C8C21A0"/>
    <w:rsid w:val="0C8E44C1"/>
    <w:rsid w:val="0C937D2A"/>
    <w:rsid w:val="0C9615C8"/>
    <w:rsid w:val="0CA05FA3"/>
    <w:rsid w:val="0CB33F28"/>
    <w:rsid w:val="0CFD51A3"/>
    <w:rsid w:val="0CFF53BF"/>
    <w:rsid w:val="0D002EE5"/>
    <w:rsid w:val="0D062163"/>
    <w:rsid w:val="0D2A3ABE"/>
    <w:rsid w:val="0D3F3A0E"/>
    <w:rsid w:val="0D442DD2"/>
    <w:rsid w:val="0D463BB0"/>
    <w:rsid w:val="0D49663A"/>
    <w:rsid w:val="0D7C3D12"/>
    <w:rsid w:val="0D7D0092"/>
    <w:rsid w:val="0D887163"/>
    <w:rsid w:val="0D8B27AF"/>
    <w:rsid w:val="0D921D8F"/>
    <w:rsid w:val="0D9A50E8"/>
    <w:rsid w:val="0DB55A7E"/>
    <w:rsid w:val="0DD979BE"/>
    <w:rsid w:val="0DDA54E4"/>
    <w:rsid w:val="0DDF67B7"/>
    <w:rsid w:val="0DF50570"/>
    <w:rsid w:val="0DF76096"/>
    <w:rsid w:val="0E16227B"/>
    <w:rsid w:val="0E232E17"/>
    <w:rsid w:val="0E2551CB"/>
    <w:rsid w:val="0E440BB0"/>
    <w:rsid w:val="0E462B7A"/>
    <w:rsid w:val="0E6179B4"/>
    <w:rsid w:val="0E664FCA"/>
    <w:rsid w:val="0E67321C"/>
    <w:rsid w:val="0E760C28"/>
    <w:rsid w:val="0E772D33"/>
    <w:rsid w:val="0E7B0A75"/>
    <w:rsid w:val="0E8D2557"/>
    <w:rsid w:val="0E913FA4"/>
    <w:rsid w:val="0E952516"/>
    <w:rsid w:val="0EA55AF2"/>
    <w:rsid w:val="0EAC6E81"/>
    <w:rsid w:val="0EB14497"/>
    <w:rsid w:val="0EB9159E"/>
    <w:rsid w:val="0EBB5316"/>
    <w:rsid w:val="0ED9579C"/>
    <w:rsid w:val="0EE859DF"/>
    <w:rsid w:val="0EEE56EB"/>
    <w:rsid w:val="0F1F58A5"/>
    <w:rsid w:val="0F234C69"/>
    <w:rsid w:val="0F2A5FF8"/>
    <w:rsid w:val="0F334030"/>
    <w:rsid w:val="0F3B6457"/>
    <w:rsid w:val="0F58691F"/>
    <w:rsid w:val="0F6A2898"/>
    <w:rsid w:val="0F7315BD"/>
    <w:rsid w:val="0FAD1102"/>
    <w:rsid w:val="0FBC7598"/>
    <w:rsid w:val="0FBF4992"/>
    <w:rsid w:val="0FDE1B16"/>
    <w:rsid w:val="0FEC42F3"/>
    <w:rsid w:val="0FFF7484"/>
    <w:rsid w:val="10066A65"/>
    <w:rsid w:val="100D1BA1"/>
    <w:rsid w:val="101271B8"/>
    <w:rsid w:val="1045133B"/>
    <w:rsid w:val="104F3F68"/>
    <w:rsid w:val="105552F6"/>
    <w:rsid w:val="10617F7A"/>
    <w:rsid w:val="106A6FF4"/>
    <w:rsid w:val="10741C20"/>
    <w:rsid w:val="1077526D"/>
    <w:rsid w:val="10914580"/>
    <w:rsid w:val="10A6525C"/>
    <w:rsid w:val="10AB3168"/>
    <w:rsid w:val="10B169D0"/>
    <w:rsid w:val="10BE10ED"/>
    <w:rsid w:val="10CC380A"/>
    <w:rsid w:val="10D10E21"/>
    <w:rsid w:val="10D206F5"/>
    <w:rsid w:val="10DB3A4D"/>
    <w:rsid w:val="10E36DA6"/>
    <w:rsid w:val="10E70644"/>
    <w:rsid w:val="10FD1C16"/>
    <w:rsid w:val="11050ACA"/>
    <w:rsid w:val="110C09D7"/>
    <w:rsid w:val="110E3E23"/>
    <w:rsid w:val="111C620F"/>
    <w:rsid w:val="112D2D43"/>
    <w:rsid w:val="11317B11"/>
    <w:rsid w:val="11494E5B"/>
    <w:rsid w:val="114D0915"/>
    <w:rsid w:val="11551A52"/>
    <w:rsid w:val="115D4462"/>
    <w:rsid w:val="118447F4"/>
    <w:rsid w:val="11902A8A"/>
    <w:rsid w:val="119B4F8B"/>
    <w:rsid w:val="11A227BD"/>
    <w:rsid w:val="11A622AD"/>
    <w:rsid w:val="11AD363C"/>
    <w:rsid w:val="11B00A36"/>
    <w:rsid w:val="11D566EF"/>
    <w:rsid w:val="11D64215"/>
    <w:rsid w:val="11F73DAB"/>
    <w:rsid w:val="11FA43A7"/>
    <w:rsid w:val="11FF551A"/>
    <w:rsid w:val="12045226"/>
    <w:rsid w:val="122A544F"/>
    <w:rsid w:val="12617F82"/>
    <w:rsid w:val="12641821"/>
    <w:rsid w:val="12655CC4"/>
    <w:rsid w:val="126D730B"/>
    <w:rsid w:val="1279351E"/>
    <w:rsid w:val="127E6D86"/>
    <w:rsid w:val="12850115"/>
    <w:rsid w:val="12863E8D"/>
    <w:rsid w:val="12865C3B"/>
    <w:rsid w:val="128A572B"/>
    <w:rsid w:val="12BD67FA"/>
    <w:rsid w:val="12C329EB"/>
    <w:rsid w:val="12C624DB"/>
    <w:rsid w:val="12D44BF8"/>
    <w:rsid w:val="12DB7DFA"/>
    <w:rsid w:val="12FE7EC7"/>
    <w:rsid w:val="131D659F"/>
    <w:rsid w:val="131E5E73"/>
    <w:rsid w:val="13201BEB"/>
    <w:rsid w:val="133D09EF"/>
    <w:rsid w:val="133F2C34"/>
    <w:rsid w:val="13497394"/>
    <w:rsid w:val="135B70C7"/>
    <w:rsid w:val="13630E68"/>
    <w:rsid w:val="136A2E67"/>
    <w:rsid w:val="13763F01"/>
    <w:rsid w:val="1379754E"/>
    <w:rsid w:val="137D0DEC"/>
    <w:rsid w:val="137D2B9A"/>
    <w:rsid w:val="13A22600"/>
    <w:rsid w:val="13B862C8"/>
    <w:rsid w:val="13BB7B66"/>
    <w:rsid w:val="13D670F2"/>
    <w:rsid w:val="13F51386"/>
    <w:rsid w:val="13F7291D"/>
    <w:rsid w:val="13FF7A53"/>
    <w:rsid w:val="14067033"/>
    <w:rsid w:val="14223741"/>
    <w:rsid w:val="14276FAA"/>
    <w:rsid w:val="143811B7"/>
    <w:rsid w:val="143F60A1"/>
    <w:rsid w:val="14435965"/>
    <w:rsid w:val="14506500"/>
    <w:rsid w:val="14524026"/>
    <w:rsid w:val="145558C5"/>
    <w:rsid w:val="145A6A37"/>
    <w:rsid w:val="145F6743"/>
    <w:rsid w:val="14694FC9"/>
    <w:rsid w:val="14753551"/>
    <w:rsid w:val="14C15977"/>
    <w:rsid w:val="14CE4563"/>
    <w:rsid w:val="14D013EF"/>
    <w:rsid w:val="14D42C8D"/>
    <w:rsid w:val="14D62EA9"/>
    <w:rsid w:val="14E8498B"/>
    <w:rsid w:val="14EA24B1"/>
    <w:rsid w:val="14F41582"/>
    <w:rsid w:val="14F90946"/>
    <w:rsid w:val="14FC3F92"/>
    <w:rsid w:val="150177FB"/>
    <w:rsid w:val="15080B89"/>
    <w:rsid w:val="150A4901"/>
    <w:rsid w:val="150C0679"/>
    <w:rsid w:val="1523710F"/>
    <w:rsid w:val="153656F6"/>
    <w:rsid w:val="154D0C92"/>
    <w:rsid w:val="15535BD1"/>
    <w:rsid w:val="155E4C4D"/>
    <w:rsid w:val="156F0C08"/>
    <w:rsid w:val="15836462"/>
    <w:rsid w:val="159E5049"/>
    <w:rsid w:val="15A72150"/>
    <w:rsid w:val="15A9411A"/>
    <w:rsid w:val="15CA4090"/>
    <w:rsid w:val="15D24141"/>
    <w:rsid w:val="15DB5C31"/>
    <w:rsid w:val="15E50ECA"/>
    <w:rsid w:val="15E81C52"/>
    <w:rsid w:val="15ED48A2"/>
    <w:rsid w:val="15EE09F8"/>
    <w:rsid w:val="15F01D49"/>
    <w:rsid w:val="1606331B"/>
    <w:rsid w:val="16111CBF"/>
    <w:rsid w:val="16160912"/>
    <w:rsid w:val="161769EB"/>
    <w:rsid w:val="161A0B74"/>
    <w:rsid w:val="16315EBE"/>
    <w:rsid w:val="163A54B3"/>
    <w:rsid w:val="16481B85"/>
    <w:rsid w:val="1651030E"/>
    <w:rsid w:val="16574F7E"/>
    <w:rsid w:val="16685D83"/>
    <w:rsid w:val="166938A9"/>
    <w:rsid w:val="167A5AB7"/>
    <w:rsid w:val="167C182F"/>
    <w:rsid w:val="168D5B19"/>
    <w:rsid w:val="168E50BE"/>
    <w:rsid w:val="1695469E"/>
    <w:rsid w:val="169721C5"/>
    <w:rsid w:val="16AD4C0B"/>
    <w:rsid w:val="16C3120C"/>
    <w:rsid w:val="16CE195E"/>
    <w:rsid w:val="16D221CA"/>
    <w:rsid w:val="16EC24BF"/>
    <w:rsid w:val="16F37AE0"/>
    <w:rsid w:val="16F5513D"/>
    <w:rsid w:val="16F75359"/>
    <w:rsid w:val="16F838BF"/>
    <w:rsid w:val="17125CEF"/>
    <w:rsid w:val="172F064F"/>
    <w:rsid w:val="173E0892"/>
    <w:rsid w:val="174A5489"/>
    <w:rsid w:val="174D6D27"/>
    <w:rsid w:val="17500FFF"/>
    <w:rsid w:val="17544559"/>
    <w:rsid w:val="17602EFE"/>
    <w:rsid w:val="1763479D"/>
    <w:rsid w:val="17832501"/>
    <w:rsid w:val="179E2135"/>
    <w:rsid w:val="179F7397"/>
    <w:rsid w:val="17B12AF2"/>
    <w:rsid w:val="17B44FF8"/>
    <w:rsid w:val="17C84600"/>
    <w:rsid w:val="17D15661"/>
    <w:rsid w:val="18095344"/>
    <w:rsid w:val="1811244B"/>
    <w:rsid w:val="181F7A9C"/>
    <w:rsid w:val="18550589"/>
    <w:rsid w:val="185A5BA0"/>
    <w:rsid w:val="18602A8A"/>
    <w:rsid w:val="186802BC"/>
    <w:rsid w:val="18700F1F"/>
    <w:rsid w:val="18786026"/>
    <w:rsid w:val="188B7B07"/>
    <w:rsid w:val="189015C1"/>
    <w:rsid w:val="18B708FC"/>
    <w:rsid w:val="18BA03EC"/>
    <w:rsid w:val="18BD7EDC"/>
    <w:rsid w:val="18EE62E8"/>
    <w:rsid w:val="18FE29CF"/>
    <w:rsid w:val="1901426D"/>
    <w:rsid w:val="19120228"/>
    <w:rsid w:val="19253D33"/>
    <w:rsid w:val="19353F17"/>
    <w:rsid w:val="193A52A0"/>
    <w:rsid w:val="194128BC"/>
    <w:rsid w:val="1945415A"/>
    <w:rsid w:val="194B7296"/>
    <w:rsid w:val="19595E57"/>
    <w:rsid w:val="19597C05"/>
    <w:rsid w:val="196B6430"/>
    <w:rsid w:val="196C5B8A"/>
    <w:rsid w:val="198A6011"/>
    <w:rsid w:val="199364A5"/>
    <w:rsid w:val="19A54BF8"/>
    <w:rsid w:val="19B94B48"/>
    <w:rsid w:val="19C15826"/>
    <w:rsid w:val="19D11E91"/>
    <w:rsid w:val="19D92AF4"/>
    <w:rsid w:val="19E531E6"/>
    <w:rsid w:val="19EC0A79"/>
    <w:rsid w:val="19F416DC"/>
    <w:rsid w:val="19F85670"/>
    <w:rsid w:val="19FE255B"/>
    <w:rsid w:val="1A1324AA"/>
    <w:rsid w:val="1A255D39"/>
    <w:rsid w:val="1A586B42"/>
    <w:rsid w:val="1A5F124B"/>
    <w:rsid w:val="1A8A0273"/>
    <w:rsid w:val="1A9C1E3E"/>
    <w:rsid w:val="1AA2738A"/>
    <w:rsid w:val="1ABC33D0"/>
    <w:rsid w:val="1ADF413A"/>
    <w:rsid w:val="1AF220BF"/>
    <w:rsid w:val="1B0B3181"/>
    <w:rsid w:val="1B0D0CA7"/>
    <w:rsid w:val="1B3A5814"/>
    <w:rsid w:val="1B5E7755"/>
    <w:rsid w:val="1B79458F"/>
    <w:rsid w:val="1B99078D"/>
    <w:rsid w:val="1BA64C58"/>
    <w:rsid w:val="1BBC447B"/>
    <w:rsid w:val="1BC3580A"/>
    <w:rsid w:val="1BD25A4D"/>
    <w:rsid w:val="1BE96A15"/>
    <w:rsid w:val="1BEA2D97"/>
    <w:rsid w:val="1BF400B9"/>
    <w:rsid w:val="1BF65BDF"/>
    <w:rsid w:val="1BFB4FA4"/>
    <w:rsid w:val="1C024584"/>
    <w:rsid w:val="1C0707B3"/>
    <w:rsid w:val="1C16002F"/>
    <w:rsid w:val="1C1645A5"/>
    <w:rsid w:val="1C285864"/>
    <w:rsid w:val="1C4050AC"/>
    <w:rsid w:val="1C5618EE"/>
    <w:rsid w:val="1C5B5A42"/>
    <w:rsid w:val="1C5D5C5E"/>
    <w:rsid w:val="1C6074FD"/>
    <w:rsid w:val="1C646FED"/>
    <w:rsid w:val="1C765C9F"/>
    <w:rsid w:val="1C7D6C93"/>
    <w:rsid w:val="1C7F7983"/>
    <w:rsid w:val="1C8F322B"/>
    <w:rsid w:val="1CC96E50"/>
    <w:rsid w:val="1CCC554A"/>
    <w:rsid w:val="1CD203FA"/>
    <w:rsid w:val="1CF71C0F"/>
    <w:rsid w:val="1D0B7468"/>
    <w:rsid w:val="1D17405F"/>
    <w:rsid w:val="1D187DD7"/>
    <w:rsid w:val="1D1A76AB"/>
    <w:rsid w:val="1D1C1676"/>
    <w:rsid w:val="1D2F75FB"/>
    <w:rsid w:val="1D352737"/>
    <w:rsid w:val="1D41732E"/>
    <w:rsid w:val="1D497BBF"/>
    <w:rsid w:val="1D50131F"/>
    <w:rsid w:val="1D5A03F0"/>
    <w:rsid w:val="1D63299D"/>
    <w:rsid w:val="1D646B79"/>
    <w:rsid w:val="1D6848BB"/>
    <w:rsid w:val="1D686669"/>
    <w:rsid w:val="1D6F55A4"/>
    <w:rsid w:val="1D9531D6"/>
    <w:rsid w:val="1DA04055"/>
    <w:rsid w:val="1DAF4298"/>
    <w:rsid w:val="1DB25B36"/>
    <w:rsid w:val="1DB45D52"/>
    <w:rsid w:val="1DCF16F9"/>
    <w:rsid w:val="1DF0665E"/>
    <w:rsid w:val="1DF24184"/>
    <w:rsid w:val="1E1B7B7F"/>
    <w:rsid w:val="1E214A6A"/>
    <w:rsid w:val="1E285DF8"/>
    <w:rsid w:val="1E366767"/>
    <w:rsid w:val="1E3824DF"/>
    <w:rsid w:val="1E432792"/>
    <w:rsid w:val="1E4A0464"/>
    <w:rsid w:val="1E4C7D38"/>
    <w:rsid w:val="1E4E3AB1"/>
    <w:rsid w:val="1E58492F"/>
    <w:rsid w:val="1E65704C"/>
    <w:rsid w:val="1E6C03DB"/>
    <w:rsid w:val="1EA41923"/>
    <w:rsid w:val="1EB1403F"/>
    <w:rsid w:val="1EBF49AE"/>
    <w:rsid w:val="1EDA17E8"/>
    <w:rsid w:val="1EDA5344"/>
    <w:rsid w:val="1EDD6BE3"/>
    <w:rsid w:val="1EE937D9"/>
    <w:rsid w:val="1EF8106D"/>
    <w:rsid w:val="1F1617FC"/>
    <w:rsid w:val="1F212F73"/>
    <w:rsid w:val="1F2962CC"/>
    <w:rsid w:val="1F2B5BA0"/>
    <w:rsid w:val="1F2E5690"/>
    <w:rsid w:val="1F330EF8"/>
    <w:rsid w:val="1F346382"/>
    <w:rsid w:val="1F4B4494"/>
    <w:rsid w:val="1F4D05C8"/>
    <w:rsid w:val="1F7E4C34"/>
    <w:rsid w:val="1F8D685B"/>
    <w:rsid w:val="1F9C01BD"/>
    <w:rsid w:val="1FBF531F"/>
    <w:rsid w:val="1FC3402A"/>
    <w:rsid w:val="1FCB1E28"/>
    <w:rsid w:val="1FCF6E73"/>
    <w:rsid w:val="1FE305D3"/>
    <w:rsid w:val="1FF16DE9"/>
    <w:rsid w:val="1FF465B9"/>
    <w:rsid w:val="20032679"/>
    <w:rsid w:val="203B0065"/>
    <w:rsid w:val="204F1D62"/>
    <w:rsid w:val="205B24B5"/>
    <w:rsid w:val="209D2ACD"/>
    <w:rsid w:val="20C718F8"/>
    <w:rsid w:val="20D12B0B"/>
    <w:rsid w:val="20E34258"/>
    <w:rsid w:val="20E64474"/>
    <w:rsid w:val="20F841A8"/>
    <w:rsid w:val="20F87D04"/>
    <w:rsid w:val="21025026"/>
    <w:rsid w:val="212C3E51"/>
    <w:rsid w:val="21334C4D"/>
    <w:rsid w:val="21475C82"/>
    <w:rsid w:val="215533A8"/>
    <w:rsid w:val="215C64E4"/>
    <w:rsid w:val="215F5FD5"/>
    <w:rsid w:val="2164183D"/>
    <w:rsid w:val="217D46AD"/>
    <w:rsid w:val="21983295"/>
    <w:rsid w:val="219F0AC7"/>
    <w:rsid w:val="219F4623"/>
    <w:rsid w:val="21B922AD"/>
    <w:rsid w:val="21C45D42"/>
    <w:rsid w:val="21E62252"/>
    <w:rsid w:val="21ED5A20"/>
    <w:rsid w:val="21F66939"/>
    <w:rsid w:val="2210004A"/>
    <w:rsid w:val="22123EBE"/>
    <w:rsid w:val="22196749"/>
    <w:rsid w:val="223676C5"/>
    <w:rsid w:val="22396826"/>
    <w:rsid w:val="225862E9"/>
    <w:rsid w:val="225B49EE"/>
    <w:rsid w:val="227351F1"/>
    <w:rsid w:val="22743D02"/>
    <w:rsid w:val="227635D6"/>
    <w:rsid w:val="227F19D3"/>
    <w:rsid w:val="228E4DC3"/>
    <w:rsid w:val="229323DA"/>
    <w:rsid w:val="22A77C33"/>
    <w:rsid w:val="22BF098E"/>
    <w:rsid w:val="22C049DD"/>
    <w:rsid w:val="22C95DFC"/>
    <w:rsid w:val="22E5250A"/>
    <w:rsid w:val="23164DB9"/>
    <w:rsid w:val="231D1CA3"/>
    <w:rsid w:val="23270D74"/>
    <w:rsid w:val="2335523F"/>
    <w:rsid w:val="23452FA8"/>
    <w:rsid w:val="234A05BF"/>
    <w:rsid w:val="235220FF"/>
    <w:rsid w:val="235229D8"/>
    <w:rsid w:val="23641680"/>
    <w:rsid w:val="236505DE"/>
    <w:rsid w:val="236E69A3"/>
    <w:rsid w:val="23757D31"/>
    <w:rsid w:val="23863CED"/>
    <w:rsid w:val="23887BB0"/>
    <w:rsid w:val="239A32F4"/>
    <w:rsid w:val="239C52BE"/>
    <w:rsid w:val="23A423C5"/>
    <w:rsid w:val="23B048C6"/>
    <w:rsid w:val="23CD5478"/>
    <w:rsid w:val="23D06603"/>
    <w:rsid w:val="23E10F23"/>
    <w:rsid w:val="240E507C"/>
    <w:rsid w:val="241A2687"/>
    <w:rsid w:val="241B1499"/>
    <w:rsid w:val="241E0D30"/>
    <w:rsid w:val="244F40DF"/>
    <w:rsid w:val="245636BF"/>
    <w:rsid w:val="24600A59"/>
    <w:rsid w:val="24653902"/>
    <w:rsid w:val="2471674B"/>
    <w:rsid w:val="2492046F"/>
    <w:rsid w:val="249935AC"/>
    <w:rsid w:val="24B14D99"/>
    <w:rsid w:val="24B623B0"/>
    <w:rsid w:val="24C35A7A"/>
    <w:rsid w:val="24CD14A7"/>
    <w:rsid w:val="24E06E24"/>
    <w:rsid w:val="24E10731"/>
    <w:rsid w:val="24FD1D8D"/>
    <w:rsid w:val="253B262F"/>
    <w:rsid w:val="255F65A3"/>
    <w:rsid w:val="25781413"/>
    <w:rsid w:val="25A62424"/>
    <w:rsid w:val="25A641D2"/>
    <w:rsid w:val="25AB17E9"/>
    <w:rsid w:val="25B04DD3"/>
    <w:rsid w:val="25C91C6F"/>
    <w:rsid w:val="25CB3C39"/>
    <w:rsid w:val="25E02770"/>
    <w:rsid w:val="25E1345C"/>
    <w:rsid w:val="25E44CFA"/>
    <w:rsid w:val="2609650F"/>
    <w:rsid w:val="260B672B"/>
    <w:rsid w:val="260D5FFF"/>
    <w:rsid w:val="266F0A68"/>
    <w:rsid w:val="267C3185"/>
    <w:rsid w:val="2685028B"/>
    <w:rsid w:val="26AD77E2"/>
    <w:rsid w:val="26B7240F"/>
    <w:rsid w:val="26C54B2C"/>
    <w:rsid w:val="26DD00C8"/>
    <w:rsid w:val="26E15D4F"/>
    <w:rsid w:val="26E7357D"/>
    <w:rsid w:val="26FB22FC"/>
    <w:rsid w:val="271D04C4"/>
    <w:rsid w:val="272160C4"/>
    <w:rsid w:val="27337CE7"/>
    <w:rsid w:val="27381396"/>
    <w:rsid w:val="273B3040"/>
    <w:rsid w:val="275D4D64"/>
    <w:rsid w:val="276C31F9"/>
    <w:rsid w:val="276E51C4"/>
    <w:rsid w:val="27826579"/>
    <w:rsid w:val="2783567B"/>
    <w:rsid w:val="27897907"/>
    <w:rsid w:val="279B588D"/>
    <w:rsid w:val="279D33B3"/>
    <w:rsid w:val="27AC5CEC"/>
    <w:rsid w:val="27AF3540"/>
    <w:rsid w:val="27CC5A46"/>
    <w:rsid w:val="27CD1D88"/>
    <w:rsid w:val="27E02036"/>
    <w:rsid w:val="27E1023C"/>
    <w:rsid w:val="280E605F"/>
    <w:rsid w:val="28153891"/>
    <w:rsid w:val="2826784C"/>
    <w:rsid w:val="282C4737"/>
    <w:rsid w:val="284303FE"/>
    <w:rsid w:val="288B5901"/>
    <w:rsid w:val="289742A6"/>
    <w:rsid w:val="28A54C15"/>
    <w:rsid w:val="28B210E0"/>
    <w:rsid w:val="28B92439"/>
    <w:rsid w:val="28F039B6"/>
    <w:rsid w:val="28F9286B"/>
    <w:rsid w:val="29257B04"/>
    <w:rsid w:val="294C32E2"/>
    <w:rsid w:val="295201CD"/>
    <w:rsid w:val="29567CBD"/>
    <w:rsid w:val="296543A4"/>
    <w:rsid w:val="29656152"/>
    <w:rsid w:val="29712D49"/>
    <w:rsid w:val="2976210D"/>
    <w:rsid w:val="29DD55F2"/>
    <w:rsid w:val="29EB78B2"/>
    <w:rsid w:val="29FA2D3E"/>
    <w:rsid w:val="2A005E7B"/>
    <w:rsid w:val="2A0911D4"/>
    <w:rsid w:val="2A1B4A63"/>
    <w:rsid w:val="2A3E70CF"/>
    <w:rsid w:val="2A65743E"/>
    <w:rsid w:val="2A7778D7"/>
    <w:rsid w:val="2A9A007E"/>
    <w:rsid w:val="2AA05B24"/>
    <w:rsid w:val="2AA16BB2"/>
    <w:rsid w:val="2AA3113F"/>
    <w:rsid w:val="2AD4533E"/>
    <w:rsid w:val="2AD87DA3"/>
    <w:rsid w:val="2AE412F9"/>
    <w:rsid w:val="2AF23A91"/>
    <w:rsid w:val="2AF36273"/>
    <w:rsid w:val="2AF4778E"/>
    <w:rsid w:val="2B083239"/>
    <w:rsid w:val="2B0F6376"/>
    <w:rsid w:val="2B223C5F"/>
    <w:rsid w:val="2B230A70"/>
    <w:rsid w:val="2B285689"/>
    <w:rsid w:val="2B2A31B0"/>
    <w:rsid w:val="2B3B360F"/>
    <w:rsid w:val="2B487ADA"/>
    <w:rsid w:val="2B4B016A"/>
    <w:rsid w:val="2B5621F6"/>
    <w:rsid w:val="2B717030"/>
    <w:rsid w:val="2B7900B3"/>
    <w:rsid w:val="2B7B7EAF"/>
    <w:rsid w:val="2B7C38CD"/>
    <w:rsid w:val="2B8C58B9"/>
    <w:rsid w:val="2B941E9C"/>
    <w:rsid w:val="2B966A97"/>
    <w:rsid w:val="2B9F3B9D"/>
    <w:rsid w:val="2BA2368E"/>
    <w:rsid w:val="2BFD08C4"/>
    <w:rsid w:val="2C025EDA"/>
    <w:rsid w:val="2C2916B9"/>
    <w:rsid w:val="2C365B84"/>
    <w:rsid w:val="2C3C4D7D"/>
    <w:rsid w:val="2C5030EA"/>
    <w:rsid w:val="2C5A1872"/>
    <w:rsid w:val="2C8608B9"/>
    <w:rsid w:val="2C954FA0"/>
    <w:rsid w:val="2C970D19"/>
    <w:rsid w:val="2CA80B9C"/>
    <w:rsid w:val="2CB74F17"/>
    <w:rsid w:val="2CC66F08"/>
    <w:rsid w:val="2D0A6526"/>
    <w:rsid w:val="2D0D4B37"/>
    <w:rsid w:val="2D144117"/>
    <w:rsid w:val="2D2F4203"/>
    <w:rsid w:val="2D2F478A"/>
    <w:rsid w:val="2D307DF6"/>
    <w:rsid w:val="2D4F33A1"/>
    <w:rsid w:val="2D510EC7"/>
    <w:rsid w:val="2D6A3D37"/>
    <w:rsid w:val="2D6D3827"/>
    <w:rsid w:val="2D7B7CF2"/>
    <w:rsid w:val="2D9F7247"/>
    <w:rsid w:val="2DA323B8"/>
    <w:rsid w:val="2DB17BB8"/>
    <w:rsid w:val="2DBE22D5"/>
    <w:rsid w:val="2DC21DC5"/>
    <w:rsid w:val="2DC773DC"/>
    <w:rsid w:val="2DCF6290"/>
    <w:rsid w:val="2DE955A4"/>
    <w:rsid w:val="2E24482E"/>
    <w:rsid w:val="2E262354"/>
    <w:rsid w:val="2E3005EA"/>
    <w:rsid w:val="2E3600BD"/>
    <w:rsid w:val="2E5D2296"/>
    <w:rsid w:val="2E6E3CFB"/>
    <w:rsid w:val="2E772BB0"/>
    <w:rsid w:val="2E7C6418"/>
    <w:rsid w:val="2E7D3F3E"/>
    <w:rsid w:val="2E89509B"/>
    <w:rsid w:val="2E98096C"/>
    <w:rsid w:val="2E9C71BB"/>
    <w:rsid w:val="2E9D013C"/>
    <w:rsid w:val="2EA17C2D"/>
    <w:rsid w:val="2EB2173C"/>
    <w:rsid w:val="2EB45BB2"/>
    <w:rsid w:val="2EBF6EA3"/>
    <w:rsid w:val="2ED8567D"/>
    <w:rsid w:val="2ED973C6"/>
    <w:rsid w:val="2EE61AE3"/>
    <w:rsid w:val="2EFB597A"/>
    <w:rsid w:val="2F034443"/>
    <w:rsid w:val="2F1C3757"/>
    <w:rsid w:val="2F230642"/>
    <w:rsid w:val="2F2E6FE6"/>
    <w:rsid w:val="2F300FB0"/>
    <w:rsid w:val="2F4131BE"/>
    <w:rsid w:val="2F436F36"/>
    <w:rsid w:val="2F4D1B62"/>
    <w:rsid w:val="2F77098D"/>
    <w:rsid w:val="2F7B222C"/>
    <w:rsid w:val="2F81180C"/>
    <w:rsid w:val="2F866E22"/>
    <w:rsid w:val="2FBD4D02"/>
    <w:rsid w:val="2FCC0CD9"/>
    <w:rsid w:val="2FE204FD"/>
    <w:rsid w:val="2FEE60FC"/>
    <w:rsid w:val="2FF65D56"/>
    <w:rsid w:val="30006BD5"/>
    <w:rsid w:val="30087837"/>
    <w:rsid w:val="300A7BA6"/>
    <w:rsid w:val="30136908"/>
    <w:rsid w:val="301B756B"/>
    <w:rsid w:val="30251390"/>
    <w:rsid w:val="302F3016"/>
    <w:rsid w:val="30316D8E"/>
    <w:rsid w:val="30326874"/>
    <w:rsid w:val="303E7AE9"/>
    <w:rsid w:val="30454F7C"/>
    <w:rsid w:val="305A03B0"/>
    <w:rsid w:val="30760C45"/>
    <w:rsid w:val="308275EA"/>
    <w:rsid w:val="308C2216"/>
    <w:rsid w:val="30901D07"/>
    <w:rsid w:val="309F63EE"/>
    <w:rsid w:val="30B009C8"/>
    <w:rsid w:val="30C3032E"/>
    <w:rsid w:val="30D140CD"/>
    <w:rsid w:val="30DC319E"/>
    <w:rsid w:val="30E16A06"/>
    <w:rsid w:val="30EE4C7F"/>
    <w:rsid w:val="312C669A"/>
    <w:rsid w:val="31311FAB"/>
    <w:rsid w:val="313A7EC4"/>
    <w:rsid w:val="313C59EB"/>
    <w:rsid w:val="31615451"/>
    <w:rsid w:val="31662A49"/>
    <w:rsid w:val="31745184"/>
    <w:rsid w:val="317A29E0"/>
    <w:rsid w:val="317B67D5"/>
    <w:rsid w:val="317D15BB"/>
    <w:rsid w:val="317E24A7"/>
    <w:rsid w:val="318850D4"/>
    <w:rsid w:val="318A0E4C"/>
    <w:rsid w:val="31A737AC"/>
    <w:rsid w:val="31B22151"/>
    <w:rsid w:val="31B60FAE"/>
    <w:rsid w:val="31D245A1"/>
    <w:rsid w:val="31EF6F01"/>
    <w:rsid w:val="31FE5396"/>
    <w:rsid w:val="32004C6A"/>
    <w:rsid w:val="321B3DE3"/>
    <w:rsid w:val="32292413"/>
    <w:rsid w:val="322B1F07"/>
    <w:rsid w:val="323A2CC6"/>
    <w:rsid w:val="325356E2"/>
    <w:rsid w:val="32560D2E"/>
    <w:rsid w:val="327613D0"/>
    <w:rsid w:val="32786EF6"/>
    <w:rsid w:val="32A221C5"/>
    <w:rsid w:val="32A93554"/>
    <w:rsid w:val="32B85545"/>
    <w:rsid w:val="32D83E39"/>
    <w:rsid w:val="330864CC"/>
    <w:rsid w:val="330C5891"/>
    <w:rsid w:val="330D4536"/>
    <w:rsid w:val="33323549"/>
    <w:rsid w:val="33631954"/>
    <w:rsid w:val="336B6A5B"/>
    <w:rsid w:val="337575FD"/>
    <w:rsid w:val="337B06B8"/>
    <w:rsid w:val="338C39A2"/>
    <w:rsid w:val="33994A92"/>
    <w:rsid w:val="33A31D51"/>
    <w:rsid w:val="33A3495C"/>
    <w:rsid w:val="33BC72B7"/>
    <w:rsid w:val="33BF6367"/>
    <w:rsid w:val="33DB773D"/>
    <w:rsid w:val="33EE588C"/>
    <w:rsid w:val="34076784"/>
    <w:rsid w:val="340C5B48"/>
    <w:rsid w:val="34190265"/>
    <w:rsid w:val="341B3FDD"/>
    <w:rsid w:val="342866FA"/>
    <w:rsid w:val="343C6B12"/>
    <w:rsid w:val="344572AC"/>
    <w:rsid w:val="3446549C"/>
    <w:rsid w:val="344A6670"/>
    <w:rsid w:val="345A1178"/>
    <w:rsid w:val="34627E5E"/>
    <w:rsid w:val="34670FD0"/>
    <w:rsid w:val="347831DE"/>
    <w:rsid w:val="347C757D"/>
    <w:rsid w:val="348736CE"/>
    <w:rsid w:val="3491429F"/>
    <w:rsid w:val="34943D90"/>
    <w:rsid w:val="34993154"/>
    <w:rsid w:val="34A30383"/>
    <w:rsid w:val="34B3484C"/>
    <w:rsid w:val="34BD6E42"/>
    <w:rsid w:val="34C04B85"/>
    <w:rsid w:val="34C208FD"/>
    <w:rsid w:val="34C77CC1"/>
    <w:rsid w:val="34CE1050"/>
    <w:rsid w:val="34CE2DFE"/>
    <w:rsid w:val="34D128EE"/>
    <w:rsid w:val="34D50630"/>
    <w:rsid w:val="34D923E8"/>
    <w:rsid w:val="34DA3A0B"/>
    <w:rsid w:val="34DB1C6D"/>
    <w:rsid w:val="34E6283D"/>
    <w:rsid w:val="34E72111"/>
    <w:rsid w:val="350E58F0"/>
    <w:rsid w:val="351729F7"/>
    <w:rsid w:val="35225BD7"/>
    <w:rsid w:val="35321C38"/>
    <w:rsid w:val="3538296D"/>
    <w:rsid w:val="35586B6B"/>
    <w:rsid w:val="356D0868"/>
    <w:rsid w:val="35727C2D"/>
    <w:rsid w:val="35843E04"/>
    <w:rsid w:val="359871BA"/>
    <w:rsid w:val="359A7184"/>
    <w:rsid w:val="35B244CD"/>
    <w:rsid w:val="35B93AAE"/>
    <w:rsid w:val="35BC22C3"/>
    <w:rsid w:val="35BC534C"/>
    <w:rsid w:val="35E36D7D"/>
    <w:rsid w:val="35E6061B"/>
    <w:rsid w:val="35EA0AC0"/>
    <w:rsid w:val="35FB2318"/>
    <w:rsid w:val="362353CB"/>
    <w:rsid w:val="36323860"/>
    <w:rsid w:val="36444283"/>
    <w:rsid w:val="36617CA1"/>
    <w:rsid w:val="366A1DF8"/>
    <w:rsid w:val="36743E79"/>
    <w:rsid w:val="368E4F3A"/>
    <w:rsid w:val="368F2A60"/>
    <w:rsid w:val="36940077"/>
    <w:rsid w:val="369E4A52"/>
    <w:rsid w:val="36C4455F"/>
    <w:rsid w:val="36D6243D"/>
    <w:rsid w:val="36D84407"/>
    <w:rsid w:val="36E27034"/>
    <w:rsid w:val="36E508D2"/>
    <w:rsid w:val="36F32FEF"/>
    <w:rsid w:val="372633C5"/>
    <w:rsid w:val="37647A49"/>
    <w:rsid w:val="37667C65"/>
    <w:rsid w:val="376712E7"/>
    <w:rsid w:val="376D2DA2"/>
    <w:rsid w:val="376E2676"/>
    <w:rsid w:val="37814AE6"/>
    <w:rsid w:val="378571E0"/>
    <w:rsid w:val="37873738"/>
    <w:rsid w:val="37901754"/>
    <w:rsid w:val="37985945"/>
    <w:rsid w:val="37A83DDA"/>
    <w:rsid w:val="37BF7375"/>
    <w:rsid w:val="37CD377C"/>
    <w:rsid w:val="37D921E5"/>
    <w:rsid w:val="37E42938"/>
    <w:rsid w:val="37FF59C4"/>
    <w:rsid w:val="38213B8C"/>
    <w:rsid w:val="3830210D"/>
    <w:rsid w:val="3832581C"/>
    <w:rsid w:val="383523CC"/>
    <w:rsid w:val="38507FCD"/>
    <w:rsid w:val="38555055"/>
    <w:rsid w:val="385B0C33"/>
    <w:rsid w:val="386046B4"/>
    <w:rsid w:val="389712B7"/>
    <w:rsid w:val="38991974"/>
    <w:rsid w:val="38AE3672"/>
    <w:rsid w:val="38B16CBE"/>
    <w:rsid w:val="38C369F1"/>
    <w:rsid w:val="38FB618B"/>
    <w:rsid w:val="39007C46"/>
    <w:rsid w:val="39072D82"/>
    <w:rsid w:val="390908A8"/>
    <w:rsid w:val="391C046E"/>
    <w:rsid w:val="394408E9"/>
    <w:rsid w:val="394F0285"/>
    <w:rsid w:val="39665CFB"/>
    <w:rsid w:val="396C0E37"/>
    <w:rsid w:val="399430B5"/>
    <w:rsid w:val="399C171C"/>
    <w:rsid w:val="39A46823"/>
    <w:rsid w:val="39A71043"/>
    <w:rsid w:val="39B12CEE"/>
    <w:rsid w:val="39B27192"/>
    <w:rsid w:val="39B76556"/>
    <w:rsid w:val="39C64C57"/>
    <w:rsid w:val="39CE38A0"/>
    <w:rsid w:val="39D0586A"/>
    <w:rsid w:val="39E41315"/>
    <w:rsid w:val="39EE59F7"/>
    <w:rsid w:val="39F5707E"/>
    <w:rsid w:val="3A105C66"/>
    <w:rsid w:val="3A1F234D"/>
    <w:rsid w:val="3A255BB6"/>
    <w:rsid w:val="3A267238"/>
    <w:rsid w:val="3A3C4CAD"/>
    <w:rsid w:val="3A3F1B1E"/>
    <w:rsid w:val="3A507D03"/>
    <w:rsid w:val="3A5244D1"/>
    <w:rsid w:val="3A541FF7"/>
    <w:rsid w:val="3A6366DE"/>
    <w:rsid w:val="3A647D60"/>
    <w:rsid w:val="3A687850"/>
    <w:rsid w:val="3A712BA9"/>
    <w:rsid w:val="3A79380C"/>
    <w:rsid w:val="3A7E72AC"/>
    <w:rsid w:val="3A816B64"/>
    <w:rsid w:val="3A86417A"/>
    <w:rsid w:val="3A897053"/>
    <w:rsid w:val="3A9B5E78"/>
    <w:rsid w:val="3AB72586"/>
    <w:rsid w:val="3AC058DE"/>
    <w:rsid w:val="3ACD3B57"/>
    <w:rsid w:val="3ADB44C6"/>
    <w:rsid w:val="3AE570F3"/>
    <w:rsid w:val="3AE8273F"/>
    <w:rsid w:val="3AF64E5C"/>
    <w:rsid w:val="3B00217F"/>
    <w:rsid w:val="3B031DF5"/>
    <w:rsid w:val="3B245E6D"/>
    <w:rsid w:val="3B4262F3"/>
    <w:rsid w:val="3B450DF0"/>
    <w:rsid w:val="3B4D36E8"/>
    <w:rsid w:val="3BAB4361"/>
    <w:rsid w:val="3BC62A80"/>
    <w:rsid w:val="3BE13D5E"/>
    <w:rsid w:val="3BE33DA9"/>
    <w:rsid w:val="3BF4646A"/>
    <w:rsid w:val="3C145EE2"/>
    <w:rsid w:val="3C291261"/>
    <w:rsid w:val="3C326368"/>
    <w:rsid w:val="3C6978B0"/>
    <w:rsid w:val="3C6D114E"/>
    <w:rsid w:val="3C6D55F2"/>
    <w:rsid w:val="3C7626F9"/>
    <w:rsid w:val="3C797AF3"/>
    <w:rsid w:val="3C9568F7"/>
    <w:rsid w:val="3C9963E7"/>
    <w:rsid w:val="3C9F07CB"/>
    <w:rsid w:val="3CB11983"/>
    <w:rsid w:val="3CB7061B"/>
    <w:rsid w:val="3CBE5E4E"/>
    <w:rsid w:val="3CFA5E7B"/>
    <w:rsid w:val="3D031AB2"/>
    <w:rsid w:val="3D073351"/>
    <w:rsid w:val="3D075683"/>
    <w:rsid w:val="3D202664"/>
    <w:rsid w:val="3D2C725B"/>
    <w:rsid w:val="3D31661F"/>
    <w:rsid w:val="3D3F6F8E"/>
    <w:rsid w:val="3D7E738B"/>
    <w:rsid w:val="3D7F57A8"/>
    <w:rsid w:val="3D8E75CE"/>
    <w:rsid w:val="3D9A6CBA"/>
    <w:rsid w:val="3DBF00CF"/>
    <w:rsid w:val="3DD75419"/>
    <w:rsid w:val="3E006048"/>
    <w:rsid w:val="3E067AAC"/>
    <w:rsid w:val="3E08692F"/>
    <w:rsid w:val="3E247F32"/>
    <w:rsid w:val="3E3A7756"/>
    <w:rsid w:val="3E3E7246"/>
    <w:rsid w:val="3E502AD5"/>
    <w:rsid w:val="3E595E2E"/>
    <w:rsid w:val="3E6E73FF"/>
    <w:rsid w:val="3E726EF0"/>
    <w:rsid w:val="3E86299B"/>
    <w:rsid w:val="3EC82FB3"/>
    <w:rsid w:val="3EC84D62"/>
    <w:rsid w:val="3EDC080D"/>
    <w:rsid w:val="3EE80F60"/>
    <w:rsid w:val="3EFB0C93"/>
    <w:rsid w:val="3EFB7BFF"/>
    <w:rsid w:val="3F033FEC"/>
    <w:rsid w:val="3F0D6C18"/>
    <w:rsid w:val="3F214472"/>
    <w:rsid w:val="3F450160"/>
    <w:rsid w:val="3F5D7BA0"/>
    <w:rsid w:val="3F6A406B"/>
    <w:rsid w:val="3F7722E4"/>
    <w:rsid w:val="3FB11C9A"/>
    <w:rsid w:val="3FC27A03"/>
    <w:rsid w:val="3FC95AB0"/>
    <w:rsid w:val="3FCF3ECE"/>
    <w:rsid w:val="3FD85478"/>
    <w:rsid w:val="3FE43E1D"/>
    <w:rsid w:val="3FF1653A"/>
    <w:rsid w:val="3FF81676"/>
    <w:rsid w:val="40460634"/>
    <w:rsid w:val="40493C80"/>
    <w:rsid w:val="4057639D"/>
    <w:rsid w:val="40664832"/>
    <w:rsid w:val="408A49C4"/>
    <w:rsid w:val="408E3D89"/>
    <w:rsid w:val="40AE7F87"/>
    <w:rsid w:val="40B01F51"/>
    <w:rsid w:val="40B7508E"/>
    <w:rsid w:val="40B824A1"/>
    <w:rsid w:val="40CA4C19"/>
    <w:rsid w:val="40D7128C"/>
    <w:rsid w:val="40DA0D7C"/>
    <w:rsid w:val="40DC2D46"/>
    <w:rsid w:val="410858E9"/>
    <w:rsid w:val="41123FC3"/>
    <w:rsid w:val="412B104C"/>
    <w:rsid w:val="413B5CBF"/>
    <w:rsid w:val="41452699"/>
    <w:rsid w:val="414F176A"/>
    <w:rsid w:val="41720FB5"/>
    <w:rsid w:val="4182569C"/>
    <w:rsid w:val="419158DF"/>
    <w:rsid w:val="419D0727"/>
    <w:rsid w:val="419E1DAA"/>
    <w:rsid w:val="41A575DC"/>
    <w:rsid w:val="41A90E7A"/>
    <w:rsid w:val="41DD61BA"/>
    <w:rsid w:val="41E7737C"/>
    <w:rsid w:val="41EC520B"/>
    <w:rsid w:val="41F47C4C"/>
    <w:rsid w:val="420267DC"/>
    <w:rsid w:val="420B38E3"/>
    <w:rsid w:val="420E7D4A"/>
    <w:rsid w:val="42137AE0"/>
    <w:rsid w:val="421B789E"/>
    <w:rsid w:val="422616C6"/>
    <w:rsid w:val="4258464E"/>
    <w:rsid w:val="4269685C"/>
    <w:rsid w:val="426E5C20"/>
    <w:rsid w:val="42725710"/>
    <w:rsid w:val="4283791D"/>
    <w:rsid w:val="42A70AE7"/>
    <w:rsid w:val="42B37AD7"/>
    <w:rsid w:val="42C02EB8"/>
    <w:rsid w:val="42C41CE4"/>
    <w:rsid w:val="42CA554C"/>
    <w:rsid w:val="42CA684D"/>
    <w:rsid w:val="42CB3072"/>
    <w:rsid w:val="42CB4E20"/>
    <w:rsid w:val="42D40179"/>
    <w:rsid w:val="42DA5063"/>
    <w:rsid w:val="42E47C90"/>
    <w:rsid w:val="42E63A08"/>
    <w:rsid w:val="42F06FB7"/>
    <w:rsid w:val="42F36125"/>
    <w:rsid w:val="430242C3"/>
    <w:rsid w:val="43170B42"/>
    <w:rsid w:val="434626F9"/>
    <w:rsid w:val="436C03B1"/>
    <w:rsid w:val="4374370A"/>
    <w:rsid w:val="43784FA8"/>
    <w:rsid w:val="437B18E6"/>
    <w:rsid w:val="439B47F3"/>
    <w:rsid w:val="43A82FB8"/>
    <w:rsid w:val="43B835F7"/>
    <w:rsid w:val="43C71A8C"/>
    <w:rsid w:val="43CA794A"/>
    <w:rsid w:val="43E208A8"/>
    <w:rsid w:val="43E443EC"/>
    <w:rsid w:val="43F14D5A"/>
    <w:rsid w:val="43FF1225"/>
    <w:rsid w:val="440E76BA"/>
    <w:rsid w:val="441A7E0D"/>
    <w:rsid w:val="441D78FE"/>
    <w:rsid w:val="442073EE"/>
    <w:rsid w:val="4427077C"/>
    <w:rsid w:val="4433033C"/>
    <w:rsid w:val="44450C02"/>
    <w:rsid w:val="444C01E3"/>
    <w:rsid w:val="447357CF"/>
    <w:rsid w:val="447C0AC8"/>
    <w:rsid w:val="4484172B"/>
    <w:rsid w:val="44AE67A8"/>
    <w:rsid w:val="44B00772"/>
    <w:rsid w:val="44B02520"/>
    <w:rsid w:val="44BA514C"/>
    <w:rsid w:val="44BF2763"/>
    <w:rsid w:val="44D426B2"/>
    <w:rsid w:val="45097E82"/>
    <w:rsid w:val="451C7BB5"/>
    <w:rsid w:val="45246F22"/>
    <w:rsid w:val="452B1BA6"/>
    <w:rsid w:val="4537679D"/>
    <w:rsid w:val="453C3DB3"/>
    <w:rsid w:val="453D6DBA"/>
    <w:rsid w:val="45464C32"/>
    <w:rsid w:val="454964D0"/>
    <w:rsid w:val="455F0C25"/>
    <w:rsid w:val="456450B8"/>
    <w:rsid w:val="456B4699"/>
    <w:rsid w:val="4582210E"/>
    <w:rsid w:val="45877724"/>
    <w:rsid w:val="45905EAD"/>
    <w:rsid w:val="45941E41"/>
    <w:rsid w:val="45943BEF"/>
    <w:rsid w:val="45A007E6"/>
    <w:rsid w:val="45A81449"/>
    <w:rsid w:val="45AA3413"/>
    <w:rsid w:val="45B95404"/>
    <w:rsid w:val="45C83899"/>
    <w:rsid w:val="45CB3220"/>
    <w:rsid w:val="45D747E8"/>
    <w:rsid w:val="45D93CF8"/>
    <w:rsid w:val="45E36925"/>
    <w:rsid w:val="45E36C50"/>
    <w:rsid w:val="45E701C3"/>
    <w:rsid w:val="45EA7CB3"/>
    <w:rsid w:val="45F02A41"/>
    <w:rsid w:val="46020B59"/>
    <w:rsid w:val="46236D21"/>
    <w:rsid w:val="462555FD"/>
    <w:rsid w:val="46272ADF"/>
    <w:rsid w:val="463351B6"/>
    <w:rsid w:val="4642189D"/>
    <w:rsid w:val="46470C62"/>
    <w:rsid w:val="4654512D"/>
    <w:rsid w:val="46564A8C"/>
    <w:rsid w:val="467767AB"/>
    <w:rsid w:val="468054CC"/>
    <w:rsid w:val="46853538"/>
    <w:rsid w:val="468C5C3B"/>
    <w:rsid w:val="46933EA7"/>
    <w:rsid w:val="46965745"/>
    <w:rsid w:val="46A120C2"/>
    <w:rsid w:val="46B73896"/>
    <w:rsid w:val="46C73B51"/>
    <w:rsid w:val="46D544C0"/>
    <w:rsid w:val="46DE1C38"/>
    <w:rsid w:val="46DF533E"/>
    <w:rsid w:val="46EB783F"/>
    <w:rsid w:val="46F37E04"/>
    <w:rsid w:val="46F81F5C"/>
    <w:rsid w:val="46FF778E"/>
    <w:rsid w:val="47095F17"/>
    <w:rsid w:val="471B4E1C"/>
    <w:rsid w:val="472E597E"/>
    <w:rsid w:val="4732546E"/>
    <w:rsid w:val="47694C08"/>
    <w:rsid w:val="47777325"/>
    <w:rsid w:val="477F442B"/>
    <w:rsid w:val="478163F5"/>
    <w:rsid w:val="478973D8"/>
    <w:rsid w:val="478B4B7E"/>
    <w:rsid w:val="478F21EB"/>
    <w:rsid w:val="47953C4F"/>
    <w:rsid w:val="47AF6ABF"/>
    <w:rsid w:val="480212E4"/>
    <w:rsid w:val="480A1F47"/>
    <w:rsid w:val="481C1C7A"/>
    <w:rsid w:val="481D611E"/>
    <w:rsid w:val="481E1BB0"/>
    <w:rsid w:val="4832149E"/>
    <w:rsid w:val="484635A3"/>
    <w:rsid w:val="48474F49"/>
    <w:rsid w:val="48574740"/>
    <w:rsid w:val="486A6E89"/>
    <w:rsid w:val="488717E9"/>
    <w:rsid w:val="48B60321"/>
    <w:rsid w:val="48B63E7D"/>
    <w:rsid w:val="48C7608A"/>
    <w:rsid w:val="48CB3DCC"/>
    <w:rsid w:val="48CC18F2"/>
    <w:rsid w:val="48D4294E"/>
    <w:rsid w:val="48D662CD"/>
    <w:rsid w:val="48DE33BE"/>
    <w:rsid w:val="48DF5182"/>
    <w:rsid w:val="48EC3D42"/>
    <w:rsid w:val="48FC21D7"/>
    <w:rsid w:val="49025F37"/>
    <w:rsid w:val="49117305"/>
    <w:rsid w:val="491237A9"/>
    <w:rsid w:val="49261002"/>
    <w:rsid w:val="49290AF3"/>
    <w:rsid w:val="49350B6D"/>
    <w:rsid w:val="493D6DA4"/>
    <w:rsid w:val="494B7380"/>
    <w:rsid w:val="495913D8"/>
    <w:rsid w:val="49647D7D"/>
    <w:rsid w:val="4972249A"/>
    <w:rsid w:val="49786131"/>
    <w:rsid w:val="499248EA"/>
    <w:rsid w:val="499F2B63"/>
    <w:rsid w:val="49A5461D"/>
    <w:rsid w:val="49A85EBB"/>
    <w:rsid w:val="49BB5BEF"/>
    <w:rsid w:val="49D4280C"/>
    <w:rsid w:val="49E50EBD"/>
    <w:rsid w:val="49F11610"/>
    <w:rsid w:val="49F64E79"/>
    <w:rsid w:val="4A01737A"/>
    <w:rsid w:val="4A064990"/>
    <w:rsid w:val="4A38723F"/>
    <w:rsid w:val="4A4C6847"/>
    <w:rsid w:val="4A577705"/>
    <w:rsid w:val="4A6C6EE9"/>
    <w:rsid w:val="4A835FE1"/>
    <w:rsid w:val="4A9D2AB4"/>
    <w:rsid w:val="4A9D3546"/>
    <w:rsid w:val="4ABA5EA6"/>
    <w:rsid w:val="4AC82401"/>
    <w:rsid w:val="4AD625B4"/>
    <w:rsid w:val="4AD827D0"/>
    <w:rsid w:val="4ADA6548"/>
    <w:rsid w:val="4AE271AB"/>
    <w:rsid w:val="4B1D6435"/>
    <w:rsid w:val="4B2B2811"/>
    <w:rsid w:val="4B4614E8"/>
    <w:rsid w:val="4B633F99"/>
    <w:rsid w:val="4B6B53F2"/>
    <w:rsid w:val="4B700C5B"/>
    <w:rsid w:val="4B810772"/>
    <w:rsid w:val="4B957D3E"/>
    <w:rsid w:val="4B9A1834"/>
    <w:rsid w:val="4B9D30D2"/>
    <w:rsid w:val="4BAD7C0A"/>
    <w:rsid w:val="4BB23021"/>
    <w:rsid w:val="4BB24DCF"/>
    <w:rsid w:val="4BB5666E"/>
    <w:rsid w:val="4BB723E6"/>
    <w:rsid w:val="4BE34F89"/>
    <w:rsid w:val="4BEB6533"/>
    <w:rsid w:val="4BF278C2"/>
    <w:rsid w:val="4BF97102"/>
    <w:rsid w:val="4BFA22D2"/>
    <w:rsid w:val="4C0513A3"/>
    <w:rsid w:val="4C0D2006"/>
    <w:rsid w:val="4C1F0990"/>
    <w:rsid w:val="4C215AB1"/>
    <w:rsid w:val="4C313A81"/>
    <w:rsid w:val="4C3B5A15"/>
    <w:rsid w:val="4C6205A3"/>
    <w:rsid w:val="4C6360CA"/>
    <w:rsid w:val="4C665CE7"/>
    <w:rsid w:val="4C687066"/>
    <w:rsid w:val="4C6B457A"/>
    <w:rsid w:val="4C854292"/>
    <w:rsid w:val="4C8F5111"/>
    <w:rsid w:val="4CA918DF"/>
    <w:rsid w:val="4CCA439B"/>
    <w:rsid w:val="4CDB65A8"/>
    <w:rsid w:val="4CDD4969"/>
    <w:rsid w:val="4CFB09F8"/>
    <w:rsid w:val="4D2158B2"/>
    <w:rsid w:val="4D41465D"/>
    <w:rsid w:val="4D532D26"/>
    <w:rsid w:val="4D6150D8"/>
    <w:rsid w:val="4D6C5536"/>
    <w:rsid w:val="4D6E2F78"/>
    <w:rsid w:val="4D8B58D8"/>
    <w:rsid w:val="4D90451E"/>
    <w:rsid w:val="4DB07878"/>
    <w:rsid w:val="4DB52955"/>
    <w:rsid w:val="4DCF5FFB"/>
    <w:rsid w:val="4DDB6E0B"/>
    <w:rsid w:val="4DF23BA9"/>
    <w:rsid w:val="4E142203"/>
    <w:rsid w:val="4E19112B"/>
    <w:rsid w:val="4E41068C"/>
    <w:rsid w:val="4E4F4B57"/>
    <w:rsid w:val="4E52289A"/>
    <w:rsid w:val="4E796078"/>
    <w:rsid w:val="4E821D07"/>
    <w:rsid w:val="4E916F1E"/>
    <w:rsid w:val="4E9F6CA2"/>
    <w:rsid w:val="4EDB463D"/>
    <w:rsid w:val="4EE71234"/>
    <w:rsid w:val="4F1418FD"/>
    <w:rsid w:val="4F302EBC"/>
    <w:rsid w:val="4F371AA6"/>
    <w:rsid w:val="4F3A5808"/>
    <w:rsid w:val="4F583EE0"/>
    <w:rsid w:val="4F652159"/>
    <w:rsid w:val="4F714FA1"/>
    <w:rsid w:val="4F960564"/>
    <w:rsid w:val="4F976877"/>
    <w:rsid w:val="4FAF62C8"/>
    <w:rsid w:val="4FCE7CFE"/>
    <w:rsid w:val="4FDC68BF"/>
    <w:rsid w:val="4FE45773"/>
    <w:rsid w:val="4FE53195"/>
    <w:rsid w:val="4FF84D7B"/>
    <w:rsid w:val="50047DE1"/>
    <w:rsid w:val="500E27F0"/>
    <w:rsid w:val="5019541D"/>
    <w:rsid w:val="501E0C85"/>
    <w:rsid w:val="502348A9"/>
    <w:rsid w:val="502838B2"/>
    <w:rsid w:val="502F2E92"/>
    <w:rsid w:val="50502E09"/>
    <w:rsid w:val="50697A27"/>
    <w:rsid w:val="50700DB5"/>
    <w:rsid w:val="507F03F4"/>
    <w:rsid w:val="508825A3"/>
    <w:rsid w:val="50901457"/>
    <w:rsid w:val="509176A9"/>
    <w:rsid w:val="5099655E"/>
    <w:rsid w:val="50B82E88"/>
    <w:rsid w:val="50DB3BE9"/>
    <w:rsid w:val="50DB42B0"/>
    <w:rsid w:val="50E33C7D"/>
    <w:rsid w:val="50E35A2B"/>
    <w:rsid w:val="50F10148"/>
    <w:rsid w:val="51112598"/>
    <w:rsid w:val="51114346"/>
    <w:rsid w:val="51142088"/>
    <w:rsid w:val="51164525"/>
    <w:rsid w:val="511E4CB5"/>
    <w:rsid w:val="513149E8"/>
    <w:rsid w:val="513314DF"/>
    <w:rsid w:val="513D439B"/>
    <w:rsid w:val="513E21AB"/>
    <w:rsid w:val="51453FF0"/>
    <w:rsid w:val="51491D32"/>
    <w:rsid w:val="518F170F"/>
    <w:rsid w:val="5196484B"/>
    <w:rsid w:val="51A4340C"/>
    <w:rsid w:val="51B55619"/>
    <w:rsid w:val="51B64EEE"/>
    <w:rsid w:val="51C27D36"/>
    <w:rsid w:val="51C94C21"/>
    <w:rsid w:val="51CB0999"/>
    <w:rsid w:val="51DF2696"/>
    <w:rsid w:val="51E43809"/>
    <w:rsid w:val="51EE4687"/>
    <w:rsid w:val="51F55A16"/>
    <w:rsid w:val="52043EAB"/>
    <w:rsid w:val="521A1920"/>
    <w:rsid w:val="52302EF2"/>
    <w:rsid w:val="524B404B"/>
    <w:rsid w:val="52592449"/>
    <w:rsid w:val="525E180D"/>
    <w:rsid w:val="52825B8E"/>
    <w:rsid w:val="528D5C4E"/>
    <w:rsid w:val="52A01D28"/>
    <w:rsid w:val="52C35B14"/>
    <w:rsid w:val="52F537F4"/>
    <w:rsid w:val="53071EA5"/>
    <w:rsid w:val="53163E96"/>
    <w:rsid w:val="53333878"/>
    <w:rsid w:val="5349426B"/>
    <w:rsid w:val="53547C35"/>
    <w:rsid w:val="535844AE"/>
    <w:rsid w:val="53634C01"/>
    <w:rsid w:val="53682217"/>
    <w:rsid w:val="536A0F08"/>
    <w:rsid w:val="539574B0"/>
    <w:rsid w:val="539A15FA"/>
    <w:rsid w:val="53AE2320"/>
    <w:rsid w:val="53B4545D"/>
    <w:rsid w:val="53BB2150"/>
    <w:rsid w:val="53BD2ACB"/>
    <w:rsid w:val="53CA5755"/>
    <w:rsid w:val="53DA7122"/>
    <w:rsid w:val="53F434F6"/>
    <w:rsid w:val="53F8359B"/>
    <w:rsid w:val="54177EC5"/>
    <w:rsid w:val="54210D44"/>
    <w:rsid w:val="546D5D37"/>
    <w:rsid w:val="546E1AAF"/>
    <w:rsid w:val="54770964"/>
    <w:rsid w:val="54817A35"/>
    <w:rsid w:val="54843081"/>
    <w:rsid w:val="54930741"/>
    <w:rsid w:val="54972DB4"/>
    <w:rsid w:val="54A84FC1"/>
    <w:rsid w:val="54A86D6F"/>
    <w:rsid w:val="54D20290"/>
    <w:rsid w:val="54DC2EBD"/>
    <w:rsid w:val="54E67898"/>
    <w:rsid w:val="54E83610"/>
    <w:rsid w:val="54F372B3"/>
    <w:rsid w:val="54F975CB"/>
    <w:rsid w:val="550D751A"/>
    <w:rsid w:val="553C597C"/>
    <w:rsid w:val="553E1482"/>
    <w:rsid w:val="55480552"/>
    <w:rsid w:val="554A7E27"/>
    <w:rsid w:val="55560EC1"/>
    <w:rsid w:val="555B0286"/>
    <w:rsid w:val="556A671B"/>
    <w:rsid w:val="5579695E"/>
    <w:rsid w:val="557E3F74"/>
    <w:rsid w:val="55A3500D"/>
    <w:rsid w:val="55B41BBF"/>
    <w:rsid w:val="55BD684B"/>
    <w:rsid w:val="55C0633B"/>
    <w:rsid w:val="55CE0A58"/>
    <w:rsid w:val="55F935FB"/>
    <w:rsid w:val="56004989"/>
    <w:rsid w:val="560C1580"/>
    <w:rsid w:val="56293878"/>
    <w:rsid w:val="562E599A"/>
    <w:rsid w:val="563546B0"/>
    <w:rsid w:val="563A7E9B"/>
    <w:rsid w:val="5648247B"/>
    <w:rsid w:val="56665134"/>
    <w:rsid w:val="56725887"/>
    <w:rsid w:val="568320A3"/>
    <w:rsid w:val="568D0913"/>
    <w:rsid w:val="569E667C"/>
    <w:rsid w:val="56CF0F2B"/>
    <w:rsid w:val="56DE116E"/>
    <w:rsid w:val="56DF0A43"/>
    <w:rsid w:val="56E570F0"/>
    <w:rsid w:val="572825E0"/>
    <w:rsid w:val="572D2370"/>
    <w:rsid w:val="5737087F"/>
    <w:rsid w:val="57517B92"/>
    <w:rsid w:val="575760F4"/>
    <w:rsid w:val="57633422"/>
    <w:rsid w:val="57790E97"/>
    <w:rsid w:val="57852DEC"/>
    <w:rsid w:val="578F4217"/>
    <w:rsid w:val="57945CD1"/>
    <w:rsid w:val="579B2BBB"/>
    <w:rsid w:val="57A35F14"/>
    <w:rsid w:val="57B1418D"/>
    <w:rsid w:val="57CB2959"/>
    <w:rsid w:val="57E04A72"/>
    <w:rsid w:val="57E207EA"/>
    <w:rsid w:val="57E26A3C"/>
    <w:rsid w:val="57E62B94"/>
    <w:rsid w:val="57FA1FD8"/>
    <w:rsid w:val="57FF46A2"/>
    <w:rsid w:val="580F7106"/>
    <w:rsid w:val="584414A5"/>
    <w:rsid w:val="585316E8"/>
    <w:rsid w:val="5853793A"/>
    <w:rsid w:val="58631DA6"/>
    <w:rsid w:val="58906498"/>
    <w:rsid w:val="58921AD3"/>
    <w:rsid w:val="589F492D"/>
    <w:rsid w:val="58A12453"/>
    <w:rsid w:val="58A53AD8"/>
    <w:rsid w:val="58B57CAD"/>
    <w:rsid w:val="58B77EC9"/>
    <w:rsid w:val="58B959EF"/>
    <w:rsid w:val="58C4011E"/>
    <w:rsid w:val="58C779E0"/>
    <w:rsid w:val="58E95BA9"/>
    <w:rsid w:val="58EB4BB9"/>
    <w:rsid w:val="58F9403E"/>
    <w:rsid w:val="58FF53CC"/>
    <w:rsid w:val="59232E69"/>
    <w:rsid w:val="59284923"/>
    <w:rsid w:val="593E4146"/>
    <w:rsid w:val="59407EBE"/>
    <w:rsid w:val="594A2AEB"/>
    <w:rsid w:val="59545718"/>
    <w:rsid w:val="5966544B"/>
    <w:rsid w:val="596671F9"/>
    <w:rsid w:val="598A124D"/>
    <w:rsid w:val="598A2EE8"/>
    <w:rsid w:val="59AE3BED"/>
    <w:rsid w:val="59C3464B"/>
    <w:rsid w:val="5A0C1770"/>
    <w:rsid w:val="5A113609"/>
    <w:rsid w:val="5A2E572C"/>
    <w:rsid w:val="5A2E7D17"/>
    <w:rsid w:val="5A3612C1"/>
    <w:rsid w:val="5A582FE6"/>
    <w:rsid w:val="5A625609"/>
    <w:rsid w:val="5A731BCE"/>
    <w:rsid w:val="5A90452E"/>
    <w:rsid w:val="5AA91A93"/>
    <w:rsid w:val="5AA93841"/>
    <w:rsid w:val="5AAC50E0"/>
    <w:rsid w:val="5AB3646E"/>
    <w:rsid w:val="5AD36B10"/>
    <w:rsid w:val="5AD51772"/>
    <w:rsid w:val="5AE605F2"/>
    <w:rsid w:val="5AFA7489"/>
    <w:rsid w:val="5B0171D9"/>
    <w:rsid w:val="5B0902CE"/>
    <w:rsid w:val="5B10566E"/>
    <w:rsid w:val="5B231846"/>
    <w:rsid w:val="5B24111A"/>
    <w:rsid w:val="5B340CC6"/>
    <w:rsid w:val="5B3550D5"/>
    <w:rsid w:val="5B3C2907"/>
    <w:rsid w:val="5B527F04"/>
    <w:rsid w:val="5B6559BA"/>
    <w:rsid w:val="5B841BB9"/>
    <w:rsid w:val="5B8A71CF"/>
    <w:rsid w:val="5B9C33A6"/>
    <w:rsid w:val="5BA71B9B"/>
    <w:rsid w:val="5BBB508A"/>
    <w:rsid w:val="5BC16969"/>
    <w:rsid w:val="5BD13050"/>
    <w:rsid w:val="5BD4669C"/>
    <w:rsid w:val="5BE10DB9"/>
    <w:rsid w:val="5BE7494B"/>
    <w:rsid w:val="5BFB2626"/>
    <w:rsid w:val="5C052CF9"/>
    <w:rsid w:val="5C207B33"/>
    <w:rsid w:val="5C2E2250"/>
    <w:rsid w:val="5C384E7D"/>
    <w:rsid w:val="5C441A74"/>
    <w:rsid w:val="5C451348"/>
    <w:rsid w:val="5C5B500F"/>
    <w:rsid w:val="5C5E4709"/>
    <w:rsid w:val="5C6A7000"/>
    <w:rsid w:val="5C6C4B26"/>
    <w:rsid w:val="5C7165E1"/>
    <w:rsid w:val="5C746021"/>
    <w:rsid w:val="5C7D6D34"/>
    <w:rsid w:val="5C9A53A1"/>
    <w:rsid w:val="5CA532FD"/>
    <w:rsid w:val="5CAE15E3"/>
    <w:rsid w:val="5CB14C2F"/>
    <w:rsid w:val="5CBA1D36"/>
    <w:rsid w:val="5CBD1826"/>
    <w:rsid w:val="5CC44962"/>
    <w:rsid w:val="5CD16E8B"/>
    <w:rsid w:val="5CDD3C76"/>
    <w:rsid w:val="5CE72F5C"/>
    <w:rsid w:val="5CEC5C67"/>
    <w:rsid w:val="5CED4F23"/>
    <w:rsid w:val="5D1C479E"/>
    <w:rsid w:val="5D6879E4"/>
    <w:rsid w:val="5D9C768D"/>
    <w:rsid w:val="5DD15589"/>
    <w:rsid w:val="5DE057CC"/>
    <w:rsid w:val="5DF41277"/>
    <w:rsid w:val="5DF92ED0"/>
    <w:rsid w:val="5DFE5C52"/>
    <w:rsid w:val="5DFF2BC0"/>
    <w:rsid w:val="5E046458"/>
    <w:rsid w:val="5E2733FB"/>
    <w:rsid w:val="5E2A518D"/>
    <w:rsid w:val="5E404D1C"/>
    <w:rsid w:val="5E4E6BDA"/>
    <w:rsid w:val="5E7F4FE5"/>
    <w:rsid w:val="5E8425FB"/>
    <w:rsid w:val="5EB86749"/>
    <w:rsid w:val="5ECE307B"/>
    <w:rsid w:val="5EF64B7B"/>
    <w:rsid w:val="5EFC6636"/>
    <w:rsid w:val="5F1514A5"/>
    <w:rsid w:val="5F1A2F60"/>
    <w:rsid w:val="5F1F7677"/>
    <w:rsid w:val="5F2C4DCC"/>
    <w:rsid w:val="5F3857DB"/>
    <w:rsid w:val="5F3A53B0"/>
    <w:rsid w:val="5F4D5334"/>
    <w:rsid w:val="5F5A15AE"/>
    <w:rsid w:val="5F5F0972"/>
    <w:rsid w:val="5F814D8D"/>
    <w:rsid w:val="5F8E1258"/>
    <w:rsid w:val="5F8E3006"/>
    <w:rsid w:val="5FC92290"/>
    <w:rsid w:val="5FDC0F0C"/>
    <w:rsid w:val="5FEA2932"/>
    <w:rsid w:val="600339F4"/>
    <w:rsid w:val="6008036D"/>
    <w:rsid w:val="600A6B30"/>
    <w:rsid w:val="600B28A8"/>
    <w:rsid w:val="600E1119"/>
    <w:rsid w:val="601230BB"/>
    <w:rsid w:val="603C0CB4"/>
    <w:rsid w:val="60427D1F"/>
    <w:rsid w:val="604C5C3D"/>
    <w:rsid w:val="60624BBE"/>
    <w:rsid w:val="6065020A"/>
    <w:rsid w:val="607D37A6"/>
    <w:rsid w:val="607D5554"/>
    <w:rsid w:val="608A36C4"/>
    <w:rsid w:val="608C39E9"/>
    <w:rsid w:val="60A96349"/>
    <w:rsid w:val="60AA0313"/>
    <w:rsid w:val="60CC028A"/>
    <w:rsid w:val="60D07D7A"/>
    <w:rsid w:val="60D13AF2"/>
    <w:rsid w:val="60DF620F"/>
    <w:rsid w:val="60FA136D"/>
    <w:rsid w:val="60FD6695"/>
    <w:rsid w:val="61077514"/>
    <w:rsid w:val="61137C66"/>
    <w:rsid w:val="61204131"/>
    <w:rsid w:val="613300E3"/>
    <w:rsid w:val="613C71BD"/>
    <w:rsid w:val="614913F6"/>
    <w:rsid w:val="61581B1D"/>
    <w:rsid w:val="615E3269"/>
    <w:rsid w:val="617C0DC9"/>
    <w:rsid w:val="61811074"/>
    <w:rsid w:val="618E3791"/>
    <w:rsid w:val="61923281"/>
    <w:rsid w:val="61970898"/>
    <w:rsid w:val="61A51218"/>
    <w:rsid w:val="61AB4343"/>
    <w:rsid w:val="61C70F03"/>
    <w:rsid w:val="61C84EF5"/>
    <w:rsid w:val="61D218D0"/>
    <w:rsid w:val="61D75138"/>
    <w:rsid w:val="61F061FA"/>
    <w:rsid w:val="61FA2BD4"/>
    <w:rsid w:val="62173786"/>
    <w:rsid w:val="6223212B"/>
    <w:rsid w:val="62312A9A"/>
    <w:rsid w:val="62353C0D"/>
    <w:rsid w:val="625422E5"/>
    <w:rsid w:val="6271733B"/>
    <w:rsid w:val="62A414BE"/>
    <w:rsid w:val="62C57339"/>
    <w:rsid w:val="62C76F5B"/>
    <w:rsid w:val="62CA6A4B"/>
    <w:rsid w:val="62D11B87"/>
    <w:rsid w:val="62E53885"/>
    <w:rsid w:val="62E94DF3"/>
    <w:rsid w:val="62F67840"/>
    <w:rsid w:val="62F835B8"/>
    <w:rsid w:val="62FB30A8"/>
    <w:rsid w:val="62FF4946"/>
    <w:rsid w:val="63141A74"/>
    <w:rsid w:val="63185216"/>
    <w:rsid w:val="63332842"/>
    <w:rsid w:val="634265E1"/>
    <w:rsid w:val="63585E05"/>
    <w:rsid w:val="635D2D54"/>
    <w:rsid w:val="637A5D7B"/>
    <w:rsid w:val="6384309D"/>
    <w:rsid w:val="638E5DB2"/>
    <w:rsid w:val="63911317"/>
    <w:rsid w:val="639D5F0D"/>
    <w:rsid w:val="63B53257"/>
    <w:rsid w:val="64081FD3"/>
    <w:rsid w:val="642342DE"/>
    <w:rsid w:val="642503DD"/>
    <w:rsid w:val="64370110"/>
    <w:rsid w:val="64371EBE"/>
    <w:rsid w:val="64813139"/>
    <w:rsid w:val="64A137DB"/>
    <w:rsid w:val="64AA2690"/>
    <w:rsid w:val="64AD7237"/>
    <w:rsid w:val="64B27B6D"/>
    <w:rsid w:val="64B74DAD"/>
    <w:rsid w:val="64C50F3C"/>
    <w:rsid w:val="64C86FBA"/>
    <w:rsid w:val="64E2007C"/>
    <w:rsid w:val="64E42046"/>
    <w:rsid w:val="64E831B8"/>
    <w:rsid w:val="64FE29DC"/>
    <w:rsid w:val="65075D34"/>
    <w:rsid w:val="65091AAC"/>
    <w:rsid w:val="650A1380"/>
    <w:rsid w:val="653528A1"/>
    <w:rsid w:val="65444892"/>
    <w:rsid w:val="65491EA9"/>
    <w:rsid w:val="65516FAF"/>
    <w:rsid w:val="6564475A"/>
    <w:rsid w:val="65644F35"/>
    <w:rsid w:val="65717652"/>
    <w:rsid w:val="65744A4C"/>
    <w:rsid w:val="65766A16"/>
    <w:rsid w:val="657C227E"/>
    <w:rsid w:val="65877B96"/>
    <w:rsid w:val="659550EE"/>
    <w:rsid w:val="659770B8"/>
    <w:rsid w:val="65A74E21"/>
    <w:rsid w:val="65D53851"/>
    <w:rsid w:val="65EB7404"/>
    <w:rsid w:val="65EE2A50"/>
    <w:rsid w:val="65F31E15"/>
    <w:rsid w:val="65FA13F5"/>
    <w:rsid w:val="66074220"/>
    <w:rsid w:val="660B53B0"/>
    <w:rsid w:val="66171FA7"/>
    <w:rsid w:val="66214BD4"/>
    <w:rsid w:val="662D3578"/>
    <w:rsid w:val="663521C0"/>
    <w:rsid w:val="66410DD2"/>
    <w:rsid w:val="665E1984"/>
    <w:rsid w:val="66770A72"/>
    <w:rsid w:val="66772A46"/>
    <w:rsid w:val="66855163"/>
    <w:rsid w:val="668D04BB"/>
    <w:rsid w:val="6692787F"/>
    <w:rsid w:val="66BA2932"/>
    <w:rsid w:val="66CD08B8"/>
    <w:rsid w:val="66D63C10"/>
    <w:rsid w:val="66D71736"/>
    <w:rsid w:val="66DB0439"/>
    <w:rsid w:val="66E14363"/>
    <w:rsid w:val="66E225B5"/>
    <w:rsid w:val="66FD119D"/>
    <w:rsid w:val="67087B42"/>
    <w:rsid w:val="67185FD7"/>
    <w:rsid w:val="672229B1"/>
    <w:rsid w:val="672901E4"/>
    <w:rsid w:val="6739419F"/>
    <w:rsid w:val="674A63AC"/>
    <w:rsid w:val="67530DBD"/>
    <w:rsid w:val="675E7762"/>
    <w:rsid w:val="67705E13"/>
    <w:rsid w:val="6773320D"/>
    <w:rsid w:val="677D22DE"/>
    <w:rsid w:val="67801DCE"/>
    <w:rsid w:val="67825B46"/>
    <w:rsid w:val="679725B9"/>
    <w:rsid w:val="67A83914"/>
    <w:rsid w:val="67AC2BC3"/>
    <w:rsid w:val="67B210CD"/>
    <w:rsid w:val="67BC2E06"/>
    <w:rsid w:val="67C73559"/>
    <w:rsid w:val="67D85766"/>
    <w:rsid w:val="67E1461B"/>
    <w:rsid w:val="67F833D2"/>
    <w:rsid w:val="6813679E"/>
    <w:rsid w:val="68352BB8"/>
    <w:rsid w:val="683828A4"/>
    <w:rsid w:val="685C6397"/>
    <w:rsid w:val="68626ABD"/>
    <w:rsid w:val="68646FFA"/>
    <w:rsid w:val="687F0831"/>
    <w:rsid w:val="6880464C"/>
    <w:rsid w:val="688B0A2A"/>
    <w:rsid w:val="68996CA3"/>
    <w:rsid w:val="68BA7955"/>
    <w:rsid w:val="68C656C9"/>
    <w:rsid w:val="68D777CC"/>
    <w:rsid w:val="68D91796"/>
    <w:rsid w:val="69004F74"/>
    <w:rsid w:val="690F11B3"/>
    <w:rsid w:val="692D1AE1"/>
    <w:rsid w:val="692F7608"/>
    <w:rsid w:val="695E7EED"/>
    <w:rsid w:val="696B10A2"/>
    <w:rsid w:val="696D1EDE"/>
    <w:rsid w:val="699456BD"/>
    <w:rsid w:val="69AF24F6"/>
    <w:rsid w:val="69EB1FDC"/>
    <w:rsid w:val="6A2A361C"/>
    <w:rsid w:val="6A310A4A"/>
    <w:rsid w:val="6A333127"/>
    <w:rsid w:val="6A58493C"/>
    <w:rsid w:val="6A5C61DA"/>
    <w:rsid w:val="6A641533"/>
    <w:rsid w:val="6A72672B"/>
    <w:rsid w:val="6A7554EE"/>
    <w:rsid w:val="6A7D6CAF"/>
    <w:rsid w:val="6AB73D58"/>
    <w:rsid w:val="6ABE0C43"/>
    <w:rsid w:val="6AC00E5F"/>
    <w:rsid w:val="6ACD0E86"/>
    <w:rsid w:val="6AD404C6"/>
    <w:rsid w:val="6AE75F60"/>
    <w:rsid w:val="6AF74155"/>
    <w:rsid w:val="6B091836"/>
    <w:rsid w:val="6B1271E1"/>
    <w:rsid w:val="6B1E3BA6"/>
    <w:rsid w:val="6B2A277C"/>
    <w:rsid w:val="6B3E3B32"/>
    <w:rsid w:val="6B7C1545"/>
    <w:rsid w:val="6B833C3B"/>
    <w:rsid w:val="6B8C0D41"/>
    <w:rsid w:val="6BA22313"/>
    <w:rsid w:val="6BA51E03"/>
    <w:rsid w:val="6BB838E4"/>
    <w:rsid w:val="6BDE45F3"/>
    <w:rsid w:val="6BEF307E"/>
    <w:rsid w:val="6BF6265F"/>
    <w:rsid w:val="6C12145F"/>
    <w:rsid w:val="6C1D408F"/>
    <w:rsid w:val="6C305B70"/>
    <w:rsid w:val="6C4258A4"/>
    <w:rsid w:val="6C6B6BA9"/>
    <w:rsid w:val="6C7F3644"/>
    <w:rsid w:val="6C81017A"/>
    <w:rsid w:val="6C944351"/>
    <w:rsid w:val="6CA43E69"/>
    <w:rsid w:val="6CAB51F7"/>
    <w:rsid w:val="6CB30550"/>
    <w:rsid w:val="6CBC7404"/>
    <w:rsid w:val="6CCD7863"/>
    <w:rsid w:val="6D1F7993"/>
    <w:rsid w:val="6D285B15"/>
    <w:rsid w:val="6D3715E9"/>
    <w:rsid w:val="6D437B25"/>
    <w:rsid w:val="6D486EEA"/>
    <w:rsid w:val="6D4A37E0"/>
    <w:rsid w:val="6D4D2752"/>
    <w:rsid w:val="6D68133A"/>
    <w:rsid w:val="6D6830E8"/>
    <w:rsid w:val="6D8819DC"/>
    <w:rsid w:val="6D9143ED"/>
    <w:rsid w:val="6DA50FAB"/>
    <w:rsid w:val="6DD53A5A"/>
    <w:rsid w:val="6DDA2238"/>
    <w:rsid w:val="6DEC3D19"/>
    <w:rsid w:val="6E1B63AC"/>
    <w:rsid w:val="6E1F5E9D"/>
    <w:rsid w:val="6E2434B3"/>
    <w:rsid w:val="6E331948"/>
    <w:rsid w:val="6E46167B"/>
    <w:rsid w:val="6E470F4F"/>
    <w:rsid w:val="6E5E1E16"/>
    <w:rsid w:val="6E625D89"/>
    <w:rsid w:val="6E6733A0"/>
    <w:rsid w:val="6E775CD9"/>
    <w:rsid w:val="6ED0363B"/>
    <w:rsid w:val="6EE13152"/>
    <w:rsid w:val="6EF23650"/>
    <w:rsid w:val="6F0937A0"/>
    <w:rsid w:val="6F0A08FB"/>
    <w:rsid w:val="6F125A01"/>
    <w:rsid w:val="6F1F1ECC"/>
    <w:rsid w:val="6F2F65B3"/>
    <w:rsid w:val="6F35524C"/>
    <w:rsid w:val="6F40256E"/>
    <w:rsid w:val="6F402D2D"/>
    <w:rsid w:val="6F411E43"/>
    <w:rsid w:val="6F481423"/>
    <w:rsid w:val="6F5002D8"/>
    <w:rsid w:val="6F573414"/>
    <w:rsid w:val="6F782DA8"/>
    <w:rsid w:val="6F966CC1"/>
    <w:rsid w:val="6FAC7C04"/>
    <w:rsid w:val="6FB40867"/>
    <w:rsid w:val="6FD902CD"/>
    <w:rsid w:val="6FDE6524"/>
    <w:rsid w:val="70001CFE"/>
    <w:rsid w:val="70011985"/>
    <w:rsid w:val="70083ED5"/>
    <w:rsid w:val="700A492A"/>
    <w:rsid w:val="702E6166"/>
    <w:rsid w:val="702F7EED"/>
    <w:rsid w:val="704C638F"/>
    <w:rsid w:val="705636CC"/>
    <w:rsid w:val="707D7D60"/>
    <w:rsid w:val="708A15C7"/>
    <w:rsid w:val="70904E30"/>
    <w:rsid w:val="70A24B63"/>
    <w:rsid w:val="70B30B1E"/>
    <w:rsid w:val="70B46DB2"/>
    <w:rsid w:val="70C66AA3"/>
    <w:rsid w:val="70D72A5F"/>
    <w:rsid w:val="70E00857"/>
    <w:rsid w:val="70E433CD"/>
    <w:rsid w:val="70EB475C"/>
    <w:rsid w:val="70F629BB"/>
    <w:rsid w:val="71155335"/>
    <w:rsid w:val="71234E99"/>
    <w:rsid w:val="712B4B58"/>
    <w:rsid w:val="71333A0D"/>
    <w:rsid w:val="71632544"/>
    <w:rsid w:val="717604C9"/>
    <w:rsid w:val="71775FF0"/>
    <w:rsid w:val="71946BA2"/>
    <w:rsid w:val="71A14E1B"/>
    <w:rsid w:val="71AB132F"/>
    <w:rsid w:val="71BE777B"/>
    <w:rsid w:val="71CF3E29"/>
    <w:rsid w:val="71E2790D"/>
    <w:rsid w:val="71E33685"/>
    <w:rsid w:val="71ED1E0E"/>
    <w:rsid w:val="71F15DA2"/>
    <w:rsid w:val="71F80EDE"/>
    <w:rsid w:val="71FA0D69"/>
    <w:rsid w:val="720F447A"/>
    <w:rsid w:val="721003C5"/>
    <w:rsid w:val="72111FA0"/>
    <w:rsid w:val="723C62EB"/>
    <w:rsid w:val="726E2F4F"/>
    <w:rsid w:val="727662A7"/>
    <w:rsid w:val="727918F3"/>
    <w:rsid w:val="72807126"/>
    <w:rsid w:val="729606F7"/>
    <w:rsid w:val="7298621E"/>
    <w:rsid w:val="72AC3A77"/>
    <w:rsid w:val="72B917BC"/>
    <w:rsid w:val="73191889"/>
    <w:rsid w:val="73214465"/>
    <w:rsid w:val="7329331A"/>
    <w:rsid w:val="732D2E0A"/>
    <w:rsid w:val="73334198"/>
    <w:rsid w:val="734168B5"/>
    <w:rsid w:val="7349576A"/>
    <w:rsid w:val="734B7734"/>
    <w:rsid w:val="73504D4A"/>
    <w:rsid w:val="735760D9"/>
    <w:rsid w:val="7359395E"/>
    <w:rsid w:val="735F0AE9"/>
    <w:rsid w:val="736A17B3"/>
    <w:rsid w:val="737722D7"/>
    <w:rsid w:val="739A5FC5"/>
    <w:rsid w:val="73A155A6"/>
    <w:rsid w:val="73A6496A"/>
    <w:rsid w:val="73A750C7"/>
    <w:rsid w:val="73D70FC8"/>
    <w:rsid w:val="73EC5B91"/>
    <w:rsid w:val="73EF1E6D"/>
    <w:rsid w:val="73F456D6"/>
    <w:rsid w:val="73F76FB9"/>
    <w:rsid w:val="740A2536"/>
    <w:rsid w:val="74122000"/>
    <w:rsid w:val="741F0BD9"/>
    <w:rsid w:val="74597C2E"/>
    <w:rsid w:val="7460720F"/>
    <w:rsid w:val="747C102B"/>
    <w:rsid w:val="748051BB"/>
    <w:rsid w:val="74856C75"/>
    <w:rsid w:val="74860F70"/>
    <w:rsid w:val="7487654A"/>
    <w:rsid w:val="748A4CEE"/>
    <w:rsid w:val="749649DF"/>
    <w:rsid w:val="74B03CF2"/>
    <w:rsid w:val="74B310ED"/>
    <w:rsid w:val="74B45308"/>
    <w:rsid w:val="74C96B62"/>
    <w:rsid w:val="74EB4D2A"/>
    <w:rsid w:val="74F33BDF"/>
    <w:rsid w:val="74F55BA9"/>
    <w:rsid w:val="7507768A"/>
    <w:rsid w:val="750D6F2C"/>
    <w:rsid w:val="75181898"/>
    <w:rsid w:val="751A73BE"/>
    <w:rsid w:val="7523428C"/>
    <w:rsid w:val="75396AE8"/>
    <w:rsid w:val="754C32EF"/>
    <w:rsid w:val="755521A4"/>
    <w:rsid w:val="755A3C5E"/>
    <w:rsid w:val="755C1784"/>
    <w:rsid w:val="75622B13"/>
    <w:rsid w:val="75660855"/>
    <w:rsid w:val="756D1BE3"/>
    <w:rsid w:val="75722525"/>
    <w:rsid w:val="757840E4"/>
    <w:rsid w:val="758111EB"/>
    <w:rsid w:val="75834F63"/>
    <w:rsid w:val="758415D8"/>
    <w:rsid w:val="75B3511C"/>
    <w:rsid w:val="75DC4673"/>
    <w:rsid w:val="75EA3234"/>
    <w:rsid w:val="75F23E97"/>
    <w:rsid w:val="760342F6"/>
    <w:rsid w:val="760A11E0"/>
    <w:rsid w:val="760F2C9B"/>
    <w:rsid w:val="76143E0D"/>
    <w:rsid w:val="761F631C"/>
    <w:rsid w:val="76273BFB"/>
    <w:rsid w:val="762878B8"/>
    <w:rsid w:val="76342701"/>
    <w:rsid w:val="76377AFB"/>
    <w:rsid w:val="763C15B6"/>
    <w:rsid w:val="763E70DC"/>
    <w:rsid w:val="76516E0F"/>
    <w:rsid w:val="76522B87"/>
    <w:rsid w:val="765668DA"/>
    <w:rsid w:val="76635847"/>
    <w:rsid w:val="766537ED"/>
    <w:rsid w:val="768076F4"/>
    <w:rsid w:val="769C41AB"/>
    <w:rsid w:val="769D02A6"/>
    <w:rsid w:val="76AC2297"/>
    <w:rsid w:val="76B346EE"/>
    <w:rsid w:val="76D4359C"/>
    <w:rsid w:val="76F123A0"/>
    <w:rsid w:val="76F61765"/>
    <w:rsid w:val="77161E07"/>
    <w:rsid w:val="771805CB"/>
    <w:rsid w:val="771D024C"/>
    <w:rsid w:val="772269FE"/>
    <w:rsid w:val="774249AA"/>
    <w:rsid w:val="77444BC6"/>
    <w:rsid w:val="77460CC4"/>
    <w:rsid w:val="77471FC0"/>
    <w:rsid w:val="77590FDE"/>
    <w:rsid w:val="77642B72"/>
    <w:rsid w:val="776B2153"/>
    <w:rsid w:val="777C7EBC"/>
    <w:rsid w:val="77813724"/>
    <w:rsid w:val="778356EE"/>
    <w:rsid w:val="77B533CE"/>
    <w:rsid w:val="77BE14A6"/>
    <w:rsid w:val="77BF424C"/>
    <w:rsid w:val="77D575CC"/>
    <w:rsid w:val="77DE32D5"/>
    <w:rsid w:val="77E3618D"/>
    <w:rsid w:val="77E86C88"/>
    <w:rsid w:val="77EB5041"/>
    <w:rsid w:val="781E71C5"/>
    <w:rsid w:val="782071AE"/>
    <w:rsid w:val="784D7AAA"/>
    <w:rsid w:val="787212BF"/>
    <w:rsid w:val="78811502"/>
    <w:rsid w:val="78874D6A"/>
    <w:rsid w:val="789B25C4"/>
    <w:rsid w:val="78AF2513"/>
    <w:rsid w:val="78CF04BF"/>
    <w:rsid w:val="78D930EC"/>
    <w:rsid w:val="78E8577B"/>
    <w:rsid w:val="78F341AE"/>
    <w:rsid w:val="790243F1"/>
    <w:rsid w:val="790740FD"/>
    <w:rsid w:val="792D2B46"/>
    <w:rsid w:val="79332946"/>
    <w:rsid w:val="793D7B1F"/>
    <w:rsid w:val="794157FA"/>
    <w:rsid w:val="79621333"/>
    <w:rsid w:val="796E7CD8"/>
    <w:rsid w:val="797352EE"/>
    <w:rsid w:val="79751067"/>
    <w:rsid w:val="797E5A8D"/>
    <w:rsid w:val="79815C5D"/>
    <w:rsid w:val="7987552E"/>
    <w:rsid w:val="799B65F3"/>
    <w:rsid w:val="79B9081F"/>
    <w:rsid w:val="79E24222"/>
    <w:rsid w:val="79FF0924"/>
    <w:rsid w:val="7A046449"/>
    <w:rsid w:val="7A2B5BC9"/>
    <w:rsid w:val="7A2E1215"/>
    <w:rsid w:val="7A3E58FC"/>
    <w:rsid w:val="7A590988"/>
    <w:rsid w:val="7A6B246A"/>
    <w:rsid w:val="7A715CD2"/>
    <w:rsid w:val="7A831561"/>
    <w:rsid w:val="7AAA2F92"/>
    <w:rsid w:val="7AB43E11"/>
    <w:rsid w:val="7AB4796D"/>
    <w:rsid w:val="7AC06311"/>
    <w:rsid w:val="7AD86AF4"/>
    <w:rsid w:val="7AD93877"/>
    <w:rsid w:val="7B206849"/>
    <w:rsid w:val="7B3867F0"/>
    <w:rsid w:val="7B590514"/>
    <w:rsid w:val="7B762E74"/>
    <w:rsid w:val="7B8D0065"/>
    <w:rsid w:val="7B9C6D7F"/>
    <w:rsid w:val="7BAE1B6F"/>
    <w:rsid w:val="7BB11B26"/>
    <w:rsid w:val="7BBB4D2B"/>
    <w:rsid w:val="7BCB7664"/>
    <w:rsid w:val="7BD52290"/>
    <w:rsid w:val="7BDE6A7E"/>
    <w:rsid w:val="7BDF4EBD"/>
    <w:rsid w:val="7BE91898"/>
    <w:rsid w:val="7BF045C5"/>
    <w:rsid w:val="7BF14C64"/>
    <w:rsid w:val="7BF85F7F"/>
    <w:rsid w:val="7C084414"/>
    <w:rsid w:val="7C091F3A"/>
    <w:rsid w:val="7C0B180E"/>
    <w:rsid w:val="7C15268D"/>
    <w:rsid w:val="7C336FB7"/>
    <w:rsid w:val="7C7C3487"/>
    <w:rsid w:val="7C9428A4"/>
    <w:rsid w:val="7C953391"/>
    <w:rsid w:val="7C9E08D4"/>
    <w:rsid w:val="7CC320E9"/>
    <w:rsid w:val="7CC3658D"/>
    <w:rsid w:val="7CC52305"/>
    <w:rsid w:val="7CC80851"/>
    <w:rsid w:val="7D07647A"/>
    <w:rsid w:val="7D27455C"/>
    <w:rsid w:val="7D384885"/>
    <w:rsid w:val="7D752E25"/>
    <w:rsid w:val="7D7F0706"/>
    <w:rsid w:val="7D7F24B4"/>
    <w:rsid w:val="7D913F95"/>
    <w:rsid w:val="7DBA3683"/>
    <w:rsid w:val="7DCC1471"/>
    <w:rsid w:val="7DCE51E9"/>
    <w:rsid w:val="7DDA3B8E"/>
    <w:rsid w:val="7DE8278A"/>
    <w:rsid w:val="7DF10ED8"/>
    <w:rsid w:val="7DF74740"/>
    <w:rsid w:val="7DF851BD"/>
    <w:rsid w:val="7E096221"/>
    <w:rsid w:val="7E1370A0"/>
    <w:rsid w:val="7E1846B6"/>
    <w:rsid w:val="7E1A3F8B"/>
    <w:rsid w:val="7E203B02"/>
    <w:rsid w:val="7E244E09"/>
    <w:rsid w:val="7E2E3EDA"/>
    <w:rsid w:val="7E3505E9"/>
    <w:rsid w:val="7E582D05"/>
    <w:rsid w:val="7E617E0B"/>
    <w:rsid w:val="7E6478FC"/>
    <w:rsid w:val="7E7062A0"/>
    <w:rsid w:val="7E8B30DA"/>
    <w:rsid w:val="7E8B4E88"/>
    <w:rsid w:val="7EA1645A"/>
    <w:rsid w:val="7EA63A70"/>
    <w:rsid w:val="7ECD724F"/>
    <w:rsid w:val="7EE33139"/>
    <w:rsid w:val="7EE50A3C"/>
    <w:rsid w:val="7EEA25C1"/>
    <w:rsid w:val="7F0215EE"/>
    <w:rsid w:val="7F1E7AAB"/>
    <w:rsid w:val="7F2350C1"/>
    <w:rsid w:val="7F48126D"/>
    <w:rsid w:val="7F54171E"/>
    <w:rsid w:val="7F671451"/>
    <w:rsid w:val="7F7678E7"/>
    <w:rsid w:val="7F875650"/>
    <w:rsid w:val="7F9145F0"/>
    <w:rsid w:val="7FA77AA0"/>
    <w:rsid w:val="7FBF128D"/>
    <w:rsid w:val="7FE505C8"/>
    <w:rsid w:val="7FEA5BDF"/>
    <w:rsid w:val="7FEF02D4"/>
    <w:rsid w:val="7FF2196A"/>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7"/>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32"/>
      <w:szCs w:val="20"/>
    </w:rPr>
  </w:style>
  <w:style w:type="paragraph" w:styleId="3">
    <w:name w:val="heading 2"/>
    <w:basedOn w:val="1"/>
    <w:next w:val="1"/>
    <w:autoRedefine/>
    <w:qFormat/>
    <w:uiPriority w:val="0"/>
    <w:pPr>
      <w:keepNext/>
      <w:keepLines/>
      <w:spacing w:before="260" w:after="260" w:line="500" w:lineRule="exact"/>
      <w:outlineLvl w:val="1"/>
    </w:pPr>
    <w:rPr>
      <w:rFonts w:ascii="Arial" w:hAnsi="Arial" w:eastAsia="黑体"/>
      <w:b/>
      <w:sz w:val="28"/>
      <w:szCs w:val="20"/>
    </w:rPr>
  </w:style>
  <w:style w:type="paragraph" w:styleId="4">
    <w:name w:val="heading 3"/>
    <w:basedOn w:val="1"/>
    <w:next w:val="1"/>
    <w:autoRedefine/>
    <w:qFormat/>
    <w:uiPriority w:val="0"/>
    <w:pPr>
      <w:keepNext/>
      <w:keepLines/>
      <w:spacing w:before="260" w:after="260" w:line="412" w:lineRule="auto"/>
      <w:outlineLvl w:val="2"/>
    </w:pPr>
    <w:rPr>
      <w:b/>
      <w:sz w:val="32"/>
      <w:szCs w:val="20"/>
    </w:rPr>
  </w:style>
  <w:style w:type="paragraph" w:styleId="5">
    <w:name w:val="heading 4"/>
    <w:basedOn w:val="1"/>
    <w:next w:val="1"/>
    <w:autoRedefine/>
    <w:qFormat/>
    <w:uiPriority w:val="0"/>
    <w:pPr>
      <w:keepNext/>
      <w:keepLines/>
      <w:spacing w:before="280" w:after="290" w:line="376" w:lineRule="auto"/>
      <w:outlineLvl w:val="3"/>
    </w:pPr>
    <w:rPr>
      <w:rFonts w:ascii="Calibri Light" w:hAnsi="Calibri Light"/>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tblPr>
      <w:tblCellMar>
        <w:top w:w="0" w:type="dxa"/>
        <w:left w:w="108" w:type="dxa"/>
        <w:bottom w:w="0" w:type="dxa"/>
        <w:right w:w="108" w:type="dxa"/>
      </w:tblCellMar>
    </w:tblPr>
  </w:style>
  <w:style w:type="paragraph" w:styleId="6">
    <w:name w:val="table of authorities"/>
    <w:basedOn w:val="1"/>
    <w:next w:val="1"/>
    <w:autoRedefine/>
    <w:qFormat/>
    <w:uiPriority w:val="0"/>
    <w:pPr>
      <w:ind w:left="420" w:leftChars="200"/>
    </w:pPr>
  </w:style>
  <w:style w:type="paragraph" w:styleId="7">
    <w:name w:val="Normal Indent"/>
    <w:basedOn w:val="1"/>
    <w:next w:val="8"/>
    <w:autoRedefine/>
    <w:qFormat/>
    <w:uiPriority w:val="0"/>
    <w:pPr>
      <w:ind w:firstLine="420"/>
    </w:pPr>
    <w:rPr>
      <w:szCs w:val="20"/>
    </w:rPr>
  </w:style>
  <w:style w:type="paragraph" w:styleId="8">
    <w:name w:val="toc 4"/>
    <w:basedOn w:val="1"/>
    <w:next w:val="1"/>
    <w:qFormat/>
    <w:uiPriority w:val="39"/>
    <w:pPr>
      <w:ind w:left="1260" w:leftChars="600"/>
    </w:pPr>
  </w:style>
  <w:style w:type="paragraph" w:styleId="9">
    <w:name w:val="annotation text"/>
    <w:basedOn w:val="1"/>
    <w:autoRedefine/>
    <w:qFormat/>
    <w:uiPriority w:val="0"/>
    <w:pPr>
      <w:jc w:val="left"/>
    </w:pPr>
  </w:style>
  <w:style w:type="paragraph" w:styleId="10">
    <w:name w:val="Body Text"/>
    <w:basedOn w:val="1"/>
    <w:autoRedefine/>
    <w:semiHidden/>
    <w:qFormat/>
    <w:uiPriority w:val="0"/>
    <w:pPr>
      <w:spacing w:before="100" w:beforeAutospacing="1" w:after="100" w:afterAutospacing="1" w:line="600" w:lineRule="auto"/>
    </w:pPr>
    <w:rPr>
      <w:kern w:val="0"/>
      <w:sz w:val="20"/>
    </w:rPr>
  </w:style>
  <w:style w:type="paragraph" w:styleId="11">
    <w:name w:val="Body Text Indent"/>
    <w:basedOn w:val="1"/>
    <w:autoRedefine/>
    <w:qFormat/>
    <w:uiPriority w:val="0"/>
    <w:pPr>
      <w:ind w:firstLine="630"/>
    </w:pPr>
    <w:rPr>
      <w:sz w:val="32"/>
      <w:szCs w:val="20"/>
    </w:rPr>
  </w:style>
  <w:style w:type="paragraph" w:styleId="12">
    <w:name w:val="Plain Text"/>
    <w:basedOn w:val="1"/>
    <w:next w:val="1"/>
    <w:autoRedefine/>
    <w:qFormat/>
    <w:uiPriority w:val="0"/>
    <w:rPr>
      <w:rFonts w:ascii="宋体" w:hAnsi="Courier New" w:cs="Courier New"/>
      <w:szCs w:val="21"/>
    </w:rPr>
  </w:style>
  <w:style w:type="paragraph" w:styleId="13">
    <w:name w:val="Date"/>
    <w:basedOn w:val="1"/>
    <w:next w:val="1"/>
    <w:autoRedefine/>
    <w:qFormat/>
    <w:uiPriority w:val="0"/>
    <w:rPr>
      <w:color w:val="000000"/>
      <w:kern w:val="0"/>
      <w:sz w:val="30"/>
    </w:rPr>
  </w:style>
  <w:style w:type="paragraph" w:styleId="14">
    <w:name w:val="Body Text Indent 2"/>
    <w:basedOn w:val="1"/>
    <w:autoRedefine/>
    <w:qFormat/>
    <w:uiPriority w:val="0"/>
    <w:pPr>
      <w:ind w:firstLine="630"/>
    </w:pPr>
    <w:rPr>
      <w:sz w:val="32"/>
      <w:szCs w:val="20"/>
    </w:rPr>
  </w:style>
  <w:style w:type="paragraph" w:styleId="15">
    <w:name w:val="footer"/>
    <w:basedOn w:val="1"/>
    <w:autoRedefine/>
    <w:qFormat/>
    <w:uiPriority w:val="0"/>
    <w:pPr>
      <w:tabs>
        <w:tab w:val="center" w:pos="4153"/>
        <w:tab w:val="right" w:pos="8306"/>
      </w:tabs>
      <w:snapToGrid w:val="0"/>
      <w:jc w:val="left"/>
    </w:pPr>
    <w:rPr>
      <w:sz w:val="18"/>
      <w:szCs w:val="20"/>
    </w:rPr>
  </w:style>
  <w:style w:type="paragraph" w:styleId="16">
    <w:name w:val="header"/>
    <w:basedOn w:val="1"/>
    <w:autoRedefine/>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autoRedefine/>
    <w:qFormat/>
    <w:uiPriority w:val="0"/>
  </w:style>
  <w:style w:type="paragraph" w:styleId="18">
    <w:name w:val="Body Text Indent 3"/>
    <w:basedOn w:val="1"/>
    <w:autoRedefine/>
    <w:qFormat/>
    <w:uiPriority w:val="0"/>
    <w:pPr>
      <w:adjustRightInd w:val="0"/>
      <w:snapToGrid w:val="0"/>
      <w:spacing w:line="360" w:lineRule="auto"/>
      <w:ind w:firstLine="600" w:firstLineChars="200"/>
    </w:pPr>
    <w:rPr>
      <w:rFonts w:ascii="黑体" w:eastAsia="黑体"/>
      <w:sz w:val="30"/>
      <w:szCs w:val="28"/>
    </w:rPr>
  </w:style>
  <w:style w:type="paragraph" w:styleId="19">
    <w:name w:val="Body Text 2"/>
    <w:basedOn w:val="1"/>
    <w:autoRedefine/>
    <w:qFormat/>
    <w:uiPriority w:val="0"/>
    <w:pPr>
      <w:autoSpaceDE w:val="0"/>
      <w:autoSpaceDN w:val="0"/>
      <w:adjustRightInd w:val="0"/>
      <w:jc w:val="center"/>
    </w:pPr>
    <w:rPr>
      <w:rFonts w:ascii="幼圆" w:eastAsia="幼圆"/>
      <w:b/>
      <w:bCs/>
      <w:color w:val="000000"/>
      <w:kern w:val="0"/>
      <w:sz w:val="72"/>
      <w:szCs w:val="44"/>
    </w:rPr>
  </w:style>
  <w:style w:type="paragraph" w:styleId="20">
    <w:name w:val="Normal (Web)"/>
    <w:basedOn w:val="1"/>
    <w:autoRedefine/>
    <w:qFormat/>
    <w:uiPriority w:val="99"/>
    <w:pPr>
      <w:widowControl/>
      <w:spacing w:before="100" w:beforeAutospacing="1" w:after="100" w:afterAutospacing="1"/>
      <w:jc w:val="left"/>
    </w:pPr>
    <w:rPr>
      <w:rFonts w:ascii="宋体" w:hAnsi="宋体"/>
      <w:kern w:val="0"/>
      <w:sz w:val="18"/>
      <w:szCs w:val="18"/>
    </w:rPr>
  </w:style>
  <w:style w:type="paragraph" w:styleId="21">
    <w:name w:val="Body Text First Indent"/>
    <w:basedOn w:val="10"/>
    <w:next w:val="1"/>
    <w:qFormat/>
    <w:uiPriority w:val="0"/>
    <w:pPr>
      <w:tabs>
        <w:tab w:val="left" w:pos="567"/>
        <w:tab w:val="left" w:pos="630"/>
      </w:tabs>
      <w:spacing w:after="120" w:afterLines="0"/>
      <w:ind w:firstLine="100" w:firstLineChars="100"/>
      <w:jc w:val="both"/>
      <w:textAlignment w:val="auto"/>
    </w:pPr>
    <w:rPr>
      <w:rFonts w:ascii="Times New Roman"/>
      <w:sz w:val="21"/>
      <w:szCs w:val="24"/>
    </w:rPr>
  </w:style>
  <w:style w:type="paragraph" w:styleId="22">
    <w:name w:val="Body Text First Indent 2"/>
    <w:basedOn w:val="11"/>
    <w:qFormat/>
    <w:uiPriority w:val="0"/>
    <w:pPr>
      <w:ind w:firstLine="420" w:firstLineChars="200"/>
    </w:pPr>
    <w:rPr>
      <w:kern w:val="0"/>
      <w:sz w:val="20"/>
      <w:szCs w:val="24"/>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page number"/>
    <w:basedOn w:val="25"/>
    <w:autoRedefine/>
    <w:qFormat/>
    <w:uiPriority w:val="0"/>
  </w:style>
  <w:style w:type="character" w:styleId="28">
    <w:name w:val="Hyperlink"/>
    <w:autoRedefine/>
    <w:qFormat/>
    <w:uiPriority w:val="0"/>
    <w:rPr>
      <w:color w:val="136EC2"/>
      <w:u w:val="single"/>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Times New Roman"/>
      <w:kern w:val="0"/>
      <w:sz w:val="21"/>
      <w:szCs w:val="22"/>
      <w:lang w:val="en-US" w:eastAsia="zh-CN" w:bidi="ar-SA"/>
    </w:rPr>
  </w:style>
  <w:style w:type="paragraph" w:customStyle="1" w:styleId="30">
    <w:name w:val="章正文"/>
    <w:basedOn w:val="1"/>
    <w:qFormat/>
    <w:uiPriority w:val="0"/>
    <w:pPr>
      <w:spacing w:beforeLines="50" w:after="120" w:line="300" w:lineRule="auto"/>
      <w:ind w:firstLine="480"/>
    </w:pPr>
    <w:rPr>
      <w:rFonts w:ascii="Helvetica" w:hAnsi="Helvetica" w:eastAsia="宋体" w:cs="Times New Roman"/>
    </w:rPr>
  </w:style>
  <w:style w:type="paragraph" w:customStyle="1" w:styleId="31">
    <w:name w:val="Default"/>
    <w:next w:val="32"/>
    <w:autoRedefine/>
    <w:qFormat/>
    <w:uiPriority w:val="0"/>
    <w:pPr>
      <w:autoSpaceDE w:val="0"/>
      <w:autoSpaceDN w:val="0"/>
      <w:adjustRightInd w:val="0"/>
    </w:pPr>
    <w:rPr>
      <w:rFonts w:ascii="微软雅黑" w:eastAsia="微软雅黑" w:cs="微软雅黑" w:hAnsiTheme="minorHAnsi"/>
      <w:color w:val="000000"/>
      <w:sz w:val="24"/>
      <w:szCs w:val="24"/>
      <w:lang w:val="en-US" w:eastAsia="zh-CN" w:bidi="ar-SA"/>
    </w:rPr>
  </w:style>
  <w:style w:type="paragraph" w:customStyle="1" w:styleId="32">
    <w:name w:val="大标题"/>
    <w:basedOn w:val="1"/>
    <w:next w:val="22"/>
    <w:qFormat/>
    <w:uiPriority w:val="0"/>
    <w:pPr>
      <w:jc w:val="center"/>
    </w:pPr>
    <w:rPr>
      <w:rFonts w:ascii="Arial" w:hAnsi="Arial" w:eastAsia="宋体" w:cs="Times New Roman"/>
      <w:b/>
      <w:sz w:val="28"/>
      <w:szCs w:val="24"/>
    </w:rPr>
  </w:style>
  <w:style w:type="paragraph" w:customStyle="1" w:styleId="33">
    <w:name w:val="正文（缩进）"/>
    <w:basedOn w:val="1"/>
    <w:autoRedefine/>
    <w:qFormat/>
    <w:uiPriority w:val="0"/>
    <w:pPr>
      <w:spacing w:beforeLines="50" w:afterLines="50"/>
      <w:ind w:firstLine="480"/>
    </w:pPr>
    <w:rPr>
      <w:sz w:val="24"/>
    </w:rPr>
  </w:style>
  <w:style w:type="paragraph" w:customStyle="1" w:styleId="34">
    <w:name w:val="正文缩进1"/>
    <w:basedOn w:val="1"/>
    <w:autoRedefine/>
    <w:qFormat/>
    <w:uiPriority w:val="0"/>
    <w:pPr>
      <w:ind w:firstLine="420" w:firstLineChars="200"/>
    </w:pPr>
  </w:style>
  <w:style w:type="paragraph" w:customStyle="1" w:styleId="35">
    <w:name w:val="样式"/>
    <w:autoRedefine/>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
    <w:name w:val="Table Paragraph"/>
    <w:basedOn w:val="1"/>
    <w:autoRedefine/>
    <w:qFormat/>
    <w:uiPriority w:val="1"/>
    <w:rPr>
      <w:rFonts w:ascii="宋体" w:hAnsi="宋体" w:eastAsia="宋体" w:cs="宋体"/>
      <w:lang w:val="zh-CN" w:eastAsia="zh-CN" w:bidi="zh-CN"/>
    </w:rPr>
  </w:style>
  <w:style w:type="paragraph" w:customStyle="1" w:styleId="37">
    <w:name w:val="p0"/>
    <w:basedOn w:val="1"/>
    <w:autoRedefine/>
    <w:qFormat/>
    <w:uiPriority w:val="0"/>
    <w:pPr>
      <w:widowControl/>
    </w:pPr>
    <w:rPr>
      <w:kern w:val="0"/>
      <w:szCs w:val="21"/>
    </w:rPr>
  </w:style>
  <w:style w:type="paragraph" w:customStyle="1" w:styleId="38">
    <w:name w:val="样式 首行缩进:  2 字符"/>
    <w:basedOn w:val="1"/>
    <w:autoRedefine/>
    <w:qFormat/>
    <w:uiPriority w:val="0"/>
    <w:pPr>
      <w:spacing w:line="400" w:lineRule="exact"/>
      <w:ind w:firstLine="200" w:firstLineChars="200"/>
    </w:pPr>
    <w:rPr>
      <w:rFonts w:cs="宋体"/>
      <w:sz w:val="24"/>
    </w:rPr>
  </w:style>
  <w:style w:type="paragraph" w:customStyle="1" w:styleId="39">
    <w:name w:val="Char1"/>
    <w:basedOn w:val="1"/>
    <w:autoRedefine/>
    <w:qFormat/>
    <w:uiPriority w:val="0"/>
    <w:rPr>
      <w:szCs w:val="21"/>
    </w:rPr>
  </w:style>
  <w:style w:type="paragraph" w:styleId="40">
    <w:name w:val="List Paragraph"/>
    <w:basedOn w:val="1"/>
    <w:autoRedefine/>
    <w:qFormat/>
    <w:uiPriority w:val="34"/>
    <w:pPr>
      <w:ind w:firstLine="420" w:firstLineChars="200"/>
    </w:pPr>
  </w:style>
  <w:style w:type="paragraph" w:customStyle="1" w:styleId="41">
    <w:name w:val="Other|1"/>
    <w:basedOn w:val="1"/>
    <w:autoRedefine/>
    <w:qFormat/>
    <w:uiPriority w:val="0"/>
    <w:rPr>
      <w:rFonts w:ascii="宋体" w:hAnsi="宋体" w:eastAsia="宋体" w:cs="宋体"/>
      <w:sz w:val="17"/>
      <w:szCs w:val="17"/>
      <w:lang w:val="zh-CN" w:eastAsia="zh-CN" w:bidi="zh-CN"/>
    </w:rPr>
  </w:style>
  <w:style w:type="paragraph" w:customStyle="1" w:styleId="42">
    <w:name w:val="Body text|1"/>
    <w:basedOn w:val="1"/>
    <w:autoRedefine/>
    <w:qFormat/>
    <w:uiPriority w:val="0"/>
    <w:rPr>
      <w:rFonts w:ascii="宋体" w:hAnsi="宋体" w:eastAsia="宋体" w:cs="宋体"/>
      <w:sz w:val="19"/>
      <w:szCs w:val="19"/>
      <w:lang w:val="zh-CN" w:eastAsia="zh-CN" w:bidi="zh-CN"/>
    </w:rPr>
  </w:style>
  <w:style w:type="character" w:customStyle="1" w:styleId="43">
    <w:name w:val="font71"/>
    <w:basedOn w:val="25"/>
    <w:autoRedefine/>
    <w:qFormat/>
    <w:uiPriority w:val="0"/>
    <w:rPr>
      <w:rFonts w:hint="eastAsia" w:ascii="宋体" w:hAnsi="宋体" w:eastAsia="宋体" w:cs="宋体"/>
      <w:color w:val="000000"/>
      <w:sz w:val="21"/>
      <w:szCs w:val="21"/>
      <w:u w:val="none"/>
    </w:rPr>
  </w:style>
  <w:style w:type="character" w:customStyle="1" w:styleId="44">
    <w:name w:val="font61"/>
    <w:basedOn w:val="25"/>
    <w:autoRedefine/>
    <w:qFormat/>
    <w:uiPriority w:val="0"/>
    <w:rPr>
      <w:rFonts w:hint="default" w:ascii="Arial" w:hAnsi="Arial" w:cs="Arial"/>
      <w:color w:val="000000"/>
      <w:sz w:val="22"/>
      <w:szCs w:val="22"/>
      <w:u w:val="none"/>
    </w:rPr>
  </w:style>
  <w:style w:type="character" w:customStyle="1" w:styleId="45">
    <w:name w:val="font11"/>
    <w:basedOn w:val="25"/>
    <w:autoRedefine/>
    <w:qFormat/>
    <w:uiPriority w:val="0"/>
    <w:rPr>
      <w:rFonts w:hint="eastAsia" w:ascii="宋体" w:hAnsi="宋体" w:eastAsia="宋体" w:cs="宋体"/>
      <w:color w:val="000000"/>
      <w:sz w:val="22"/>
      <w:szCs w:val="22"/>
      <w:u w:val="none"/>
    </w:rPr>
  </w:style>
  <w:style w:type="paragraph" w:customStyle="1" w:styleId="46">
    <w:name w:val="UP正文"/>
    <w:basedOn w:val="1"/>
    <w:autoRedefine/>
    <w:qFormat/>
    <w:uiPriority w:val="0"/>
    <w:pPr>
      <w:spacing w:line="360" w:lineRule="auto"/>
      <w:ind w:left="420" w:leftChars="200" w:firstLine="420" w:firstLineChars="200"/>
    </w:pPr>
    <w:rPr>
      <w:rFonts w:ascii="Tahoma" w:hAnsi="Calibri"/>
      <w:szCs w:val="20"/>
    </w:rPr>
  </w:style>
  <w:style w:type="character" w:customStyle="1" w:styleId="47">
    <w:name w:val="NormalCharacter"/>
    <w:link w:val="1"/>
    <w:autoRedefine/>
    <w:semiHidden/>
    <w:qFormat/>
    <w:uiPriority w:val="0"/>
    <w:rPr>
      <w:rFonts w:ascii="Times New Roman" w:hAnsi="Times New Roman" w:eastAsia="宋体" w:cs="Times New Roman"/>
      <w:kern w:val="2"/>
      <w:sz w:val="21"/>
      <w:szCs w:val="24"/>
      <w:lang w:val="en-US" w:eastAsia="zh-CN" w:bidi="ar-SA"/>
    </w:rPr>
  </w:style>
  <w:style w:type="paragraph" w:customStyle="1" w:styleId="48">
    <w:name w:val="PlainText"/>
    <w:basedOn w:val="1"/>
    <w:autoRedefine/>
    <w:qFormat/>
    <w:uiPriority w:val="0"/>
    <w:pPr>
      <w:jc w:val="both"/>
      <w:textAlignment w:val="baseline"/>
    </w:pPr>
    <w:rPr>
      <w:rFonts w:ascii="宋体" w:hAnsi="Courier New"/>
      <w:kern w:val="2"/>
      <w:sz w:val="21"/>
      <w:szCs w:val="21"/>
      <w:lang w:val="en-US" w:eastAsia="zh-CN" w:bidi="ar-SA"/>
    </w:rPr>
  </w:style>
  <w:style w:type="character" w:customStyle="1" w:styleId="49">
    <w:name w:val="font51"/>
    <w:basedOn w:val="25"/>
    <w:autoRedefine/>
    <w:qFormat/>
    <w:uiPriority w:val="0"/>
    <w:rPr>
      <w:rFonts w:hint="eastAsia" w:ascii="宋体" w:hAnsi="宋体" w:eastAsia="宋体" w:cs="宋体"/>
      <w:color w:val="000000"/>
      <w:sz w:val="20"/>
      <w:szCs w:val="20"/>
      <w:u w:val="none"/>
    </w:rPr>
  </w:style>
  <w:style w:type="character" w:customStyle="1" w:styleId="50">
    <w:name w:val="font41"/>
    <w:basedOn w:val="25"/>
    <w:autoRedefine/>
    <w:qFormat/>
    <w:uiPriority w:val="0"/>
    <w:rPr>
      <w:rFonts w:hint="eastAsia" w:ascii="宋体" w:hAnsi="宋体" w:eastAsia="宋体" w:cs="宋体"/>
      <w:color w:val="000000"/>
      <w:sz w:val="20"/>
      <w:szCs w:val="20"/>
      <w:u w:val="none"/>
    </w:rPr>
  </w:style>
  <w:style w:type="character" w:customStyle="1" w:styleId="51">
    <w:name w:val="font31"/>
    <w:basedOn w:val="25"/>
    <w:autoRedefine/>
    <w:qFormat/>
    <w:uiPriority w:val="0"/>
    <w:rPr>
      <w:rFonts w:hint="eastAsia" w:ascii="宋体" w:hAnsi="宋体" w:eastAsia="宋体" w:cs="宋体"/>
      <w:color w:val="000000"/>
      <w:sz w:val="22"/>
      <w:szCs w:val="22"/>
      <w:u w:val="none"/>
    </w:rPr>
  </w:style>
  <w:style w:type="character" w:customStyle="1" w:styleId="52">
    <w:name w:val="font01"/>
    <w:basedOn w:val="25"/>
    <w:autoRedefine/>
    <w:qFormat/>
    <w:uiPriority w:val="0"/>
    <w:rPr>
      <w:rFonts w:hint="eastAsia" w:ascii="宋体" w:hAnsi="宋体" w:eastAsia="宋体" w:cs="宋体"/>
      <w:color w:val="000000"/>
      <w:sz w:val="21"/>
      <w:szCs w:val="21"/>
      <w:u w:val="none"/>
    </w:rPr>
  </w:style>
  <w:style w:type="paragraph" w:customStyle="1" w:styleId="53">
    <w:name w:val="Table Text"/>
    <w:basedOn w:val="1"/>
    <w:autoRedefine/>
    <w:semiHidden/>
    <w:qFormat/>
    <w:uiPriority w:val="0"/>
    <w:rPr>
      <w:rFonts w:ascii="宋体" w:hAnsi="宋体" w:eastAsia="宋体" w:cs="宋体"/>
      <w:sz w:val="24"/>
      <w:szCs w:val="24"/>
      <w:lang w:val="en-US" w:eastAsia="en-US" w:bidi="ar-SA"/>
    </w:rPr>
  </w:style>
  <w:style w:type="paragraph" w:customStyle="1" w:styleId="54">
    <w:name w:val="彩色列表1"/>
    <w:basedOn w:val="1"/>
    <w:autoRedefine/>
    <w:qFormat/>
    <w:uiPriority w:val="0"/>
    <w:pPr>
      <w:ind w:firstLine="420" w:firstLineChars="200"/>
    </w:pPr>
    <w:rPr>
      <w:rFonts w:ascii="Times New Roman" w:hAnsi="Times New Roman" w:eastAsia="宋体" w:cs="Times New Roman"/>
    </w:rPr>
  </w:style>
  <w:style w:type="character" w:customStyle="1" w:styleId="55">
    <w:name w:val="font21"/>
    <w:basedOn w:val="25"/>
    <w:autoRedefine/>
    <w:qFormat/>
    <w:uiPriority w:val="0"/>
    <w:rPr>
      <w:rFonts w:hint="eastAsia" w:ascii="仿宋" w:hAnsi="仿宋" w:eastAsia="仿宋" w:cs="仿宋"/>
      <w:color w:val="000000"/>
      <w:sz w:val="22"/>
      <w:szCs w:val="22"/>
      <w:u w:val="none"/>
    </w:rPr>
  </w:style>
  <w:style w:type="table" w:customStyle="1" w:styleId="56">
    <w:name w:val="Table Normal"/>
    <w:autoRedefine/>
    <w:semiHidden/>
    <w:unhideWhenUsed/>
    <w:qFormat/>
    <w:uiPriority w:val="0"/>
    <w:tblPr>
      <w:tblCellMar>
        <w:top w:w="0" w:type="dxa"/>
        <w:left w:w="0" w:type="dxa"/>
        <w:bottom w:w="0" w:type="dxa"/>
        <w:right w:w="0" w:type="dxa"/>
      </w:tblCellMar>
    </w:tblPr>
  </w:style>
  <w:style w:type="paragraph" w:customStyle="1" w:styleId="57">
    <w:name w:val="正文_0_0_0_0"/>
    <w:autoRedefine/>
    <w:qFormat/>
    <w:uiPriority w:val="0"/>
    <w:pPr>
      <w:widowControl w:val="0"/>
      <w:spacing w:line="360" w:lineRule="auto"/>
      <w:jc w:val="both"/>
    </w:pPr>
    <w:rPr>
      <w:rFonts w:ascii="Calibri" w:hAnsi="Calibri" w:eastAsia="仿宋_GB2312" w:cs="Times New Roman"/>
      <w:kern w:val="2"/>
      <w:sz w:val="24"/>
      <w:szCs w:val="22"/>
      <w:lang w:val="en-US" w:eastAsia="zh-CN" w:bidi="ar-SA"/>
    </w:rPr>
  </w:style>
  <w:style w:type="paragraph" w:customStyle="1" w:styleId="58">
    <w:name w:val="正文_1_1"/>
    <w:qFormat/>
    <w:uiPriority w:val="0"/>
    <w:pPr>
      <w:widowControl w:val="0"/>
      <w:jc w:val="both"/>
    </w:pPr>
    <w:rPr>
      <w:rFonts w:ascii="Calibri" w:hAnsi="Calibri" w:eastAsia="宋体" w:cs="Times New Roman"/>
      <w:kern w:val="2"/>
      <w:sz w:val="21"/>
      <w:szCs w:val="22"/>
      <w:lang w:val="en-US" w:eastAsia="zh-CN" w:bidi="ar-SA"/>
    </w:rPr>
  </w:style>
  <w:style w:type="character" w:customStyle="1" w:styleId="59">
    <w:name w:val="font81"/>
    <w:basedOn w:val="25"/>
    <w:qFormat/>
    <w:uiPriority w:val="0"/>
    <w:rPr>
      <w:rFonts w:hint="eastAsia" w:ascii="宋体" w:hAnsi="宋体" w:eastAsia="宋体" w:cs="宋体"/>
      <w:color w:val="FF0000"/>
      <w:sz w:val="20"/>
      <w:szCs w:val="20"/>
      <w:u w:val="none"/>
    </w:rPr>
  </w:style>
  <w:style w:type="paragraph" w:customStyle="1" w:styleId="60">
    <w:name w:val="WPSOffice手动目录 1"/>
    <w:qFormat/>
    <w:uiPriority w:val="0"/>
    <w:pPr>
      <w:ind w:leftChars="0"/>
    </w:pPr>
    <w:rPr>
      <w:rFonts w:ascii="Times New Roman" w:hAnsi="Times New Roman" w:eastAsia="宋体" w:cs="Times New Roman"/>
      <w:sz w:val="20"/>
      <w:szCs w:val="20"/>
    </w:rPr>
  </w:style>
  <w:style w:type="paragraph" w:customStyle="1" w:styleId="61">
    <w:name w:val="WPSOffice手动目录 2"/>
    <w:qFormat/>
    <w:uiPriority w:val="0"/>
    <w:pPr>
      <w:ind w:leftChars="200"/>
    </w:pPr>
    <w:rPr>
      <w:rFonts w:ascii="Times New Roman" w:hAnsi="Times New Roman" w:eastAsia="宋体" w:cs="Times New Roman"/>
      <w:sz w:val="20"/>
      <w:szCs w:val="20"/>
    </w:rPr>
  </w:style>
  <w:style w:type="paragraph" w:customStyle="1" w:styleId="62">
    <w:name w:val="Normal"/>
    <w:qFormat/>
    <w:uiPriority w:val="0"/>
    <w:rPr>
      <w:rFonts w:ascii="Times New Roman" w:hAnsi="Times New Roman" w:eastAsia="Times New Roman" w:cs="Times New Roman"/>
      <w:sz w:val="24"/>
      <w:szCs w:val="24"/>
      <w:lang w:val="en-US" w:eastAsia="zh-CN" w:bidi="ar-SA"/>
    </w:rPr>
  </w:style>
  <w:style w:type="character" w:customStyle="1" w:styleId="63">
    <w:name w:val="font101"/>
    <w:basedOn w:val="25"/>
    <w:autoRedefine/>
    <w:qFormat/>
    <w:uiPriority w:val="0"/>
    <w:rPr>
      <w:rFonts w:hint="eastAsia" w:ascii="宋体" w:hAnsi="宋体" w:eastAsia="宋体" w:cs="宋体"/>
      <w:color w:val="0D0D0D"/>
      <w:sz w:val="22"/>
      <w:szCs w:val="22"/>
      <w:u w:val="none"/>
    </w:rPr>
  </w:style>
  <w:style w:type="character" w:customStyle="1" w:styleId="64">
    <w:name w:val="font111"/>
    <w:basedOn w:val="25"/>
    <w:autoRedefine/>
    <w:qFormat/>
    <w:uiPriority w:val="0"/>
    <w:rPr>
      <w:rFonts w:hint="eastAsia" w:ascii="宋体" w:hAnsi="宋体" w:eastAsia="宋体" w:cs="宋体"/>
      <w:b/>
      <w:bCs/>
      <w:color w:val="0D0D0D"/>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132</Pages>
  <Words>20875</Words>
  <Characters>22630</Characters>
  <Lines>0</Lines>
  <Paragraphs>0</Paragraphs>
  <TotalTime>15</TotalTime>
  <ScaleCrop>false</ScaleCrop>
  <LinksUpToDate>false</LinksUpToDate>
  <CharactersWithSpaces>22877</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2020-12-22T10:25:00Z</dcterms:created>
  <dc:creator>吴涛</dc:creator>
  <cp:lastModifiedBy>*喵了个咪*</cp:lastModifiedBy>
  <cp:lastPrinted>2024-11-23T06:17:00Z</cp:lastPrinted>
  <dcterms:modified xsi:type="dcterms:W3CDTF">2024-11-24T11:18:09Z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A9FCBD0DBF8B4847A461AC1ADDD340C7_13</vt:lpwstr>
  </property>
</Properties>
</file>