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adjustRightInd w:val="0"/>
        <w:snapToGrid w:val="0"/>
        <w:spacing w:line="360" w:lineRule="auto"/>
        <w:rPr>
          <w:rFonts w:hAnsi="宋体"/>
          <w:b/>
          <w:color w:val="000000" w:themeColor="text1"/>
          <w:sz w:val="44"/>
          <w:szCs w:val="44"/>
          <w14:textFill>
            <w14:solidFill>
              <w14:schemeClr w14:val="tx1"/>
            </w14:solidFill>
          </w14:textFill>
        </w:rPr>
      </w:pPr>
      <w:bookmarkStart w:id="0" w:name="第二部分第六章"/>
    </w:p>
    <w:p>
      <w:pPr>
        <w:pStyle w:val="26"/>
        <w:adjustRightInd w:val="0"/>
        <w:snapToGrid w:val="0"/>
        <w:spacing w:line="360" w:lineRule="auto"/>
        <w:jc w:val="center"/>
        <w:rPr>
          <w:rFonts w:hint="eastAsia" w:hAnsi="宋体" w:eastAsia="宋体"/>
          <w:b/>
          <w:color w:val="000000" w:themeColor="text1"/>
          <w:sz w:val="32"/>
          <w:szCs w:val="32"/>
          <w:lang w:eastAsia="zh-CN"/>
          <w14:textFill>
            <w14:solidFill>
              <w14:schemeClr w14:val="tx1"/>
            </w14:solidFill>
          </w14:textFill>
        </w:rPr>
      </w:pPr>
      <w:r>
        <w:rPr>
          <w:rFonts w:hint="eastAsia" w:ascii="微软雅黑" w:hAnsi="微软雅黑" w:eastAsia="微软雅黑" w:cs="微软雅黑"/>
          <w:color w:val="000000"/>
          <w:kern w:val="0"/>
          <w:sz w:val="44"/>
          <w:szCs w:val="44"/>
          <w:lang w:eastAsia="zh-CN"/>
        </w:rPr>
        <w:t>霍尔果斯市教育局理科实验教学仪器设备采购项目</w:t>
      </w:r>
    </w:p>
    <w:p>
      <w:pPr>
        <w:pStyle w:val="26"/>
        <w:adjustRightInd w:val="0"/>
        <w:snapToGrid w:val="0"/>
        <w:spacing w:line="360" w:lineRule="auto"/>
        <w:jc w:val="center"/>
        <w:rPr>
          <w:rFonts w:hAnsi="宋体"/>
          <w:b/>
          <w:color w:val="000000" w:themeColor="text1"/>
          <w:sz w:val="62"/>
          <w:szCs w:val="84"/>
          <w14:textFill>
            <w14:solidFill>
              <w14:schemeClr w14:val="tx1"/>
            </w14:solidFill>
          </w14:textFill>
        </w:rPr>
      </w:pPr>
      <w:r>
        <w:rPr>
          <w:rFonts w:hint="eastAsia" w:hAnsi="宋体"/>
          <w:b/>
          <w:color w:val="000000" w:themeColor="text1"/>
          <w:sz w:val="62"/>
          <w:szCs w:val="84"/>
          <w14:textFill>
            <w14:solidFill>
              <w14:schemeClr w14:val="tx1"/>
            </w14:solidFill>
          </w14:textFill>
        </w:rPr>
        <w:t>招 标 文 件</w:t>
      </w:r>
    </w:p>
    <w:p>
      <w:pPr>
        <w:pStyle w:val="26"/>
        <w:adjustRightInd w:val="0"/>
        <w:snapToGrid w:val="0"/>
        <w:spacing w:before="156" w:beforeLines="50" w:line="360" w:lineRule="auto"/>
        <w:ind w:left="846" w:leftChars="403" w:firstLine="157" w:firstLineChars="49"/>
        <w:rPr>
          <w:rFonts w:hAnsi="宋体"/>
          <w:b/>
          <w:color w:val="000000" w:themeColor="text1"/>
          <w:sz w:val="32"/>
          <w:szCs w:val="32"/>
          <w14:textFill>
            <w14:solidFill>
              <w14:schemeClr w14:val="tx1"/>
            </w14:solidFill>
          </w14:textFill>
        </w:rPr>
      </w:pPr>
    </w:p>
    <w:p>
      <w:pPr>
        <w:pStyle w:val="26"/>
        <w:adjustRightInd w:val="0"/>
        <w:snapToGrid w:val="0"/>
        <w:spacing w:before="156" w:beforeLines="50" w:line="360" w:lineRule="auto"/>
        <w:ind w:left="846" w:leftChars="403" w:firstLine="157" w:firstLineChars="49"/>
        <w:rPr>
          <w:rFonts w:hAnsi="宋体"/>
          <w:b/>
          <w:color w:val="000000" w:themeColor="text1"/>
          <w:sz w:val="32"/>
          <w:szCs w:val="32"/>
          <w14:textFill>
            <w14:solidFill>
              <w14:schemeClr w14:val="tx1"/>
            </w14:solidFill>
          </w14:textFill>
        </w:rPr>
      </w:pPr>
    </w:p>
    <w:p>
      <w:pPr>
        <w:pStyle w:val="26"/>
        <w:adjustRightInd w:val="0"/>
        <w:snapToGrid w:val="0"/>
        <w:spacing w:before="156" w:beforeLines="50" w:line="360" w:lineRule="auto"/>
        <w:ind w:left="846" w:leftChars="403" w:firstLine="157" w:firstLineChars="49"/>
        <w:rPr>
          <w:rFonts w:hAnsi="宋体"/>
          <w:b/>
          <w:color w:val="000000" w:themeColor="text1"/>
          <w:sz w:val="32"/>
          <w:szCs w:val="32"/>
          <w14:textFill>
            <w14:solidFill>
              <w14:schemeClr w14:val="tx1"/>
            </w14:solidFill>
          </w14:textFill>
        </w:rPr>
      </w:pPr>
    </w:p>
    <w:p>
      <w:pPr>
        <w:pStyle w:val="26"/>
        <w:adjustRightInd w:val="0"/>
        <w:snapToGrid w:val="0"/>
        <w:spacing w:line="360" w:lineRule="auto"/>
        <w:rPr>
          <w:rFonts w:hAnsi="宋体"/>
          <w:b/>
          <w:color w:val="000000" w:themeColor="text1"/>
          <w:sz w:val="32"/>
          <w:szCs w:val="32"/>
          <w14:textFill>
            <w14:solidFill>
              <w14:schemeClr w14:val="tx1"/>
            </w14:solidFill>
          </w14:textFill>
        </w:rPr>
      </w:pPr>
    </w:p>
    <w:p>
      <w:pPr>
        <w:pStyle w:val="26"/>
        <w:adjustRightInd w:val="0"/>
        <w:snapToGrid w:val="0"/>
        <w:spacing w:line="360" w:lineRule="auto"/>
        <w:rPr>
          <w:rFonts w:hAnsi="宋体"/>
          <w:b/>
          <w:color w:val="000000" w:themeColor="text1"/>
          <w:sz w:val="32"/>
          <w:szCs w:val="32"/>
          <w14:textFill>
            <w14:solidFill>
              <w14:schemeClr w14:val="tx1"/>
            </w14:solidFill>
          </w14:textFill>
        </w:rPr>
      </w:pPr>
    </w:p>
    <w:p>
      <w:pPr>
        <w:pStyle w:val="26"/>
        <w:adjustRightInd w:val="0"/>
        <w:snapToGrid w:val="0"/>
        <w:spacing w:line="360" w:lineRule="auto"/>
        <w:rPr>
          <w:rFonts w:hAnsi="宋体"/>
          <w:b/>
          <w:color w:val="000000" w:themeColor="text1"/>
          <w:sz w:val="32"/>
          <w:szCs w:val="32"/>
          <w14:textFill>
            <w14:solidFill>
              <w14:schemeClr w14:val="tx1"/>
            </w14:solidFill>
          </w14:textFill>
        </w:rPr>
      </w:pPr>
    </w:p>
    <w:p>
      <w:pPr>
        <w:pStyle w:val="26"/>
        <w:adjustRightInd w:val="0"/>
        <w:snapToGrid w:val="0"/>
        <w:spacing w:line="360" w:lineRule="auto"/>
        <w:rPr>
          <w:rFonts w:hAnsi="宋体"/>
          <w:b/>
          <w:color w:val="000000" w:themeColor="text1"/>
          <w:sz w:val="32"/>
          <w:szCs w:val="32"/>
          <w14:textFill>
            <w14:solidFill>
              <w14:schemeClr w14:val="tx1"/>
            </w14:solidFill>
          </w14:textFill>
        </w:rPr>
      </w:pPr>
    </w:p>
    <w:p>
      <w:pPr>
        <w:pStyle w:val="26"/>
        <w:adjustRightInd w:val="0"/>
        <w:snapToGrid w:val="0"/>
        <w:spacing w:line="360" w:lineRule="auto"/>
        <w:ind w:firstLine="948" w:firstLineChars="295"/>
        <w:rPr>
          <w:rFonts w:hAnsi="宋体"/>
          <w:b/>
          <w:color w:val="000000" w:themeColor="text1"/>
          <w:sz w:val="32"/>
          <w:szCs w:val="32"/>
          <w14:textFill>
            <w14:solidFill>
              <w14:schemeClr w14:val="tx1"/>
            </w14:solidFill>
          </w14:textFill>
        </w:rPr>
      </w:pPr>
    </w:p>
    <w:p>
      <w:pPr>
        <w:pStyle w:val="26"/>
        <w:adjustRightInd w:val="0"/>
        <w:snapToGrid w:val="0"/>
        <w:spacing w:line="360" w:lineRule="auto"/>
        <w:ind w:left="1801" w:leftChars="284" w:hanging="1205" w:hangingChars="400"/>
        <w:rPr>
          <w:rFonts w:hint="eastAsia" w:hAnsi="宋体" w:eastAsia="宋体"/>
          <w:b/>
          <w:color w:val="000000" w:themeColor="text1"/>
          <w:spacing w:val="-16"/>
          <w:sz w:val="30"/>
          <w:szCs w:val="30"/>
          <w:lang w:eastAsia="zh-CN"/>
          <w14:textFill>
            <w14:solidFill>
              <w14:schemeClr w14:val="tx1"/>
            </w14:solidFill>
          </w14:textFill>
        </w:rPr>
      </w:pPr>
      <w:r>
        <w:rPr>
          <w:rFonts w:hint="eastAsia" w:hAnsi="宋体"/>
          <w:b/>
          <w:color w:val="000000" w:themeColor="text1"/>
          <w:sz w:val="30"/>
          <w:szCs w:val="30"/>
          <w14:textFill>
            <w14:solidFill>
              <w14:schemeClr w14:val="tx1"/>
            </w14:solidFill>
          </w14:textFill>
        </w:rPr>
        <w:t>招标人：</w:t>
      </w:r>
      <w:r>
        <w:rPr>
          <w:rFonts w:hint="eastAsia" w:hAnsi="宋体"/>
          <w:b/>
          <w:color w:val="000000" w:themeColor="text1"/>
          <w:sz w:val="30"/>
          <w:szCs w:val="30"/>
          <w:lang w:eastAsia="zh-CN"/>
          <w14:textFill>
            <w14:solidFill>
              <w14:schemeClr w14:val="tx1"/>
            </w14:solidFill>
          </w14:textFill>
        </w:rPr>
        <w:t>霍尔果斯市教育局</w:t>
      </w:r>
    </w:p>
    <w:p>
      <w:pPr>
        <w:pStyle w:val="26"/>
        <w:adjustRightInd w:val="0"/>
        <w:snapToGrid w:val="0"/>
        <w:spacing w:line="360" w:lineRule="auto"/>
        <w:ind w:firstLine="596" w:firstLineChars="198"/>
        <w:rPr>
          <w:rFonts w:hAnsi="宋体"/>
          <w:b/>
          <w:color w:val="000000" w:themeColor="text1"/>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采购代理机构: 霍尔果斯经济开发区政府采购中心</w:t>
      </w:r>
    </w:p>
    <w:p>
      <w:pPr>
        <w:pStyle w:val="26"/>
        <w:adjustRightInd w:val="0"/>
        <w:snapToGrid w:val="0"/>
        <w:spacing w:line="360" w:lineRule="auto"/>
        <w:ind w:left="592" w:leftChars="282"/>
        <w:rPr>
          <w:rFonts w:hint="eastAsia" w:hAnsi="宋体" w:eastAsia="宋体"/>
          <w:b/>
          <w:color w:val="000000" w:themeColor="text1"/>
          <w:sz w:val="30"/>
          <w:szCs w:val="30"/>
          <w:lang w:eastAsia="zh-CN"/>
          <w14:textFill>
            <w14:solidFill>
              <w14:schemeClr w14:val="tx1"/>
            </w14:solidFill>
          </w14:textFill>
        </w:rPr>
      </w:pPr>
      <w:r>
        <w:rPr>
          <w:rFonts w:hint="eastAsia" w:hAnsi="宋体"/>
          <w:b/>
          <w:color w:val="000000" w:themeColor="text1"/>
          <w:sz w:val="30"/>
          <w:szCs w:val="30"/>
          <w14:textFill>
            <w14:solidFill>
              <w14:schemeClr w14:val="tx1"/>
            </w14:solidFill>
          </w14:textFill>
        </w:rPr>
        <w:t>项目编号：</w:t>
      </w:r>
      <w:r>
        <w:rPr>
          <w:rFonts w:hint="eastAsia" w:hAnsi="宋体"/>
          <w:b/>
          <w:color w:val="000000" w:themeColor="text1"/>
          <w:sz w:val="30"/>
          <w:szCs w:val="30"/>
          <w:lang w:eastAsia="zh-CN"/>
          <w14:textFill>
            <w14:solidFill>
              <w14:schemeClr w14:val="tx1"/>
            </w14:solidFill>
          </w14:textFill>
        </w:rPr>
        <w:t>HEGSCG-2024GK-55号</w:t>
      </w:r>
    </w:p>
    <w:p>
      <w:pPr>
        <w:pStyle w:val="26"/>
        <w:adjustRightInd w:val="0"/>
        <w:snapToGrid w:val="0"/>
        <w:spacing w:line="360" w:lineRule="auto"/>
        <w:jc w:val="center"/>
        <w:rPr>
          <w:rFonts w:hAnsi="宋体"/>
          <w:b/>
          <w:color w:val="000000" w:themeColor="text1"/>
          <w:spacing w:val="160"/>
          <w:sz w:val="36"/>
          <w:szCs w:val="36"/>
          <w14:textFill>
            <w14:solidFill>
              <w14:schemeClr w14:val="tx1"/>
            </w14:solidFill>
          </w14:textFill>
        </w:rPr>
      </w:pPr>
    </w:p>
    <w:p>
      <w:pPr>
        <w:pStyle w:val="26"/>
        <w:spacing w:before="120" w:after="120" w:line="360" w:lineRule="auto"/>
        <w:jc w:val="center"/>
        <w:rPr>
          <w:rFonts w:hAnsi="宋体"/>
          <w:b/>
          <w:color w:val="000000" w:themeColor="text1"/>
          <w:spacing w:val="160"/>
          <w:sz w:val="36"/>
          <w:szCs w:val="36"/>
          <w14:textFill>
            <w14:solidFill>
              <w14:schemeClr w14:val="tx1"/>
            </w14:solidFill>
          </w14:textFill>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pPr>
        <w:pStyle w:val="26"/>
        <w:spacing w:before="120" w:after="120" w:line="360" w:lineRule="auto"/>
        <w:jc w:val="center"/>
        <w:rPr>
          <w:rFonts w:hAnsi="宋体"/>
          <w:b/>
          <w:color w:val="000000" w:themeColor="text1"/>
          <w:spacing w:val="160"/>
          <w:sz w:val="36"/>
          <w:szCs w:val="36"/>
          <w14:textFill>
            <w14:solidFill>
              <w14:schemeClr w14:val="tx1"/>
            </w14:solidFill>
          </w14:textFill>
        </w:rPr>
      </w:pPr>
      <w:r>
        <w:rPr>
          <w:rFonts w:hint="eastAsia" w:hAnsi="宋体"/>
          <w:b/>
          <w:color w:val="000000" w:themeColor="text1"/>
          <w:spacing w:val="160"/>
          <w:sz w:val="36"/>
          <w:szCs w:val="36"/>
          <w14:textFill>
            <w14:solidFill>
              <w14:schemeClr w14:val="tx1"/>
            </w14:solidFill>
          </w14:textFill>
        </w:rPr>
        <w:t>目录</w:t>
      </w:r>
    </w:p>
    <w:p>
      <w:pPr>
        <w:pStyle w:val="26"/>
        <w:adjustRightInd w:val="0"/>
        <w:snapToGrid w:val="0"/>
        <w:spacing w:line="360" w:lineRule="auto"/>
        <w:rPr>
          <w:rFonts w:hAnsi="宋体"/>
          <w:b/>
          <w:color w:val="000000" w:themeColor="text1"/>
          <w:szCs w:val="24"/>
          <w14:textFill>
            <w14:solidFill>
              <w14:schemeClr w14:val="tx1"/>
            </w14:solidFill>
          </w14:textFill>
        </w:rPr>
      </w:pPr>
    </w:p>
    <w:tbl>
      <w:tblPr>
        <w:tblStyle w:val="47"/>
        <w:tblW w:w="7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3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360" w:firstLineChars="1600"/>
              <w:rPr>
                <w:b/>
                <w:bCs/>
              </w:rPr>
            </w:pPr>
            <w:r>
              <w:fldChar w:fldCharType="begin"/>
            </w:r>
            <w:r>
              <w:instrText xml:space="preserve"> HYPERLINK \l "_Toc474235940" </w:instrText>
            </w:r>
            <w:r>
              <w:fldChar w:fldCharType="separate"/>
            </w:r>
            <w:r>
              <w:rPr>
                <w:rFonts w:hint="eastAsia"/>
                <w:b/>
                <w:bCs/>
              </w:rPr>
              <w:t>第一章</w:t>
            </w:r>
            <w:r>
              <w:rPr>
                <w:rFonts w:hint="eastAsia"/>
                <w:b/>
                <w:bCs/>
              </w:rPr>
              <w:fldChar w:fldCharType="end"/>
            </w:r>
            <w:r>
              <w:rPr>
                <w:rFonts w:hint="eastAsia"/>
                <w:b/>
                <w:bCs/>
              </w:rPr>
              <w:t xml:space="preserve">   </w:t>
            </w:r>
          </w:p>
        </w:tc>
        <w:tc>
          <w:tcPr>
            <w:tcW w:w="3256" w:type="dxa"/>
          </w:tcPr>
          <w:p>
            <w:pPr>
              <w:rPr>
                <w:b/>
                <w:bCs/>
              </w:rPr>
            </w:pPr>
            <w:r>
              <w:rPr>
                <w:rFonts w:hint="eastAsia"/>
                <w:b/>
                <w:bCs/>
              </w:rPr>
              <w:t>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360" w:firstLineChars="1600"/>
              <w:rPr>
                <w:b/>
                <w:bCs/>
              </w:rPr>
            </w:pPr>
            <w:r>
              <w:fldChar w:fldCharType="begin"/>
            </w:r>
            <w:r>
              <w:instrText xml:space="preserve"> HYPERLINK \l "_Toc474235941" </w:instrText>
            </w:r>
            <w:r>
              <w:fldChar w:fldCharType="separate"/>
            </w:r>
            <w:r>
              <w:rPr>
                <w:rFonts w:hint="eastAsia"/>
                <w:b/>
                <w:bCs/>
              </w:rPr>
              <w:t>第二章</w:t>
            </w:r>
            <w:r>
              <w:rPr>
                <w:rFonts w:hint="eastAsia"/>
                <w:b/>
                <w:bCs/>
              </w:rPr>
              <w:fldChar w:fldCharType="end"/>
            </w:r>
          </w:p>
        </w:tc>
        <w:tc>
          <w:tcPr>
            <w:tcW w:w="3256" w:type="dxa"/>
          </w:tcPr>
          <w:p>
            <w:pPr>
              <w:rPr>
                <w:b/>
                <w:bCs/>
              </w:rPr>
            </w:pPr>
            <w:r>
              <w:rPr>
                <w:rFonts w:hint="eastAsia"/>
                <w:b/>
                <w:bCs/>
              </w:rPr>
              <w:t>投标须知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rPr>
                <w:b/>
                <w:bCs/>
              </w:rPr>
            </w:pPr>
          </w:p>
        </w:tc>
        <w:tc>
          <w:tcPr>
            <w:tcW w:w="3256" w:type="dxa"/>
          </w:tcPr>
          <w:p>
            <w:pPr>
              <w:rPr>
                <w:b/>
                <w:bCs/>
              </w:rPr>
            </w:pPr>
            <w:r>
              <w:fldChar w:fldCharType="begin"/>
            </w:r>
            <w:r>
              <w:instrText xml:space="preserve"> HYPERLINK \l "_Toc474235942" </w:instrText>
            </w:r>
            <w:r>
              <w:fldChar w:fldCharType="separate"/>
            </w:r>
            <w:r>
              <w:rPr>
                <w:rFonts w:hint="eastAsia"/>
                <w:b/>
                <w:bCs/>
              </w:rPr>
              <w:t>投标须知前附表</w:t>
            </w:r>
            <w:r>
              <w:rPr>
                <w:rFonts w:hint="eastAsia"/>
                <w:b/>
                <w:bCs/>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rPr>
                <w:b/>
                <w:bCs/>
              </w:rPr>
            </w:pPr>
          </w:p>
        </w:tc>
        <w:tc>
          <w:tcPr>
            <w:tcW w:w="3256" w:type="dxa"/>
          </w:tcPr>
          <w:p>
            <w:pPr>
              <w:rPr>
                <w:b/>
                <w:bCs/>
              </w:rPr>
            </w:pPr>
            <w:r>
              <w:fldChar w:fldCharType="begin"/>
            </w:r>
            <w:r>
              <w:instrText xml:space="preserve"> HYPERLINK \l "_Toc474235943" </w:instrText>
            </w:r>
            <w:r>
              <w:fldChar w:fldCharType="separate"/>
            </w:r>
            <w:r>
              <w:rPr>
                <w:rFonts w:hint="eastAsia"/>
                <w:b/>
                <w:bCs/>
              </w:rPr>
              <w:t>投标须知正文</w:t>
            </w:r>
            <w:r>
              <w:rPr>
                <w:rFonts w:hint="eastAsia"/>
                <w:b/>
                <w:bCs/>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"_Toc474235944" </w:instrText>
            </w:r>
            <w:r>
              <w:fldChar w:fldCharType="separate"/>
            </w:r>
            <w:r>
              <w:rPr>
                <w:rFonts w:hint="eastAsia"/>
                <w:b/>
                <w:bCs/>
              </w:rPr>
              <w:t>一</w:t>
            </w:r>
            <w:r>
              <w:rPr>
                <w:rFonts w:hint="eastAsia"/>
                <w:b/>
                <w:bCs/>
              </w:rPr>
              <w:fldChar w:fldCharType="end"/>
            </w:r>
          </w:p>
        </w:tc>
        <w:tc>
          <w:tcPr>
            <w:tcW w:w="3256" w:type="dxa"/>
          </w:tcPr>
          <w:p>
            <w:pPr>
              <w:rPr>
                <w:b/>
                <w:bCs/>
              </w:rPr>
            </w:pPr>
            <w:r>
              <w:rPr>
                <w:rFonts w:hint="eastAsia"/>
                <w:b/>
                <w:bCs/>
              </w:rPr>
              <w:t>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"_Toc474235945" </w:instrText>
            </w:r>
            <w:r>
              <w:fldChar w:fldCharType="separate"/>
            </w:r>
            <w:r>
              <w:rPr>
                <w:rFonts w:hint="eastAsia"/>
                <w:b/>
                <w:bCs/>
              </w:rPr>
              <w:t>二</w:t>
            </w:r>
            <w:r>
              <w:rPr>
                <w:rFonts w:hint="eastAsia"/>
                <w:b/>
                <w:bCs/>
              </w:rPr>
              <w:fldChar w:fldCharType="end"/>
            </w:r>
          </w:p>
        </w:tc>
        <w:tc>
          <w:tcPr>
            <w:tcW w:w="3256" w:type="dxa"/>
          </w:tcPr>
          <w:p>
            <w:pPr>
              <w:rPr>
                <w:b/>
                <w:bCs/>
              </w:rPr>
            </w:pPr>
            <w:r>
              <w:rPr>
                <w:rFonts w:hint="eastAsia"/>
                <w:b/>
                <w:bCs/>
              </w:rPr>
              <w:t>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"_Toc474235946" </w:instrText>
            </w:r>
            <w:r>
              <w:fldChar w:fldCharType="separate"/>
            </w:r>
            <w:r>
              <w:rPr>
                <w:rFonts w:hint="eastAsia"/>
                <w:b/>
                <w:bCs/>
              </w:rPr>
              <w:t xml:space="preserve">三 </w:t>
            </w:r>
            <w:r>
              <w:rPr>
                <w:rFonts w:hint="eastAsia"/>
                <w:b/>
                <w:bCs/>
              </w:rPr>
              <w:fldChar w:fldCharType="end"/>
            </w:r>
          </w:p>
        </w:tc>
        <w:tc>
          <w:tcPr>
            <w:tcW w:w="3256" w:type="dxa"/>
          </w:tcPr>
          <w:p>
            <w:pPr>
              <w:rPr>
                <w:b/>
                <w:bCs/>
              </w:rPr>
            </w:pPr>
            <w:r>
              <w:rPr>
                <w:rFonts w:hint="eastAsia"/>
                <w:b/>
                <w:bCs/>
              </w:rPr>
              <w:t>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261" w:type="dxa"/>
          </w:tcPr>
          <w:p>
            <w:pPr>
              <w:ind w:firstLine="3780" w:firstLineChars="1800"/>
              <w:rPr>
                <w:b/>
                <w:bCs/>
              </w:rPr>
            </w:pPr>
            <w:r>
              <w:fldChar w:fldCharType="begin"/>
            </w:r>
            <w:r>
              <w:instrText xml:space="preserve"> HYPERLINK \l "_Toc474235947" </w:instrText>
            </w:r>
            <w:r>
              <w:fldChar w:fldCharType="separate"/>
            </w:r>
            <w:r>
              <w:rPr>
                <w:rFonts w:hint="eastAsia"/>
                <w:b/>
                <w:bCs/>
              </w:rPr>
              <w:t xml:space="preserve">四 </w:t>
            </w:r>
            <w:r>
              <w:rPr>
                <w:rFonts w:hint="eastAsia"/>
                <w:b/>
                <w:bCs/>
              </w:rPr>
              <w:fldChar w:fldCharType="end"/>
            </w:r>
          </w:p>
        </w:tc>
        <w:tc>
          <w:tcPr>
            <w:tcW w:w="3256" w:type="dxa"/>
          </w:tcPr>
          <w:p>
            <w:pPr>
              <w:rPr>
                <w:b/>
                <w:bCs/>
              </w:rPr>
            </w:pPr>
            <w:r>
              <w:rPr>
                <w:rFonts w:hint="eastAsia"/>
                <w:b/>
                <w:bCs/>
              </w:rPr>
              <w:t>投标文件的递交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"_Toc474235948" </w:instrText>
            </w:r>
            <w:r>
              <w:fldChar w:fldCharType="separate"/>
            </w:r>
            <w:r>
              <w:rPr>
                <w:rFonts w:hint="eastAsia"/>
                <w:b/>
                <w:bCs/>
              </w:rPr>
              <w:t xml:space="preserve">五 </w:t>
            </w:r>
            <w:r>
              <w:rPr>
                <w:rFonts w:hint="eastAsia"/>
                <w:b/>
                <w:bCs/>
              </w:rPr>
              <w:fldChar w:fldCharType="end"/>
            </w:r>
          </w:p>
        </w:tc>
        <w:tc>
          <w:tcPr>
            <w:tcW w:w="3256" w:type="dxa"/>
          </w:tcPr>
          <w:p>
            <w:pPr>
              <w:rPr>
                <w:b/>
                <w:bCs/>
              </w:rPr>
            </w:pPr>
            <w:r>
              <w:rPr>
                <w:rFonts w:hint="eastAsia"/>
                <w:b/>
                <w:bCs/>
              </w:rPr>
              <w:t>开标和评标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360" w:firstLineChars="1600"/>
              <w:rPr>
                <w:b/>
                <w:bCs/>
              </w:rPr>
            </w:pPr>
            <w:r>
              <w:fldChar w:fldCharType="begin"/>
            </w:r>
            <w:r>
              <w:instrText xml:space="preserve"> HYPERLINK \l "_Toc474235949" </w:instrText>
            </w:r>
            <w:r>
              <w:fldChar w:fldCharType="separate"/>
            </w:r>
            <w:r>
              <w:rPr>
                <w:rFonts w:hint="eastAsia"/>
                <w:b/>
                <w:bCs/>
              </w:rPr>
              <w:t>第三章</w:t>
            </w:r>
            <w:r>
              <w:rPr>
                <w:rFonts w:hint="eastAsia"/>
                <w:b/>
                <w:bCs/>
              </w:rPr>
              <w:fldChar w:fldCharType="end"/>
            </w:r>
          </w:p>
        </w:tc>
        <w:tc>
          <w:tcPr>
            <w:tcW w:w="3256" w:type="dxa"/>
          </w:tcPr>
          <w:p>
            <w:pPr>
              <w:rPr>
                <w:b/>
                <w:bCs/>
              </w:rPr>
            </w:pPr>
            <w:r>
              <w:rPr>
                <w:rFonts w:hint="eastAsia"/>
                <w:b/>
                <w:bCs/>
              </w:rPr>
              <w:t>评标方法及标准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360" w:firstLineChars="1600"/>
              <w:rPr>
                <w:b/>
                <w:bCs/>
              </w:rPr>
            </w:pPr>
            <w:r>
              <w:fldChar w:fldCharType="begin"/>
            </w:r>
            <w:r>
              <w:instrText xml:space="preserve"> HYPERLINK \l "_Toc474235950" </w:instrText>
            </w:r>
            <w:r>
              <w:fldChar w:fldCharType="separate"/>
            </w:r>
            <w:r>
              <w:rPr>
                <w:rFonts w:hint="eastAsia"/>
                <w:b/>
                <w:bCs/>
              </w:rPr>
              <w:t>第四章</w:t>
            </w:r>
            <w:r>
              <w:rPr>
                <w:rFonts w:hint="eastAsia"/>
                <w:b/>
                <w:bCs/>
              </w:rPr>
              <w:fldChar w:fldCharType="end"/>
            </w:r>
          </w:p>
        </w:tc>
        <w:tc>
          <w:tcPr>
            <w:tcW w:w="3256" w:type="dxa"/>
          </w:tcPr>
          <w:p>
            <w:pPr>
              <w:rPr>
                <w:b/>
                <w:bCs/>
              </w:rPr>
            </w:pPr>
            <w:r>
              <w:rPr>
                <w:rFonts w:hint="eastAsia"/>
                <w:b/>
                <w:bCs/>
              </w:rPr>
              <w:t>政府采购合同格式、验收书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"_Toc474235951" </w:instrText>
            </w:r>
            <w:r>
              <w:fldChar w:fldCharType="separate"/>
            </w:r>
            <w:r>
              <w:rPr>
                <w:rFonts w:hint="eastAsia"/>
                <w:b/>
                <w:bCs/>
              </w:rPr>
              <w:t xml:space="preserve">一 </w:t>
            </w:r>
            <w:r>
              <w:rPr>
                <w:rFonts w:hint="eastAsia"/>
                <w:b/>
                <w:bCs/>
              </w:rPr>
              <w:fldChar w:fldCharType="end"/>
            </w:r>
          </w:p>
        </w:tc>
        <w:tc>
          <w:tcPr>
            <w:tcW w:w="3256" w:type="dxa"/>
          </w:tcPr>
          <w:p>
            <w:pPr>
              <w:rPr>
                <w:b/>
                <w:bCs/>
              </w:rPr>
            </w:pPr>
            <w:r>
              <w:rPr>
                <w:rFonts w:hint="eastAsia"/>
                <w:b/>
                <w:bCs/>
              </w:rPr>
              <w:t>政府采购合同协议书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"_Toc474235952" </w:instrText>
            </w:r>
            <w:r>
              <w:fldChar w:fldCharType="separate"/>
            </w:r>
            <w:r>
              <w:rPr>
                <w:rFonts w:hint="eastAsia"/>
                <w:b/>
                <w:bCs/>
              </w:rPr>
              <w:t xml:space="preserve">二 </w:t>
            </w:r>
            <w:r>
              <w:rPr>
                <w:rFonts w:hint="eastAsia"/>
                <w:b/>
                <w:bCs/>
              </w:rPr>
              <w:fldChar w:fldCharType="end"/>
            </w:r>
          </w:p>
        </w:tc>
        <w:tc>
          <w:tcPr>
            <w:tcW w:w="3256" w:type="dxa"/>
          </w:tcPr>
          <w:p>
            <w:pPr>
              <w:rPr>
                <w:b/>
                <w:bCs/>
              </w:rPr>
            </w:pPr>
            <w:r>
              <w:rPr>
                <w:rFonts w:hint="eastAsia"/>
                <w:b/>
                <w:bCs/>
              </w:rPr>
              <w:t>政府采购合同通用条款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"_Toc474235953" </w:instrText>
            </w:r>
            <w:r>
              <w:fldChar w:fldCharType="separate"/>
            </w:r>
            <w:r>
              <w:rPr>
                <w:rFonts w:hint="eastAsia"/>
                <w:b/>
                <w:bCs/>
              </w:rPr>
              <w:t xml:space="preserve">三 </w:t>
            </w:r>
            <w:r>
              <w:rPr>
                <w:rFonts w:hint="eastAsia"/>
                <w:b/>
                <w:bCs/>
              </w:rPr>
              <w:fldChar w:fldCharType="end"/>
            </w:r>
          </w:p>
        </w:tc>
        <w:tc>
          <w:tcPr>
            <w:tcW w:w="3256" w:type="dxa"/>
          </w:tcPr>
          <w:p>
            <w:pPr>
              <w:rPr>
                <w:b/>
                <w:bCs/>
              </w:rPr>
            </w:pPr>
            <w:r>
              <w:rPr>
                <w:rFonts w:hint="eastAsia"/>
                <w:b/>
                <w:bCs/>
              </w:rPr>
              <w:t>政府采购合同专用条款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95" w:firstLineChars="1800"/>
              <w:rPr>
                <w:b/>
                <w:bCs/>
              </w:rPr>
            </w:pPr>
            <w:r>
              <w:rPr>
                <w:rFonts w:hint="eastAsia"/>
                <w:b/>
                <w:bCs/>
              </w:rPr>
              <w:t xml:space="preserve">四 </w:t>
            </w:r>
          </w:p>
        </w:tc>
        <w:tc>
          <w:tcPr>
            <w:tcW w:w="3256" w:type="dxa"/>
          </w:tcPr>
          <w:p>
            <w:pPr>
              <w:rPr>
                <w:b/>
                <w:bCs/>
              </w:rPr>
            </w:pPr>
            <w:r>
              <w:rPr>
                <w:rFonts w:hint="eastAsia"/>
                <w:b/>
                <w:bCs/>
              </w:rPr>
              <w:t>验收书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360" w:firstLineChars="1600"/>
              <w:rPr>
                <w:b/>
                <w:bCs/>
              </w:rPr>
            </w:pPr>
            <w:r>
              <w:fldChar w:fldCharType="begin"/>
            </w:r>
            <w:r>
              <w:instrText xml:space="preserve"> HYPERLINK \l "_Toc474235954" </w:instrText>
            </w:r>
            <w:r>
              <w:fldChar w:fldCharType="separate"/>
            </w:r>
            <w:r>
              <w:rPr>
                <w:rFonts w:hint="eastAsia"/>
                <w:b/>
                <w:bCs/>
              </w:rPr>
              <w:t>第五章</w:t>
            </w:r>
            <w:r>
              <w:rPr>
                <w:rFonts w:hint="eastAsia"/>
                <w:b/>
                <w:bCs/>
              </w:rPr>
              <w:fldChar w:fldCharType="end"/>
            </w:r>
          </w:p>
        </w:tc>
        <w:tc>
          <w:tcPr>
            <w:tcW w:w="3256" w:type="dxa"/>
          </w:tcPr>
          <w:p>
            <w:pPr>
              <w:rPr>
                <w:b/>
                <w:bCs/>
              </w:rPr>
            </w:pPr>
            <w:r>
              <w:rPr>
                <w:rFonts w:hint="eastAsia"/>
                <w:b/>
                <w:bCs/>
              </w:rPr>
              <w:t>采购需求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360" w:firstLineChars="1600"/>
              <w:rPr>
                <w:b/>
                <w:bCs/>
              </w:rPr>
            </w:pPr>
            <w:r>
              <w:fldChar w:fldCharType="begin"/>
            </w:r>
            <w:r>
              <w:instrText xml:space="preserve"> HYPERLINK \l "_Toc474235955" </w:instrText>
            </w:r>
            <w:r>
              <w:fldChar w:fldCharType="separate"/>
            </w:r>
            <w:r>
              <w:rPr>
                <w:rFonts w:hint="eastAsia"/>
                <w:b/>
                <w:bCs/>
              </w:rPr>
              <w:t>第六章</w:t>
            </w:r>
            <w:r>
              <w:rPr>
                <w:rFonts w:hint="eastAsia"/>
                <w:b/>
                <w:bCs/>
              </w:rPr>
              <w:fldChar w:fldCharType="end"/>
            </w:r>
          </w:p>
        </w:tc>
        <w:tc>
          <w:tcPr>
            <w:tcW w:w="3256" w:type="dxa"/>
          </w:tcPr>
          <w:p>
            <w:pPr>
              <w:rPr>
                <w:b/>
                <w:bCs/>
              </w:rPr>
            </w:pPr>
            <w:r>
              <w:rPr>
                <w:rFonts w:hint="eastAsia"/>
                <w:b/>
                <w:bCs/>
              </w:rPr>
              <w:t>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"_Toc474235956" </w:instrText>
            </w:r>
            <w:r>
              <w:fldChar w:fldCharType="separate"/>
            </w:r>
            <w:r>
              <w:rPr>
                <w:rFonts w:hint="eastAsia"/>
                <w:b/>
                <w:bCs/>
              </w:rPr>
              <w:t xml:space="preserve">一 </w:t>
            </w:r>
            <w:r>
              <w:rPr>
                <w:rFonts w:hint="eastAsia"/>
                <w:b/>
                <w:bCs/>
              </w:rPr>
              <w:fldChar w:fldCharType="end"/>
            </w:r>
          </w:p>
        </w:tc>
        <w:tc>
          <w:tcPr>
            <w:tcW w:w="3256" w:type="dxa"/>
          </w:tcPr>
          <w:p>
            <w:pPr>
              <w:rPr>
                <w:b/>
                <w:bCs/>
              </w:rPr>
            </w:pPr>
            <w:r>
              <w:rPr>
                <w:rFonts w:hint="eastAsia"/>
                <w:b/>
                <w:bCs/>
              </w:rPr>
              <w:t>投标函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"_Toc474235957" </w:instrText>
            </w:r>
            <w:r>
              <w:fldChar w:fldCharType="separate"/>
            </w:r>
            <w:r>
              <w:rPr>
                <w:rFonts w:hint="eastAsia"/>
                <w:b/>
                <w:bCs/>
              </w:rPr>
              <w:t xml:space="preserve">二 </w:t>
            </w:r>
            <w:r>
              <w:rPr>
                <w:rFonts w:hint="eastAsia"/>
                <w:b/>
                <w:bCs/>
              </w:rPr>
              <w:fldChar w:fldCharType="end"/>
            </w:r>
          </w:p>
        </w:tc>
        <w:tc>
          <w:tcPr>
            <w:tcW w:w="3256" w:type="dxa"/>
          </w:tcPr>
          <w:p>
            <w:pPr>
              <w:rPr>
                <w:b/>
                <w:bCs/>
              </w:rPr>
            </w:pPr>
            <w:r>
              <w:rPr>
                <w:rFonts w:hint="eastAsia"/>
                <w:b/>
                <w:bCs/>
              </w:rPr>
              <w:t>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"_Toc474235958" </w:instrText>
            </w:r>
            <w:r>
              <w:fldChar w:fldCharType="separate"/>
            </w:r>
            <w:r>
              <w:rPr>
                <w:rFonts w:hint="eastAsia"/>
                <w:b/>
                <w:bCs/>
              </w:rPr>
              <w:t xml:space="preserve">三 </w:t>
            </w:r>
            <w:r>
              <w:rPr>
                <w:rFonts w:hint="eastAsia"/>
                <w:b/>
                <w:bCs/>
              </w:rPr>
              <w:fldChar w:fldCharType="end"/>
            </w:r>
          </w:p>
        </w:tc>
        <w:tc>
          <w:tcPr>
            <w:tcW w:w="3256" w:type="dxa"/>
          </w:tcPr>
          <w:p>
            <w:pPr>
              <w:rPr>
                <w:b/>
                <w:bCs/>
              </w:rPr>
            </w:pPr>
            <w:r>
              <w:rPr>
                <w:rFonts w:hint="eastAsia"/>
                <w:b/>
                <w:bCs/>
              </w:rPr>
              <w:t>开标一览表及投标报价明细表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"_Toc474235959" </w:instrText>
            </w:r>
            <w:r>
              <w:fldChar w:fldCharType="separate"/>
            </w:r>
            <w:r>
              <w:rPr>
                <w:rFonts w:hint="eastAsia"/>
                <w:b/>
                <w:bCs/>
              </w:rPr>
              <w:t xml:space="preserve">四 </w:t>
            </w:r>
            <w:r>
              <w:rPr>
                <w:rFonts w:hint="eastAsia"/>
                <w:b/>
                <w:bCs/>
              </w:rPr>
              <w:fldChar w:fldCharType="end"/>
            </w:r>
          </w:p>
        </w:tc>
        <w:tc>
          <w:tcPr>
            <w:tcW w:w="3256" w:type="dxa"/>
          </w:tcPr>
          <w:p>
            <w:pPr>
              <w:rPr>
                <w:b/>
                <w:bCs/>
              </w:rPr>
            </w:pPr>
            <w:r>
              <w:rPr>
                <w:rFonts w:hint="eastAsia"/>
                <w:b/>
                <w:bCs/>
              </w:rPr>
              <w:t>投标人的资格证明材料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"_Toc474235960" </w:instrText>
            </w:r>
            <w:r>
              <w:fldChar w:fldCharType="separate"/>
            </w:r>
            <w:r>
              <w:rPr>
                <w:rFonts w:hint="eastAsia"/>
                <w:b/>
                <w:bCs/>
              </w:rPr>
              <w:t xml:space="preserve">五 </w:t>
            </w:r>
            <w:r>
              <w:rPr>
                <w:rFonts w:hint="eastAsia"/>
                <w:b/>
                <w:bCs/>
              </w:rPr>
              <w:fldChar w:fldCharType="end"/>
            </w:r>
          </w:p>
        </w:tc>
        <w:tc>
          <w:tcPr>
            <w:tcW w:w="3256" w:type="dxa"/>
          </w:tcPr>
          <w:p>
            <w:pPr>
              <w:rPr>
                <w:b/>
                <w:bCs/>
              </w:rPr>
            </w:pPr>
            <w:r>
              <w:rPr>
                <w:rFonts w:hint="eastAsia"/>
                <w:b/>
                <w:bCs/>
              </w:rPr>
              <w:t>货物说明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"_Toc474235961" </w:instrText>
            </w:r>
            <w:r>
              <w:fldChar w:fldCharType="separate"/>
            </w:r>
            <w:r>
              <w:rPr>
                <w:rFonts w:hint="eastAsia"/>
                <w:b/>
                <w:bCs/>
              </w:rPr>
              <w:t xml:space="preserve">六 </w:t>
            </w:r>
            <w:r>
              <w:rPr>
                <w:rFonts w:hint="eastAsia"/>
                <w:b/>
                <w:bCs/>
              </w:rPr>
              <w:fldChar w:fldCharType="end"/>
            </w:r>
          </w:p>
        </w:tc>
        <w:tc>
          <w:tcPr>
            <w:tcW w:w="3256" w:type="dxa"/>
          </w:tcPr>
          <w:p>
            <w:pPr>
              <w:rPr>
                <w:b/>
                <w:bCs/>
              </w:rPr>
            </w:pPr>
            <w:r>
              <w:rPr>
                <w:rFonts w:hint="eastAsia"/>
                <w:b/>
                <w:bCs/>
              </w:rPr>
              <w:t>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"_Toc474235962" </w:instrText>
            </w:r>
            <w:r>
              <w:fldChar w:fldCharType="separate"/>
            </w:r>
            <w:r>
              <w:rPr>
                <w:rFonts w:hint="eastAsia"/>
                <w:b/>
                <w:bCs/>
              </w:rPr>
              <w:t xml:space="preserve">七 </w:t>
            </w:r>
            <w:r>
              <w:rPr>
                <w:rFonts w:hint="eastAsia"/>
                <w:b/>
                <w:bCs/>
              </w:rPr>
              <w:fldChar w:fldCharType="end"/>
            </w:r>
          </w:p>
        </w:tc>
        <w:tc>
          <w:tcPr>
            <w:tcW w:w="3256" w:type="dxa"/>
          </w:tcPr>
          <w:p>
            <w:pPr>
              <w:rPr>
                <w:b/>
                <w:bCs/>
              </w:rPr>
            </w:pPr>
            <w:r>
              <w:rPr>
                <w:rFonts w:hint="eastAsia"/>
                <w:b/>
                <w:bCs/>
              </w:rPr>
              <w:t>商务响应与偏离表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584" w:firstLineChars="1700"/>
              <w:jc w:val="center"/>
              <w:rPr>
                <w:b/>
                <w:bCs/>
              </w:rPr>
            </w:pPr>
            <w:r>
              <w:rPr>
                <w:rFonts w:hint="eastAsia"/>
                <w:b/>
                <w:bCs/>
              </w:rPr>
              <w:t xml:space="preserve"> </w:t>
            </w:r>
            <w:r>
              <w:fldChar w:fldCharType="begin"/>
            </w:r>
            <w:r>
              <w:instrText xml:space="preserve"> HYPERLINK \l "_Toc474235963" </w:instrText>
            </w:r>
            <w:r>
              <w:fldChar w:fldCharType="separate"/>
            </w:r>
            <w:r>
              <w:rPr>
                <w:rFonts w:hint="eastAsia"/>
                <w:b/>
                <w:bCs/>
              </w:rPr>
              <w:t xml:space="preserve">八 </w:t>
            </w:r>
            <w:r>
              <w:rPr>
                <w:rFonts w:hint="eastAsia"/>
                <w:b/>
                <w:bCs/>
              </w:rPr>
              <w:fldChar w:fldCharType="end"/>
            </w:r>
          </w:p>
        </w:tc>
        <w:tc>
          <w:tcPr>
            <w:tcW w:w="3256" w:type="dxa"/>
          </w:tcPr>
          <w:p>
            <w:pPr>
              <w:rPr>
                <w:b/>
                <w:bCs/>
              </w:rPr>
            </w:pPr>
            <w:r>
              <w:rPr>
                <w:rFonts w:hint="eastAsia"/>
                <w:b/>
                <w:bCs/>
              </w:rPr>
              <w:t>投标人认为需要提供的其它资料</w:t>
            </w:r>
          </w:p>
        </w:tc>
      </w:tr>
    </w:tbl>
    <w:p>
      <w:pPr>
        <w:pStyle w:val="33"/>
        <w:tabs>
          <w:tab w:val="right" w:leader="hyphen" w:pos="8834"/>
        </w:tabs>
        <w:rPr>
          <w:b w:val="0"/>
          <w:bCs w:val="0"/>
          <w:caps w:val="0"/>
          <w:color w:val="000000" w:themeColor="text1"/>
          <w:sz w:val="21"/>
          <w:szCs w:val="24"/>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TOC \o "1-3" \h \z \u </w:instrText>
      </w:r>
      <w:r>
        <w:rPr>
          <w:rFonts w:ascii="宋体" w:hAnsi="宋体"/>
          <w:color w:val="000000" w:themeColor="text1"/>
          <w:szCs w:val="21"/>
          <w14:textFill>
            <w14:solidFill>
              <w14:schemeClr w14:val="tx1"/>
            </w14:solidFill>
          </w14:textFill>
        </w:rPr>
        <w:fldChar w:fldCharType="separate"/>
      </w:r>
    </w:p>
    <w:p>
      <w:pPr>
        <w:pStyle w:val="33"/>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Cs w:val="21"/>
          <w14:textFill>
            <w14:solidFill>
              <w14:schemeClr w14:val="tx1"/>
            </w14:solidFill>
          </w14:textFill>
        </w:rPr>
        <w:fldChar w:fldCharType="end"/>
      </w:r>
    </w:p>
    <w:p>
      <w:pPr>
        <w:spacing w:line="360" w:lineRule="exact"/>
        <w:jc w:val="center"/>
        <w:outlineLvl w:val="0"/>
        <w:rPr>
          <w:rFonts w:ascii="宋体" w:hAnsi="宋体"/>
          <w:b/>
          <w:color w:val="000000" w:themeColor="text1"/>
          <w:sz w:val="32"/>
          <w:szCs w:val="32"/>
          <w14:textFill>
            <w14:solidFill>
              <w14:schemeClr w14:val="tx1"/>
            </w14:solidFill>
          </w14:textFill>
        </w:rPr>
      </w:pPr>
      <w:bookmarkStart w:id="1" w:name="_Toc419219645"/>
      <w:bookmarkStart w:id="2" w:name="_Toc419219410"/>
      <w:bookmarkStart w:id="3" w:name="_Toc420948005"/>
      <w:bookmarkStart w:id="4" w:name="_Toc419219491"/>
    </w:p>
    <w:p>
      <w:pPr>
        <w:spacing w:line="360" w:lineRule="exact"/>
        <w:jc w:val="center"/>
        <w:outlineLvl w:val="0"/>
        <w:rPr>
          <w:rFonts w:ascii="宋体" w:hAnsi="宋体"/>
          <w:b/>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spacing w:line="360" w:lineRule="exact"/>
        <w:jc w:val="center"/>
        <w:outlineLvl w:val="0"/>
        <w:rPr>
          <w:rFonts w:ascii="宋体" w:hAnsi="宋体"/>
          <w:b/>
          <w:color w:val="000000" w:themeColor="text1"/>
          <w:sz w:val="32"/>
          <w:szCs w:val="32"/>
          <w14:textFill>
            <w14:solidFill>
              <w14:schemeClr w14:val="tx1"/>
            </w14:solidFill>
          </w14:textFill>
        </w:rPr>
      </w:pPr>
      <w:bookmarkStart w:id="5" w:name="_Toc474235940"/>
      <w:r>
        <w:rPr>
          <w:rFonts w:hint="eastAsia" w:ascii="宋体" w:hAnsi="宋体"/>
          <w:b/>
          <w:color w:val="000000" w:themeColor="text1"/>
          <w:sz w:val="32"/>
          <w:szCs w:val="32"/>
          <w14:textFill>
            <w14:solidFill>
              <w14:schemeClr w14:val="tx1"/>
            </w14:solidFill>
          </w14:textFill>
        </w:rPr>
        <w:t>第一</w:t>
      </w:r>
      <w:r>
        <w:rPr>
          <w:rFonts w:ascii="宋体" w:hAnsi="宋体"/>
          <w:b/>
          <w:color w:val="000000" w:themeColor="text1"/>
          <w:sz w:val="32"/>
          <w:szCs w:val="32"/>
          <w14:textFill>
            <w14:solidFill>
              <w14:schemeClr w14:val="tx1"/>
            </w14:solidFill>
          </w14:textFill>
        </w:rPr>
        <w:t xml:space="preserve">章  </w:t>
      </w:r>
      <w:r>
        <w:rPr>
          <w:rFonts w:hint="eastAsia" w:ascii="宋体" w:hAnsi="宋体"/>
          <w:b/>
          <w:color w:val="000000" w:themeColor="text1"/>
          <w:sz w:val="32"/>
          <w:szCs w:val="32"/>
          <w14:textFill>
            <w14:solidFill>
              <w14:schemeClr w14:val="tx1"/>
            </w14:solidFill>
          </w14:textFill>
        </w:rPr>
        <w:t>招标公告</w:t>
      </w:r>
      <w:bookmarkEnd w:id="1"/>
      <w:bookmarkEnd w:id="2"/>
      <w:bookmarkEnd w:id="3"/>
      <w:bookmarkEnd w:id="4"/>
      <w:bookmarkEnd w:id="5"/>
      <w:bookmarkStart w:id="6" w:name="OLE_LINK1"/>
      <w:bookmarkStart w:id="7" w:name="OLE_LINK3"/>
      <w:bookmarkStart w:id="8" w:name="OLE_LINK4"/>
      <w:bookmarkStart w:id="9" w:name="OLE_LINK2"/>
    </w:p>
    <w:bookmarkEnd w:id="6"/>
    <w:bookmarkEnd w:id="7"/>
    <w:bookmarkEnd w:id="8"/>
    <w:bookmarkEnd w:id="9"/>
    <w:p>
      <w:pPr>
        <w:widowControl/>
        <w:spacing w:line="380" w:lineRule="exact"/>
        <w:ind w:firstLine="420" w:firstLineChars="200"/>
        <w:jc w:val="left"/>
        <w:rPr>
          <w:rFonts w:ascii="宋体" w:cs="Arial"/>
          <w:color w:val="000000" w:themeColor="text1"/>
          <w:kern w:val="0"/>
          <w:szCs w:val="21"/>
          <w14:textFill>
            <w14:solidFill>
              <w14:schemeClr w14:val="tx1"/>
            </w14:solidFill>
          </w14:textFill>
        </w:rPr>
      </w:pPr>
      <w:bookmarkStart w:id="10" w:name="_Toc474235941"/>
      <w:bookmarkStart w:id="11" w:name="_Toc420948006"/>
      <w:r>
        <w:rPr>
          <w:rFonts w:hint="eastAsia" w:ascii="宋体" w:hAnsi="宋体" w:cs="Arial"/>
          <w:color w:val="000000" w:themeColor="text1"/>
          <w:kern w:val="0"/>
          <w:szCs w:val="21"/>
          <w:highlight w:val="none"/>
          <w14:textFill>
            <w14:solidFill>
              <w14:schemeClr w14:val="tx1"/>
            </w14:solidFill>
          </w14:textFill>
        </w:rPr>
        <w:t>受</w:t>
      </w:r>
      <w:r>
        <w:rPr>
          <w:rFonts w:hint="eastAsia" w:ascii="宋体" w:hAnsi="宋体" w:cs="Arial"/>
          <w:color w:val="000000" w:themeColor="text1"/>
          <w:kern w:val="0"/>
          <w:szCs w:val="21"/>
          <w:highlight w:val="none"/>
          <w:lang w:eastAsia="zh-CN"/>
          <w14:textFill>
            <w14:solidFill>
              <w14:schemeClr w14:val="tx1"/>
            </w14:solidFill>
          </w14:textFill>
        </w:rPr>
        <w:t>霍尔果斯市教育局</w:t>
      </w:r>
      <w:r>
        <w:rPr>
          <w:rFonts w:hint="eastAsia" w:ascii="宋体" w:hAnsi="宋体" w:cs="Arial"/>
          <w:color w:val="000000" w:themeColor="text1"/>
          <w:kern w:val="0"/>
          <w:szCs w:val="21"/>
          <w:highlight w:val="none"/>
          <w14:textFill>
            <w14:solidFill>
              <w14:schemeClr w14:val="tx1"/>
            </w14:solidFill>
          </w14:textFill>
        </w:rPr>
        <w:t>的委托，霍尔果斯经济开发区政府采购中心对</w:t>
      </w:r>
      <w:r>
        <w:rPr>
          <w:rFonts w:hint="eastAsia" w:ascii="宋体" w:hAnsi="宋体" w:cs="Arial"/>
          <w:color w:val="000000" w:themeColor="text1"/>
          <w:kern w:val="0"/>
          <w:szCs w:val="21"/>
          <w:highlight w:val="none"/>
          <w:lang w:eastAsia="zh-CN"/>
          <w14:textFill>
            <w14:solidFill>
              <w14:schemeClr w14:val="tx1"/>
            </w14:solidFill>
          </w14:textFill>
        </w:rPr>
        <w:t>霍尔果斯市教育局理科实验教学仪器设备采购项目</w:t>
      </w:r>
      <w:r>
        <w:rPr>
          <w:rFonts w:hint="eastAsia" w:ascii="宋体" w:hAnsi="宋体" w:cs="Arial"/>
          <w:color w:val="000000" w:themeColor="text1"/>
          <w:kern w:val="0"/>
          <w:szCs w:val="21"/>
          <w:highlight w:val="none"/>
          <w14:textFill>
            <w14:solidFill>
              <w14:schemeClr w14:val="tx1"/>
            </w14:solidFill>
          </w14:textFill>
        </w:rPr>
        <w:t>进行公开</w:t>
      </w:r>
      <w:r>
        <w:rPr>
          <w:rFonts w:hint="eastAsia" w:ascii="宋体" w:hAnsi="宋体" w:cs="Arial"/>
          <w:color w:val="000000" w:themeColor="text1"/>
          <w:kern w:val="0"/>
          <w:szCs w:val="21"/>
          <w14:textFill>
            <w14:solidFill>
              <w14:schemeClr w14:val="tx1"/>
            </w14:solidFill>
          </w14:textFill>
        </w:rPr>
        <w:t>招标采购，欢迎符合资格条件的投标人参加投标。</w:t>
      </w:r>
    </w:p>
    <w:p>
      <w:pPr>
        <w:widowControl/>
        <w:numPr>
          <w:ilvl w:val="0"/>
          <w:numId w:val="4"/>
        </w:numPr>
        <w:spacing w:line="380" w:lineRule="exact"/>
        <w:ind w:firstLine="420" w:firstLineChars="200"/>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lang w:eastAsia="zh-CN"/>
          <w14:textFill>
            <w14:solidFill>
              <w14:schemeClr w14:val="tx1"/>
            </w14:solidFill>
          </w14:textFill>
        </w:rPr>
        <w:t>项目编号</w:t>
      </w:r>
      <w:r>
        <w:rPr>
          <w:rFonts w:hint="eastAsia" w:ascii="宋体" w:hAnsi="宋体" w:cs="Arial"/>
          <w:color w:val="000000" w:themeColor="text1"/>
          <w:kern w:val="0"/>
          <w:szCs w:val="21"/>
          <w14:textFill>
            <w14:solidFill>
              <w14:schemeClr w14:val="tx1"/>
            </w14:solidFill>
          </w14:textFill>
        </w:rPr>
        <w:t>：</w:t>
      </w:r>
      <w:r>
        <w:rPr>
          <w:rFonts w:hint="eastAsia" w:ascii="宋体" w:hAnsi="宋体" w:cs="Arial"/>
          <w:color w:val="000000" w:themeColor="text1"/>
          <w:kern w:val="0"/>
          <w:szCs w:val="21"/>
          <w:lang w:eastAsia="zh-CN"/>
          <w14:textFill>
            <w14:solidFill>
              <w14:schemeClr w14:val="tx1"/>
            </w14:solidFill>
          </w14:textFill>
        </w:rPr>
        <w:t>HEGSCG-2024GK-55号</w:t>
      </w:r>
    </w:p>
    <w:p>
      <w:pPr>
        <w:widowControl/>
        <w:spacing w:line="380" w:lineRule="exact"/>
        <w:ind w:firstLine="420" w:firstLineChars="200"/>
        <w:jc w:val="left"/>
        <w:rPr>
          <w:rFonts w:hint="default" w:ascii="宋体" w:hAnsi="宋体" w:eastAsia="宋体" w:cs="Arial"/>
          <w:color w:val="000000" w:themeColor="text1"/>
          <w:kern w:val="0"/>
          <w:szCs w:val="21"/>
          <w:highlight w:val="darkMagenta"/>
          <w:lang w:val="en-US" w:eastAsia="zh-CN"/>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2、项目名称：</w:t>
      </w:r>
      <w:r>
        <w:rPr>
          <w:rFonts w:hint="eastAsia" w:ascii="宋体" w:hAnsi="宋体" w:cs="Arial"/>
          <w:color w:val="000000" w:themeColor="text1"/>
          <w:kern w:val="0"/>
          <w:szCs w:val="21"/>
          <w:lang w:eastAsia="zh-CN"/>
          <w14:textFill>
            <w14:solidFill>
              <w14:schemeClr w14:val="tx1"/>
            </w14:solidFill>
          </w14:textFill>
        </w:rPr>
        <w:t>霍尔果斯市教育局理科实验教学仪器设备采购项目</w:t>
      </w:r>
    </w:p>
    <w:p>
      <w:pPr>
        <w:widowControl/>
        <w:spacing w:line="380" w:lineRule="exact"/>
        <w:ind w:left="420" w:leftChars="200"/>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3、招标内容及要求</w:t>
      </w:r>
    </w:p>
    <w:p>
      <w:pPr>
        <w:widowControl/>
        <w:spacing w:line="380" w:lineRule="exact"/>
        <w:ind w:firstLine="422" w:firstLineChars="200"/>
        <w:jc w:val="left"/>
        <w:rPr>
          <w:color w:val="000000" w:themeColor="text1"/>
          <w14:textFill>
            <w14:solidFill>
              <w14:schemeClr w14:val="tx1"/>
            </w14:solidFill>
          </w14:textFill>
        </w:rPr>
      </w:pPr>
      <w:r>
        <w:rPr>
          <w:rFonts w:hint="eastAsia" w:ascii="宋体" w:hAnsi="宋体" w:cs="Arial"/>
          <w:b/>
          <w:bCs/>
          <w:color w:val="000000" w:themeColor="text1"/>
          <w:kern w:val="0"/>
          <w:szCs w:val="21"/>
          <w14:textFill>
            <w14:solidFill>
              <w14:schemeClr w14:val="tx1"/>
            </w14:solidFill>
          </w14:textFill>
        </w:rPr>
        <w:t>3.1 标项：</w:t>
      </w:r>
    </w:p>
    <w:tbl>
      <w:tblPr>
        <w:tblStyle w:val="46"/>
        <w:tblW w:w="8843" w:type="dxa"/>
        <w:tblInd w:w="11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365"/>
        <w:gridCol w:w="3941"/>
        <w:gridCol w:w="630"/>
        <w:gridCol w:w="660"/>
        <w:gridCol w:w="1566"/>
        <w:gridCol w:w="68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843" w:type="dxa"/>
            <w:gridSpan w:val="6"/>
            <w:tcBorders>
              <w:tl2br w:val="nil"/>
              <w:tr2bl w:val="nil"/>
            </w:tcBorders>
            <w:shd w:val="clear" w:color="auto" w:fill="auto"/>
            <w:noWrap/>
            <w:vAlign w:val="center"/>
          </w:tcPr>
          <w:p>
            <w:pPr>
              <w:widowControl/>
              <w:jc w:val="left"/>
              <w:textAlignment w:val="center"/>
              <w:rPr>
                <w:rFonts w:hint="eastAsia" w:ascii="黑体" w:hAnsi="黑体" w:eastAsia="黑体" w:cs="黑体"/>
                <w:color w:val="000000"/>
                <w:kern w:val="0"/>
                <w:sz w:val="20"/>
                <w:szCs w:val="20"/>
                <w:lang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365" w:type="dxa"/>
            <w:tcBorders>
              <w:tl2br w:val="nil"/>
              <w:tr2bl w:val="nil"/>
            </w:tcBorders>
            <w:shd w:val="clear" w:color="auto" w:fill="auto"/>
            <w:noWrap/>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kern w:val="0"/>
                <w:sz w:val="20"/>
                <w:szCs w:val="20"/>
              </w:rPr>
              <w:t>名称</w:t>
            </w:r>
          </w:p>
        </w:tc>
        <w:tc>
          <w:tcPr>
            <w:tcW w:w="3941" w:type="dxa"/>
            <w:tcBorders>
              <w:tl2br w:val="nil"/>
              <w:tr2bl w:val="nil"/>
            </w:tcBorders>
            <w:shd w:val="clear" w:color="auto" w:fill="auto"/>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kern w:val="0"/>
                <w:sz w:val="20"/>
                <w:szCs w:val="20"/>
              </w:rPr>
              <w:t>简要规格描述或项目基本概况</w:t>
            </w:r>
          </w:p>
        </w:tc>
        <w:tc>
          <w:tcPr>
            <w:tcW w:w="630" w:type="dxa"/>
            <w:tcBorders>
              <w:right w:val="single" w:color="auto" w:sz="4" w:space="0"/>
              <w:tl2br w:val="nil"/>
              <w:tr2bl w:val="nil"/>
            </w:tcBorders>
            <w:shd w:val="clear" w:color="auto" w:fill="auto"/>
            <w:noWrap/>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单位</w:t>
            </w:r>
          </w:p>
        </w:tc>
        <w:tc>
          <w:tcPr>
            <w:tcW w:w="660" w:type="dxa"/>
            <w:tcBorders>
              <w:left w:val="single" w:color="auto" w:sz="4" w:space="0"/>
              <w:right w:val="single" w:color="auto" w:sz="4" w:space="0"/>
              <w:tl2br w:val="nil"/>
              <w:tr2bl w:val="nil"/>
            </w:tcBorders>
            <w:shd w:val="clear" w:color="auto" w:fill="auto"/>
            <w:noWrap/>
            <w:vAlign w:val="center"/>
          </w:tcPr>
          <w:p>
            <w:pPr>
              <w:widowControl/>
              <w:jc w:val="center"/>
              <w:textAlignment w:val="center"/>
              <w:rPr>
                <w:rFonts w:hint="eastAsia" w:ascii="黑体" w:hAnsi="黑体" w:eastAsia="黑体" w:cs="黑体"/>
                <w:color w:val="000000"/>
                <w:kern w:val="0"/>
                <w:sz w:val="20"/>
                <w:szCs w:val="20"/>
                <w:lang w:eastAsia="zh-CN" w:bidi="ar"/>
              </w:rPr>
            </w:pPr>
            <w:r>
              <w:rPr>
                <w:rFonts w:hint="eastAsia" w:ascii="黑体" w:hAnsi="黑体" w:eastAsia="黑体" w:cs="黑体"/>
                <w:color w:val="000000"/>
                <w:kern w:val="0"/>
                <w:sz w:val="20"/>
                <w:szCs w:val="20"/>
                <w:lang w:eastAsia="zh-CN" w:bidi="ar"/>
              </w:rPr>
              <w:t>数量</w:t>
            </w:r>
          </w:p>
        </w:tc>
        <w:tc>
          <w:tcPr>
            <w:tcW w:w="1566" w:type="dxa"/>
            <w:tcBorders>
              <w:left w:val="single" w:color="auto" w:sz="4" w:space="0"/>
              <w:tl2br w:val="nil"/>
              <w:tr2bl w:val="nil"/>
            </w:tcBorders>
            <w:shd w:val="clear" w:color="auto" w:fill="auto"/>
            <w:noWrap/>
            <w:vAlign w:val="center"/>
          </w:tcPr>
          <w:p>
            <w:pPr>
              <w:widowControl/>
              <w:jc w:val="center"/>
              <w:textAlignment w:val="center"/>
              <w:rPr>
                <w:rFonts w:hint="eastAsia" w:ascii="黑体" w:hAnsi="黑体" w:eastAsia="黑体" w:cs="黑体"/>
                <w:color w:val="000000"/>
                <w:kern w:val="0"/>
                <w:sz w:val="20"/>
                <w:szCs w:val="20"/>
                <w:lang w:eastAsia="zh-CN" w:bidi="ar"/>
              </w:rPr>
            </w:pPr>
            <w:r>
              <w:rPr>
                <w:rFonts w:hint="eastAsia" w:ascii="黑体" w:hAnsi="黑体" w:eastAsia="黑体" w:cs="黑体"/>
                <w:color w:val="000000"/>
                <w:kern w:val="0"/>
                <w:sz w:val="20"/>
                <w:szCs w:val="20"/>
                <w:lang w:eastAsia="zh-CN" w:bidi="ar"/>
              </w:rPr>
              <w:t>预算金额（元）</w:t>
            </w:r>
          </w:p>
        </w:tc>
        <w:tc>
          <w:tcPr>
            <w:tcW w:w="681" w:type="dxa"/>
            <w:tcBorders>
              <w:tl2br w:val="nil"/>
              <w:tr2bl w:val="nil"/>
            </w:tcBorders>
            <w:shd w:val="clear" w:color="auto" w:fill="auto"/>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365" w:type="dxa"/>
            <w:tcBorders>
              <w:tl2br w:val="nil"/>
              <w:tr2bl w:val="nil"/>
            </w:tcBorders>
            <w:shd w:val="clear" w:color="auto" w:fill="auto"/>
            <w:noWrap/>
            <w:vAlign w:val="center"/>
          </w:tcPr>
          <w:p>
            <w:pPr>
              <w:widowControl/>
              <w:jc w:val="center"/>
              <w:textAlignment w:val="center"/>
              <w:rPr>
                <w:rFonts w:hint="eastAsia" w:ascii="黑体" w:hAnsi="黑体" w:eastAsia="黑体" w:cs="黑体"/>
                <w:color w:val="000000"/>
                <w:sz w:val="20"/>
                <w:szCs w:val="20"/>
                <w:lang w:eastAsia="zh-CN"/>
              </w:rPr>
            </w:pPr>
            <w:r>
              <w:rPr>
                <w:rFonts w:hint="eastAsia" w:ascii="黑体" w:hAnsi="黑体" w:eastAsia="黑体" w:cs="黑体"/>
                <w:color w:val="000000"/>
                <w:sz w:val="20"/>
                <w:szCs w:val="20"/>
                <w:lang w:eastAsia="zh-CN"/>
              </w:rPr>
              <w:t>理科实验教学仪器采购</w:t>
            </w:r>
          </w:p>
        </w:tc>
        <w:tc>
          <w:tcPr>
            <w:tcW w:w="3941" w:type="dxa"/>
            <w:tcBorders>
              <w:tl2br w:val="nil"/>
              <w:tr2bl w:val="nil"/>
            </w:tcBorders>
            <w:shd w:val="clear" w:color="auto" w:fill="auto"/>
            <w:vAlign w:val="center"/>
          </w:tcPr>
          <w:p>
            <w:pPr>
              <w:widowControl/>
              <w:jc w:val="center"/>
              <w:textAlignment w:val="center"/>
              <w:rPr>
                <w:rFonts w:ascii="黑体" w:hAnsi="黑体" w:eastAsia="黑体" w:cs="黑体"/>
                <w:color w:val="000000"/>
                <w:sz w:val="20"/>
                <w:szCs w:val="20"/>
              </w:rPr>
            </w:pPr>
            <w:r>
              <w:rPr>
                <w:rFonts w:hint="eastAsia" w:eastAsia="黑体"/>
                <w:color w:val="000000"/>
                <w:kern w:val="0"/>
                <w:sz w:val="20"/>
                <w:szCs w:val="20"/>
                <w:lang w:eastAsia="zh-CN" w:bidi="ar"/>
              </w:rPr>
              <w:t>化学吊装智慧实验室、物理吊装智慧实验室、生物室等设备，</w:t>
            </w:r>
            <w:r>
              <w:rPr>
                <w:rFonts w:hint="eastAsia" w:eastAsia="黑体"/>
                <w:color w:val="000000"/>
                <w:kern w:val="0"/>
                <w:sz w:val="20"/>
                <w:szCs w:val="20"/>
                <w:lang w:bidi="ar"/>
              </w:rPr>
              <w:t>具体明细详见采购文件</w:t>
            </w:r>
            <w:r>
              <w:rPr>
                <w:rFonts w:hint="eastAsia" w:eastAsia="黑体"/>
                <w:sz w:val="20"/>
                <w:szCs w:val="20"/>
              </w:rPr>
              <w:t>“第五章 采购需求”。</w:t>
            </w:r>
          </w:p>
        </w:tc>
        <w:tc>
          <w:tcPr>
            <w:tcW w:w="630" w:type="dxa"/>
            <w:tcBorders>
              <w:right w:val="single" w:color="auto" w:sz="4" w:space="0"/>
              <w:tl2br w:val="nil"/>
              <w:tr2bl w:val="nil"/>
            </w:tcBorders>
            <w:shd w:val="clear" w:color="auto" w:fill="auto"/>
            <w:noWrap/>
            <w:vAlign w:val="center"/>
          </w:tcPr>
          <w:p>
            <w:pPr>
              <w:widowControl/>
              <w:jc w:val="center"/>
              <w:textAlignment w:val="center"/>
              <w:rPr>
                <w:rFonts w:hint="eastAsia" w:ascii="黑体" w:hAnsi="黑体" w:eastAsia="黑体" w:cs="黑体"/>
                <w:color w:val="000000"/>
                <w:sz w:val="20"/>
                <w:szCs w:val="20"/>
                <w:lang w:eastAsia="zh-CN"/>
              </w:rPr>
            </w:pPr>
            <w:r>
              <w:rPr>
                <w:rFonts w:hint="eastAsia" w:ascii="黑体" w:hAnsi="黑体" w:eastAsia="黑体" w:cs="黑体"/>
                <w:color w:val="000000"/>
                <w:sz w:val="20"/>
                <w:szCs w:val="20"/>
                <w:lang w:eastAsia="zh-CN"/>
              </w:rPr>
              <w:t>批</w:t>
            </w:r>
          </w:p>
        </w:tc>
        <w:tc>
          <w:tcPr>
            <w:tcW w:w="660" w:type="dxa"/>
            <w:tcBorders>
              <w:left w:val="single" w:color="auto" w:sz="4" w:space="0"/>
              <w:right w:val="single" w:color="auto" w:sz="4" w:space="0"/>
              <w:tl2br w:val="nil"/>
              <w:tr2bl w:val="nil"/>
            </w:tcBorders>
            <w:shd w:val="clear" w:color="auto" w:fill="auto"/>
            <w:noWrap/>
            <w:vAlign w:val="center"/>
          </w:tcPr>
          <w:p>
            <w:pPr>
              <w:widowControl/>
              <w:jc w:val="center"/>
              <w:textAlignment w:val="center"/>
              <w:rPr>
                <w:rFonts w:hint="eastAsia" w:ascii="黑体" w:hAnsi="黑体" w:eastAsia="黑体" w:cs="黑体"/>
                <w:color w:val="000000"/>
                <w:sz w:val="20"/>
                <w:szCs w:val="20"/>
                <w:lang w:val="en-US" w:eastAsia="zh-CN"/>
              </w:rPr>
            </w:pPr>
            <w:r>
              <w:rPr>
                <w:rFonts w:hint="eastAsia" w:ascii="黑体" w:hAnsi="黑体" w:eastAsia="黑体" w:cs="黑体"/>
                <w:color w:val="000000"/>
                <w:sz w:val="20"/>
                <w:szCs w:val="20"/>
                <w:lang w:val="en-US" w:eastAsia="zh-CN"/>
              </w:rPr>
              <w:t>1</w:t>
            </w:r>
          </w:p>
        </w:tc>
        <w:tc>
          <w:tcPr>
            <w:tcW w:w="1566" w:type="dxa"/>
            <w:tcBorders>
              <w:left w:val="single" w:color="auto" w:sz="4" w:space="0"/>
              <w:tl2br w:val="nil"/>
              <w:tr2bl w:val="nil"/>
            </w:tcBorders>
            <w:shd w:val="clear" w:color="auto" w:fill="auto"/>
            <w:noWrap/>
            <w:vAlign w:val="center"/>
          </w:tcPr>
          <w:p>
            <w:pPr>
              <w:widowControl/>
              <w:jc w:val="center"/>
              <w:textAlignment w:val="center"/>
              <w:rPr>
                <w:rFonts w:hint="eastAsia" w:ascii="黑体" w:hAnsi="黑体" w:eastAsia="黑体" w:cs="黑体"/>
                <w:color w:val="000000"/>
                <w:sz w:val="20"/>
                <w:szCs w:val="20"/>
                <w:lang w:val="en-US" w:eastAsia="zh-CN"/>
              </w:rPr>
            </w:pPr>
            <w:r>
              <w:rPr>
                <w:rFonts w:hint="eastAsia" w:ascii="宋体" w:hAnsi="宋体"/>
                <w:b/>
                <w:bCs/>
                <w:i w:val="0"/>
                <w:iCs w:val="0"/>
                <w:color w:val="000000" w:themeColor="text1"/>
                <w:sz w:val="21"/>
                <w:szCs w:val="21"/>
                <w:highlight w:val="none"/>
                <w:lang w:val="en-US" w:eastAsia="zh-CN"/>
                <w14:textFill>
                  <w14:solidFill>
                    <w14:schemeClr w14:val="tx1"/>
                  </w14:solidFill>
                </w14:textFill>
              </w:rPr>
              <w:t>2710000.00</w:t>
            </w:r>
          </w:p>
        </w:tc>
        <w:tc>
          <w:tcPr>
            <w:tcW w:w="681" w:type="dxa"/>
            <w:tcBorders>
              <w:tl2br w:val="nil"/>
              <w:tr2bl w:val="nil"/>
            </w:tcBorders>
            <w:shd w:val="clear" w:color="auto" w:fill="auto"/>
            <w:vAlign w:val="center"/>
          </w:tcPr>
          <w:p>
            <w:pPr>
              <w:jc w:val="center"/>
              <w:rPr>
                <w:rFonts w:ascii="黑体" w:hAnsi="黑体" w:eastAsia="黑体" w:cs="黑体"/>
                <w:color w:val="000000"/>
                <w:sz w:val="20"/>
                <w:szCs w:val="20"/>
              </w:rPr>
            </w:pPr>
          </w:p>
        </w:tc>
      </w:tr>
    </w:tbl>
    <w:p>
      <w:pPr>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、采购项目需要落实的政府采购政策：</w:t>
      </w:r>
      <w:r>
        <w:rPr>
          <w:color w:val="000000" w:themeColor="text1"/>
          <w14:textFill>
            <w14:solidFill>
              <w14:schemeClr w14:val="tx1"/>
            </w14:solidFill>
          </w14:textFill>
        </w:rPr>
        <w:t xml:space="preserve"> </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（1）财政部、国家发展改革委、生态环境部、市场监管总局《关于调整优化节能产品、环境标志产品政府采购执行机制的通知》（财库[2019]9号文）；</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（2）财政部、生态环境部《关于印发环境标志产品政府采购品目清单的通知》（财库[2019]18号文）；</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（3）财政部、发展改革委《关于印发节能产品政府采购品目清单的通知》（财库[2019]19号文）；</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（4）市场监管总局《市场监管总局关于发布参与实施政府采购节能产品、环境标志产品认证机构名录的公告》（2019年第16号）</w:t>
      </w:r>
      <w:r>
        <w:rPr>
          <w:rFonts w:ascii="宋体" w:hAnsi="宋体" w:cs="Arial"/>
          <w:kern w:val="0"/>
          <w:szCs w:val="21"/>
        </w:rPr>
        <w:t>；</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（5）财政部、工业和信息化部</w:t>
      </w:r>
      <w:r>
        <w:rPr>
          <w:rFonts w:hint="eastAsia" w:ascii="宋体" w:hAnsi="宋体"/>
          <w:color w:val="000000" w:themeColor="text1"/>
          <w:szCs w:val="21"/>
          <w14:textFill>
            <w14:solidFill>
              <w14:schemeClr w14:val="tx1"/>
            </w14:solidFill>
          </w14:textFill>
        </w:rPr>
        <w:t>《政府采购促进中小企业发展管理办法》（财库[2020]46号）</w:t>
      </w:r>
      <w:r>
        <w:rPr>
          <w:rFonts w:hint="eastAsia" w:ascii="宋体" w:hAnsi="宋体" w:cs="Arial"/>
          <w:kern w:val="0"/>
          <w:szCs w:val="21"/>
        </w:rPr>
        <w:t>；财政部《关于进一步加大政府采购支持中小企业力度的通知》（财库[2022]19号）</w:t>
      </w:r>
      <w:r>
        <w:rPr>
          <w:rFonts w:ascii="宋体" w:hAnsi="宋体" w:cs="Arial"/>
          <w:kern w:val="0"/>
          <w:szCs w:val="21"/>
        </w:rPr>
        <w:t>；</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（6）财政部、民政部、中国残疾人联合会《关于促进残疾人就业政府采购政策的通知》（财库[2017]141号）；</w:t>
      </w:r>
    </w:p>
    <w:p>
      <w:pPr>
        <w:ind w:firstLine="420" w:firstLineChars="200"/>
        <w:rPr>
          <w:rFonts w:ascii="宋体" w:hAnsi="宋体" w:cs="Arial"/>
          <w:kern w:val="0"/>
          <w:szCs w:val="21"/>
        </w:rPr>
      </w:pPr>
      <w:r>
        <w:rPr>
          <w:rFonts w:hint="eastAsia" w:ascii="宋体" w:hAnsi="宋体" w:cs="Arial"/>
          <w:kern w:val="0"/>
          <w:szCs w:val="21"/>
        </w:rPr>
        <w:t>（7）财政部、司法部《关于政府采购支持监狱企业发展有关问题的通知》（财库[2014]68号文）；</w:t>
      </w:r>
    </w:p>
    <w:p>
      <w:pPr>
        <w:widowControl/>
        <w:spacing w:line="380" w:lineRule="exact"/>
        <w:ind w:left="0" w:leftChars="0" w:firstLine="420" w:firstLineChars="200"/>
        <w:jc w:val="left"/>
        <w:rPr>
          <w:rFonts w:hint="eastAsia" w:ascii="宋体" w:hAnsi="宋体" w:eastAsia="宋体" w:cs="Arial"/>
          <w:kern w:val="0"/>
          <w:szCs w:val="21"/>
        </w:rPr>
      </w:pPr>
      <w:r>
        <w:rPr>
          <w:rFonts w:hint="eastAsia" w:ascii="宋体" w:hAnsi="宋体" w:cs="Arial"/>
          <w:kern w:val="0"/>
          <w:szCs w:val="21"/>
        </w:rPr>
        <w:t>（8）根据工业和信息化部、国家统计局、国家发展改革委、财政部《关于印发中小企业划型标准规</w:t>
      </w:r>
      <w:r>
        <w:rPr>
          <w:rFonts w:hint="eastAsia" w:ascii="宋体" w:hAnsi="宋体" w:eastAsia="宋体" w:cs="Arial"/>
          <w:kern w:val="0"/>
          <w:szCs w:val="21"/>
        </w:rPr>
        <w:t>定的通知》(工信部联企业〔2011〕300号)。</w:t>
      </w:r>
    </w:p>
    <w:p>
      <w:pPr>
        <w:widowControl/>
        <w:spacing w:line="380" w:lineRule="exact"/>
        <w:ind w:left="0" w:leftChars="0" w:firstLine="420" w:firstLineChars="200"/>
        <w:jc w:val="left"/>
        <w:rPr>
          <w:rFonts w:hint="eastAsia" w:ascii="宋体" w:hAnsi="宋体" w:eastAsia="宋体" w:cs="Arial"/>
          <w:kern w:val="0"/>
          <w:szCs w:val="21"/>
        </w:rPr>
      </w:pPr>
      <w:r>
        <w:rPr>
          <w:rFonts w:hint="eastAsia" w:ascii="宋体" w:hAnsi="宋体" w:eastAsia="宋体" w:cs="Arial"/>
          <w:kern w:val="0"/>
          <w:szCs w:val="21"/>
        </w:rPr>
        <w:t>（9）市场监管总局《强制性产品认证管理规定》（2009年7月3日国家质量监督检验检疫总局令第117号公布 根据2022年9月29日国家市场监督管理总局令第61号修订）</w:t>
      </w:r>
    </w:p>
    <w:p>
      <w:pPr>
        <w:widowControl/>
        <w:spacing w:line="380" w:lineRule="exact"/>
        <w:ind w:left="0" w:leftChars="0" w:firstLine="420" w:firstLineChars="200"/>
        <w:jc w:val="left"/>
        <w:rPr>
          <w:rFonts w:hint="eastAsia" w:ascii="宋体" w:hAnsi="宋体" w:eastAsia="宋体" w:cs="Arial"/>
          <w:kern w:val="0"/>
          <w:szCs w:val="21"/>
        </w:rPr>
      </w:pPr>
      <w:r>
        <w:rPr>
          <w:rFonts w:hint="eastAsia" w:ascii="宋体" w:hAnsi="宋体" w:eastAsia="宋体" w:cs="Arial"/>
          <w:kern w:val="0"/>
          <w:szCs w:val="21"/>
          <w:lang w:eastAsia="zh-CN"/>
        </w:rPr>
        <w:t>（</w:t>
      </w:r>
      <w:r>
        <w:rPr>
          <w:rFonts w:hint="eastAsia" w:ascii="宋体" w:hAnsi="宋体" w:eastAsia="宋体" w:cs="Arial"/>
          <w:kern w:val="0"/>
          <w:szCs w:val="21"/>
          <w:lang w:val="en-US" w:eastAsia="zh-CN"/>
        </w:rPr>
        <w:t>10）</w:t>
      </w:r>
      <w:r>
        <w:rPr>
          <w:rFonts w:hint="eastAsia" w:ascii="宋体" w:hAnsi="宋体" w:eastAsia="宋体" w:cs="Arial"/>
          <w:kern w:val="0"/>
          <w:szCs w:val="21"/>
        </w:rPr>
        <w:t>市场监管总局《市场监管总局关于发布强制性产品认证目录描述与界定表的公告》（2023年第36号）</w:t>
      </w:r>
    </w:p>
    <w:p>
      <w:pPr>
        <w:widowControl/>
        <w:spacing w:line="380" w:lineRule="exact"/>
        <w:ind w:left="0" w:leftChars="0" w:firstLine="420" w:firstLineChars="200"/>
        <w:jc w:val="left"/>
        <w:rPr>
          <w:rFonts w:hint="default" w:ascii="宋体" w:hAnsi="宋体" w:eastAsia="宋体" w:cs="Arial"/>
          <w:kern w:val="0"/>
          <w:szCs w:val="21"/>
          <w:lang w:val="en-US" w:eastAsia="zh-CN"/>
        </w:rPr>
      </w:pPr>
      <w:r>
        <w:rPr>
          <w:rFonts w:hint="eastAsia" w:ascii="宋体" w:hAnsi="宋体" w:eastAsia="宋体" w:cs="Arial"/>
          <w:kern w:val="0"/>
          <w:szCs w:val="21"/>
          <w:lang w:eastAsia="zh-CN"/>
        </w:rPr>
        <w:t>（</w:t>
      </w:r>
      <w:r>
        <w:rPr>
          <w:rFonts w:hint="eastAsia" w:ascii="宋体" w:hAnsi="宋体" w:eastAsia="宋体" w:cs="Arial"/>
          <w:kern w:val="0"/>
          <w:szCs w:val="21"/>
          <w:lang w:val="en-US" w:eastAsia="zh-CN"/>
        </w:rPr>
        <w:t>11）国家市场监督管理总局2019年第44号公告《市场监管总局关于调整完善强制性产品认证目录和实施要求的公告》</w:t>
      </w:r>
    </w:p>
    <w:p>
      <w:pPr>
        <w:widowControl/>
        <w:spacing w:line="380" w:lineRule="exact"/>
        <w:ind w:left="420" w:hanging="420" w:hangingChars="200"/>
        <w:jc w:val="left"/>
        <w:rPr>
          <w:rFonts w:ascii="宋体" w:hAnsi="宋体" w:cs="Arial"/>
          <w:kern w:val="0"/>
          <w:szCs w:val="21"/>
        </w:rPr>
      </w:pPr>
      <w:r>
        <w:rPr>
          <w:rFonts w:hint="eastAsia" w:ascii="宋体" w:hAnsi="宋体" w:cs="Arial"/>
          <w:kern w:val="0"/>
          <w:szCs w:val="21"/>
        </w:rPr>
        <w:t>5、投标人的资格要求：</w:t>
      </w:r>
      <w:r>
        <w:rPr>
          <w:rFonts w:hint="eastAsia" w:ascii="宋体" w:hAnsi="宋体" w:cs="Arial"/>
          <w:kern w:val="0"/>
          <w:szCs w:val="21"/>
        </w:rPr>
        <w:br w:type="textWrapping"/>
      </w:r>
      <w:r>
        <w:rPr>
          <w:rFonts w:hint="eastAsia" w:ascii="宋体" w:hAnsi="宋体" w:cs="Arial"/>
          <w:kern w:val="0"/>
          <w:szCs w:val="21"/>
        </w:rPr>
        <w:t>（1）符合《中华人民共和国政府采购法》第二十二条规定条件；</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（2）投标人在“信用中国”（www.creditchina.gov.cn）和中国政府采购网（www.ccgp.gov.cn）网站上未被列入失信被执行人、重大税收违法案件当事人名单以及政府采购严重违法失信行为记录名单；</w:t>
      </w:r>
    </w:p>
    <w:p>
      <w:pPr>
        <w:widowControl/>
        <w:spacing w:line="380" w:lineRule="exact"/>
        <w:ind w:firstLine="420" w:firstLineChars="200"/>
        <w:jc w:val="left"/>
        <w:rPr>
          <w:rFonts w:hint="eastAsia" w:ascii="宋体" w:hAnsi="宋体" w:cs="Arial"/>
          <w:kern w:val="0"/>
          <w:szCs w:val="21"/>
        </w:rPr>
      </w:pPr>
      <w:r>
        <w:rPr>
          <w:rFonts w:hint="eastAsia" w:ascii="宋体" w:hAnsi="宋体" w:cs="Arial"/>
          <w:kern w:val="0"/>
          <w:szCs w:val="21"/>
        </w:rPr>
        <w:t>（3）</w:t>
      </w:r>
      <w:r>
        <w:rPr>
          <w:rFonts w:hint="eastAsia" w:ascii="宋体" w:hAnsi="宋体" w:cs="Arial"/>
          <w:b w:val="0"/>
          <w:bCs w:val="0"/>
          <w:color w:val="auto"/>
          <w:kern w:val="0"/>
          <w:szCs w:val="21"/>
          <w:highlight w:val="none"/>
          <w:lang w:val="en-US" w:eastAsia="zh-CN"/>
        </w:rPr>
        <w:t>本项目不专门面向中小企业预留。给予符合政策要求的小型和微型企业产品价格给予10%的扣除，用扣除后的价格参与评审；需提供《中小企业声明函》。</w:t>
      </w:r>
    </w:p>
    <w:p>
      <w:pPr>
        <w:widowControl/>
        <w:spacing w:line="380" w:lineRule="exact"/>
        <w:ind w:firstLine="420" w:firstLineChars="200"/>
        <w:jc w:val="left"/>
        <w:rPr>
          <w:rFonts w:hint="eastAsia" w:ascii="宋体" w:hAnsi="宋体" w:cs="Arial"/>
          <w:kern w:val="0"/>
          <w:szCs w:val="21"/>
          <w:lang w:val="en-US" w:eastAsia="zh-CN"/>
        </w:rPr>
      </w:pPr>
      <w:r>
        <w:rPr>
          <w:rFonts w:hint="eastAsia" w:ascii="宋体" w:hAnsi="宋体" w:cs="Arial"/>
          <w:kern w:val="0"/>
          <w:szCs w:val="21"/>
          <w:lang w:eastAsia="zh-CN"/>
        </w:rPr>
        <w:t>（</w:t>
      </w:r>
      <w:r>
        <w:rPr>
          <w:rFonts w:hint="eastAsia" w:ascii="宋体" w:hAnsi="宋体" w:cs="Arial"/>
          <w:kern w:val="0"/>
          <w:szCs w:val="21"/>
          <w:lang w:val="en-US" w:eastAsia="zh-CN"/>
        </w:rPr>
        <w:t>4）特定资格要求：无</w:t>
      </w:r>
    </w:p>
    <w:p>
      <w:pPr>
        <w:widowControl/>
        <w:spacing w:line="380" w:lineRule="exact"/>
        <w:ind w:firstLine="420" w:firstLineChars="200"/>
        <w:jc w:val="left"/>
        <w:rPr>
          <w:rFonts w:hint="eastAsia" w:ascii="宋体" w:hAnsi="宋体" w:cs="Arial"/>
          <w:kern w:val="0"/>
          <w:szCs w:val="21"/>
          <w:lang w:val="en-US" w:eastAsia="zh-CN"/>
        </w:rPr>
      </w:pPr>
      <w:r>
        <w:rPr>
          <w:rFonts w:hint="eastAsia" w:ascii="宋体" w:hAnsi="宋体" w:cs="Arial"/>
          <w:kern w:val="0"/>
          <w:szCs w:val="21"/>
          <w:lang w:val="en-US" w:eastAsia="zh-CN"/>
        </w:rPr>
        <w:t>（5）单位负责人为同一人或者存在直接控股、管理关系的不同供应商，不得参加同一合同项下的政府采购活动。</w:t>
      </w:r>
    </w:p>
    <w:p>
      <w:pPr>
        <w:widowControl/>
        <w:spacing w:line="380" w:lineRule="exact"/>
        <w:ind w:firstLine="420" w:firstLineChars="200"/>
        <w:jc w:val="left"/>
        <w:rPr>
          <w:rFonts w:hint="eastAsia" w:ascii="宋体" w:hAnsi="宋体" w:cs="Arial"/>
          <w:kern w:val="0"/>
          <w:szCs w:val="21"/>
        </w:rPr>
      </w:pPr>
      <w:r>
        <w:rPr>
          <w:rFonts w:hint="eastAsia" w:ascii="宋体" w:hAnsi="宋体" w:cs="Arial"/>
          <w:kern w:val="0"/>
          <w:szCs w:val="21"/>
          <w:lang w:val="en-US" w:eastAsia="zh-CN"/>
        </w:rPr>
        <w:t>（6）</w:t>
      </w:r>
      <w:r>
        <w:rPr>
          <w:rFonts w:hint="eastAsia" w:ascii="宋体" w:hAnsi="宋体" w:cs="Arial"/>
          <w:kern w:val="0"/>
          <w:szCs w:val="21"/>
        </w:rPr>
        <w:t>本项目不接受联合体，分公司参与投标需提供总公司营业执照及授权。</w:t>
      </w:r>
    </w:p>
    <w:p>
      <w:pPr>
        <w:widowControl/>
        <w:spacing w:line="380" w:lineRule="exact"/>
        <w:jc w:val="left"/>
        <w:rPr>
          <w:rFonts w:ascii="宋体" w:hAnsi="宋体" w:cs="Arial"/>
          <w:kern w:val="0"/>
          <w:szCs w:val="21"/>
        </w:rPr>
      </w:pPr>
      <w:r>
        <w:rPr>
          <w:rFonts w:hint="eastAsia" w:ascii="宋体" w:hAnsi="宋体" w:cs="Arial"/>
          <w:kern w:val="0"/>
          <w:szCs w:val="21"/>
        </w:rPr>
        <w:t>6、获取招标文件时间、地点、方式或事项：</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1）供应商登录政采云平台https://www.zcygov.cn/在线申请获取采购文件（进入“项目采购”应用，在获取采购文件菜单中选择项目，获取采购文件），或者点击采购公告底部潜在供应商“获取采购文件”，页面跳转后登陆，直接获取采购文件。如有操作性问题，可与政采云在线客服进行咨询，咨询电话：95763）。</w:t>
      </w:r>
    </w:p>
    <w:p>
      <w:pPr>
        <w:widowControl/>
        <w:spacing w:line="380" w:lineRule="exact"/>
        <w:ind w:firstLine="420" w:firstLineChars="200"/>
        <w:jc w:val="left"/>
        <w:rPr>
          <w:rFonts w:hint="eastAsia" w:ascii="宋体" w:hAnsi="宋体" w:eastAsia="宋体" w:cs="Arial"/>
          <w:kern w:val="0"/>
          <w:szCs w:val="21"/>
          <w:highlight w:val="none"/>
          <w:lang w:eastAsia="zh-CN"/>
        </w:rPr>
      </w:pPr>
      <w:r>
        <w:rPr>
          <w:rFonts w:hint="eastAsia" w:ascii="宋体" w:hAnsi="宋体" w:cs="Arial"/>
          <w:kern w:val="0"/>
          <w:szCs w:val="21"/>
        </w:rPr>
        <w:t>（2）获取文件时间</w:t>
      </w:r>
      <w:r>
        <w:rPr>
          <w:rFonts w:hint="eastAsia" w:ascii="宋体" w:hAnsi="宋体" w:cs="Arial"/>
          <w:kern w:val="0"/>
          <w:szCs w:val="21"/>
          <w:highlight w:val="none"/>
        </w:rPr>
        <w:t>：</w:t>
      </w:r>
      <w:r>
        <w:rPr>
          <w:rFonts w:hint="eastAsia"/>
          <w:b/>
          <w:bCs/>
          <w:color w:val="000000" w:themeColor="text1"/>
          <w:highlight w:val="none"/>
          <w:lang w:eastAsia="zh-CN"/>
          <w14:textFill>
            <w14:solidFill>
              <w14:schemeClr w14:val="tx1"/>
            </w14:solidFill>
          </w14:textFill>
        </w:rPr>
        <w:t>2024年11月14日</w:t>
      </w:r>
      <w:r>
        <w:rPr>
          <w:rFonts w:hint="eastAsia"/>
          <w:b/>
          <w:bCs/>
          <w:color w:val="000000" w:themeColor="text1"/>
          <w:highlight w:val="none"/>
          <w14:textFill>
            <w14:solidFill>
              <w14:schemeClr w14:val="tx1"/>
            </w14:solidFill>
          </w14:textFill>
        </w:rPr>
        <w:t>至</w:t>
      </w:r>
      <w:r>
        <w:rPr>
          <w:rFonts w:hint="eastAsia"/>
          <w:b/>
          <w:bCs/>
          <w:color w:val="000000" w:themeColor="text1"/>
          <w:highlight w:val="none"/>
          <w:lang w:eastAsia="zh-CN"/>
          <w14:textFill>
            <w14:solidFill>
              <w14:schemeClr w14:val="tx1"/>
            </w14:solidFill>
          </w14:textFill>
        </w:rPr>
        <w:t>2024年11月21日</w:t>
      </w:r>
    </w:p>
    <w:p>
      <w:pPr>
        <w:widowControl/>
        <w:spacing w:line="380" w:lineRule="exact"/>
        <w:jc w:val="left"/>
        <w:rPr>
          <w:rFonts w:ascii="宋体" w:hAnsi="宋体" w:cs="Arial"/>
          <w:kern w:val="0"/>
          <w:szCs w:val="21"/>
        </w:rPr>
      </w:pPr>
      <w:r>
        <w:rPr>
          <w:rFonts w:hint="eastAsia" w:ascii="宋体" w:hAnsi="宋体" w:cs="Arial"/>
          <w:kern w:val="0"/>
          <w:szCs w:val="21"/>
        </w:rPr>
        <w:t>7、招标文件售价：免费</w:t>
      </w:r>
      <w:r>
        <w:rPr>
          <w:rFonts w:hint="eastAsia" w:ascii="宋体" w:hAnsi="宋体" w:cs="Arial"/>
          <w:kern w:val="0"/>
          <w:szCs w:val="21"/>
        </w:rPr>
        <w:br w:type="textWrapping"/>
      </w:r>
      <w:r>
        <w:rPr>
          <w:rFonts w:hint="eastAsia" w:ascii="宋体" w:hAnsi="宋体" w:cs="Arial"/>
          <w:kern w:val="0"/>
          <w:szCs w:val="21"/>
        </w:rPr>
        <w:t>8、报名开始时间：</w:t>
      </w:r>
      <w:r>
        <w:rPr>
          <w:rFonts w:hint="eastAsia"/>
          <w:b/>
          <w:bCs/>
          <w:color w:val="000000" w:themeColor="text1"/>
          <w:lang w:eastAsia="zh-CN"/>
          <w14:textFill>
            <w14:solidFill>
              <w14:schemeClr w14:val="tx1"/>
            </w14:solidFill>
          </w14:textFill>
        </w:rPr>
        <w:t>2024年11月14日</w:t>
      </w:r>
      <w:r>
        <w:rPr>
          <w:rFonts w:hint="eastAsia" w:ascii="宋体" w:hAnsi="宋体" w:cs="Arial"/>
          <w:b/>
          <w:bCs/>
          <w:kern w:val="0"/>
          <w:szCs w:val="21"/>
        </w:rPr>
        <w:t>10点00分</w:t>
      </w:r>
    </w:p>
    <w:p>
      <w:pPr>
        <w:widowControl/>
        <w:spacing w:line="380" w:lineRule="exact"/>
        <w:ind w:firstLine="218" w:firstLineChars="104"/>
        <w:jc w:val="left"/>
        <w:rPr>
          <w:rFonts w:ascii="宋体" w:hAnsi="宋体" w:cs="Arial"/>
          <w:kern w:val="0"/>
          <w:szCs w:val="21"/>
        </w:rPr>
      </w:pPr>
      <w:r>
        <w:rPr>
          <w:rFonts w:hint="eastAsia" w:ascii="宋体" w:hAnsi="宋体" w:cs="Arial"/>
          <w:kern w:val="0"/>
          <w:szCs w:val="21"/>
        </w:rPr>
        <w:t>报名截止时间：</w:t>
      </w:r>
      <w:r>
        <w:rPr>
          <w:rFonts w:hint="eastAsia"/>
          <w:b/>
          <w:bCs/>
          <w:color w:val="000000" w:themeColor="text1"/>
          <w:lang w:eastAsia="zh-CN"/>
          <w14:textFill>
            <w14:solidFill>
              <w14:schemeClr w14:val="tx1"/>
            </w14:solidFill>
          </w14:textFill>
        </w:rPr>
        <w:t>2024年11月21日</w:t>
      </w:r>
      <w:r>
        <w:rPr>
          <w:rFonts w:hint="eastAsia" w:ascii="宋体" w:hAnsi="宋体" w:cs="Arial"/>
          <w:b/>
          <w:bCs/>
          <w:kern w:val="0"/>
          <w:szCs w:val="21"/>
        </w:rPr>
        <w:t>20点00分</w:t>
      </w:r>
    </w:p>
    <w:p>
      <w:pPr>
        <w:widowControl/>
        <w:spacing w:line="380" w:lineRule="exact"/>
        <w:jc w:val="left"/>
        <w:rPr>
          <w:rFonts w:ascii="宋体" w:hAnsi="宋体" w:cs="Arial"/>
          <w:kern w:val="0"/>
          <w:szCs w:val="21"/>
        </w:rPr>
      </w:pPr>
      <w:r>
        <w:rPr>
          <w:rFonts w:hint="eastAsia" w:ascii="宋体" w:hAnsi="宋体" w:cs="Arial"/>
          <w:kern w:val="0"/>
          <w:szCs w:val="21"/>
        </w:rPr>
        <w:t>9、投标截止时间：投标人应于</w:t>
      </w:r>
      <w:commentRangeStart w:id="0"/>
      <w:r>
        <w:rPr>
          <w:rFonts w:hint="eastAsia"/>
          <w:b/>
          <w:bCs/>
          <w:color w:val="000000" w:themeColor="text1"/>
          <w:lang w:eastAsia="zh-CN"/>
          <w14:textFill>
            <w14:solidFill>
              <w14:schemeClr w14:val="tx1"/>
            </w14:solidFill>
          </w14:textFill>
        </w:rPr>
        <w:t>2024年12月5日</w:t>
      </w:r>
      <w:commentRangeEnd w:id="0"/>
      <w:r>
        <w:commentReference w:id="0"/>
      </w:r>
      <w:r>
        <w:rPr>
          <w:rFonts w:hint="eastAsia"/>
          <w:b/>
          <w:bCs/>
          <w:color w:val="000000" w:themeColor="text1"/>
          <w:lang w:eastAsia="zh-CN"/>
          <w14:textFill>
            <w14:solidFill>
              <w14:schemeClr w14:val="tx1"/>
            </w14:solidFill>
          </w14:textFill>
        </w:rPr>
        <w:t>10:30</w:t>
      </w:r>
      <w:r>
        <w:rPr>
          <w:rFonts w:hint="eastAsia" w:ascii="宋体" w:hAnsi="宋体" w:cs="Arial"/>
          <w:kern w:val="0"/>
          <w:szCs w:val="21"/>
        </w:rPr>
        <w:t>之前将电子投标文件上传到“政采云”平台。应按照本项目招标文件和政采云平台的要求编制、加密传输投标文件。供应商在使用系统进行投标的过程中遇到涉及平台使用的任何问题，</w:t>
      </w:r>
      <w:r>
        <w:rPr>
          <w:rFonts w:ascii="宋体" w:hAnsi="宋体" w:cs="Arial"/>
          <w:kern w:val="0"/>
          <w:szCs w:val="21"/>
        </w:rPr>
        <w:t>可通过</w:t>
      </w:r>
      <w:r>
        <w:rPr>
          <w:rFonts w:hint="eastAsia" w:ascii="宋体" w:hAnsi="宋体" w:cs="Arial"/>
          <w:kern w:val="0"/>
          <w:szCs w:val="21"/>
        </w:rPr>
        <w:t>政采云平台自助查询、</w:t>
      </w:r>
      <w:r>
        <w:rPr>
          <w:rFonts w:ascii="宋体" w:hAnsi="宋体" w:cs="Arial"/>
          <w:kern w:val="0"/>
          <w:szCs w:val="21"/>
        </w:rPr>
        <w:t>钉钉群及政采云在线客服</w:t>
      </w:r>
      <w:r>
        <w:rPr>
          <w:rFonts w:hint="eastAsia" w:ascii="宋体" w:hAnsi="宋体" w:cs="Arial"/>
          <w:kern w:val="0"/>
          <w:szCs w:val="21"/>
        </w:rPr>
        <w:t>、或致电政采云平台技术支持热线咨询，联系方式：95763。</w:t>
      </w:r>
    </w:p>
    <w:p>
      <w:pPr>
        <w:widowControl/>
        <w:spacing w:line="380" w:lineRule="exact"/>
        <w:jc w:val="left"/>
        <w:rPr>
          <w:rFonts w:ascii="宋体" w:hAnsi="宋体" w:cs="Arial"/>
          <w:kern w:val="0"/>
          <w:szCs w:val="21"/>
        </w:rPr>
      </w:pPr>
      <w:r>
        <w:rPr>
          <w:rFonts w:hint="eastAsia" w:ascii="宋体" w:hAnsi="宋体" w:cs="Arial"/>
          <w:kern w:val="0"/>
          <w:szCs w:val="21"/>
        </w:rPr>
        <w:t>10、开标、评标时间及地点（网址）：</w:t>
      </w:r>
    </w:p>
    <w:p>
      <w:pPr>
        <w:widowControl/>
        <w:spacing w:line="380" w:lineRule="exact"/>
        <w:ind w:firstLine="420" w:firstLineChars="200"/>
        <w:jc w:val="left"/>
        <w:rPr>
          <w:rFonts w:hint="eastAsia" w:ascii="宋体" w:hAnsi="宋体" w:eastAsia="宋体" w:cs="Arial"/>
          <w:kern w:val="0"/>
          <w:szCs w:val="21"/>
          <w:lang w:eastAsia="zh-CN"/>
        </w:rPr>
      </w:pPr>
      <w:r>
        <w:rPr>
          <w:rFonts w:hint="eastAsia" w:ascii="宋体" w:hAnsi="宋体" w:cs="Arial"/>
          <w:kern w:val="0"/>
          <w:szCs w:val="21"/>
        </w:rPr>
        <w:t>（1）开标时间：</w:t>
      </w:r>
      <w:commentRangeStart w:id="1"/>
      <w:r>
        <w:rPr>
          <w:rFonts w:hint="eastAsia"/>
          <w:b/>
          <w:bCs/>
          <w:color w:val="000000" w:themeColor="text1"/>
          <w:lang w:eastAsia="zh-CN"/>
          <w14:textFill>
            <w14:solidFill>
              <w14:schemeClr w14:val="tx1"/>
            </w14:solidFill>
          </w14:textFill>
        </w:rPr>
        <w:t>2024年12月5日</w:t>
      </w:r>
      <w:commentRangeEnd w:id="1"/>
      <w:r>
        <w:commentReference w:id="1"/>
      </w:r>
      <w:r>
        <w:rPr>
          <w:rFonts w:hint="eastAsia"/>
          <w:b/>
          <w:bCs/>
          <w:color w:val="000000" w:themeColor="text1"/>
          <w:lang w:eastAsia="zh-CN"/>
          <w14:textFill>
            <w14:solidFill>
              <w14:schemeClr w14:val="tx1"/>
            </w14:solidFill>
          </w14:textFill>
        </w:rPr>
        <w:t>10:30</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（2）开标地点（网址）：</w:t>
      </w:r>
      <w:r>
        <w:fldChar w:fldCharType="begin"/>
      </w:r>
      <w:r>
        <w:instrText xml:space="preserve"> HYPERLINK "https://www.zcygov.cn，投标供应商无需到达评标现场。" </w:instrText>
      </w:r>
      <w:r>
        <w:fldChar w:fldCharType="separate"/>
      </w:r>
      <w:r>
        <w:rPr>
          <w:rFonts w:hint="eastAsia" w:ascii="宋体" w:hAnsi="宋体" w:cs="Arial"/>
          <w:kern w:val="0"/>
          <w:szCs w:val="21"/>
        </w:rPr>
        <w:t>https://www.zcygov.cn</w:t>
      </w:r>
      <w:r>
        <w:rPr>
          <w:rFonts w:hint="eastAsia" w:ascii="宋体" w:hAnsi="宋体" w:cs="Arial"/>
          <w:kern w:val="0"/>
          <w:szCs w:val="21"/>
        </w:rPr>
        <w:fldChar w:fldCharType="end"/>
      </w:r>
      <w:r>
        <w:rPr>
          <w:rFonts w:hint="eastAsia" w:ascii="宋体" w:hAnsi="宋体" w:cs="Arial"/>
          <w:kern w:val="0"/>
          <w:szCs w:val="21"/>
        </w:rPr>
        <w:t>政采云电子开标大厅</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（3）评标时间：电子投标文件解密后</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（4）评标地点：霍尔果斯市政务服务中心三楼公共资源交易中心评标室，评审小组到达后开启电子评标，投标人无需到达评标地点。</w:t>
      </w:r>
    </w:p>
    <w:p>
      <w:pPr>
        <w:widowControl/>
        <w:spacing w:line="380" w:lineRule="exact"/>
        <w:jc w:val="left"/>
        <w:rPr>
          <w:rFonts w:hint="eastAsia" w:ascii="宋体" w:hAnsi="宋体" w:eastAsia="宋体" w:cs="Arial"/>
          <w:kern w:val="0"/>
          <w:szCs w:val="21"/>
          <w:highlight w:val="none"/>
          <w:lang w:eastAsia="zh-CN"/>
        </w:rPr>
      </w:pPr>
      <w:r>
        <w:rPr>
          <w:rFonts w:hint="eastAsia" w:ascii="宋体" w:hAnsi="宋体" w:cs="Arial"/>
          <w:kern w:val="0"/>
          <w:szCs w:val="21"/>
        </w:rPr>
        <w:t>11、本项目</w:t>
      </w:r>
      <w:r>
        <w:rPr>
          <w:rFonts w:hint="eastAsia" w:ascii="宋体" w:hAnsi="宋体" w:cs="Arial"/>
          <w:kern w:val="0"/>
          <w:szCs w:val="21"/>
          <w:highlight w:val="none"/>
        </w:rPr>
        <w:t>采购人：</w:t>
      </w:r>
      <w:r>
        <w:rPr>
          <w:rFonts w:hint="eastAsia" w:ascii="宋体" w:hAnsi="宋体" w:cs="Arial"/>
          <w:kern w:val="0"/>
          <w:szCs w:val="21"/>
          <w:highlight w:val="none"/>
          <w:lang w:eastAsia="zh-CN"/>
        </w:rPr>
        <w:t>霍尔果斯市教育局</w:t>
      </w:r>
    </w:p>
    <w:p>
      <w:pPr>
        <w:pStyle w:val="18"/>
        <w:ind w:firstLine="420" w:firstLineChars="200"/>
        <w:rPr>
          <w:rFonts w:hint="eastAsia" w:eastAsia="宋体"/>
          <w:highlight w:val="none"/>
          <w:lang w:eastAsia="zh-CN"/>
        </w:rPr>
      </w:pPr>
      <w:r>
        <w:rPr>
          <w:rFonts w:hint="eastAsia" w:ascii="宋体" w:hAnsi="宋体" w:cs="Arial"/>
          <w:kern w:val="0"/>
          <w:szCs w:val="21"/>
          <w:highlight w:val="none"/>
        </w:rPr>
        <w:t>地  址：</w:t>
      </w:r>
      <w:r>
        <w:rPr>
          <w:rFonts w:hint="eastAsia"/>
          <w:highlight w:val="none"/>
          <w:lang w:eastAsia="zh-CN"/>
        </w:rPr>
        <w:t>霍尔果斯市亚欧路一巷教育局405办公室</w:t>
      </w:r>
    </w:p>
    <w:p>
      <w:pPr>
        <w:pStyle w:val="18"/>
        <w:ind w:firstLine="420" w:firstLineChars="200"/>
        <w:rPr>
          <w:rFonts w:hint="eastAsia" w:eastAsia="宋体"/>
          <w:lang w:val="en-US" w:eastAsia="zh-CN"/>
        </w:rPr>
      </w:pPr>
      <w:r>
        <w:rPr>
          <w:rFonts w:hint="eastAsia" w:ascii="宋体" w:hAnsi="宋体" w:cs="Arial"/>
          <w:kern w:val="0"/>
          <w:szCs w:val="21"/>
        </w:rPr>
        <w:t>联系人：</w:t>
      </w:r>
      <w:r>
        <w:rPr>
          <w:rFonts w:hint="eastAsia"/>
          <w:highlight w:val="none"/>
          <w:lang w:val="en-US" w:eastAsia="zh-CN"/>
        </w:rPr>
        <w:t>成国强</w:t>
      </w:r>
      <w:bookmarkStart w:id="42" w:name="_GoBack"/>
      <w:bookmarkEnd w:id="42"/>
    </w:p>
    <w:p>
      <w:pPr>
        <w:pStyle w:val="18"/>
        <w:ind w:firstLine="420" w:firstLineChars="200"/>
        <w:rPr>
          <w:rFonts w:hint="default" w:eastAsia="宋体"/>
          <w:lang w:val="en-US" w:eastAsia="zh-CN"/>
        </w:rPr>
      </w:pPr>
      <w:r>
        <w:rPr>
          <w:rFonts w:hint="eastAsia" w:ascii="宋体" w:hAnsi="宋体" w:cs="Arial"/>
          <w:kern w:val="0"/>
          <w:szCs w:val="21"/>
        </w:rPr>
        <w:t>联系电话：</w:t>
      </w:r>
      <w:r>
        <w:rPr>
          <w:rFonts w:hint="eastAsia"/>
          <w:lang w:val="en-US" w:eastAsia="zh-CN"/>
        </w:rPr>
        <w:t>18290982913</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采购代理机构：霍尔果斯经济开发区政府采购中心</w:t>
      </w:r>
    </w:p>
    <w:p>
      <w:pPr>
        <w:widowControl/>
        <w:spacing w:line="380" w:lineRule="exact"/>
        <w:ind w:firstLine="420" w:firstLineChars="200"/>
        <w:jc w:val="left"/>
        <w:rPr>
          <w:rFonts w:hint="eastAsia" w:ascii="宋体" w:hAnsi="宋体" w:eastAsia="宋体" w:cs="Arial"/>
          <w:kern w:val="0"/>
          <w:szCs w:val="21"/>
          <w:lang w:eastAsia="zh-CN"/>
        </w:rPr>
      </w:pPr>
      <w:r>
        <w:rPr>
          <w:rFonts w:hint="eastAsia" w:ascii="宋体" w:hAnsi="宋体" w:cs="Arial"/>
          <w:kern w:val="0"/>
          <w:szCs w:val="21"/>
        </w:rPr>
        <w:t>地  址：霍尔果斯市政务服务中心</w:t>
      </w:r>
      <w:r>
        <w:rPr>
          <w:rFonts w:hint="eastAsia" w:ascii="宋体" w:hAnsi="宋体" w:cs="Arial"/>
          <w:kern w:val="0"/>
          <w:szCs w:val="21"/>
          <w:lang w:eastAsia="zh-CN"/>
        </w:rPr>
        <w:t>230办公室</w:t>
      </w:r>
    </w:p>
    <w:p>
      <w:pPr>
        <w:widowControl/>
        <w:spacing w:line="380" w:lineRule="exact"/>
        <w:ind w:firstLine="420" w:firstLineChars="200"/>
        <w:jc w:val="left"/>
        <w:rPr>
          <w:rFonts w:hint="eastAsia" w:ascii="宋体" w:hAnsi="宋体" w:eastAsia="宋体" w:cs="Arial"/>
          <w:kern w:val="0"/>
          <w:szCs w:val="21"/>
          <w:lang w:eastAsia="zh-CN"/>
        </w:rPr>
      </w:pPr>
      <w:r>
        <w:rPr>
          <w:rFonts w:hint="eastAsia" w:ascii="宋体" w:hAnsi="宋体" w:cs="Arial"/>
          <w:kern w:val="0"/>
          <w:szCs w:val="21"/>
        </w:rPr>
        <w:t>联系人：</w:t>
      </w:r>
      <w:r>
        <w:rPr>
          <w:rFonts w:hint="eastAsia" w:ascii="宋体" w:hAnsi="宋体" w:cs="Arial"/>
          <w:kern w:val="0"/>
          <w:szCs w:val="21"/>
          <w:lang w:eastAsia="zh-CN"/>
        </w:rPr>
        <w:t>罗鹏</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联系电话：0999-8797331</w:t>
      </w:r>
    </w:p>
    <w:p>
      <w:pPr>
        <w:widowControl/>
        <w:spacing w:line="400" w:lineRule="exact"/>
        <w:jc w:val="center"/>
        <w:outlineLvl w:val="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14:textFill>
            <w14:solidFill>
              <w14:schemeClr w14:val="tx1"/>
            </w14:solidFill>
          </w14:textFill>
        </w:rPr>
        <w:t>注：本项目采购公告发布截止日后，请持续关注本项目后续网上发布变更、答疑澄清等内容。</w:t>
      </w:r>
    </w:p>
    <w:p>
      <w:pPr>
        <w:widowControl/>
        <w:spacing w:line="400" w:lineRule="exact"/>
        <w:jc w:val="center"/>
        <w:outlineLvl w:val="0"/>
        <w:rPr>
          <w:rFonts w:ascii="宋体" w:hAnsi="宋体"/>
          <w:b/>
          <w:color w:val="000000" w:themeColor="text1"/>
          <w:sz w:val="32"/>
          <w:szCs w:val="32"/>
          <w14:textFill>
            <w14:solidFill>
              <w14:schemeClr w14:val="tx1"/>
            </w14:solidFill>
          </w14:textFill>
        </w:rPr>
      </w:pPr>
    </w:p>
    <w:p>
      <w:pPr>
        <w:widowControl/>
        <w:spacing w:line="400" w:lineRule="exact"/>
        <w:jc w:val="center"/>
        <w:outlineLvl w:val="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第二章 投标须知</w:t>
      </w:r>
      <w:bookmarkEnd w:id="10"/>
      <w:bookmarkEnd w:id="11"/>
    </w:p>
    <w:p>
      <w:pPr>
        <w:pStyle w:val="26"/>
        <w:jc w:val="center"/>
        <w:outlineLvl w:val="1"/>
        <w:rPr>
          <w:rFonts w:hAnsi="宋体"/>
          <w:b/>
          <w:color w:val="000000" w:themeColor="text1"/>
          <w:sz w:val="30"/>
          <w:szCs w:val="30"/>
          <w14:textFill>
            <w14:solidFill>
              <w14:schemeClr w14:val="tx1"/>
            </w14:solidFill>
          </w14:textFill>
        </w:rPr>
      </w:pPr>
      <w:bookmarkStart w:id="12" w:name="_Toc474235942"/>
      <w:r>
        <w:rPr>
          <w:rFonts w:hint="eastAsia" w:hAnsi="宋体"/>
          <w:b/>
          <w:color w:val="000000" w:themeColor="text1"/>
          <w:sz w:val="30"/>
          <w:szCs w:val="30"/>
          <w14:textFill>
            <w14:solidFill>
              <w14:schemeClr w14:val="tx1"/>
            </w14:solidFill>
          </w14:textFill>
        </w:rPr>
        <w:t>投标须知前附表</w:t>
      </w:r>
      <w:bookmarkEnd w:id="12"/>
    </w:p>
    <w:tbl>
      <w:tblPr>
        <w:tblStyle w:val="46"/>
        <w:tblW w:w="884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67"/>
        <w:gridCol w:w="1633"/>
        <w:gridCol w:w="494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tblHeader/>
          <w:jc w:val="center"/>
        </w:trPr>
        <w:tc>
          <w:tcPr>
            <w:tcW w:w="2267" w:type="dxa"/>
            <w:vAlign w:val="center"/>
          </w:tcPr>
          <w:p>
            <w:pPr>
              <w:adjustRightInd w:val="0"/>
              <w:snapToGrid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条款号</w:t>
            </w:r>
          </w:p>
        </w:tc>
        <w:tc>
          <w:tcPr>
            <w:tcW w:w="1633" w:type="dxa"/>
            <w:vAlign w:val="center"/>
          </w:tcPr>
          <w:p>
            <w:pPr>
              <w:adjustRightInd w:val="0"/>
              <w:snapToGrid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条款名称</w:t>
            </w:r>
          </w:p>
        </w:tc>
        <w:tc>
          <w:tcPr>
            <w:tcW w:w="4945" w:type="dxa"/>
            <w:vAlign w:val="center"/>
          </w:tcPr>
          <w:p>
            <w:pPr>
              <w:adjustRightInd w:val="0"/>
              <w:snapToGrid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编列内容规定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8845" w:type="dxa"/>
            <w:gridSpan w:val="3"/>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5"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第二章第1.1款</w:t>
            </w:r>
          </w:p>
        </w:tc>
        <w:tc>
          <w:tcPr>
            <w:tcW w:w="1633" w:type="dxa"/>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4945" w:type="dxa"/>
            <w:vAlign w:val="center"/>
          </w:tcPr>
          <w:p>
            <w:pPr>
              <w:widowControl/>
              <w:spacing w:line="380" w:lineRule="exact"/>
              <w:jc w:val="left"/>
              <w:rPr>
                <w:rFonts w:hint="eastAsia" w:ascii="宋体" w:hAnsi="宋体" w:eastAsia="宋体" w:cs="Arial"/>
                <w:color w:val="000000" w:themeColor="text1"/>
                <w:kern w:val="0"/>
                <w:szCs w:val="21"/>
                <w:lang w:eastAsia="zh-CN"/>
                <w14:textFill>
                  <w14:solidFill>
                    <w14:schemeClr w14:val="tx1"/>
                  </w14:solidFill>
                </w14:textFill>
              </w:rPr>
            </w:pPr>
            <w:r>
              <w:rPr>
                <w:rFonts w:hint="eastAsia" w:ascii="宋体" w:hAnsi="宋体" w:cs="Arial"/>
                <w:kern w:val="0"/>
                <w:szCs w:val="21"/>
                <w:lang w:eastAsia="zh-CN"/>
              </w:rPr>
              <w:t>霍尔果斯市教育局理科实验教学仪器设备采购项目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58" w:hRule="atLeast"/>
          <w:jc w:val="center"/>
        </w:trPr>
        <w:tc>
          <w:tcPr>
            <w:tcW w:w="2267" w:type="dxa"/>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第二章第1.2款</w:t>
            </w:r>
          </w:p>
        </w:tc>
        <w:tc>
          <w:tcPr>
            <w:tcW w:w="1633" w:type="dxa"/>
            <w:vAlign w:val="center"/>
          </w:tcPr>
          <w:p>
            <w:pPr>
              <w:spacing w:line="380" w:lineRule="exact"/>
              <w:rPr>
                <w:rFonts w:hint="eastAsia" w:eastAsia="宋体"/>
                <w:color w:val="000000" w:themeColor="text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项目属性</w:t>
            </w:r>
          </w:p>
        </w:tc>
        <w:tc>
          <w:tcPr>
            <w:tcW w:w="4945" w:type="dxa"/>
            <w:tcBorders>
              <w:bottom w:val="single" w:color="auto" w:sz="4" w:space="0"/>
            </w:tcBorders>
            <w:vAlign w:val="center"/>
          </w:tcPr>
          <w:p>
            <w:pPr>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货物类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2267" w:type="dxa"/>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第二章第1.3款</w:t>
            </w:r>
          </w:p>
        </w:tc>
        <w:tc>
          <w:tcPr>
            <w:tcW w:w="1633" w:type="dxa"/>
            <w:vAlign w:val="center"/>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项目地点</w:t>
            </w:r>
          </w:p>
        </w:tc>
        <w:tc>
          <w:tcPr>
            <w:tcW w:w="4945" w:type="dxa"/>
            <w:vAlign w:val="center"/>
          </w:tcPr>
          <w:p>
            <w:pPr>
              <w:spacing w:line="400" w:lineRule="exact"/>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新疆霍尔果斯市</w:t>
            </w:r>
            <w:r>
              <w:rPr>
                <w:rFonts w:hint="eastAsia" w:ascii="宋体" w:hAnsi="宋体" w:cs="宋体"/>
                <w:color w:val="000000" w:themeColor="text1"/>
                <w:kern w:val="0"/>
                <w:szCs w:val="21"/>
                <w:lang w:eastAsia="zh-CN"/>
                <w14:textFill>
                  <w14:solidFill>
                    <w14:schemeClr w14:val="tx1"/>
                  </w14:solidFill>
                </w14:textFill>
              </w:rPr>
              <w:t>（甲方指定位置）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2267" w:type="dxa"/>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第二章第1.4款</w:t>
            </w:r>
          </w:p>
        </w:tc>
        <w:tc>
          <w:tcPr>
            <w:tcW w:w="1633" w:type="dxa"/>
            <w:vAlign w:val="center"/>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采购方式</w:t>
            </w:r>
          </w:p>
        </w:tc>
        <w:tc>
          <w:tcPr>
            <w:tcW w:w="4945" w:type="dxa"/>
            <w:vAlign w:val="center"/>
          </w:tcPr>
          <w:p>
            <w:pPr>
              <w:spacing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第二章第1.5款</w:t>
            </w:r>
          </w:p>
        </w:tc>
        <w:tc>
          <w:tcPr>
            <w:tcW w:w="1633" w:type="dxa"/>
            <w:vAlign w:val="center"/>
          </w:tcPr>
          <w:p>
            <w:pPr>
              <w:adjustRightInd w:val="0"/>
              <w:snapToGrid w:val="0"/>
              <w:spacing w:line="400" w:lineRule="exact"/>
              <w:rPr>
                <w:rFonts w:hint="eastAsia" w:ascii="宋体" w:hAnsi="宋体" w:eastAsia="宋体"/>
                <w:szCs w:val="21"/>
                <w:lang w:eastAsia="zh-CN"/>
              </w:rPr>
            </w:pPr>
            <w:r>
              <w:rPr>
                <w:rFonts w:hint="eastAsia" w:ascii="宋体" w:hAnsi="宋体"/>
                <w:szCs w:val="21"/>
                <w:lang w:eastAsia="zh-CN"/>
              </w:rPr>
              <w:t>履约期限</w:t>
            </w:r>
          </w:p>
        </w:tc>
        <w:tc>
          <w:tcPr>
            <w:tcW w:w="4945" w:type="dxa"/>
            <w:tcBorders>
              <w:bottom w:val="single" w:color="auto" w:sz="4" w:space="0"/>
            </w:tcBorders>
            <w:vAlign w:val="center"/>
          </w:tcPr>
          <w:p>
            <w:pPr>
              <w:adjustRightInd w:val="0"/>
              <w:snapToGrid w:val="0"/>
              <w:spacing w:line="400" w:lineRule="exact"/>
              <w:rPr>
                <w:rFonts w:hint="eastAsia" w:ascii="宋体" w:hAnsi="宋体" w:eastAsia="宋体" w:cs="宋体"/>
                <w:kern w:val="0"/>
                <w:szCs w:val="21"/>
                <w:lang w:eastAsia="zh-CN"/>
              </w:rPr>
            </w:pPr>
            <w:r>
              <w:rPr>
                <w:rFonts w:hint="eastAsia"/>
                <w:color w:val="FF0000"/>
              </w:rPr>
              <w:t>★</w:t>
            </w:r>
            <w:r>
              <w:rPr>
                <w:rFonts w:hint="eastAsia" w:ascii="宋体" w:hAnsi="宋体" w:cs="宋体"/>
                <w:color w:val="FF0000"/>
                <w:kern w:val="0"/>
                <w:szCs w:val="21"/>
                <w:highlight w:val="none"/>
                <w:lang w:eastAsia="zh-CN"/>
              </w:rPr>
              <w:t>合同签订后30天内（施工过程中不得影响正常教学）。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53"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第二章第2.1款</w:t>
            </w:r>
          </w:p>
        </w:tc>
        <w:tc>
          <w:tcPr>
            <w:tcW w:w="1633" w:type="dxa"/>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采购人</w:t>
            </w:r>
          </w:p>
        </w:tc>
        <w:tc>
          <w:tcPr>
            <w:tcW w:w="4945" w:type="dxa"/>
            <w:vAlign w:val="center"/>
          </w:tcPr>
          <w:p>
            <w:pPr>
              <w:adjustRightInd w:val="0"/>
              <w:snapToGrid w:val="0"/>
              <w:spacing w:line="300" w:lineRule="exact"/>
              <w:jc w:val="left"/>
              <w:rPr>
                <w:rFonts w:hint="eastAsia" w:ascii="宋体" w:hAnsi="宋体" w:eastAsia="宋体" w:cs="Arial"/>
                <w:kern w:val="0"/>
                <w:szCs w:val="21"/>
                <w:highlight w:val="none"/>
                <w:lang w:eastAsia="zh-CN"/>
              </w:rPr>
            </w:pPr>
            <w:r>
              <w:rPr>
                <w:rFonts w:hint="eastAsia" w:ascii="宋体" w:hAnsi="宋体"/>
                <w:szCs w:val="21"/>
              </w:rPr>
              <w:t>采购人</w:t>
            </w:r>
            <w:r>
              <w:rPr>
                <w:rFonts w:hint="eastAsia" w:ascii="宋体" w:hAnsi="宋体"/>
                <w:szCs w:val="21"/>
                <w:highlight w:val="none"/>
              </w:rPr>
              <w:t>：</w:t>
            </w:r>
            <w:r>
              <w:rPr>
                <w:rFonts w:hint="eastAsia" w:ascii="宋体" w:hAnsi="宋体" w:cs="Arial"/>
                <w:kern w:val="0"/>
                <w:szCs w:val="21"/>
                <w:highlight w:val="none"/>
                <w:lang w:eastAsia="zh-CN"/>
              </w:rPr>
              <w:t>霍尔果斯市教育局</w:t>
            </w:r>
          </w:p>
          <w:p>
            <w:pPr>
              <w:adjustRightInd w:val="0"/>
              <w:snapToGrid w:val="0"/>
              <w:spacing w:line="300" w:lineRule="exact"/>
              <w:jc w:val="left"/>
              <w:rPr>
                <w:rFonts w:hint="eastAsia" w:ascii="宋体" w:hAnsi="宋体" w:eastAsia="宋体"/>
                <w:szCs w:val="21"/>
                <w:highlight w:val="none"/>
                <w:lang w:eastAsia="zh-CN"/>
              </w:rPr>
            </w:pPr>
            <w:r>
              <w:rPr>
                <w:rFonts w:hint="eastAsia" w:ascii="宋体" w:hAnsi="宋体"/>
                <w:szCs w:val="21"/>
                <w:highlight w:val="none"/>
              </w:rPr>
              <w:t>地  址：</w:t>
            </w:r>
            <w:r>
              <w:rPr>
                <w:rFonts w:hint="eastAsia"/>
                <w:highlight w:val="none"/>
                <w:lang w:eastAsia="zh-CN"/>
              </w:rPr>
              <w:t>霍尔果斯市亚欧路一巷教育局405办公室</w:t>
            </w:r>
          </w:p>
          <w:p>
            <w:pPr>
              <w:adjustRightInd w:val="0"/>
              <w:snapToGrid w:val="0"/>
              <w:spacing w:line="300" w:lineRule="exact"/>
              <w:jc w:val="left"/>
              <w:rPr>
                <w:rFonts w:ascii="宋体" w:hAnsi="宋体"/>
                <w:szCs w:val="21"/>
                <w:highlight w:val="none"/>
              </w:rPr>
            </w:pPr>
            <w:r>
              <w:rPr>
                <w:rFonts w:hint="eastAsia" w:ascii="宋体" w:hAnsi="宋体"/>
                <w:szCs w:val="21"/>
                <w:highlight w:val="none"/>
              </w:rPr>
              <w:t>联系人：</w:t>
            </w:r>
            <w:r>
              <w:rPr>
                <w:rFonts w:hint="eastAsia"/>
                <w:highlight w:val="none"/>
                <w:lang w:val="en-US" w:eastAsia="zh-CN"/>
              </w:rPr>
              <w:t>成国强</w:t>
            </w:r>
          </w:p>
          <w:p>
            <w:pPr>
              <w:adjustRightInd w:val="0"/>
              <w:snapToGrid w:val="0"/>
              <w:spacing w:line="300" w:lineRule="exact"/>
              <w:jc w:val="left"/>
              <w:rPr>
                <w:rFonts w:ascii="宋体" w:hAnsi="宋体"/>
                <w:color w:val="000000" w:themeColor="text1"/>
                <w:szCs w:val="21"/>
                <w14:textFill>
                  <w14:solidFill>
                    <w14:schemeClr w14:val="tx1"/>
                  </w14:solidFill>
                </w14:textFill>
              </w:rPr>
            </w:pPr>
            <w:r>
              <w:rPr>
                <w:rFonts w:hint="eastAsia" w:ascii="宋体" w:hAnsi="宋体"/>
                <w:szCs w:val="21"/>
                <w:highlight w:val="none"/>
              </w:rPr>
              <w:t>联系电话：</w:t>
            </w:r>
            <w:r>
              <w:rPr>
                <w:rFonts w:hint="eastAsia"/>
                <w:color w:val="000000" w:themeColor="text1"/>
                <w:highlight w:val="none"/>
                <w:lang w:val="en-US" w:eastAsia="zh-CN"/>
                <w14:textFill>
                  <w14:solidFill>
                    <w14:schemeClr w14:val="tx1"/>
                  </w14:solidFill>
                </w14:textFill>
              </w:rPr>
              <w:t>18290982913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13"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第二章第2.2款</w:t>
            </w:r>
          </w:p>
        </w:tc>
        <w:tc>
          <w:tcPr>
            <w:tcW w:w="1633" w:type="dxa"/>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采购代理机构</w:t>
            </w:r>
          </w:p>
        </w:tc>
        <w:tc>
          <w:tcPr>
            <w:tcW w:w="4945" w:type="dxa"/>
            <w:vAlign w:val="center"/>
          </w:tcPr>
          <w:p>
            <w:pPr>
              <w:adjustRightInd w:val="0"/>
              <w:snapToGrid w:val="0"/>
              <w:spacing w:line="3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名  称：霍尔果斯经济开发区政府采购中心</w:t>
            </w:r>
          </w:p>
          <w:p>
            <w:pPr>
              <w:adjustRightInd w:val="0"/>
              <w:snapToGrid w:val="0"/>
              <w:spacing w:line="300" w:lineRule="exact"/>
              <w:jc w:val="left"/>
              <w:rPr>
                <w:rFonts w:hint="eastAsia" w:eastAsia="宋体"/>
                <w:lang w:eastAsia="zh-CN"/>
              </w:rPr>
            </w:pPr>
            <w:r>
              <w:rPr>
                <w:rFonts w:hint="eastAsia"/>
                <w:color w:val="000000" w:themeColor="text1"/>
                <w14:textFill>
                  <w14:solidFill>
                    <w14:schemeClr w14:val="tx1"/>
                  </w14:solidFill>
                </w14:textFill>
              </w:rPr>
              <w:t>地  址：霍尔果斯市政务服务中心</w:t>
            </w:r>
            <w:r>
              <w:rPr>
                <w:rFonts w:hint="eastAsia"/>
                <w:color w:val="000000" w:themeColor="text1"/>
                <w:lang w:eastAsia="zh-CN"/>
                <w14:textFill>
                  <w14:solidFill>
                    <w14:schemeClr w14:val="tx1"/>
                  </w14:solidFill>
                </w14:textFill>
              </w:rPr>
              <w:t>230办公室</w:t>
            </w:r>
            <w:r>
              <w:rPr>
                <w:rFonts w:hint="eastAsia"/>
                <w:color w:val="000000" w:themeColor="text1"/>
                <w14:textFill>
                  <w14:solidFill>
                    <w14:schemeClr w14:val="tx1"/>
                  </w14:solidFill>
                </w14:textFill>
              </w:rPr>
              <w:t xml:space="preserve">     联系人：</w:t>
            </w:r>
            <w:r>
              <w:rPr>
                <w:rFonts w:hint="eastAsia"/>
                <w:color w:val="000000" w:themeColor="text1"/>
                <w:lang w:eastAsia="zh-CN"/>
                <w14:textFill>
                  <w14:solidFill>
                    <w14:schemeClr w14:val="tx1"/>
                  </w14:solidFill>
                </w14:textFill>
              </w:rPr>
              <w:t>罗鹏</w:t>
            </w:r>
          </w:p>
          <w:p>
            <w:pPr>
              <w:adjustRightInd w:val="0"/>
              <w:snapToGrid w:val="0"/>
              <w:spacing w:line="3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联系电话：0999-8797331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第二章第3.1款</w:t>
            </w:r>
          </w:p>
        </w:tc>
        <w:tc>
          <w:tcPr>
            <w:tcW w:w="163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投标人资格条件</w:t>
            </w:r>
          </w:p>
          <w:p>
            <w:pPr>
              <w:jc w:val="center"/>
              <w:rPr>
                <w:color w:val="000000" w:themeColor="text1"/>
                <w14:textFill>
                  <w14:solidFill>
                    <w14:schemeClr w14:val="tx1"/>
                  </w14:solidFill>
                </w14:textFill>
              </w:rPr>
            </w:pPr>
          </w:p>
        </w:tc>
        <w:tc>
          <w:tcPr>
            <w:tcW w:w="4945" w:type="dxa"/>
            <w:vAlign w:val="center"/>
          </w:tcPr>
          <w:p>
            <w:pPr>
              <w:adjustRightInd w:val="0"/>
              <w:snapToGrid w:val="0"/>
              <w:spacing w:line="360" w:lineRule="exact"/>
              <w:jc w:val="left"/>
            </w:pPr>
            <w:r>
              <w:rPr>
                <w:rFonts w:hint="eastAsia"/>
              </w:rPr>
              <w:t>1、符合政府采购法二十二条规定：</w:t>
            </w:r>
          </w:p>
          <w:p>
            <w:pPr>
              <w:adjustRightInd w:val="0"/>
              <w:snapToGrid w:val="0"/>
              <w:spacing w:line="360" w:lineRule="exact"/>
              <w:jc w:val="left"/>
            </w:pPr>
            <w:r>
              <w:rPr>
                <w:rFonts w:hint="eastAsia"/>
              </w:rPr>
              <w:t>（一）具有独立承担民事责任的能力；</w:t>
            </w:r>
          </w:p>
          <w:p>
            <w:pPr>
              <w:adjustRightInd w:val="0"/>
              <w:snapToGrid w:val="0"/>
              <w:spacing w:line="360" w:lineRule="exact"/>
              <w:jc w:val="left"/>
            </w:pPr>
            <w:r>
              <w:rPr>
                <w:rFonts w:hint="eastAsia"/>
              </w:rPr>
              <w:t>（二）具有良好的商业信誉和健全的财务会计制度；</w:t>
            </w:r>
          </w:p>
          <w:p>
            <w:pPr>
              <w:adjustRightInd w:val="0"/>
              <w:snapToGrid w:val="0"/>
              <w:spacing w:line="360" w:lineRule="exact"/>
              <w:jc w:val="left"/>
            </w:pPr>
            <w:r>
              <w:rPr>
                <w:rFonts w:hint="eastAsia"/>
              </w:rPr>
              <w:t>（三）具有履行合同所必需的设备和专业技术能力；</w:t>
            </w:r>
          </w:p>
          <w:p>
            <w:pPr>
              <w:adjustRightInd w:val="0"/>
              <w:snapToGrid w:val="0"/>
              <w:spacing w:line="360" w:lineRule="exact"/>
              <w:jc w:val="left"/>
            </w:pPr>
            <w:r>
              <w:rPr>
                <w:rFonts w:hint="eastAsia"/>
              </w:rPr>
              <w:t>（四）有依法缴纳税收和社会保障资金的良好记录；</w:t>
            </w:r>
          </w:p>
          <w:p>
            <w:pPr>
              <w:adjustRightInd w:val="0"/>
              <w:snapToGrid w:val="0"/>
              <w:spacing w:line="360" w:lineRule="exact"/>
              <w:jc w:val="left"/>
            </w:pPr>
            <w:r>
              <w:rPr>
                <w:rFonts w:hint="eastAsia"/>
              </w:rPr>
              <w:t>（五）参加政府采购活动前三年内，在经营活动中没有重大违法记录；</w:t>
            </w:r>
          </w:p>
          <w:p>
            <w:pPr>
              <w:adjustRightInd w:val="0"/>
              <w:snapToGrid w:val="0"/>
              <w:spacing w:line="360" w:lineRule="exact"/>
              <w:jc w:val="left"/>
            </w:pPr>
            <w:r>
              <w:rPr>
                <w:rFonts w:hint="eastAsia"/>
              </w:rPr>
              <w:t>（六）法律、行政法规规定的其他条件。</w:t>
            </w:r>
          </w:p>
          <w:p>
            <w:pPr>
              <w:adjustRightInd w:val="0"/>
              <w:snapToGrid w:val="0"/>
              <w:spacing w:line="360" w:lineRule="exact"/>
              <w:jc w:val="left"/>
              <w:rPr>
                <w:rFonts w:hint="default" w:eastAsia="宋体"/>
                <w:lang w:val="en-US" w:eastAsia="zh-CN"/>
              </w:rPr>
            </w:pPr>
            <w:r>
              <w:rPr>
                <w:rFonts w:hint="eastAsia"/>
              </w:rPr>
              <w:t>2、提供“信用中国”及“中国政府采购网”查询</w:t>
            </w:r>
            <w:r>
              <w:rPr>
                <w:rFonts w:hint="eastAsia"/>
                <w:lang w:eastAsia="zh-CN"/>
              </w:rPr>
              <w:t>记录</w:t>
            </w:r>
            <w:r>
              <w:rPr>
                <w:rFonts w:hint="eastAsia"/>
              </w:rPr>
              <w:t>，未被“信用中国”（www.creditchina.gov.cn）、中国政府采购网（www.ccgp.gov.cn）列入失信被执行人、重大税收违法案件当事人名单、政府采购严重违法失信行为记录名单。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Align w:val="center"/>
          </w:tcPr>
          <w:p>
            <w:pPr>
              <w:adjustRightInd w:val="0"/>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第二章第6.1款</w:t>
            </w:r>
          </w:p>
        </w:tc>
        <w:tc>
          <w:tcPr>
            <w:tcW w:w="1633" w:type="dxa"/>
            <w:vAlign w:val="center"/>
          </w:tcPr>
          <w:p>
            <w:pPr>
              <w:adjustRightInd w:val="0"/>
              <w:snapToGrid w:val="0"/>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联合体形式</w:t>
            </w:r>
          </w:p>
        </w:tc>
        <w:tc>
          <w:tcPr>
            <w:tcW w:w="4945" w:type="dxa"/>
            <w:vAlign w:val="center"/>
          </w:tcPr>
          <w:p>
            <w:pPr>
              <w:adjustRightInd w:val="0"/>
              <w:snapToGrid w:val="0"/>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atLeast"/>
          <w:jc w:val="center"/>
        </w:trPr>
        <w:tc>
          <w:tcPr>
            <w:tcW w:w="2267" w:type="dxa"/>
            <w:vAlign w:val="center"/>
          </w:tcPr>
          <w:p>
            <w:pPr>
              <w:adjustRightInd w:val="0"/>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第二章第7.1款</w:t>
            </w:r>
          </w:p>
        </w:tc>
        <w:tc>
          <w:tcPr>
            <w:tcW w:w="1633" w:type="dxa"/>
            <w:vAlign w:val="center"/>
          </w:tcPr>
          <w:p>
            <w:pPr>
              <w:adjustRightInd w:val="0"/>
              <w:snapToGrid w:val="0"/>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现场勘察</w:t>
            </w:r>
          </w:p>
        </w:tc>
        <w:tc>
          <w:tcPr>
            <w:tcW w:w="4945" w:type="dxa"/>
            <w:vAlign w:val="center"/>
          </w:tcPr>
          <w:p>
            <w:pPr>
              <w:adjustRightInd w:val="0"/>
              <w:snapToGrid w:val="0"/>
              <w:spacing w:line="340" w:lineRule="exact"/>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无需提供现场勘察证明</w:t>
            </w:r>
            <w:r>
              <w:rPr>
                <w:rFonts w:hint="eastAsia"/>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atLeast"/>
          <w:jc w:val="center"/>
        </w:trPr>
        <w:tc>
          <w:tcPr>
            <w:tcW w:w="2267" w:type="dxa"/>
            <w:vAlign w:val="center"/>
          </w:tcPr>
          <w:p>
            <w:pPr>
              <w:adjustRightInd w:val="0"/>
              <w:snapToGrid w:val="0"/>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第二章第7.</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款</w:t>
            </w:r>
          </w:p>
        </w:tc>
        <w:tc>
          <w:tcPr>
            <w:tcW w:w="1633" w:type="dxa"/>
            <w:vAlign w:val="center"/>
          </w:tcPr>
          <w:p>
            <w:pPr>
              <w:adjustRightInd w:val="0"/>
              <w:snapToGrid w:val="0"/>
              <w:spacing w:line="34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进口产品</w:t>
            </w:r>
          </w:p>
        </w:tc>
        <w:tc>
          <w:tcPr>
            <w:tcW w:w="4945" w:type="dxa"/>
            <w:vAlign w:val="center"/>
          </w:tcPr>
          <w:p>
            <w:pPr>
              <w:adjustRightInd w:val="0"/>
              <w:snapToGrid w:val="0"/>
              <w:spacing w:line="340" w:lineRule="exact"/>
              <w:rPr>
                <w:rFonts w:hint="eastAsia" w:ascii="宋体" w:hAnsi="宋体" w:eastAsia="宋体"/>
                <w:b/>
                <w:bCs/>
                <w:color w:val="000000" w:themeColor="text1"/>
                <w:szCs w:val="21"/>
                <w:lang w:eastAsia="zh-CN"/>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133" w:hRule="atLeast"/>
          <w:jc w:val="center"/>
        </w:trPr>
        <w:tc>
          <w:tcPr>
            <w:tcW w:w="2267" w:type="dxa"/>
            <w:vMerge w:val="restart"/>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第二章第9.1款</w:t>
            </w:r>
          </w:p>
        </w:tc>
        <w:tc>
          <w:tcPr>
            <w:tcW w:w="1633" w:type="dxa"/>
            <w:vAlign w:val="center"/>
          </w:tcPr>
          <w:p>
            <w:pPr>
              <w:spacing w:line="300" w:lineRule="exact"/>
              <w:rPr>
                <w:rFonts w:ascii="宋体" w:hAnsi="宋体" w:cs="宋体"/>
                <w:bCs/>
                <w:color w:val="000000" w:themeColor="text1"/>
                <w:kern w:val="0"/>
                <w:szCs w:val="21"/>
                <w14:textFill>
                  <w14:solidFill>
                    <w14:schemeClr w14:val="tx1"/>
                  </w14:solidFill>
                </w14:textFill>
              </w:rPr>
            </w:pPr>
            <w:r>
              <w:rPr>
                <w:rFonts w:ascii="宋体" w:hAnsi="宋体"/>
                <w:szCs w:val="21"/>
              </w:rPr>
              <w:t>政府采购优先采购节能产品</w:t>
            </w:r>
            <w:r>
              <w:rPr>
                <w:rFonts w:hint="eastAsia" w:ascii="宋体" w:hAnsi="宋体"/>
                <w:szCs w:val="21"/>
              </w:rPr>
              <w:t>、</w:t>
            </w:r>
            <w:r>
              <w:rPr>
                <w:rFonts w:ascii="宋体" w:hAnsi="宋体"/>
                <w:szCs w:val="21"/>
              </w:rPr>
              <w:t xml:space="preserve">环境标志产品 </w:t>
            </w:r>
          </w:p>
        </w:tc>
        <w:tc>
          <w:tcPr>
            <w:tcW w:w="4945" w:type="dxa"/>
            <w:vAlign w:val="center"/>
          </w:tcPr>
          <w:p>
            <w:pPr>
              <w:pStyle w:val="42"/>
              <w:spacing w:before="0" w:beforeAutospacing="0" w:after="0" w:afterAutospacing="0" w:line="12" w:lineRule="atLeast"/>
              <w:ind w:firstLine="420" w:firstLineChars="200"/>
              <w:jc w:val="both"/>
              <w:textAlignment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pPr>
              <w:pStyle w:val="42"/>
              <w:spacing w:before="0" w:beforeAutospacing="0" w:after="0" w:afterAutospacing="0" w:line="12" w:lineRule="atLeast"/>
              <w:ind w:firstLine="420"/>
              <w:jc w:val="both"/>
              <w:textAlignment w:val="center"/>
              <w:rPr>
                <w:color w:val="000000" w:themeColor="text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01" w:hRule="atLeast"/>
          <w:jc w:val="center"/>
        </w:trPr>
        <w:tc>
          <w:tcPr>
            <w:tcW w:w="2267"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633" w:type="dxa"/>
            <w:vAlign w:val="center"/>
          </w:tcPr>
          <w:p>
            <w:pPr>
              <w:spacing w:line="300" w:lineRule="exac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支持</w:t>
            </w:r>
            <w:r>
              <w:rPr>
                <w:rFonts w:hint="eastAsia" w:ascii="宋体" w:hAnsi="宋体"/>
                <w:color w:val="000000" w:themeColor="text1"/>
                <w:szCs w:val="21"/>
                <w14:textFill>
                  <w14:solidFill>
                    <w14:schemeClr w14:val="tx1"/>
                  </w14:solidFill>
                </w14:textFill>
              </w:rPr>
              <w:t>中小企业发展</w:t>
            </w:r>
          </w:p>
        </w:tc>
        <w:tc>
          <w:tcPr>
            <w:tcW w:w="4945" w:type="dxa"/>
            <w:vAlign w:val="center"/>
          </w:tcPr>
          <w:p>
            <w:pPr>
              <w:spacing w:line="30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本项目不专门面向中小企业预留。</w:t>
            </w:r>
            <w:r>
              <w:rPr>
                <w:rFonts w:hint="eastAsia" w:ascii="宋体" w:hAnsi="宋体"/>
                <w:b w:val="0"/>
                <w:bCs w:val="0"/>
                <w:color w:val="000000" w:themeColor="text1"/>
                <w:szCs w:val="21"/>
                <w:lang w:eastAsia="zh-CN"/>
                <w14:textFill>
                  <w14:solidFill>
                    <w14:schemeClr w14:val="tx1"/>
                  </w14:solidFill>
                </w14:textFill>
              </w:rPr>
              <w:t>给予符合政策要求的小型和微型企业产品价格给予10%的扣除，用扣除后的价格参与评审；需提供《中小企业声明函》。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第二章第10.1款</w:t>
            </w:r>
          </w:p>
        </w:tc>
        <w:tc>
          <w:tcPr>
            <w:tcW w:w="1633" w:type="dxa"/>
            <w:vAlign w:val="center"/>
          </w:tcPr>
          <w:p>
            <w:pPr>
              <w:spacing w:line="300" w:lineRule="exact"/>
              <w:rPr>
                <w:rFonts w:ascii="宋体" w:hAnsi="宋体"/>
                <w:szCs w:val="21"/>
              </w:rPr>
            </w:pPr>
            <w:r>
              <w:rPr>
                <w:rFonts w:hint="eastAsia" w:ascii="宋体" w:hAnsi="宋体"/>
                <w:szCs w:val="21"/>
              </w:rPr>
              <w:t>质保期</w:t>
            </w:r>
          </w:p>
        </w:tc>
        <w:tc>
          <w:tcPr>
            <w:tcW w:w="4945" w:type="dxa"/>
            <w:vAlign w:val="center"/>
          </w:tcPr>
          <w:p>
            <w:pPr>
              <w:rPr>
                <w:rFonts w:hint="eastAsia" w:ascii="宋体" w:hAnsi="宋体" w:eastAsia="宋体"/>
                <w:szCs w:val="21"/>
                <w:lang w:eastAsia="zh-CN"/>
              </w:rPr>
            </w:pPr>
            <w:r>
              <w:rPr>
                <w:rFonts w:hint="eastAsia"/>
                <w:color w:val="FF0000"/>
                <w:lang w:eastAsia="zh-CN"/>
              </w:rPr>
              <w:t>★</w:t>
            </w:r>
            <w:r>
              <w:rPr>
                <w:rFonts w:hint="eastAsia"/>
                <w:color w:val="FF0000"/>
                <w:highlight w:val="none"/>
                <w:lang w:eastAsia="zh-CN"/>
              </w:rPr>
              <w:t>验收合格后一年内</w:t>
            </w:r>
            <w:r>
              <w:rPr>
                <w:rFonts w:hint="eastAsia"/>
                <w:color w:val="FF0000"/>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 w:hRule="atLeast"/>
          <w:jc w:val="center"/>
        </w:trPr>
        <w:tc>
          <w:tcPr>
            <w:tcW w:w="8845" w:type="dxa"/>
            <w:gridSpan w:val="3"/>
            <w:vAlign w:val="center"/>
          </w:tcPr>
          <w:p>
            <w:pPr>
              <w:adjustRightInd w:val="0"/>
              <w:snapToGrid w:val="0"/>
              <w:spacing w:line="40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二、招标文件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Merge w:val="restart"/>
            <w:vAlign w:val="center"/>
          </w:tcPr>
          <w:p>
            <w:pPr>
              <w:adjustRightInd w:val="0"/>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第二章第11.1款</w:t>
            </w:r>
          </w:p>
        </w:tc>
        <w:tc>
          <w:tcPr>
            <w:tcW w:w="1633" w:type="dxa"/>
            <w:tcBorders>
              <w:bottom w:val="single" w:color="auto" w:sz="4" w:space="0"/>
            </w:tcBorders>
            <w:vAlign w:val="center"/>
          </w:tcPr>
          <w:p>
            <w:pPr>
              <w:adjustRightInd w:val="0"/>
              <w:snapToGrid w:val="0"/>
              <w:spacing w:line="340" w:lineRule="exact"/>
              <w:rPr>
                <w:rFonts w:ascii="宋体" w:hAnsi="宋体"/>
                <w:color w:val="000000" w:themeColor="text1"/>
                <w:szCs w:val="21"/>
                <w:highlight w:val="red"/>
                <w14:textFill>
                  <w14:solidFill>
                    <w14:schemeClr w14:val="tx1"/>
                  </w14:solidFill>
                </w14:textFill>
              </w:rPr>
            </w:pPr>
            <w:r>
              <w:rPr>
                <w:rFonts w:hint="eastAsia" w:ascii="宋体" w:hAnsi="宋体"/>
                <w:color w:val="000000" w:themeColor="text1"/>
                <w:szCs w:val="21"/>
                <w14:textFill>
                  <w14:solidFill>
                    <w14:schemeClr w14:val="tx1"/>
                  </w14:solidFill>
                </w14:textFill>
              </w:rPr>
              <w:t>提交电子投标文件的截止时间</w:t>
            </w:r>
          </w:p>
        </w:tc>
        <w:tc>
          <w:tcPr>
            <w:tcW w:w="4945" w:type="dxa"/>
            <w:tcBorders>
              <w:bottom w:val="single" w:color="auto" w:sz="4" w:space="0"/>
            </w:tcBorders>
            <w:vAlign w:val="center"/>
          </w:tcPr>
          <w:p>
            <w:pPr>
              <w:adjustRightInd w:val="0"/>
              <w:snapToGrid w:val="0"/>
              <w:spacing w:line="340" w:lineRule="exact"/>
              <w:jc w:val="left"/>
              <w:rPr>
                <w:rFonts w:hint="eastAsia" w:ascii="宋体" w:hAnsi="宋体" w:eastAsia="宋体"/>
                <w:bCs/>
                <w:szCs w:val="21"/>
                <w:lang w:eastAsia="zh-CN"/>
              </w:rPr>
            </w:pPr>
            <w:commentRangeStart w:id="2"/>
            <w:r>
              <w:rPr>
                <w:rFonts w:hint="eastAsia" w:ascii="宋体" w:hAnsi="宋体"/>
                <w:b/>
                <w:szCs w:val="21"/>
                <w:highlight w:val="none"/>
                <w:u w:val="single"/>
                <w:lang w:eastAsia="zh-CN"/>
              </w:rPr>
              <w:t>2024年12月5日</w:t>
            </w:r>
            <w:commentRangeEnd w:id="2"/>
            <w:r>
              <w:commentReference w:id="2"/>
            </w:r>
            <w:r>
              <w:rPr>
                <w:rFonts w:hint="eastAsia" w:ascii="宋体" w:hAnsi="宋体"/>
                <w:b/>
                <w:szCs w:val="21"/>
                <w:highlight w:val="none"/>
                <w:u w:val="single"/>
                <w:lang w:eastAsia="zh-CN"/>
              </w:rPr>
              <w:t>10:30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57" w:hRule="atLeast"/>
          <w:jc w:val="center"/>
        </w:trPr>
        <w:tc>
          <w:tcPr>
            <w:tcW w:w="2267" w:type="dxa"/>
            <w:vMerge w:val="continue"/>
            <w:tcBorders>
              <w:right w:val="single" w:color="auto" w:sz="4" w:space="0"/>
            </w:tcBorders>
            <w:vAlign w:val="center"/>
          </w:tcPr>
          <w:p>
            <w:pPr>
              <w:adjustRightInd w:val="0"/>
              <w:snapToGrid w:val="0"/>
              <w:spacing w:line="340" w:lineRule="exact"/>
              <w:jc w:val="center"/>
              <w:rPr>
                <w:rFonts w:ascii="宋体" w:hAnsi="宋体"/>
                <w:color w:val="000000" w:themeColor="text1"/>
                <w:szCs w:val="21"/>
                <w14:textFill>
                  <w14:solidFill>
                    <w14:schemeClr w14:val="tx1"/>
                  </w14:solidFill>
                </w14:textFill>
              </w:rPr>
            </w:pPr>
          </w:p>
        </w:tc>
        <w:tc>
          <w:tcPr>
            <w:tcW w:w="16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电子投标文件解密时间</w:t>
            </w:r>
          </w:p>
        </w:tc>
        <w:tc>
          <w:tcPr>
            <w:tcW w:w="4945" w:type="dxa"/>
            <w:tcBorders>
              <w:top w:val="single" w:color="auto" w:sz="4" w:space="0"/>
              <w:left w:val="single" w:color="auto" w:sz="4" w:space="0"/>
              <w:bottom w:val="single" w:color="auto" w:sz="4" w:space="0"/>
            </w:tcBorders>
            <w:vAlign w:val="center"/>
          </w:tcPr>
          <w:p>
            <w:pPr>
              <w:pStyle w:val="26"/>
              <w:rPr>
                <w:rFonts w:ascii="宋体" w:hAnsi="宋体"/>
                <w:bCs/>
                <w:szCs w:val="21"/>
              </w:rPr>
            </w:pPr>
            <w:r>
              <w:rPr>
                <w:rFonts w:hint="eastAsia" w:ascii="宋体" w:hAnsi="宋体"/>
                <w:bCs/>
                <w:sz w:val="21"/>
                <w:szCs w:val="21"/>
              </w:rPr>
              <w:t>开标时间后30分钟内（</w:t>
            </w:r>
            <w:commentRangeStart w:id="3"/>
            <w:r>
              <w:rPr>
                <w:rFonts w:hint="eastAsia" w:ascii="宋体" w:hAnsi="宋体"/>
                <w:b/>
                <w:sz w:val="21"/>
                <w:szCs w:val="21"/>
                <w:lang w:eastAsia="zh-CN"/>
              </w:rPr>
              <w:t>2024年12月5日</w:t>
            </w:r>
            <w:commentRangeEnd w:id="3"/>
            <w:r>
              <w:commentReference w:id="3"/>
            </w:r>
            <w:r>
              <w:rPr>
                <w:rFonts w:hint="eastAsia" w:ascii="宋体" w:hAnsi="宋体"/>
                <w:b/>
                <w:sz w:val="21"/>
                <w:szCs w:val="21"/>
                <w:lang w:eastAsia="zh-CN"/>
              </w:rPr>
              <w:t>10:30</w:t>
            </w:r>
            <w:r>
              <w:rPr>
                <w:rFonts w:hint="eastAsia" w:ascii="宋体" w:hAnsi="宋体"/>
                <w:b/>
                <w:sz w:val="21"/>
                <w:szCs w:val="21"/>
              </w:rPr>
              <w:t>-</w:t>
            </w:r>
            <w:r>
              <w:rPr>
                <w:rFonts w:hint="eastAsia" w:ascii="宋体" w:hAnsi="宋体"/>
                <w:b/>
                <w:sz w:val="21"/>
                <w:szCs w:val="21"/>
                <w:lang w:eastAsia="zh-CN"/>
              </w:rPr>
              <w:t>11:00</w:t>
            </w:r>
            <w:r>
              <w:rPr>
                <w:rFonts w:hint="eastAsia" w:ascii="宋体" w:hAnsi="宋体"/>
                <w:b/>
                <w:sz w:val="21"/>
                <w:szCs w:val="21"/>
              </w:rPr>
              <w:t>前</w:t>
            </w:r>
            <w:r>
              <w:rPr>
                <w:rFonts w:hint="eastAsia" w:ascii="宋体" w:hAnsi="宋体"/>
                <w:bCs/>
                <w:sz w:val="21"/>
                <w:szCs w:val="21"/>
              </w:rPr>
              <w:t>）供应商登录“政采云”平台，用“项目采购-开标评标”功能进行解密投标文件。若供应商在规定时间内未按时解密的，视为无效投标。</w:t>
            </w:r>
            <w:r>
              <w:rPr>
                <w:rFonts w:hint="eastAsia" w:ascii="宋体" w:hAnsi="宋体"/>
                <w:bCs/>
                <w:sz w:val="21"/>
                <w:szCs w:val="21"/>
                <w:u w:val="single"/>
              </w:rPr>
              <w:t>（解密时间开始时政采云平台将以短信形式向供应商在政采云平台预留的手机号发送短信通知，请供应商及时关注。）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70" w:hRule="atLeast"/>
          <w:jc w:val="center"/>
        </w:trPr>
        <w:tc>
          <w:tcPr>
            <w:tcW w:w="8845" w:type="dxa"/>
            <w:gridSpan w:val="3"/>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三、投标文件的编写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14" w:hRule="exac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第二章第15.4款</w:t>
            </w:r>
          </w:p>
        </w:tc>
        <w:tc>
          <w:tcPr>
            <w:tcW w:w="1633" w:type="dxa"/>
            <w:vAlign w:val="center"/>
          </w:tcPr>
          <w:p>
            <w:pPr>
              <w:adjustRightInd w:val="0"/>
              <w:snapToGrid w:val="0"/>
              <w:spacing w:line="400" w:lineRule="exact"/>
              <w:jc w:val="lef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预算总价</w:t>
            </w:r>
          </w:p>
        </w:tc>
        <w:tc>
          <w:tcPr>
            <w:tcW w:w="4945" w:type="dxa"/>
            <w:tcBorders>
              <w:bottom w:val="single" w:color="auto" w:sz="4" w:space="0"/>
            </w:tcBorders>
            <w:vAlign w:val="center"/>
          </w:tcPr>
          <w:p>
            <w:pPr>
              <w:pStyle w:val="25"/>
              <w:ind w:left="0"/>
              <w:rPr>
                <w:rFonts w:hint="default" w:eastAsia="宋体"/>
                <w:i w:val="0"/>
                <w:iCs w:val="0"/>
                <w:lang w:val="en-US" w:eastAsia="zh-CN"/>
              </w:rPr>
            </w:pPr>
            <w:r>
              <w:rPr>
                <w:rFonts w:hint="eastAsia" w:ascii="宋体" w:hAnsi="宋体"/>
                <w:b/>
                <w:bCs/>
                <w:i w:val="0"/>
                <w:iCs w:val="0"/>
                <w:color w:val="000000" w:themeColor="text1"/>
                <w:sz w:val="21"/>
                <w:szCs w:val="21"/>
                <w:highlight w:val="none"/>
                <w:lang w:val="en-US" w:eastAsia="zh-CN"/>
                <w14:textFill>
                  <w14:solidFill>
                    <w14:schemeClr w14:val="tx1"/>
                  </w14:solidFill>
                </w14:textFill>
              </w:rPr>
              <w:t>2710000.00元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atLeast"/>
          <w:jc w:val="center"/>
        </w:trPr>
        <w:tc>
          <w:tcPr>
            <w:tcW w:w="2267" w:type="dxa"/>
            <w:vAlign w:val="center"/>
          </w:tcPr>
          <w:p>
            <w:pPr>
              <w:adjustRightInd w:val="0"/>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第二章第16.3款</w:t>
            </w:r>
          </w:p>
        </w:tc>
        <w:tc>
          <w:tcPr>
            <w:tcW w:w="1633" w:type="dxa"/>
            <w:vAlign w:val="center"/>
          </w:tcPr>
          <w:p>
            <w:pPr>
              <w:adjustRightInd w:val="0"/>
              <w:snapToGrid w:val="0"/>
              <w:spacing w:line="3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业绩</w:t>
            </w:r>
          </w:p>
        </w:tc>
        <w:tc>
          <w:tcPr>
            <w:tcW w:w="4945" w:type="dxa"/>
            <w:tcBorders>
              <w:bottom w:val="single" w:color="auto" w:sz="4" w:space="0"/>
            </w:tcBorders>
            <w:vAlign w:val="center"/>
          </w:tcPr>
          <w:p>
            <w:pPr>
              <w:adjustRightInd w:val="0"/>
              <w:snapToGrid w:val="0"/>
              <w:spacing w:line="34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提供同类项目近</w:t>
            </w:r>
            <w:r>
              <w:rPr>
                <w:rFonts w:hint="eastAsia" w:ascii="宋体" w:hAnsi="宋体"/>
                <w:bCs/>
                <w:color w:val="000000" w:themeColor="text1"/>
                <w:szCs w:val="21"/>
                <w:lang w:eastAsia="zh-CN"/>
                <w14:textFill>
                  <w14:solidFill>
                    <w14:schemeClr w14:val="tx1"/>
                  </w14:solidFill>
                </w14:textFill>
              </w:rPr>
              <w:t>三</w:t>
            </w:r>
            <w:r>
              <w:rPr>
                <w:rFonts w:hint="eastAsia" w:ascii="宋体" w:hAnsi="宋体"/>
                <w:bCs/>
                <w:color w:val="000000" w:themeColor="text1"/>
                <w:szCs w:val="21"/>
                <w14:textFill>
                  <w14:solidFill>
                    <w14:schemeClr w14:val="tx1"/>
                  </w14:solidFill>
                </w14:textFill>
              </w:rPr>
              <w:t>年的业绩（20</w:t>
            </w:r>
            <w:r>
              <w:rPr>
                <w:rFonts w:hint="eastAsia" w:ascii="宋体" w:hAnsi="宋体"/>
                <w:bCs/>
                <w:color w:val="000000" w:themeColor="text1"/>
                <w:szCs w:val="21"/>
                <w:lang w:val="en-US" w:eastAsia="zh-CN"/>
                <w14:textFill>
                  <w14:solidFill>
                    <w14:schemeClr w14:val="tx1"/>
                  </w14:solidFill>
                </w14:textFill>
              </w:rPr>
              <w:t>21</w:t>
            </w:r>
            <w:r>
              <w:rPr>
                <w:rFonts w:hint="eastAsia" w:ascii="宋体" w:hAnsi="宋体"/>
                <w:bCs/>
                <w:color w:val="000000" w:themeColor="text1"/>
                <w:szCs w:val="21"/>
                <w14:textFill>
                  <w14:solidFill>
                    <w14:schemeClr w14:val="tx1"/>
                  </w14:solidFill>
                </w14:textFill>
              </w:rPr>
              <w:t>年1月1日至今），证明材料扫描件编制于投标文件内（具体查看评分因素）。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5"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第二章第17.1款</w:t>
            </w:r>
          </w:p>
        </w:tc>
        <w:tc>
          <w:tcPr>
            <w:tcW w:w="1633" w:type="dxa"/>
            <w:vAlign w:val="center"/>
          </w:tcPr>
          <w:p>
            <w:pPr>
              <w:adjustRightInd w:val="0"/>
              <w:snapToGrid w:val="0"/>
              <w:spacing w:line="400" w:lineRule="exact"/>
              <w:ind w:left="-533" w:leftChars="-254" w:firstLine="533" w:firstLineChars="254"/>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投标保证金</w:t>
            </w:r>
          </w:p>
        </w:tc>
        <w:tc>
          <w:tcPr>
            <w:tcW w:w="4945" w:type="dxa"/>
            <w:vAlign w:val="center"/>
          </w:tcPr>
          <w:p>
            <w:pPr>
              <w:adjustRightInd w:val="0"/>
              <w:snapToGrid w:val="0"/>
              <w:spacing w:line="400" w:lineRule="exact"/>
              <w:jc w:val="left"/>
              <w:rPr>
                <w:rFonts w:hint="default"/>
                <w:lang w:val="en-US"/>
              </w:rPr>
            </w:pPr>
            <w:r>
              <w:rPr>
                <w:rFonts w:hint="eastAsia"/>
                <w:lang w:val="en-US"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8"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第二章第18.1款</w:t>
            </w:r>
          </w:p>
        </w:tc>
        <w:tc>
          <w:tcPr>
            <w:tcW w:w="1633" w:type="dxa"/>
            <w:vAlign w:val="center"/>
          </w:tcPr>
          <w:p>
            <w:pPr>
              <w:adjustRightInd w:val="0"/>
              <w:snapToGrid w:val="0"/>
              <w:spacing w:line="40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投标文件有效期</w:t>
            </w:r>
          </w:p>
        </w:tc>
        <w:tc>
          <w:tcPr>
            <w:tcW w:w="4945" w:type="dxa"/>
            <w:vAlign w:val="center"/>
          </w:tcPr>
          <w:p>
            <w:pPr>
              <w:adjustRightInd w:val="0"/>
              <w:snapToGrid w:val="0"/>
              <w:spacing w:line="400" w:lineRule="exact"/>
              <w:rPr>
                <w:rFonts w:hint="eastAsia" w:ascii="宋体" w:hAnsi="宋体" w:eastAsia="宋体"/>
                <w:bCs/>
                <w:color w:val="000000" w:themeColor="text1"/>
                <w:szCs w:val="21"/>
                <w:lang w:eastAsia="zh-CN"/>
                <w14:textFill>
                  <w14:solidFill>
                    <w14:schemeClr w14:val="tx1"/>
                  </w14:solidFill>
                </w14:textFill>
              </w:rPr>
            </w:pPr>
            <w:r>
              <w:rPr>
                <w:rFonts w:hint="eastAsia" w:ascii="宋体" w:hAnsi="宋体" w:eastAsia="宋体" w:cs="宋体"/>
                <w:color w:val="FF0000"/>
                <w:szCs w:val="21"/>
              </w:rPr>
              <w:t>★</w:t>
            </w:r>
            <w:r>
              <w:rPr>
                <w:rFonts w:hint="eastAsia" w:ascii="宋体" w:hAnsi="宋体"/>
                <w:color w:val="FF0000"/>
                <w:szCs w:val="21"/>
              </w:rPr>
              <w:t>90</w:t>
            </w:r>
            <w:r>
              <w:rPr>
                <w:rFonts w:hint="eastAsia" w:ascii="宋体" w:hAnsi="宋体"/>
                <w:color w:val="FF0000"/>
                <w:szCs w:val="21"/>
                <w:lang w:eastAsia="zh-CN"/>
              </w:rPr>
              <w:t>（含）</w:t>
            </w:r>
            <w:r>
              <w:rPr>
                <w:rFonts w:hint="eastAsia" w:ascii="宋体" w:hAnsi="宋体"/>
                <w:color w:val="FF0000"/>
                <w:szCs w:val="21"/>
              </w:rPr>
              <w:t>日历日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43"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第二章第19.1款</w:t>
            </w:r>
          </w:p>
        </w:tc>
        <w:tc>
          <w:tcPr>
            <w:tcW w:w="1633" w:type="dxa"/>
            <w:vAlign w:val="center"/>
          </w:tcPr>
          <w:p>
            <w:pPr>
              <w:adjustRightInd w:val="0"/>
              <w:snapToGrid w:val="0"/>
              <w:spacing w:line="40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投标文件份数</w:t>
            </w:r>
          </w:p>
        </w:tc>
        <w:tc>
          <w:tcPr>
            <w:tcW w:w="4945" w:type="dxa"/>
            <w:vAlign w:val="center"/>
          </w:tcPr>
          <w:p>
            <w:pPr>
              <w:adjustRightInd w:val="0"/>
              <w:snapToGrid w:val="0"/>
              <w:spacing w:line="40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电子加密投标文件一份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 w:hRule="atLeast"/>
          <w:jc w:val="center"/>
        </w:trPr>
        <w:tc>
          <w:tcPr>
            <w:tcW w:w="8845" w:type="dxa"/>
            <w:gridSpan w:val="3"/>
            <w:vAlign w:val="center"/>
          </w:tcPr>
          <w:p>
            <w:pPr>
              <w:adjustRightInd w:val="0"/>
              <w:snapToGrid w:val="0"/>
              <w:spacing w:line="400" w:lineRule="exact"/>
              <w:rPr>
                <w:rFonts w:ascii="宋体" w:hAnsi="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四、投标文件递交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17" w:hRule="atLeast"/>
          <w:jc w:val="center"/>
        </w:trPr>
        <w:tc>
          <w:tcPr>
            <w:tcW w:w="2267" w:type="dxa"/>
            <w:vAlign w:val="center"/>
          </w:tcPr>
          <w:p>
            <w:pPr>
              <w:adjustRightInd w:val="0"/>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第二章第22.1款</w:t>
            </w:r>
          </w:p>
        </w:tc>
        <w:tc>
          <w:tcPr>
            <w:tcW w:w="1633" w:type="dxa"/>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投标地点（网址）</w:t>
            </w:r>
          </w:p>
        </w:tc>
        <w:tc>
          <w:tcPr>
            <w:tcW w:w="4945" w:type="dxa"/>
            <w:vAlign w:val="center"/>
          </w:tcPr>
          <w:p>
            <w:pPr>
              <w:adjustRightInd w:val="0"/>
              <w:snapToGrid w:val="0"/>
              <w:spacing w:line="400" w:lineRule="exact"/>
              <w:rPr>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电子版投标文件提交至政采云平台</w:t>
            </w:r>
            <w:r>
              <w:rPr>
                <w:rFonts w:hint="eastAsia" w:ascii="宋体" w:hAnsi="宋体"/>
                <w:bCs/>
                <w:color w:val="000000" w:themeColor="text1"/>
                <w:szCs w:val="21"/>
                <w14:textFill>
                  <w14:solidFill>
                    <w14:schemeClr w14:val="tx1"/>
                  </w14:solidFill>
                </w14:textFill>
              </w:rPr>
              <w:t>（</w:t>
            </w:r>
            <w:r>
              <w:fldChar w:fldCharType="begin"/>
            </w:r>
            <w:r>
              <w:instrText xml:space="preserve"> HYPERLINK "https://www.zcygov.cn，投标供应商无需到达评标现场。" </w:instrText>
            </w:r>
            <w:r>
              <w:fldChar w:fldCharType="separate"/>
            </w:r>
            <w:r>
              <w:rPr>
                <w:rFonts w:hint="eastAsia" w:ascii="宋体" w:hAnsi="宋体" w:cs="Arial"/>
                <w:bCs/>
                <w:kern w:val="0"/>
                <w:szCs w:val="21"/>
              </w:rPr>
              <w:t>https://www.zcygov.cn</w:t>
            </w:r>
            <w:r>
              <w:rPr>
                <w:rFonts w:hint="eastAsia" w:ascii="宋体" w:hAnsi="宋体" w:cs="Arial"/>
                <w:bCs/>
                <w:kern w:val="0"/>
                <w:szCs w:val="21"/>
              </w:rPr>
              <w:fldChar w:fldCharType="end"/>
            </w:r>
            <w:r>
              <w:rPr>
                <w:rFonts w:hint="eastAsia" w:ascii="宋体" w:hAnsi="宋体" w:cs="Arial"/>
                <w:bCs/>
                <w:kern w:val="0"/>
                <w:szCs w:val="21"/>
              </w:rPr>
              <w:t>）</w:t>
            </w:r>
            <w:r>
              <w:rPr>
                <w:rFonts w:hint="eastAsia" w:ascii="宋体" w:hAnsi="宋体"/>
                <w:b/>
                <w:color w:val="000000" w:themeColor="text1"/>
                <w:szCs w:val="21"/>
                <w14:textFill>
                  <w14:solidFill>
                    <w14:schemeClr w14:val="tx1"/>
                  </w14:solidFill>
                </w14:textFill>
              </w:rPr>
              <w:t>在线投标，投标人无需到达评标现场。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8845" w:type="dxa"/>
            <w:gridSpan w:val="3"/>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五、开标和评标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31" w:hRule="atLeast"/>
          <w:jc w:val="center"/>
        </w:trPr>
        <w:tc>
          <w:tcPr>
            <w:tcW w:w="2267" w:type="dxa"/>
            <w:vAlign w:val="center"/>
          </w:tcPr>
          <w:p>
            <w:pPr>
              <w:adjustRightInd w:val="0"/>
              <w:snapToGrid w:val="0"/>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第二章第25.1款</w:t>
            </w:r>
          </w:p>
        </w:tc>
        <w:tc>
          <w:tcPr>
            <w:tcW w:w="1633" w:type="dxa"/>
            <w:vAlign w:val="center"/>
          </w:tcPr>
          <w:p>
            <w:pPr>
              <w:adjustRightInd w:val="0"/>
              <w:snapToGrid w:val="0"/>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评标办法</w:t>
            </w:r>
          </w:p>
        </w:tc>
        <w:tc>
          <w:tcPr>
            <w:tcW w:w="4945" w:type="dxa"/>
            <w:vAlign w:val="center"/>
          </w:tcPr>
          <w:p>
            <w:pPr>
              <w:adjustRightInd w:val="0"/>
              <w:snapToGrid w:val="0"/>
              <w:spacing w:line="32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2" w:hRule="atLeast"/>
          <w:jc w:val="center"/>
        </w:trPr>
        <w:tc>
          <w:tcPr>
            <w:tcW w:w="8845" w:type="dxa"/>
            <w:gridSpan w:val="3"/>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六、中标结果信息公布与履约保证金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2267" w:type="dxa"/>
            <w:vAlign w:val="center"/>
          </w:tcPr>
          <w:p>
            <w:pPr>
              <w:adjustRightInd w:val="0"/>
              <w:snapToGrid w:val="0"/>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第二章第30.1款</w:t>
            </w:r>
          </w:p>
        </w:tc>
        <w:tc>
          <w:tcPr>
            <w:tcW w:w="1633" w:type="dxa"/>
            <w:vAlign w:val="center"/>
          </w:tcPr>
          <w:p>
            <w:pPr>
              <w:adjustRightInd w:val="0"/>
              <w:snapToGrid w:val="0"/>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财政部门指定的媒体</w:t>
            </w:r>
          </w:p>
        </w:tc>
        <w:tc>
          <w:tcPr>
            <w:tcW w:w="4945" w:type="dxa"/>
            <w:vAlign w:val="center"/>
          </w:tcPr>
          <w:p>
            <w:pPr>
              <w:adjustRightInd w:val="0"/>
              <w:snapToGrid w:val="0"/>
              <w:spacing w:line="3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新疆政府采购网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90"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第二章第32.3款</w:t>
            </w:r>
          </w:p>
        </w:tc>
        <w:tc>
          <w:tcPr>
            <w:tcW w:w="1633" w:type="dxa"/>
            <w:vAlign w:val="center"/>
          </w:tcPr>
          <w:p>
            <w:pPr>
              <w:adjustRightInd w:val="0"/>
              <w:snapToGrid w:val="0"/>
              <w:spacing w:line="400" w:lineRule="exact"/>
              <w:rPr>
                <w:rFonts w:ascii="宋体" w:hAnsi="宋体"/>
                <w:color w:val="000000" w:themeColor="text1"/>
                <w:szCs w:val="21"/>
                <w:highlight w:val="cyan"/>
                <w14:textFill>
                  <w14:solidFill>
                    <w14:schemeClr w14:val="tx1"/>
                  </w14:solidFill>
                </w14:textFill>
              </w:rPr>
            </w:pPr>
            <w:r>
              <w:rPr>
                <w:rFonts w:hint="eastAsia" w:ascii="宋体" w:hAnsi="宋体"/>
                <w:color w:val="000000" w:themeColor="text1"/>
                <w:szCs w:val="21"/>
                <w14:textFill>
                  <w14:solidFill>
                    <w14:schemeClr w14:val="tx1"/>
                  </w14:solidFill>
                </w14:textFill>
              </w:rPr>
              <w:t>履约保证金</w:t>
            </w:r>
          </w:p>
        </w:tc>
        <w:tc>
          <w:tcPr>
            <w:tcW w:w="4945" w:type="dxa"/>
            <w:vAlign w:val="center"/>
          </w:tcPr>
          <w:p>
            <w:pPr>
              <w:adjustRightInd w:val="0"/>
              <w:snapToGrid w:val="0"/>
              <w:spacing w:line="320" w:lineRule="exact"/>
              <w:jc w:val="left"/>
              <w:rPr>
                <w:rFonts w:hint="eastAsia"/>
                <w:b/>
                <w:bCs/>
                <w:highlight w:val="none"/>
                <w:lang w:val="en-US" w:eastAsia="zh-CN"/>
              </w:rPr>
            </w:pPr>
            <w:r>
              <w:rPr>
                <w:rFonts w:hint="eastAsia"/>
                <w:b/>
                <w:bCs/>
                <w:highlight w:val="none"/>
                <w:lang w:val="en-US" w:eastAsia="zh-CN"/>
              </w:rPr>
              <w:t>本项目不收取履约保证金。</w:t>
            </w:r>
          </w:p>
          <w:p>
            <w:pPr>
              <w:adjustRightInd w:val="0"/>
              <w:snapToGrid w:val="0"/>
              <w:spacing w:line="320" w:lineRule="exact"/>
              <w:jc w:val="left"/>
              <w:rPr>
                <w:rFonts w:hint="eastAsia"/>
                <w:lang w:val="en-US" w:eastAsia="zh-CN"/>
              </w:rPr>
            </w:pPr>
            <w:r>
              <w:rPr>
                <w:rFonts w:hint="eastAsia"/>
                <w:lang w:val="en-US" w:eastAsia="zh-CN"/>
              </w:rPr>
              <w:t>供应商应在合同签订之日起5日内以企业名义（基本户）通过电汇、转账、保函、电子保函等非现金形式缴纳或提交履约保证金采购单位银行账户；不允许以个人名义或现金方式缴纳保证金。</w:t>
            </w:r>
          </w:p>
          <w:p>
            <w:pPr>
              <w:adjustRightInd w:val="0"/>
              <w:snapToGrid w:val="0"/>
              <w:spacing w:line="320" w:lineRule="exact"/>
              <w:jc w:val="left"/>
              <w:rPr>
                <w:rFonts w:hint="eastAsia"/>
                <w:lang w:val="en-US" w:eastAsia="zh-CN"/>
              </w:rPr>
            </w:pPr>
            <w:r>
              <w:rPr>
                <w:rFonts w:hint="eastAsia"/>
                <w:lang w:val="en-US" w:eastAsia="zh-CN"/>
              </w:rPr>
              <w:t>1.履约保证金递交方式及相关条款要求</w:t>
            </w:r>
            <w:r>
              <w:rPr>
                <w:rFonts w:hint="eastAsia" w:ascii="宋体" w:hAnsi="宋体" w:cs="宋体"/>
                <w:color w:val="000000"/>
                <w:kern w:val="0"/>
                <w:szCs w:val="21"/>
              </w:rPr>
              <w:t>与采购人签订合同约定</w:t>
            </w:r>
            <w:r>
              <w:rPr>
                <w:rFonts w:hint="eastAsia"/>
                <w:lang w:val="en-US" w:eastAsia="zh-CN"/>
              </w:rPr>
              <w:t>；</w:t>
            </w:r>
          </w:p>
          <w:p>
            <w:pPr>
              <w:adjustRightInd w:val="0"/>
              <w:snapToGrid w:val="0"/>
              <w:spacing w:line="320" w:lineRule="exact"/>
              <w:jc w:val="left"/>
              <w:rPr>
                <w:rFonts w:hint="eastAsia"/>
                <w:lang w:val="en-US" w:eastAsia="zh-CN"/>
              </w:rPr>
            </w:pPr>
            <w:r>
              <w:rPr>
                <w:rFonts w:hint="eastAsia"/>
                <w:lang w:val="en-US" w:eastAsia="zh-CN"/>
              </w:rPr>
              <w:t>1.1</w:t>
            </w:r>
            <w:r>
              <w:rPr>
                <w:rFonts w:hint="eastAsia"/>
                <w:b/>
                <w:bCs/>
                <w:lang w:val="en-US" w:eastAsia="zh-CN"/>
              </w:rPr>
              <w:t>建议优先使用政采云电子保函，</w:t>
            </w:r>
            <w:r>
              <w:rPr>
                <w:rFonts w:hint="eastAsia"/>
                <w:lang w:val="en-US" w:eastAsia="zh-CN"/>
              </w:rPr>
              <w:t>具体办理流程详见新疆政府采购网《新疆维吾尔自治区政府采购电子保函工作方案》。供应商以电子保函形式缴纳履约保证金的，可通过“新疆政府采购网”的“电子保函”模块申请购买：</w:t>
            </w:r>
          </w:p>
          <w:p>
            <w:pPr>
              <w:adjustRightInd w:val="0"/>
              <w:snapToGrid w:val="0"/>
              <w:spacing w:line="320" w:lineRule="exact"/>
              <w:jc w:val="left"/>
              <w:rPr>
                <w:rFonts w:hint="eastAsia"/>
                <w:lang w:val="en-US" w:eastAsia="zh-CN"/>
              </w:rPr>
            </w:pPr>
            <w:r>
              <w:rPr>
                <w:rFonts w:hint="eastAsia"/>
                <w:lang w:val="en-US" w:eastAsia="zh-CN"/>
              </w:rPr>
              <w:t>直达链接（电子保函）：</w:t>
            </w:r>
          </w:p>
          <w:p>
            <w:pPr>
              <w:adjustRightInd w:val="0"/>
              <w:snapToGrid w:val="0"/>
              <w:spacing w:line="320" w:lineRule="exact"/>
              <w:jc w:val="left"/>
              <w:rPr>
                <w:rFonts w:hint="eastAsia"/>
                <w:lang w:val="en-US" w:eastAsia="zh-CN"/>
              </w:rPr>
            </w:pPr>
            <w:r>
              <w:rPr>
                <w:rFonts w:hint="eastAsia"/>
                <w:lang w:val="en-US" w:eastAsia="zh-CN"/>
              </w:rPr>
              <w:t>https://jinrong.zcygov.cn/luban/finance/letter/xinjiang?pageModelFlag=650000</w:t>
            </w:r>
          </w:p>
          <w:p>
            <w:pPr>
              <w:adjustRightInd w:val="0"/>
              <w:snapToGrid w:val="0"/>
              <w:spacing w:line="320" w:lineRule="exact"/>
              <w:jc w:val="left"/>
              <w:rPr>
                <w:rFonts w:hint="eastAsia"/>
                <w:lang w:val="en-US" w:eastAsia="zh-CN"/>
              </w:rPr>
            </w:pPr>
            <w:r>
              <w:rPr>
                <w:rFonts w:hint="eastAsia"/>
                <w:lang w:val="en-US" w:eastAsia="zh-CN"/>
              </w:rPr>
              <w:t>电子保函咨询电话：0991-2661159</w:t>
            </w:r>
          </w:p>
          <w:p>
            <w:pPr>
              <w:rPr>
                <w:rFonts w:hint="eastAsia" w:ascii="Times New Roman" w:hAnsi="Times New Roman" w:eastAsia="宋体" w:cs="Times New Roman"/>
                <w:lang w:val="en-US" w:eastAsia="zh-CN"/>
              </w:rPr>
            </w:pPr>
            <w:r>
              <w:rPr>
                <w:rFonts w:hint="eastAsia"/>
                <w:lang w:val="en-US" w:eastAsia="zh-CN"/>
              </w:rPr>
              <w:t>2.履约保证金的退还与</w:t>
            </w:r>
            <w:r>
              <w:rPr>
                <w:rFonts w:hint="eastAsia" w:ascii="宋体" w:hAnsi="宋体" w:cs="宋体"/>
                <w:color w:val="000000"/>
                <w:kern w:val="0"/>
                <w:szCs w:val="21"/>
              </w:rPr>
              <w:t>采购人签订合同约定</w:t>
            </w:r>
            <w:r>
              <w:rPr>
                <w:rFonts w:hint="eastAsia"/>
                <w:lang w:val="en-US" w:eastAsia="zh-CN"/>
              </w:rPr>
              <w:t>。</w:t>
            </w:r>
          </w:p>
          <w:p>
            <w:pPr>
              <w:pStyle w:val="16"/>
              <w:ind w:left="0" w:leftChars="0" w:firstLine="0" w:firstLineChars="0"/>
              <w:rPr>
                <w:rFonts w:hint="default"/>
                <w:lang w:val="en-US" w:eastAsia="zh-CN"/>
              </w:rPr>
            </w:pPr>
            <w:r>
              <w:rPr>
                <w:rFonts w:hint="eastAsia" w:ascii="Times New Roman" w:hAnsi="Times New Roman" w:eastAsia="宋体" w:cs="Times New Roman"/>
                <w:kern w:val="2"/>
                <w:sz w:val="21"/>
                <w:szCs w:val="24"/>
                <w:lang w:val="en-US" w:eastAsia="zh-CN" w:bidi="ar-SA"/>
              </w:rPr>
              <w:t>3.中标人没有按照约定提交履约保证金</w:t>
            </w:r>
            <w:r>
              <w:rPr>
                <w:rFonts w:hint="eastAsia" w:cs="Times New Roman"/>
                <w:kern w:val="2"/>
                <w:sz w:val="21"/>
                <w:szCs w:val="24"/>
                <w:lang w:val="en-US" w:eastAsia="zh-CN" w:bidi="ar-SA"/>
              </w:rPr>
              <w:t>或履约保函</w:t>
            </w:r>
            <w:r>
              <w:rPr>
                <w:rFonts w:hint="eastAsia" w:ascii="Times New Roman" w:hAnsi="Times New Roman" w:eastAsia="宋体" w:cs="Times New Roman"/>
                <w:kern w:val="2"/>
                <w:sz w:val="21"/>
                <w:szCs w:val="24"/>
                <w:lang w:val="en-US" w:eastAsia="zh-CN" w:bidi="ar-SA"/>
              </w:rPr>
              <w:t>的，视同拒绝履行合同，采购人有权解除合同并对本项目依法对项目进行处理。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8845" w:type="dxa"/>
            <w:gridSpan w:val="3"/>
            <w:vAlign w:val="center"/>
          </w:tcPr>
          <w:p>
            <w:pPr>
              <w:adjustRightInd w:val="0"/>
              <w:snapToGrid w:val="0"/>
              <w:spacing w:line="400" w:lineRule="exact"/>
              <w:rPr>
                <w:rFonts w:ascii="宋体" w:hAnsi="宋体"/>
                <w:b/>
                <w:szCs w:val="21"/>
              </w:rPr>
            </w:pPr>
            <w:r>
              <w:rPr>
                <w:rFonts w:hint="eastAsia" w:ascii="宋体" w:hAnsi="宋体"/>
                <w:b/>
                <w:szCs w:val="21"/>
              </w:rPr>
              <w:t>七、其他规定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49" w:hRule="atLeast"/>
          <w:jc w:val="center"/>
        </w:trPr>
        <w:tc>
          <w:tcPr>
            <w:tcW w:w="2267" w:type="dxa"/>
            <w:vAlign w:val="center"/>
          </w:tcPr>
          <w:p>
            <w:pPr>
              <w:adjustRightInd w:val="0"/>
              <w:snapToGrid w:val="0"/>
              <w:spacing w:line="400" w:lineRule="exact"/>
              <w:jc w:val="center"/>
              <w:rPr>
                <w:rFonts w:ascii="宋体" w:hAnsi="宋体"/>
                <w:bCs/>
                <w:szCs w:val="21"/>
              </w:rPr>
            </w:pPr>
            <w:r>
              <w:rPr>
                <w:rFonts w:hint="eastAsia" w:ascii="宋体" w:hAnsi="宋体"/>
                <w:bCs/>
                <w:szCs w:val="21"/>
              </w:rPr>
              <w:t>付款方式</w:t>
            </w:r>
          </w:p>
        </w:tc>
        <w:tc>
          <w:tcPr>
            <w:tcW w:w="6578" w:type="dxa"/>
            <w:gridSpan w:val="2"/>
            <w:vAlign w:val="center"/>
          </w:tcPr>
          <w:p>
            <w:pPr>
              <w:adjustRightInd w:val="0"/>
              <w:snapToGrid w:val="0"/>
              <w:spacing w:line="400" w:lineRule="exact"/>
              <w:jc w:val="left"/>
              <w:rPr>
                <w:rFonts w:ascii="宋体" w:hAnsi="宋体"/>
                <w:bCs/>
                <w:szCs w:val="21"/>
              </w:rPr>
            </w:pPr>
            <w:r>
              <w:rPr>
                <w:rFonts w:hint="eastAsia" w:ascii="宋体" w:hAnsi="宋体"/>
                <w:bCs/>
                <w:szCs w:val="21"/>
                <w:highlight w:val="none"/>
                <w:lang w:eastAsia="zh-CN"/>
              </w:rPr>
              <w:t>完成供货安装并验收合格后一次性付清项目款。</w:t>
            </w:r>
            <w:r>
              <w:rPr>
                <w:rFonts w:hint="eastAsia" w:ascii="宋体" w:hAnsi="宋体"/>
                <w:bCs/>
                <w:szCs w:val="21"/>
                <w:highlight w:val="none"/>
              </w:rPr>
              <w:t>（具体要求与采购人签订合同约定）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样品</w:t>
            </w:r>
          </w:p>
        </w:tc>
        <w:tc>
          <w:tcPr>
            <w:tcW w:w="6578" w:type="dxa"/>
            <w:gridSpan w:val="2"/>
            <w:vAlign w:val="center"/>
          </w:tcPr>
          <w:p>
            <w:pPr>
              <w:adjustRightInd w:val="0"/>
              <w:snapToGrid w:val="0"/>
              <w:spacing w:line="32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不提供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bookmarkStart w:id="13" w:name="_Toc420948007"/>
            <w:r>
              <w:rPr>
                <w:rFonts w:hint="eastAsia" w:ascii="宋体" w:hAnsi="宋体"/>
                <w:color w:val="000000" w:themeColor="text1"/>
                <w:szCs w:val="21"/>
                <w:lang w:val="zh-CN"/>
                <w14:textFill>
                  <w14:solidFill>
                    <w14:schemeClr w14:val="tx1"/>
                  </w14:solidFill>
                </w14:textFill>
              </w:rPr>
              <w:t>场地费</w:t>
            </w:r>
          </w:p>
        </w:tc>
        <w:tc>
          <w:tcPr>
            <w:tcW w:w="6578" w:type="dxa"/>
            <w:gridSpan w:val="2"/>
            <w:vAlign w:val="center"/>
          </w:tcPr>
          <w:p>
            <w:pPr>
              <w:adjustRightInd w:val="0"/>
              <w:snapToGrid w:val="0"/>
              <w:spacing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招标代理服务费</w:t>
            </w:r>
          </w:p>
        </w:tc>
        <w:tc>
          <w:tcPr>
            <w:tcW w:w="6578" w:type="dxa"/>
            <w:gridSpan w:val="2"/>
            <w:vAlign w:val="center"/>
          </w:tcPr>
          <w:p>
            <w:pPr>
              <w:adjustRightInd w:val="0"/>
              <w:snapToGrid w:val="0"/>
              <w:spacing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2267" w:type="dxa"/>
            <w:vAlign w:val="center"/>
          </w:tcPr>
          <w:p>
            <w:pPr>
              <w:jc w:val="center"/>
              <w:rPr>
                <w:rFonts w:ascii="宋体" w:hAnsi="宋体" w:cs="宋体"/>
                <w:b/>
                <w:bCs/>
                <w:szCs w:val="21"/>
              </w:rPr>
            </w:pPr>
            <w:r>
              <w:rPr>
                <w:rFonts w:hint="eastAsia" w:ascii="宋体" w:hAnsi="宋体" w:cs="宋体"/>
                <w:b/>
                <w:bCs/>
                <w:szCs w:val="21"/>
              </w:rPr>
              <w:t>关于政采云平台线上电子招投标的注意事项</w:t>
            </w:r>
          </w:p>
          <w:p>
            <w:pPr>
              <w:spacing w:before="62" w:beforeLines="20" w:line="288" w:lineRule="auto"/>
              <w:rPr>
                <w:rFonts w:ascii="宋体" w:hAnsi="宋体"/>
                <w:color w:val="000000" w:themeColor="text1"/>
                <w:szCs w:val="21"/>
                <w14:textFill>
                  <w14:solidFill>
                    <w14:schemeClr w14:val="tx1"/>
                  </w14:solidFill>
                </w14:textFill>
              </w:rPr>
            </w:pPr>
          </w:p>
        </w:tc>
        <w:tc>
          <w:tcPr>
            <w:tcW w:w="6578" w:type="dxa"/>
            <w:gridSpan w:val="2"/>
            <w:vAlign w:val="center"/>
          </w:tcPr>
          <w:p>
            <w:pPr>
              <w:adjustRightInd w:val="0"/>
              <w:snapToGrid w:val="0"/>
              <w:spacing w:line="400" w:lineRule="exact"/>
              <w:jc w:val="left"/>
            </w:pPr>
            <w:r>
              <w:rPr>
                <w:rFonts w:hint="eastAsia"/>
                <w:b/>
                <w:bCs/>
              </w:rPr>
              <w:t>1、投标文件解密时间：</w:t>
            </w:r>
            <w:r>
              <w:rPr>
                <w:rFonts w:hint="eastAsia"/>
              </w:rPr>
              <w:t>投标文件解密时间30分钟，开标前需投标单位用CA证书登录政采云平台开标大厅签到，在30分钟解密时间内输入CA证书PIN码解密投标文件。</w:t>
            </w:r>
            <w:r>
              <w:rPr>
                <w:rFonts w:hint="eastAsia"/>
                <w:b/>
                <w:bCs/>
              </w:rPr>
              <w:t>在30分钟解密时间内未进行解密的投标单位将导致废标。</w:t>
            </w:r>
            <w:r>
              <w:rPr>
                <w:rFonts w:hint="eastAsia"/>
              </w:rPr>
              <w:t>（解密时间开始时政采云平台将以短信形式向供应商在政采云平台预留的手机号发送短信通知，请供应商及时关注。）</w:t>
            </w:r>
          </w:p>
          <w:p>
            <w:pPr>
              <w:adjustRightInd w:val="0"/>
              <w:snapToGrid w:val="0"/>
              <w:spacing w:line="400" w:lineRule="exact"/>
              <w:jc w:val="left"/>
            </w:pPr>
            <w:r>
              <w:rPr>
                <w:rFonts w:hint="eastAsia"/>
                <w:b/>
                <w:bCs/>
              </w:rPr>
              <w:t>2、供应商报价CA签字确认：</w:t>
            </w:r>
            <w:r>
              <w:rPr>
                <w:rFonts w:hint="eastAsia"/>
              </w:rPr>
              <w:t>报价文件开启后将开启签字时段，供应商须在</w:t>
            </w:r>
            <w:r>
              <w:rPr>
                <w:rFonts w:hint="eastAsia"/>
                <w:lang w:val="en-US" w:eastAsia="zh-CN"/>
              </w:rPr>
              <w:t>1</w:t>
            </w:r>
            <w:r>
              <w:rPr>
                <w:rFonts w:hint="eastAsia"/>
                <w:b/>
                <w:bCs/>
                <w:color w:val="000000" w:themeColor="text1"/>
                <w14:textFill>
                  <w14:solidFill>
                    <w14:schemeClr w14:val="tx1"/>
                  </w14:solidFill>
                </w14:textFill>
              </w:rPr>
              <w:t>0分钟内用CA证书对报价进行签字确认，如未按时签字确认视为默认投标报价。</w:t>
            </w:r>
          </w:p>
          <w:p>
            <w:pPr>
              <w:adjustRightInd w:val="0"/>
              <w:snapToGrid w:val="0"/>
              <w:spacing w:line="400" w:lineRule="exact"/>
              <w:jc w:val="left"/>
              <w:rPr>
                <w:b/>
                <w:bCs/>
              </w:rPr>
            </w:pPr>
            <w:r>
              <w:rPr>
                <w:rFonts w:hint="eastAsia"/>
                <w:b/>
                <w:bCs/>
              </w:rPr>
              <w:t>3、备注:</w:t>
            </w:r>
          </w:p>
          <w:p>
            <w:pPr>
              <w:adjustRightInd w:val="0"/>
              <w:snapToGrid w:val="0"/>
              <w:spacing w:line="400" w:lineRule="exact"/>
              <w:jc w:val="left"/>
            </w:pPr>
            <w:r>
              <w:rPr>
                <w:rFonts w:hint="eastAsia"/>
              </w:rPr>
              <w:t>（1）本次采购采用电子交易方式，电子交易平台为“政府采购云平台（www.zcygov.cn）”。供应商参与本项目电子交易活动前，应注册成为政府采购云平台供应商。编制电子投标文件前还需申领CA证书并绑定帐号.</w:t>
            </w:r>
          </w:p>
          <w:p>
            <w:pPr>
              <w:adjustRightInd w:val="0"/>
              <w:snapToGrid w:val="0"/>
              <w:spacing w:line="400" w:lineRule="exact"/>
              <w:jc w:val="left"/>
            </w:pPr>
            <w:r>
              <w:rPr>
                <w:rFonts w:hint="eastAsia"/>
              </w:rPr>
              <w:t>（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pPr>
              <w:adjustRightInd w:val="0"/>
              <w:snapToGrid w:val="0"/>
              <w:spacing w:line="400" w:lineRule="exact"/>
              <w:jc w:val="left"/>
            </w:pPr>
            <w:r>
              <w:rPr>
                <w:rFonts w:hint="eastAsia"/>
              </w:rPr>
              <w:t>（3）供应商应当在投标截止时间前，将“电子招投标供应商客户端”生成的“电子加密投标文件”上传电子交易平台。</w:t>
            </w:r>
          </w:p>
          <w:p>
            <w:pPr>
              <w:adjustRightInd w:val="0"/>
              <w:snapToGrid w:val="0"/>
              <w:spacing w:line="400" w:lineRule="exact"/>
              <w:jc w:val="left"/>
            </w:pPr>
            <w:r>
              <w:rPr>
                <w:rFonts w:hint="eastAsia"/>
              </w:rPr>
              <w:t>（4）服务与支持。各政府采购代理机构（含集采机构）及供应商对不见面开评标系统的技术操作咨询，可通过</w:t>
            </w:r>
            <w:r>
              <w:fldChar w:fldCharType="begin"/>
            </w:r>
            <w:r>
              <w:instrText xml:space="preserve"> HYPERLINK "https://edu.zcygov.cn/luban/xinjiang-e-biding" </w:instrText>
            </w:r>
            <w:r>
              <w:fldChar w:fldCharType="separate"/>
            </w:r>
            <w:r>
              <w:rPr>
                <w:rFonts w:hint="eastAsia"/>
              </w:rPr>
              <w:t>https://edu.zcygov.cn/luban/xinjiang-e-biding</w:t>
            </w:r>
            <w:r>
              <w:rPr>
                <w:rFonts w:hint="eastAsia"/>
              </w:rPr>
              <w:fldChar w:fldCharType="end"/>
            </w:r>
            <w:r>
              <w:rPr>
                <w:rFonts w:hint="eastAsia"/>
              </w:rPr>
              <w:t>自助查询，也可在政采云帮助中心常见问题解答和操作流程讲解视频中自助查询，网址为：</w:t>
            </w:r>
            <w:r>
              <w:fldChar w:fldCharType="begin"/>
            </w:r>
            <w:r>
              <w:instrText xml:space="preserve"> HYPERLINK "https://service.zcygov.cn/" \l "/help" </w:instrText>
            </w:r>
            <w:r>
              <w:fldChar w:fldCharType="separate"/>
            </w:r>
            <w:r>
              <w:rPr>
                <w:rFonts w:hint="eastAsia"/>
              </w:rPr>
              <w:t>https://service.zcygov.cn/#/help</w:t>
            </w:r>
            <w:r>
              <w:rPr>
                <w:rFonts w:hint="eastAsia"/>
              </w:rPr>
              <w:fldChar w:fldCharType="end"/>
            </w:r>
            <w:r>
              <w:rPr>
                <w:rFonts w:hint="eastAsia"/>
              </w:rPr>
              <w:t>，“项目采购—操作流程—电子招投标—政府采购项目电子交易管理操作指南-供应商”版面获取操作指南，同时对自助查询无法解决的问题可通过钉钉群及政采云在线客服获取服务支</w:t>
            </w:r>
            <w:r>
              <w:t>持。</w:t>
            </w:r>
            <w:r>
              <w:rPr>
                <w:rFonts w:hint="eastAsia"/>
              </w:rPr>
              <w:t>政采云热线人工号码：95763</w:t>
            </w:r>
          </w:p>
          <w:p>
            <w:pPr>
              <w:adjustRightInd w:val="0"/>
              <w:snapToGrid w:val="0"/>
              <w:spacing w:line="400" w:lineRule="exact"/>
              <w:jc w:val="left"/>
            </w:pPr>
            <w:r>
              <w:rPr>
                <w:rFonts w:hint="eastAsia"/>
              </w:rPr>
              <w:t>（5）建议投标人使用带有摄像头和麦克风的设备，以备评标演示时使用，投标人自行承担因投标人设备原因而产生的不利后果。浏览器要求：建议使用者谷歌Chrome浏览器或360极速浏览器。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96" w:hRule="atLeast"/>
          <w:jc w:val="center"/>
        </w:trPr>
        <w:tc>
          <w:tcPr>
            <w:tcW w:w="2267" w:type="dxa"/>
            <w:vAlign w:val="center"/>
          </w:tcPr>
          <w:p>
            <w:pPr>
              <w:spacing w:before="62" w:beforeLines="20" w:line="288" w:lineRule="auto"/>
              <w:jc w:val="center"/>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CA办理及技术支持</w:t>
            </w:r>
          </w:p>
        </w:tc>
        <w:tc>
          <w:tcPr>
            <w:tcW w:w="6578" w:type="dxa"/>
            <w:gridSpan w:val="2"/>
            <w:vAlign w:val="center"/>
          </w:tcPr>
          <w:p>
            <w:pPr>
              <w:pStyle w:val="26"/>
              <w:rPr>
                <w:rFonts w:ascii="Times New Roman" w:hAnsi="Times New Roman"/>
                <w:color w:val="000000" w:themeColor="text1"/>
                <w:sz w:val="21"/>
                <w:szCs w:val="24"/>
                <w14:textFill>
                  <w14:solidFill>
                    <w14:schemeClr w14:val="tx1"/>
                  </w14:solidFill>
                </w14:textFill>
              </w:rPr>
            </w:pPr>
            <w:r>
              <w:rPr>
                <w:rFonts w:hint="eastAsia" w:ascii="Times New Roman" w:hAnsi="Times New Roman"/>
                <w:color w:val="000000" w:themeColor="text1"/>
                <w:sz w:val="21"/>
                <w:szCs w:val="24"/>
                <w14:textFill>
                  <w14:solidFill>
                    <w14:schemeClr w14:val="tx1"/>
                  </w14:solidFill>
                </w14:textFill>
              </w:rPr>
              <w:t>CA服务电话：0991-2819290</w:t>
            </w:r>
          </w:p>
          <w:p>
            <w:pPr>
              <w:pStyle w:val="26"/>
              <w:rPr>
                <w:rFonts w:ascii="Times New Roman" w:hAnsi="Times New Roman"/>
                <w:color w:val="000000" w:themeColor="text1"/>
                <w:sz w:val="21"/>
                <w:szCs w:val="24"/>
                <w14:textFill>
                  <w14:solidFill>
                    <w14:schemeClr w14:val="tx1"/>
                  </w14:solidFill>
                </w14:textFill>
              </w:rPr>
            </w:pPr>
            <w:r>
              <w:rPr>
                <w:rFonts w:hint="eastAsia" w:ascii="Times New Roman" w:hAnsi="Times New Roman"/>
                <w:color w:val="000000" w:themeColor="text1"/>
                <w:sz w:val="21"/>
                <w:szCs w:val="24"/>
                <w14:textFill>
                  <w14:solidFill>
                    <w14:schemeClr w14:val="tx1"/>
                  </w14:solidFill>
                </w14:textFill>
              </w:rPr>
              <w:t>CA申领地址：https://www.xjca.com.cn/article/content/201802/582/1.html</w:t>
            </w:r>
          </w:p>
        </w:tc>
      </w:tr>
    </w:tbl>
    <w:p>
      <w:pPr>
        <w:adjustRightInd w:val="0"/>
        <w:snapToGrid w:val="0"/>
        <w:spacing w:line="360" w:lineRule="auto"/>
        <w:jc w:val="center"/>
        <w:outlineLvl w:val="1"/>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br w:type="page"/>
      </w:r>
      <w:bookmarkStart w:id="14" w:name="_Toc474235943"/>
      <w:r>
        <w:rPr>
          <w:rFonts w:hint="eastAsia" w:ascii="宋体" w:hAnsi="宋体"/>
          <w:b/>
          <w:color w:val="000000" w:themeColor="text1"/>
          <w:sz w:val="24"/>
          <w14:textFill>
            <w14:solidFill>
              <w14:schemeClr w14:val="tx1"/>
            </w14:solidFill>
          </w14:textFill>
        </w:rPr>
        <w:t>投标须知正文</w:t>
      </w:r>
      <w:bookmarkEnd w:id="13"/>
      <w:bookmarkEnd w:id="14"/>
    </w:p>
    <w:p>
      <w:pPr>
        <w:adjustRightInd w:val="0"/>
        <w:snapToGrid w:val="0"/>
        <w:spacing w:line="360" w:lineRule="auto"/>
        <w:outlineLvl w:val="2"/>
        <w:rPr>
          <w:rFonts w:ascii="宋体" w:hAnsi="宋体"/>
          <w:b/>
          <w:color w:val="000000" w:themeColor="text1"/>
          <w:sz w:val="24"/>
          <w14:textFill>
            <w14:solidFill>
              <w14:schemeClr w14:val="tx1"/>
            </w14:solidFill>
          </w14:textFill>
        </w:rPr>
      </w:pPr>
      <w:bookmarkStart w:id="15" w:name="_Toc420948008"/>
      <w:bookmarkStart w:id="16" w:name="_Toc474235944"/>
      <w:r>
        <w:rPr>
          <w:rFonts w:hint="eastAsia" w:ascii="宋体" w:hAnsi="宋体"/>
          <w:b/>
          <w:color w:val="000000" w:themeColor="text1"/>
          <w:sz w:val="24"/>
          <w14:textFill>
            <w14:solidFill>
              <w14:schemeClr w14:val="tx1"/>
            </w14:solidFill>
          </w14:textFill>
        </w:rPr>
        <w:t>一、</w:t>
      </w:r>
      <w:bookmarkEnd w:id="15"/>
      <w:r>
        <w:rPr>
          <w:rFonts w:hint="eastAsia" w:ascii="宋体" w:hAnsi="宋体"/>
          <w:b/>
          <w:color w:val="000000" w:themeColor="text1"/>
          <w:sz w:val="24"/>
          <w14:textFill>
            <w14:solidFill>
              <w14:schemeClr w14:val="tx1"/>
            </w14:solidFill>
          </w14:textFill>
        </w:rPr>
        <w:t>总则</w:t>
      </w:r>
      <w:bookmarkEnd w:id="16"/>
    </w:p>
    <w:p>
      <w:pPr>
        <w:adjustRightInd w:val="0"/>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 项目概况</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1.1项目名称：详见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1.2采购范围：详见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1.3项目地点：详见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1.4采购方式：详见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r>
        <w:rPr>
          <w:rFonts w:hint="eastAsia" w:ascii="宋体" w:hAnsi="宋体"/>
          <w:color w:val="000000" w:themeColor="text1"/>
          <w:szCs w:val="21"/>
          <w:lang w:eastAsia="zh-CN"/>
          <w14:textFill>
            <w14:solidFill>
              <w14:schemeClr w14:val="tx1"/>
            </w14:solidFill>
          </w14:textFill>
        </w:rPr>
        <w:t>履约期限</w:t>
      </w:r>
      <w:r>
        <w:rPr>
          <w:rFonts w:hint="eastAsia" w:ascii="宋体" w:hAnsi="宋体"/>
          <w:color w:val="000000" w:themeColor="text1"/>
          <w:szCs w:val="21"/>
          <w14:textFill>
            <w14:solidFill>
              <w14:schemeClr w14:val="tx1"/>
            </w14:solidFill>
          </w14:textFill>
        </w:rPr>
        <w:t>：详见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2.定义</w:t>
      </w:r>
    </w:p>
    <w:p>
      <w:pPr>
        <w:adjustRightInd w:val="0"/>
        <w:snapToGrid w:val="0"/>
        <w:spacing w:line="360" w:lineRule="auto"/>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 “采购人”是指依法进行政府采购的国家机关、事业单位、团体组织。采购人名称、地址、电话、联系人见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 “采购代理机构”是指接受采购人委托，代理采购项目的集中采购机构和其他采购代理机构。采购代理机构名称、地址、电话、联系人见</w:t>
      </w:r>
      <w:r>
        <w:rPr>
          <w:rFonts w:hint="eastAsia" w:ascii="宋体" w:hAnsi="宋体"/>
          <w:b/>
          <w:color w:val="000000" w:themeColor="text1"/>
          <w:szCs w:val="21"/>
          <w14:textFill>
            <w14:solidFill>
              <w14:schemeClr w14:val="tx1"/>
            </w14:solidFill>
          </w14:textFill>
        </w:rPr>
        <w:t>投标须知前附表。</w:t>
      </w:r>
    </w:p>
    <w:p>
      <w:pPr>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2.3 “投标人</w:t>
      </w:r>
      <w:r>
        <w:rPr>
          <w:rFonts w:hint="eastAsia" w:ascii="宋体" w:hAnsi="宋体"/>
          <w:color w:val="000000" w:themeColor="text1"/>
          <w:szCs w:val="21"/>
          <w:lang w:val="en-US"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”是指响应招标文件要求、参加招标采购的法人、其他组织或者自然人。</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 “货物”是指各种形态和种类的物品，包括原材料、燃料、设备、产品等，详见《政府采购品目分类目录》(</w:t>
      </w:r>
      <w:r>
        <w:rPr>
          <w:rStyle w:val="49"/>
          <w:rFonts w:ascii="宋体" w:hAnsi="宋体"/>
          <w:b w:val="0"/>
          <w:color w:val="000000" w:themeColor="text1"/>
          <w14:textFill>
            <w14:solidFill>
              <w14:schemeClr w14:val="tx1"/>
            </w14:solidFill>
          </w14:textFill>
        </w:rPr>
        <w:t>财库</w:t>
      </w:r>
      <w:r>
        <w:rPr>
          <w:rStyle w:val="49"/>
          <w:rFonts w:hint="eastAsia" w:ascii="宋体" w:hAnsi="宋体"/>
          <w:b w:val="0"/>
          <w:color w:val="000000" w:themeColor="text1"/>
          <w14:textFill>
            <w14:solidFill>
              <w14:schemeClr w14:val="tx1"/>
            </w14:solidFill>
          </w14:textFill>
        </w:rPr>
        <w:t>[</w:t>
      </w:r>
      <w:r>
        <w:rPr>
          <w:rStyle w:val="49"/>
          <w:rFonts w:ascii="宋体" w:hAnsi="宋体"/>
          <w:b w:val="0"/>
          <w:color w:val="000000" w:themeColor="text1"/>
          <w14:textFill>
            <w14:solidFill>
              <w14:schemeClr w14:val="tx1"/>
            </w14:solidFill>
          </w14:textFill>
        </w:rPr>
        <w:t>20</w:t>
      </w:r>
      <w:r>
        <w:rPr>
          <w:rStyle w:val="49"/>
          <w:rFonts w:hint="eastAsia" w:ascii="宋体" w:hAnsi="宋体"/>
          <w:b w:val="0"/>
          <w:color w:val="000000" w:themeColor="text1"/>
          <w14:textFill>
            <w14:solidFill>
              <w14:schemeClr w14:val="tx1"/>
            </w14:solidFill>
          </w14:textFill>
        </w:rPr>
        <w:t>22]31</w:t>
      </w:r>
      <w:r>
        <w:rPr>
          <w:rStyle w:val="49"/>
          <w:rFonts w:ascii="宋体" w:hAnsi="宋体"/>
          <w:b w:val="0"/>
          <w:color w:val="000000" w:themeColor="text1"/>
          <w14:textFill>
            <w14:solidFill>
              <w14:schemeClr w14:val="tx1"/>
            </w14:solidFill>
          </w14:textFill>
        </w:rPr>
        <w:t>号</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 “进口产品”是指通过中国海关报关验收进入中国境内且产自关境外的产品，详见《</w:t>
      </w:r>
      <w:r>
        <w:rPr>
          <w:rFonts w:ascii="宋体" w:hAnsi="宋体" w:cs="宋体"/>
          <w:color w:val="000000" w:themeColor="text1"/>
          <w:kern w:val="0"/>
          <w:szCs w:val="21"/>
          <w14:textFill>
            <w14:solidFill>
              <w14:schemeClr w14:val="tx1"/>
            </w14:solidFill>
          </w14:textFill>
        </w:rPr>
        <w:t>关于政府采购进口产品管理有关问题的通知</w:t>
      </w:r>
      <w:r>
        <w:rPr>
          <w:rFonts w:hint="eastAsia" w:ascii="宋体" w:hAnsi="宋体" w:cs="宋体"/>
          <w:color w:val="000000" w:themeColor="text1"/>
          <w:kern w:val="0"/>
          <w:szCs w:val="21"/>
          <w14:textFill>
            <w14:solidFill>
              <w14:schemeClr w14:val="tx1"/>
            </w14:solidFill>
          </w14:textFill>
        </w:rPr>
        <w:t>》(财库[2007]119号)。</w:t>
      </w:r>
    </w:p>
    <w:p>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2.6偏离</w:t>
      </w:r>
    </w:p>
    <w:p>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2.6.1本条所称偏离为投标文件对招标文件的偏离，即不满足、</w:t>
      </w:r>
      <w:r>
        <w:rPr>
          <w:rFonts w:hint="eastAsia" w:ascii="宋体" w:hAnsi="宋体" w:cs="宋体"/>
          <w:color w:val="000000" w:themeColor="text1"/>
          <w:kern w:val="0"/>
          <w:szCs w:val="21"/>
          <w:lang w:eastAsia="zh-CN"/>
          <w14:textFill>
            <w14:solidFill>
              <w14:schemeClr w14:val="tx1"/>
            </w14:solidFill>
          </w14:textFill>
        </w:rPr>
        <w:t>劣于招标文件要求</w:t>
      </w:r>
      <w:r>
        <w:rPr>
          <w:rFonts w:hint="eastAsia" w:ascii="宋体" w:hAnsi="宋体" w:cs="宋体"/>
          <w:color w:val="000000" w:themeColor="text1"/>
          <w:kern w:val="0"/>
          <w:szCs w:val="21"/>
          <w14:textFill>
            <w14:solidFill>
              <w14:schemeClr w14:val="tx1"/>
            </w14:solidFill>
          </w14:textFill>
        </w:rPr>
        <w:t>或不响应招标文件的要求。偏离分为对招标文件的实质性要求条款偏离和对招标文件的一般商务和技术条款偏离。</w:t>
      </w:r>
    </w:p>
    <w:p>
      <w:pPr>
        <w:adjustRightInd w:val="0"/>
        <w:snapToGrid w:val="0"/>
        <w:spacing w:line="360" w:lineRule="auto"/>
        <w:ind w:firstLine="422" w:firstLineChars="200"/>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2.6.2除法律、法规和规章规定外，招标文件中用“拒绝”、“不接受”、“无效”、“不得”等文字规定的条款</w:t>
      </w:r>
      <w:r>
        <w:rPr>
          <w:rFonts w:hint="eastAsia" w:ascii="宋体" w:hAnsi="宋体" w:cs="宋体"/>
          <w:b/>
          <w:color w:val="000000" w:themeColor="text1"/>
          <w:kern w:val="0"/>
          <w:szCs w:val="21"/>
          <w:lang w:eastAsia="zh-CN"/>
          <w14:textFill>
            <w14:solidFill>
              <w14:schemeClr w14:val="tx1"/>
            </w14:solidFill>
          </w14:textFill>
        </w:rPr>
        <w:t>及采购需求中标“★”号且标红条款</w:t>
      </w:r>
      <w:r>
        <w:rPr>
          <w:rFonts w:hint="eastAsia" w:ascii="宋体" w:hAnsi="宋体" w:cs="宋体"/>
          <w:b/>
          <w:color w:val="000000" w:themeColor="text1"/>
          <w:kern w:val="0"/>
          <w:szCs w:val="21"/>
          <w14:textFill>
            <w14:solidFill>
              <w14:schemeClr w14:val="tx1"/>
            </w14:solidFill>
          </w14:textFill>
        </w:rPr>
        <w:t>为实质性要求条款（即重要条款），对其中任何一条的偏离，在评标时将其视为无效投标。未用上述文字规定或符号标注的条款为非实质性要求条款(即一般条款)。</w:t>
      </w:r>
    </w:p>
    <w:p>
      <w:pPr>
        <w:adjustRightInd w:val="0"/>
        <w:snapToGrid w:val="0"/>
        <w:spacing w:line="360" w:lineRule="auto"/>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2.7.特别说明</w:t>
      </w:r>
    </w:p>
    <w:p>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2.7.1投标人投标所使用的资格、信誉、荣誉、业绩与企业认证等必须为投标人所拥有。</w:t>
      </w:r>
    </w:p>
    <w:p>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2.7.2投标人应仔细阅读招标文件的所有内容，按照招标文件的要求提交投标文件，并对所提供的全部资料的真实性承担法律责任。</w:t>
      </w:r>
    </w:p>
    <w:p>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2.7.3投标人在投标活动中提供任何虚假材料，其投标无效并承担相应法律责任。</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3.投标人的资格要求</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 投标人应当符合</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中规定的资格条件要求；</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 投标人不得存在下列情形之一：</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（l）与采购人、采购代理机构存在</w:t>
      </w:r>
      <w:r>
        <w:rPr>
          <w:rFonts w:hint="eastAsia" w:ascii="宋体" w:hAnsi="宋体"/>
          <w:bCs/>
          <w:color w:val="000000" w:themeColor="text1"/>
          <w:szCs w:val="21"/>
          <w14:textFill>
            <w14:solidFill>
              <w14:schemeClr w14:val="tx1"/>
            </w14:solidFill>
          </w14:textFill>
        </w:rPr>
        <w:t>利害关系</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（2）单位负责人为同一人或者存在直接控股、管理关系的不同投标单位，不得参加同一合同项下的政府采购活动。</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（3）除单一来源采购项目外，为采购项目提供整体设计、规范编制或者项目管理、监理、检测等服务的投标单位，不得再参加该采购项目的其他采购活动。</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 投标人具有履行合同所必需的设备和专业技术能力，在人员、设备、资金等方面具有相应能力；投标人提供的产品必须是</w:t>
      </w:r>
      <w:r>
        <w:rPr>
          <w:rFonts w:hint="eastAsia" w:ascii="宋体" w:hAnsi="宋体"/>
          <w:color w:val="auto"/>
          <w:szCs w:val="21"/>
        </w:rPr>
        <w:t>必须</w:t>
      </w:r>
      <w:r>
        <w:rPr>
          <w:rFonts w:hint="eastAsia" w:ascii="宋体" w:hAnsi="宋体"/>
          <w:color w:val="auto"/>
          <w:szCs w:val="21"/>
          <w:lang w:eastAsia="zh-CN"/>
        </w:rPr>
        <w:t>满足国家相关规范要求及质量要求</w:t>
      </w:r>
      <w:r>
        <w:rPr>
          <w:rFonts w:hint="eastAsia" w:ascii="宋体" w:hAnsi="宋体"/>
          <w:color w:val="000000" w:themeColor="text1"/>
          <w:szCs w:val="21"/>
          <w14:textFill>
            <w14:solidFill>
              <w14:schemeClr w14:val="tx1"/>
            </w14:solidFill>
          </w14:textFill>
        </w:rPr>
        <w:t>；在项目地具有技术支持和后续服务等能力。</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4. 投标费用和知识产权</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4.1投标人应承担其参加本招标活动自身所发生的费用。招标文件所提供的资料，是采购人现有的能被投标人利用的资料，采购人对投标人做出的任何推论、理解和结论均不负责任。</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投标人应保证，在中华人民共和国境内使用投标成果、服务或其任何一部分时，不会产生因第三方提出侵犯其专利权或其它知识产权而引起的法律和经济纠纷。如投标人不拥有相应的知识产权，则在报价中须包括合法获取该知识产权的相关费用。</w:t>
      </w:r>
    </w:p>
    <w:p>
      <w:pPr>
        <w:pStyle w:val="26"/>
        <w:adjustRightInd w:val="0"/>
        <w:snapToGrid w:val="0"/>
        <w:spacing w:line="360" w:lineRule="auto"/>
        <w:rPr>
          <w:rFonts w:ascii="宋体" w:hAnsi="宋体"/>
          <w:b/>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5．</w:t>
      </w:r>
      <w:r>
        <w:rPr>
          <w:rFonts w:hint="eastAsia" w:ascii="宋体" w:hAnsi="宋体"/>
          <w:b/>
          <w:bCs/>
          <w:color w:val="000000" w:themeColor="text1"/>
          <w:sz w:val="21"/>
          <w:szCs w:val="21"/>
          <w14:textFill>
            <w14:solidFill>
              <w14:schemeClr w14:val="tx1"/>
            </w14:solidFill>
          </w14:textFill>
        </w:rPr>
        <w:t>授权委托</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5.1投标人代表为投标人法定代表人的，应提供法定代表人身份证明。投标人代表不是投标人法定代表人的，应提供法定代表人授权书。</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6．联合体形式</w:t>
      </w:r>
      <w:r>
        <w:rPr>
          <w:rFonts w:hint="eastAsia" w:ascii="宋体" w:hAnsi="宋体"/>
          <w:color w:val="000000" w:themeColor="text1"/>
          <w:sz w:val="21"/>
          <w:szCs w:val="21"/>
          <w14:textFill>
            <w14:solidFill>
              <w14:schemeClr w14:val="tx1"/>
            </w14:solidFill>
          </w14:textFill>
        </w:rPr>
        <w:t xml:space="preserve"> </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6.1除</w:t>
      </w:r>
      <w:r>
        <w:rPr>
          <w:rFonts w:hint="eastAsia" w:ascii="宋体" w:hAnsi="宋体"/>
          <w:b/>
          <w:color w:val="000000" w:themeColor="text1"/>
          <w:sz w:val="21"/>
          <w:szCs w:val="21"/>
          <w14:textFill>
            <w14:solidFill>
              <w14:schemeClr w14:val="tx1"/>
            </w14:solidFill>
          </w14:textFill>
        </w:rPr>
        <w:t>投标须知前附表</w:t>
      </w:r>
      <w:r>
        <w:rPr>
          <w:rFonts w:hint="eastAsia" w:ascii="宋体" w:hAnsi="宋体"/>
          <w:color w:val="000000" w:themeColor="text1"/>
          <w:sz w:val="21"/>
          <w:szCs w:val="21"/>
          <w14:textFill>
            <w14:solidFill>
              <w14:schemeClr w14:val="tx1"/>
            </w14:solidFill>
          </w14:textFill>
        </w:rPr>
        <w:t>中另有规定，本次招标采购不接受为联合体形式的投标人。</w:t>
      </w:r>
    </w:p>
    <w:p>
      <w:pPr>
        <w:adjustRightInd w:val="0"/>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7.现场勘察</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7.1投标人应按</w:t>
      </w:r>
      <w:r>
        <w:rPr>
          <w:rFonts w:hint="eastAsia" w:ascii="宋体" w:hAnsi="宋体"/>
          <w:b/>
          <w:color w:val="000000" w:themeColor="text1"/>
          <w14:textFill>
            <w14:solidFill>
              <w14:schemeClr w14:val="tx1"/>
            </w14:solidFill>
          </w14:textFill>
        </w:rPr>
        <w:t>投标须知前附表</w:t>
      </w:r>
      <w:r>
        <w:rPr>
          <w:rFonts w:hint="eastAsia" w:ascii="宋体" w:hAnsi="宋体"/>
          <w:color w:val="000000" w:themeColor="text1"/>
          <w14:textFill>
            <w14:solidFill>
              <w14:schemeClr w14:val="tx1"/>
            </w14:solidFill>
          </w14:textFill>
        </w:rPr>
        <w:t>中规定</w:t>
      </w:r>
      <w:r>
        <w:rPr>
          <w:rFonts w:hint="eastAsia" w:ascii="宋体" w:hAnsi="宋体"/>
          <w:color w:val="000000" w:themeColor="text1"/>
          <w:szCs w:val="21"/>
          <w14:textFill>
            <w14:solidFill>
              <w14:schemeClr w14:val="tx1"/>
            </w14:solidFill>
          </w14:textFill>
        </w:rPr>
        <w:t>对招标采购项目现场设备型号、数量和周围环境进行现场考察。</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7.2勘察现场的费用由投标人自己承担，勘察期间所发生的人身伤害及财产损失由投标人自己负责。</w:t>
      </w:r>
    </w:p>
    <w:p>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7.3采购人不对投标人据此而做出的推论、理解和结论负责。一旦中标，投标人不得以任何借口，而提出额外补偿，或延长合同期限的要求。</w:t>
      </w:r>
    </w:p>
    <w:p>
      <w:pPr>
        <w:adjustRightInd w:val="0"/>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8.采购进口产品</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8.1除</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另有规定外，本项目</w:t>
      </w:r>
      <w:r>
        <w:rPr>
          <w:rFonts w:hint="eastAsia" w:ascii="宋体" w:hAnsi="宋体" w:cs="宋体"/>
          <w:color w:val="000000" w:themeColor="text1"/>
          <w:kern w:val="0"/>
          <w:szCs w:val="21"/>
          <w14:textFill>
            <w14:solidFill>
              <w14:schemeClr w14:val="tx1"/>
            </w14:solidFill>
          </w14:textFill>
        </w:rPr>
        <w:t>拒绝进口产品参加</w:t>
      </w:r>
      <w:r>
        <w:rPr>
          <w:rFonts w:hint="eastAsia" w:ascii="宋体" w:hAnsi="宋体"/>
          <w:color w:val="000000" w:themeColor="text1"/>
          <w:szCs w:val="21"/>
          <w14:textFill>
            <w14:solidFill>
              <w14:schemeClr w14:val="tx1"/>
            </w14:solidFill>
          </w14:textFill>
        </w:rPr>
        <w:t>招标采购活动</w:t>
      </w:r>
      <w:r>
        <w:rPr>
          <w:rFonts w:hint="eastAsia" w:ascii="宋体" w:hAnsi="宋体" w:cs="宋体"/>
          <w:color w:val="000000" w:themeColor="text1"/>
          <w:kern w:val="0"/>
          <w:szCs w:val="21"/>
          <w14:textFill>
            <w14:solidFill>
              <w14:schemeClr w14:val="tx1"/>
            </w14:solidFill>
          </w14:textFill>
        </w:rPr>
        <w:t>。</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8.2</w:t>
      </w:r>
      <w:r>
        <w:rPr>
          <w:rFonts w:hint="eastAsia" w:ascii="宋体" w:hAnsi="宋体"/>
          <w:color w:val="000000" w:themeColor="text1"/>
          <w:szCs w:val="21"/>
          <w14:textFill>
            <w14:solidFill>
              <w14:schemeClr w14:val="tx1"/>
            </w14:solidFill>
          </w14:textFill>
        </w:rPr>
        <w:t>本章第8.1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szCs w:val="21"/>
          <w14:textFill>
            <w14:solidFill>
              <w14:schemeClr w14:val="tx1"/>
            </w14:solidFill>
          </w14:textFill>
        </w:rPr>
        <w:t>规定</w:t>
      </w:r>
      <w:r>
        <w:rPr>
          <w:rFonts w:ascii="宋体" w:hAnsi="宋体" w:cs="宋体"/>
          <w:color w:val="000000" w:themeColor="text1"/>
          <w:kern w:val="0"/>
          <w:szCs w:val="21"/>
          <w14:textFill>
            <w14:solidFill>
              <w14:schemeClr w14:val="tx1"/>
            </w14:solidFill>
          </w14:textFill>
        </w:rPr>
        <w:t>同意购买进口产品的</w:t>
      </w:r>
      <w:r>
        <w:rPr>
          <w:rFonts w:hint="eastAsia" w:ascii="宋体" w:hAnsi="宋体" w:cs="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本项目</w:t>
      </w:r>
      <w:r>
        <w:rPr>
          <w:rFonts w:hint="eastAsia" w:ascii="宋体" w:hAnsi="宋体" w:cs="宋体"/>
          <w:color w:val="000000" w:themeColor="text1"/>
          <w:kern w:val="0"/>
          <w:szCs w:val="21"/>
          <w:lang w:val="zh-CN"/>
          <w14:textFill>
            <w14:solidFill>
              <w14:schemeClr w14:val="tx1"/>
            </w14:solidFill>
          </w14:textFill>
        </w:rPr>
        <w:t>采购活动</w:t>
      </w:r>
      <w:r>
        <w:rPr>
          <w:rFonts w:hint="eastAsia" w:ascii="宋体" w:hAnsi="宋体" w:cs="宋体"/>
          <w:color w:val="000000" w:themeColor="text1"/>
          <w:kern w:val="0"/>
          <w:szCs w:val="21"/>
          <w14:textFill>
            <w14:solidFill>
              <w14:schemeClr w14:val="tx1"/>
            </w14:solidFill>
          </w14:textFill>
        </w:rPr>
        <w:t>不</w:t>
      </w:r>
      <w:r>
        <w:rPr>
          <w:rFonts w:ascii="宋体" w:hAnsi="宋体" w:cs="宋体"/>
          <w:color w:val="000000" w:themeColor="text1"/>
          <w:kern w:val="0"/>
          <w:szCs w:val="21"/>
          <w14:textFill>
            <w14:solidFill>
              <w14:schemeClr w14:val="tx1"/>
            </w14:solidFill>
          </w14:textFill>
        </w:rPr>
        <w:t>限制满足</w:t>
      </w:r>
      <w:r>
        <w:rPr>
          <w:rFonts w:hint="eastAsia" w:ascii="宋体" w:hAnsi="宋体"/>
          <w:color w:val="000000" w:themeColor="text1"/>
          <w:szCs w:val="21"/>
          <w14:textFill>
            <w14:solidFill>
              <w14:schemeClr w14:val="tx1"/>
            </w14:solidFill>
          </w14:textFill>
        </w:rPr>
        <w:t>招标文件要求</w:t>
      </w:r>
      <w:r>
        <w:rPr>
          <w:rFonts w:ascii="宋体" w:hAnsi="宋体" w:cs="宋体"/>
          <w:color w:val="000000" w:themeColor="text1"/>
          <w:kern w:val="0"/>
          <w:szCs w:val="21"/>
          <w14:textFill>
            <w14:solidFill>
              <w14:schemeClr w14:val="tx1"/>
            </w14:solidFill>
          </w14:textFill>
        </w:rPr>
        <w:t>的国内产品参与</w:t>
      </w:r>
      <w:r>
        <w:rPr>
          <w:rFonts w:hint="eastAsia" w:ascii="宋体" w:hAnsi="宋体"/>
          <w:color w:val="000000" w:themeColor="text1"/>
          <w:szCs w:val="21"/>
          <w14:textFill>
            <w14:solidFill>
              <w14:schemeClr w14:val="tx1"/>
            </w14:solidFill>
          </w14:textFill>
        </w:rPr>
        <w:t>招标</w:t>
      </w:r>
      <w:r>
        <w:rPr>
          <w:rFonts w:ascii="宋体" w:hAnsi="宋体" w:cs="宋体"/>
          <w:color w:val="000000" w:themeColor="text1"/>
          <w:kern w:val="0"/>
          <w:szCs w:val="21"/>
          <w14:textFill>
            <w14:solidFill>
              <w14:schemeClr w14:val="tx1"/>
            </w14:solidFill>
          </w14:textFill>
        </w:rPr>
        <w:t>。</w:t>
      </w:r>
    </w:p>
    <w:p>
      <w:pPr>
        <w:adjustRightInd w:val="0"/>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9.</w:t>
      </w:r>
      <w:r>
        <w:rPr>
          <w:rFonts w:hint="eastAsia" w:ascii="宋体" w:hAnsi="宋体"/>
          <w:b/>
          <w:color w:val="000000" w:themeColor="text1"/>
          <w:szCs w:val="21"/>
          <w14:textFill>
            <w14:solidFill>
              <w14:schemeClr w14:val="tx1"/>
            </w14:solidFill>
          </w14:textFill>
        </w:rPr>
        <w:t xml:space="preserve">政府采购政策支持 </w:t>
      </w:r>
    </w:p>
    <w:p>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9.1为</w:t>
      </w:r>
      <w:r>
        <w:rPr>
          <w:rFonts w:hint="eastAsia" w:ascii="宋体" w:hAnsi="宋体" w:cs="宋体"/>
          <w:color w:val="000000" w:themeColor="text1"/>
          <w:szCs w:val="21"/>
          <w14:textFill>
            <w14:solidFill>
              <w14:schemeClr w14:val="tx1"/>
            </w14:solidFill>
          </w14:textFill>
        </w:rPr>
        <w:t>推进政府采购诚信体系建设，</w:t>
      </w:r>
      <w:r>
        <w:rPr>
          <w:rFonts w:hint="eastAsia" w:ascii="宋体" w:hAnsi="宋体"/>
          <w:color w:val="000000" w:themeColor="text1"/>
          <w:szCs w:val="21"/>
          <w14:textFill>
            <w14:solidFill>
              <w14:schemeClr w14:val="tx1"/>
            </w14:solidFill>
          </w14:textFill>
        </w:rPr>
        <w:t>投标人在签署相关承诺，提供相关信息前，应认真阅读财政部门相关政策规定。符合本章第9.1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szCs w:val="21"/>
          <w14:textFill>
            <w14:solidFill>
              <w14:schemeClr w14:val="tx1"/>
            </w14:solidFill>
          </w14:textFill>
        </w:rPr>
        <w:t>的，应提供相关证明材料。</w:t>
      </w:r>
    </w:p>
    <w:p>
      <w:pPr>
        <w:pStyle w:val="26"/>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9.2本招标文件有列明投标人须提供所投产品属国家强制性要求或认证(如3C、强制性节能产品)相关证书等证明材料的，按招标文件要求提供;本招标文件未要求但投标人所投产品属国家强制性要求或认证(如3C、强制性节能产品)的，投标人须提供有效证书或提供“承诺招标文件未要求但其所投产品属国家强制性要求或认证的，均能满足国家强制性要求或认证(如3C、强制性节能产品)要求”的承诺，并对其真实性负责。</w:t>
      </w:r>
    </w:p>
    <w:p>
      <w:pPr>
        <w:adjustRightInd w:val="0"/>
        <w:snapToGrid w:val="0"/>
        <w:spacing w:line="360" w:lineRule="auto"/>
        <w:outlineLvl w:val="2"/>
        <w:rPr>
          <w:rFonts w:ascii="宋体" w:hAnsi="宋体"/>
          <w:b/>
          <w:color w:val="000000" w:themeColor="text1"/>
          <w:sz w:val="24"/>
          <w14:textFill>
            <w14:solidFill>
              <w14:schemeClr w14:val="tx1"/>
            </w14:solidFill>
          </w14:textFill>
        </w:rPr>
      </w:pPr>
      <w:bookmarkStart w:id="17" w:name="_Toc420948009"/>
      <w:bookmarkStart w:id="18" w:name="_Toc474235945"/>
      <w:r>
        <w:rPr>
          <w:rFonts w:hint="eastAsia" w:ascii="宋体" w:hAnsi="宋体"/>
          <w:b/>
          <w:color w:val="000000" w:themeColor="text1"/>
          <w:sz w:val="24"/>
          <w14:textFill>
            <w14:solidFill>
              <w14:schemeClr w14:val="tx1"/>
            </w14:solidFill>
          </w14:textFill>
        </w:rPr>
        <w:t>二、招标</w:t>
      </w:r>
      <w:bookmarkEnd w:id="17"/>
      <w:r>
        <w:rPr>
          <w:rFonts w:hint="eastAsia" w:ascii="宋体" w:hAnsi="宋体"/>
          <w:b/>
          <w:color w:val="000000" w:themeColor="text1"/>
          <w:sz w:val="24"/>
          <w14:textFill>
            <w14:solidFill>
              <w14:schemeClr w14:val="tx1"/>
            </w14:solidFill>
          </w14:textFill>
        </w:rPr>
        <w:t>文件</w:t>
      </w:r>
      <w:bookmarkEnd w:id="18"/>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10.招标文件的组成</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10.1 招标文件由下列文件组成：</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第一章 招标公告</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第二章 投标须知</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第三章 评标方法及标准</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第四章 政府采购合同格式条款</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第五章 采购需求</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第六章 投标文件格式</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10.2</w:t>
      </w:r>
      <w:r>
        <w:rPr>
          <w:rFonts w:hint="eastAsia" w:ascii="宋体" w:hAnsi="宋体"/>
          <w:bCs/>
          <w:color w:val="000000" w:themeColor="text1"/>
          <w:sz w:val="21"/>
          <w:szCs w:val="21"/>
          <w14:textFill>
            <w14:solidFill>
              <w14:schemeClr w14:val="tx1"/>
            </w14:solidFill>
          </w14:textFill>
        </w:rPr>
        <w:t>本章第11.1</w:t>
      </w:r>
      <w:r>
        <w:rPr>
          <w:rFonts w:hint="eastAsia" w:ascii="宋体" w:hAnsi="宋体" w:cs="宋体"/>
          <w:color w:val="000000" w:themeColor="text1"/>
          <w:kern w:val="0"/>
          <w:sz w:val="21"/>
          <w:szCs w:val="21"/>
          <w:lang w:val="zh-CN"/>
          <w14:textFill>
            <w14:solidFill>
              <w14:schemeClr w14:val="tx1"/>
            </w14:solidFill>
          </w14:textFill>
        </w:rPr>
        <w:t>款</w:t>
      </w:r>
      <w:r>
        <w:rPr>
          <w:rFonts w:hint="eastAsia" w:ascii="宋体" w:hAnsi="宋体"/>
          <w:bCs/>
          <w:color w:val="000000" w:themeColor="text1"/>
          <w:sz w:val="21"/>
          <w:szCs w:val="21"/>
          <w14:textFill>
            <w14:solidFill>
              <w14:schemeClr w14:val="tx1"/>
            </w14:solidFill>
          </w14:textFill>
        </w:rPr>
        <w:t>规定的</w:t>
      </w:r>
      <w:r>
        <w:rPr>
          <w:rFonts w:hint="eastAsia" w:ascii="宋体" w:hAnsi="宋体" w:cs="宋体"/>
          <w:color w:val="000000" w:themeColor="text1"/>
          <w:kern w:val="0"/>
          <w:sz w:val="21"/>
          <w:szCs w:val="21"/>
          <w14:textFill>
            <w14:solidFill>
              <w14:schemeClr w14:val="tx1"/>
            </w14:solidFill>
          </w14:textFill>
        </w:rPr>
        <w:t>提交投标文件截止时间前对招标文件澄清或者修改内容，为招标文件的组成部分。</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10.3</w:t>
      </w:r>
      <w:r>
        <w:rPr>
          <w:rFonts w:hint="eastAsia" w:ascii="宋体" w:hAnsi="宋体"/>
          <w:color w:val="000000" w:themeColor="text1"/>
          <w:szCs w:val="21"/>
          <w14:textFill>
            <w14:solidFill>
              <w14:schemeClr w14:val="tx1"/>
            </w14:solidFill>
          </w14:textFill>
        </w:rPr>
        <w:t>投标人应仔细阅读</w:t>
      </w:r>
      <w:r>
        <w:rPr>
          <w:rFonts w:hint="eastAsia" w:ascii="宋体" w:hAnsi="宋体"/>
          <w:bCs/>
          <w:color w:val="000000" w:themeColor="text1"/>
          <w:szCs w:val="21"/>
          <w14:textFill>
            <w14:solidFill>
              <w14:schemeClr w14:val="tx1"/>
            </w14:solidFill>
          </w14:textFill>
        </w:rPr>
        <w:t>招标文件</w:t>
      </w:r>
      <w:r>
        <w:rPr>
          <w:rFonts w:hint="eastAsia" w:ascii="宋体" w:hAnsi="宋体"/>
          <w:color w:val="000000" w:themeColor="text1"/>
          <w:szCs w:val="21"/>
          <w14:textFill>
            <w14:solidFill>
              <w14:schemeClr w14:val="tx1"/>
            </w14:solidFill>
          </w14:textFill>
        </w:rPr>
        <w:t>的全部内容，按照</w:t>
      </w:r>
      <w:r>
        <w:rPr>
          <w:rFonts w:hint="eastAsia" w:ascii="宋体" w:hAnsi="宋体"/>
          <w:bCs/>
          <w:color w:val="000000" w:themeColor="text1"/>
          <w:szCs w:val="21"/>
          <w14:textFill>
            <w14:solidFill>
              <w14:schemeClr w14:val="tx1"/>
            </w14:solidFill>
          </w14:textFill>
        </w:rPr>
        <w:t>招标文件</w:t>
      </w:r>
      <w:r>
        <w:rPr>
          <w:rFonts w:hint="eastAsia" w:ascii="宋体" w:hAnsi="宋体"/>
          <w:color w:val="000000" w:themeColor="text1"/>
          <w:szCs w:val="21"/>
          <w14:textFill>
            <w14:solidFill>
              <w14:schemeClr w14:val="tx1"/>
            </w14:solidFill>
          </w14:textFill>
        </w:rPr>
        <w:t>要求编制投标文件。任何对</w:t>
      </w:r>
      <w:r>
        <w:rPr>
          <w:rFonts w:hint="eastAsia" w:ascii="宋体" w:hAnsi="宋体"/>
          <w:bCs/>
          <w:color w:val="000000" w:themeColor="text1"/>
          <w:szCs w:val="21"/>
          <w14:textFill>
            <w14:solidFill>
              <w14:schemeClr w14:val="tx1"/>
            </w14:solidFill>
          </w14:textFill>
        </w:rPr>
        <w:t>招标文件</w:t>
      </w:r>
      <w:r>
        <w:rPr>
          <w:rFonts w:hint="eastAsia" w:ascii="宋体" w:hAnsi="宋体"/>
          <w:color w:val="000000" w:themeColor="text1"/>
          <w:szCs w:val="21"/>
          <w14:textFill>
            <w14:solidFill>
              <w14:schemeClr w14:val="tx1"/>
            </w14:solidFill>
          </w14:textFill>
        </w:rPr>
        <w:t>的忽略或误解不能作为投标文件存在缺陷或瑕疵的理由，其风险由投标人承担。</w:t>
      </w:r>
    </w:p>
    <w:p>
      <w:pPr>
        <w:pStyle w:val="26"/>
        <w:adjustRightInd w:val="0"/>
        <w:snapToGrid w:val="0"/>
        <w:spacing w:line="360" w:lineRule="auto"/>
        <w:rPr>
          <w:rFonts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11.</w:t>
      </w:r>
      <w:r>
        <w:rPr>
          <w:rFonts w:hint="eastAsia" w:ascii="宋体" w:hAnsi="宋体" w:cs="宋体"/>
          <w:b/>
          <w:color w:val="000000" w:themeColor="text1"/>
          <w:kern w:val="0"/>
          <w:sz w:val="21"/>
          <w:szCs w:val="21"/>
          <w14:textFill>
            <w14:solidFill>
              <w14:schemeClr w14:val="tx1"/>
            </w14:solidFill>
          </w14:textFill>
        </w:rPr>
        <w:t>提交投标文件</w:t>
      </w:r>
      <w:r>
        <w:rPr>
          <w:rFonts w:hint="eastAsia" w:ascii="宋体" w:hAnsi="宋体"/>
          <w:b/>
          <w:color w:val="000000" w:themeColor="text1"/>
          <w:sz w:val="21"/>
          <w:szCs w:val="21"/>
          <w14:textFill>
            <w14:solidFill>
              <w14:schemeClr w14:val="tx1"/>
            </w14:solidFill>
          </w14:textFill>
        </w:rPr>
        <w:t>的</w:t>
      </w:r>
      <w:r>
        <w:rPr>
          <w:rFonts w:hint="eastAsia" w:ascii="宋体" w:hAnsi="宋体" w:cs="宋体"/>
          <w:b/>
          <w:color w:val="000000" w:themeColor="text1"/>
          <w:kern w:val="0"/>
          <w:sz w:val="21"/>
          <w:szCs w:val="21"/>
          <w14:textFill>
            <w14:solidFill>
              <w14:schemeClr w14:val="tx1"/>
            </w14:solidFill>
          </w14:textFill>
        </w:rPr>
        <w:t>截止</w:t>
      </w:r>
      <w:r>
        <w:rPr>
          <w:rFonts w:hint="eastAsia" w:ascii="宋体" w:hAnsi="宋体"/>
          <w:b/>
          <w:color w:val="000000" w:themeColor="text1"/>
          <w:sz w:val="21"/>
          <w:szCs w:val="21"/>
          <w14:textFill>
            <w14:solidFill>
              <w14:schemeClr w14:val="tx1"/>
            </w14:solidFill>
          </w14:textFill>
        </w:rPr>
        <w:t>时间</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11.1投标人</w:t>
      </w:r>
      <w:r>
        <w:rPr>
          <w:rFonts w:hint="eastAsia" w:ascii="宋体" w:hAnsi="宋体" w:cs="宋体"/>
          <w:color w:val="000000" w:themeColor="text1"/>
          <w:kern w:val="0"/>
          <w:sz w:val="21"/>
          <w:szCs w:val="21"/>
          <w14:textFill>
            <w14:solidFill>
              <w14:schemeClr w14:val="tx1"/>
            </w14:solidFill>
          </w14:textFill>
        </w:rPr>
        <w:t>提交投标文件截止</w:t>
      </w:r>
      <w:r>
        <w:rPr>
          <w:rFonts w:hint="eastAsia" w:ascii="宋体" w:hAnsi="宋体"/>
          <w:color w:val="000000" w:themeColor="text1"/>
          <w:sz w:val="21"/>
          <w:szCs w:val="21"/>
          <w14:textFill>
            <w14:solidFill>
              <w14:schemeClr w14:val="tx1"/>
            </w14:solidFill>
          </w14:textFill>
        </w:rPr>
        <w:t>时间见</w:t>
      </w:r>
      <w:r>
        <w:rPr>
          <w:rFonts w:hint="eastAsia" w:ascii="宋体" w:hAnsi="宋体"/>
          <w:b/>
          <w:color w:val="000000" w:themeColor="text1"/>
          <w:sz w:val="21"/>
          <w:szCs w:val="21"/>
          <w14:textFill>
            <w14:solidFill>
              <w14:schemeClr w14:val="tx1"/>
            </w14:solidFill>
          </w14:textFill>
        </w:rPr>
        <w:t>投标须知前附表</w:t>
      </w:r>
      <w:r>
        <w:rPr>
          <w:rFonts w:hint="eastAsia" w:ascii="宋体" w:hAnsi="宋体"/>
          <w:color w:val="000000" w:themeColor="text1"/>
          <w:sz w:val="21"/>
          <w:szCs w:val="21"/>
          <w14:textFill>
            <w14:solidFill>
              <w14:schemeClr w14:val="tx1"/>
            </w14:solidFill>
          </w14:textFill>
        </w:rPr>
        <w:t>。</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12.招标文件的澄清</w:t>
      </w:r>
      <w:r>
        <w:rPr>
          <w:rFonts w:hint="eastAsia" w:ascii="宋体" w:hAnsi="宋体"/>
          <w:b/>
          <w:color w:val="000000" w:themeColor="text1"/>
          <w:kern w:val="0"/>
          <w:szCs w:val="21"/>
          <w:lang w:val="zh-CN"/>
          <w14:textFill>
            <w14:solidFill>
              <w14:schemeClr w14:val="tx1"/>
            </w14:solidFill>
          </w14:textFill>
        </w:rPr>
        <w:t>或者</w:t>
      </w:r>
      <w:r>
        <w:rPr>
          <w:rFonts w:hint="eastAsia" w:ascii="宋体" w:hAnsi="宋体"/>
          <w:b/>
          <w:bCs/>
          <w:color w:val="000000" w:themeColor="text1"/>
          <w:szCs w:val="21"/>
          <w14:textFill>
            <w14:solidFill>
              <w14:schemeClr w14:val="tx1"/>
            </w14:solidFill>
          </w14:textFill>
        </w:rPr>
        <w:t>修改</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bookmarkStart w:id="19" w:name="_Toc420948010"/>
      <w:r>
        <w:rPr>
          <w:rFonts w:hint="eastAsia" w:ascii="宋体" w:hAnsi="宋体"/>
          <w:color w:val="000000" w:themeColor="text1"/>
          <w:sz w:val="21"/>
          <w:szCs w:val="21"/>
          <w14:textFill>
            <w14:solidFill>
              <w14:schemeClr w14:val="tx1"/>
            </w14:solidFill>
          </w14:textFill>
        </w:rPr>
        <w:t>12.1采购代理机构对已发出的招标文件进行必要澄清或者修改的，在招标文件前附表规定的提交投标文件截止时间十五日前，通知所有招标文件收受人。招标文件的澄清或者修改在新疆政府采购网上公布(新疆政府采购网， http://www.ccgp-xinjiang.gov.cn)或通过政采云平台自行获取，投标人应自行查阅澄清公告或更正公告，澄清或者修改文件作为招标文件的组成部分对投标人具有约束力。</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12.2 如果澄清或者修改发出的时间距规定的投标截止时间不足十五日，将相应顺延投标截止时间。</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12.3采购代理机构可以视采购具体情况，延长投标截止时间和开标时间，但应当在规定的提交投标文件的截止时间三日前，将变更时间书面通知所有招标文件收受人，并在指定的媒体上发布更正公告。</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12.4投标人认为招标文件存在歧视性条款的，应在收到招标文件之日或者招标文件公告期限届满之日起7个工作日内以书面形式向</w:t>
      </w:r>
      <w:r>
        <w:rPr>
          <w:rFonts w:hint="eastAsia" w:ascii="宋体" w:hAnsi="宋体"/>
          <w:color w:val="000000" w:themeColor="text1"/>
          <w:sz w:val="21"/>
          <w:szCs w:val="21"/>
          <w:lang w:eastAsia="zh-CN"/>
          <w14:textFill>
            <w14:solidFill>
              <w14:schemeClr w14:val="tx1"/>
            </w14:solidFill>
          </w14:textFill>
        </w:rPr>
        <w:t>采购人或</w:t>
      </w:r>
      <w:r>
        <w:rPr>
          <w:rFonts w:hint="eastAsia" w:ascii="宋体" w:hAnsi="宋体"/>
          <w:color w:val="000000" w:themeColor="text1"/>
          <w:sz w:val="21"/>
          <w:szCs w:val="21"/>
          <w14:textFill>
            <w14:solidFill>
              <w14:schemeClr w14:val="tx1"/>
            </w14:solidFill>
          </w14:textFill>
        </w:rPr>
        <w:t>本代理机构提出。</w:t>
      </w:r>
    </w:p>
    <w:p>
      <w:pPr>
        <w:adjustRightInd w:val="0"/>
        <w:snapToGrid w:val="0"/>
        <w:spacing w:line="360" w:lineRule="auto"/>
        <w:outlineLvl w:val="2"/>
        <w:rPr>
          <w:rFonts w:ascii="宋体" w:hAnsi="宋体"/>
          <w:b/>
          <w:color w:val="000000" w:themeColor="text1"/>
          <w:sz w:val="24"/>
          <w14:textFill>
            <w14:solidFill>
              <w14:schemeClr w14:val="tx1"/>
            </w14:solidFill>
          </w14:textFill>
        </w:rPr>
      </w:pPr>
      <w:bookmarkStart w:id="20" w:name="_Toc474235946"/>
      <w:r>
        <w:rPr>
          <w:rFonts w:hint="eastAsia" w:ascii="宋体" w:hAnsi="宋体"/>
          <w:b/>
          <w:color w:val="000000" w:themeColor="text1"/>
          <w:sz w:val="24"/>
          <w14:textFill>
            <w14:solidFill>
              <w14:schemeClr w14:val="tx1"/>
            </w14:solidFill>
          </w14:textFill>
        </w:rPr>
        <w:t>三、投标文件</w:t>
      </w:r>
      <w:bookmarkEnd w:id="19"/>
      <w:bookmarkEnd w:id="20"/>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13.一般要求</w:t>
      </w:r>
    </w:p>
    <w:p>
      <w:pPr>
        <w:adjustRightInd w:val="0"/>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13.1 </w:t>
      </w:r>
      <w:r>
        <w:rPr>
          <w:rFonts w:hint="eastAsia" w:ascii="宋体" w:hAnsi="宋体"/>
          <w:color w:val="000000" w:themeColor="text1"/>
          <w:szCs w:val="21"/>
          <w14:textFill>
            <w14:solidFill>
              <w14:schemeClr w14:val="tx1"/>
            </w14:solidFill>
          </w14:textFill>
        </w:rPr>
        <w:t>投标人</w:t>
      </w:r>
      <w:r>
        <w:rPr>
          <w:rFonts w:hint="eastAsia" w:ascii="宋体" w:hAnsi="宋体"/>
          <w:bCs/>
          <w:color w:val="000000" w:themeColor="text1"/>
          <w:szCs w:val="21"/>
          <w14:textFill>
            <w14:solidFill>
              <w14:schemeClr w14:val="tx1"/>
            </w14:solidFill>
          </w14:textFill>
        </w:rPr>
        <w:t>应仔细阅读招标文件的所有内容，按招标文件的要求编制投标文件，并保证所提供的全部资料的真实性，以使其投标文件对招标文件做出实质性的投标。</w:t>
      </w:r>
    </w:p>
    <w:p>
      <w:pPr>
        <w:adjustRightInd w:val="0"/>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13.2 </w:t>
      </w:r>
      <w:r>
        <w:rPr>
          <w:rFonts w:hint="eastAsia" w:ascii="宋体" w:hAnsi="宋体"/>
          <w:color w:val="000000" w:themeColor="text1"/>
          <w:szCs w:val="21"/>
          <w14:textFill>
            <w14:solidFill>
              <w14:schemeClr w14:val="tx1"/>
            </w14:solidFill>
          </w14:textFill>
        </w:rPr>
        <w:t>投标人提交的投标文件及投标人与采购人或采购代理机构就有关招标的所有来往函电均使用中文。投标人可以提交其它语言的资料，但应附中文注释，在有差异时以中文为准。</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 xml:space="preserve">13.3 </w:t>
      </w:r>
      <w:r>
        <w:rPr>
          <w:rFonts w:hint="eastAsia" w:ascii="宋体" w:hAnsi="宋体"/>
          <w:color w:val="000000" w:themeColor="text1"/>
          <w:sz w:val="21"/>
          <w:szCs w:val="21"/>
          <w14:textFill>
            <w14:solidFill>
              <w14:schemeClr w14:val="tx1"/>
            </w14:solidFill>
          </w14:textFill>
        </w:rPr>
        <w:t>计量单位应使用我国法定计量单位，未列明时应默认为我国法定计量单位。</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13.4 投标文件应采用书面形式，传真、电子邮件形式的投标文件概不接受。</w:t>
      </w:r>
    </w:p>
    <w:p>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13.5 投标人应按招标文件中提供的投标文件格式填写。</w:t>
      </w:r>
    </w:p>
    <w:p>
      <w:pPr>
        <w:adjustRightInd w:val="0"/>
        <w:snapToGrid w:val="0"/>
        <w:spacing w:line="360" w:lineRule="auto"/>
        <w:ind w:firstLine="420" w:firstLineChars="200"/>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13.</w:t>
      </w:r>
      <w:r>
        <w:rPr>
          <w:rFonts w:hint="eastAsia" w:ascii="宋体" w:hAnsi="宋体" w:cs="宋体"/>
          <w:color w:val="000000" w:themeColor="text1"/>
          <w:szCs w:val="21"/>
          <w:lang w:val="en-US" w:eastAsia="zh-CN"/>
          <w14:textFill>
            <w14:solidFill>
              <w14:schemeClr w14:val="tx1"/>
            </w14:solidFill>
          </w14:textFill>
        </w:rPr>
        <w:t>6 电子版投标文件内所有资格证明文件及符合性审查证明文件，投标人须逐页加盖公章或电子签章。</w:t>
      </w:r>
      <w:r>
        <w:rPr>
          <w:rFonts w:hint="eastAsia" w:ascii="宋体" w:hAnsi="宋体"/>
          <w:color w:val="000000" w:themeColor="text1"/>
          <w:szCs w:val="21"/>
          <w:lang w:eastAsia="zh-CN"/>
          <w14:textFill>
            <w14:solidFill>
              <w14:schemeClr w14:val="tx1"/>
            </w14:solidFill>
          </w14:textFill>
        </w:rPr>
        <w:t>　</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14.</w:t>
      </w:r>
      <w:r>
        <w:rPr>
          <w:rFonts w:hint="eastAsia" w:ascii="宋体" w:hAnsi="宋体"/>
          <w:b/>
          <w:color w:val="000000" w:themeColor="text1"/>
          <w:szCs w:val="21"/>
          <w14:textFill>
            <w14:solidFill>
              <w14:schemeClr w14:val="tx1"/>
            </w14:solidFill>
          </w14:textFill>
        </w:rPr>
        <w:t>投标文件</w:t>
      </w:r>
      <w:r>
        <w:rPr>
          <w:rFonts w:hint="eastAsia" w:ascii="宋体" w:hAnsi="宋体"/>
          <w:b/>
          <w:bCs/>
          <w:color w:val="000000" w:themeColor="text1"/>
          <w:szCs w:val="21"/>
          <w14:textFill>
            <w14:solidFill>
              <w14:schemeClr w14:val="tx1"/>
            </w14:solidFill>
          </w14:textFill>
        </w:rPr>
        <w:t>的组成</w:t>
      </w:r>
    </w:p>
    <w:p>
      <w:pPr>
        <w:adjustRightInd w:val="0"/>
        <w:snapToGrid w:val="0"/>
        <w:spacing w:line="360" w:lineRule="auto"/>
        <w:ind w:firstLine="420" w:firstLineChars="200"/>
        <w:jc w:val="left"/>
        <w:rPr>
          <w:rFonts w:ascii="宋体" w:hAnsi="宋体"/>
          <w:szCs w:val="21"/>
        </w:rPr>
      </w:pPr>
      <w:bookmarkStart w:id="21" w:name="_Toc427862404"/>
      <w:bookmarkStart w:id="22" w:name="_Toc420948011"/>
      <w:r>
        <w:rPr>
          <w:rFonts w:hint="eastAsia" w:ascii="宋体" w:hAnsi="宋体"/>
        </w:rPr>
        <w:t>14.1 投标文件包括但不限于下列内容：</w:t>
      </w:r>
      <w:bookmarkEnd w:id="21"/>
      <w:bookmarkEnd w:id="22"/>
      <w:r>
        <w:rPr>
          <w:rFonts w:hint="eastAsia" w:ascii="宋体" w:hAnsi="宋体"/>
          <w:szCs w:val="21"/>
        </w:rPr>
        <w:t xml:space="preserve"> </w:t>
      </w:r>
    </w:p>
    <w:p>
      <w:pPr>
        <w:pStyle w:val="26"/>
        <w:adjustRightInd w:val="0"/>
        <w:snapToGrid w:val="0"/>
        <w:spacing w:line="360" w:lineRule="auto"/>
        <w:ind w:firstLine="420" w:firstLineChars="200"/>
        <w:rPr>
          <w:rFonts w:ascii="宋体" w:hAnsi="宋体"/>
          <w:sz w:val="21"/>
          <w:szCs w:val="21"/>
        </w:rPr>
      </w:pPr>
      <w:r>
        <w:rPr>
          <w:rFonts w:hint="eastAsia" w:ascii="宋体" w:hAnsi="宋体"/>
          <w:sz w:val="21"/>
          <w:szCs w:val="21"/>
        </w:rPr>
        <w:t>（1）投标函</w:t>
      </w:r>
    </w:p>
    <w:p>
      <w:pPr>
        <w:pStyle w:val="26"/>
        <w:adjustRightInd w:val="0"/>
        <w:snapToGrid w:val="0"/>
        <w:spacing w:line="360" w:lineRule="auto"/>
        <w:ind w:firstLine="420" w:firstLineChars="200"/>
        <w:rPr>
          <w:rFonts w:ascii="宋体" w:hAnsi="宋体"/>
          <w:sz w:val="21"/>
          <w:szCs w:val="21"/>
        </w:rPr>
      </w:pPr>
      <w:r>
        <w:rPr>
          <w:rFonts w:hint="eastAsia" w:ascii="宋体" w:hAnsi="宋体"/>
          <w:sz w:val="21"/>
          <w:szCs w:val="21"/>
        </w:rPr>
        <w:t>（2）开标一览表及投标报价明细表</w:t>
      </w:r>
    </w:p>
    <w:p>
      <w:pPr>
        <w:pStyle w:val="26"/>
        <w:adjustRightInd w:val="0"/>
        <w:snapToGrid w:val="0"/>
        <w:spacing w:line="360" w:lineRule="auto"/>
        <w:ind w:firstLine="420" w:firstLineChars="200"/>
        <w:rPr>
          <w:rFonts w:ascii="宋体" w:hAnsi="宋体"/>
          <w:sz w:val="21"/>
          <w:szCs w:val="21"/>
        </w:rPr>
      </w:pPr>
      <w:r>
        <w:rPr>
          <w:rFonts w:hint="eastAsia" w:ascii="宋体" w:hAnsi="宋体"/>
          <w:sz w:val="21"/>
          <w:szCs w:val="21"/>
        </w:rPr>
        <w:t>（3）投标人的资格证明文件</w:t>
      </w:r>
    </w:p>
    <w:p>
      <w:pPr>
        <w:pStyle w:val="26"/>
        <w:adjustRightInd w:val="0"/>
        <w:snapToGrid w:val="0"/>
        <w:spacing w:line="360" w:lineRule="auto"/>
        <w:ind w:firstLine="420" w:firstLineChars="200"/>
        <w:rPr>
          <w:rFonts w:ascii="宋体" w:hAnsi="宋体"/>
          <w:sz w:val="21"/>
          <w:szCs w:val="21"/>
        </w:rPr>
      </w:pPr>
      <w:r>
        <w:rPr>
          <w:rFonts w:hint="eastAsia" w:ascii="宋体" w:hAnsi="宋体"/>
          <w:sz w:val="21"/>
          <w:szCs w:val="21"/>
        </w:rPr>
        <w:t>（4）货物说明</w:t>
      </w:r>
    </w:p>
    <w:p>
      <w:pPr>
        <w:pStyle w:val="26"/>
        <w:adjustRightInd w:val="0"/>
        <w:snapToGrid w:val="0"/>
        <w:spacing w:line="360" w:lineRule="auto"/>
        <w:ind w:firstLine="420" w:firstLineChars="200"/>
        <w:rPr>
          <w:rFonts w:ascii="宋体" w:hAnsi="宋体"/>
          <w:sz w:val="21"/>
          <w:szCs w:val="21"/>
        </w:rPr>
      </w:pPr>
      <w:r>
        <w:rPr>
          <w:rFonts w:hint="eastAsia" w:ascii="宋体" w:hAnsi="宋体"/>
          <w:sz w:val="21"/>
          <w:szCs w:val="21"/>
        </w:rPr>
        <w:t>（5）实施方案</w:t>
      </w:r>
    </w:p>
    <w:p>
      <w:pPr>
        <w:pStyle w:val="26"/>
        <w:adjustRightInd w:val="0"/>
        <w:snapToGrid w:val="0"/>
        <w:spacing w:line="360" w:lineRule="auto"/>
        <w:ind w:firstLine="420" w:firstLineChars="200"/>
        <w:rPr>
          <w:rFonts w:ascii="宋体" w:hAnsi="宋体"/>
          <w:sz w:val="21"/>
          <w:szCs w:val="21"/>
        </w:rPr>
      </w:pPr>
      <w:r>
        <w:rPr>
          <w:rFonts w:hint="eastAsia" w:ascii="宋体" w:hAnsi="宋体"/>
          <w:sz w:val="21"/>
          <w:szCs w:val="21"/>
        </w:rPr>
        <w:t>（6）商务响应与偏离表</w:t>
      </w:r>
    </w:p>
    <w:p>
      <w:pPr>
        <w:pStyle w:val="26"/>
        <w:adjustRightInd w:val="0"/>
        <w:snapToGrid w:val="0"/>
        <w:spacing w:line="360" w:lineRule="auto"/>
        <w:ind w:firstLine="420" w:firstLineChars="200"/>
        <w:rPr>
          <w:rFonts w:hint="eastAsia" w:ascii="宋体" w:hAnsi="宋体" w:eastAsia="宋体"/>
          <w:sz w:val="21"/>
          <w:szCs w:val="21"/>
          <w:lang w:eastAsia="zh-CN"/>
        </w:rPr>
      </w:pPr>
      <w:r>
        <w:rPr>
          <w:rFonts w:hint="eastAsia" w:ascii="宋体" w:hAnsi="宋体"/>
          <w:sz w:val="21"/>
          <w:szCs w:val="21"/>
        </w:rPr>
        <w:t>（7）</w:t>
      </w:r>
      <w:r>
        <w:rPr>
          <w:rFonts w:hint="eastAsia" w:ascii="宋体" w:hAnsi="宋体"/>
          <w:sz w:val="21"/>
          <w:szCs w:val="21"/>
          <w:lang w:eastAsia="zh-CN"/>
        </w:rPr>
        <w:t>重要参数相应情况</w:t>
      </w:r>
    </w:p>
    <w:p>
      <w:pPr>
        <w:pStyle w:val="26"/>
        <w:adjustRightInd w:val="0"/>
        <w:snapToGrid w:val="0"/>
        <w:spacing w:line="360" w:lineRule="auto"/>
        <w:ind w:firstLine="420" w:firstLineChars="200"/>
        <w:rPr>
          <w:rFonts w:hint="eastAsia" w:ascii="宋体" w:hAnsi="宋体"/>
          <w:sz w:val="21"/>
          <w:szCs w:val="21"/>
          <w:lang w:val="en-US" w:eastAsia="zh-CN"/>
        </w:rPr>
      </w:pPr>
      <w:r>
        <w:rPr>
          <w:rFonts w:hint="eastAsia" w:ascii="宋体" w:hAnsi="宋体"/>
          <w:sz w:val="21"/>
          <w:szCs w:val="21"/>
          <w:lang w:eastAsia="zh-CN"/>
        </w:rPr>
        <w:t>（</w:t>
      </w:r>
      <w:r>
        <w:rPr>
          <w:rFonts w:hint="eastAsia" w:ascii="宋体" w:hAnsi="宋体"/>
          <w:sz w:val="21"/>
          <w:szCs w:val="21"/>
          <w:lang w:val="en-US" w:eastAsia="zh-CN"/>
        </w:rPr>
        <w:t>8）投标及履约承诺函</w:t>
      </w:r>
    </w:p>
    <w:p>
      <w:pPr>
        <w:pStyle w:val="26"/>
        <w:adjustRightInd w:val="0"/>
        <w:snapToGrid w:val="0"/>
        <w:spacing w:line="360" w:lineRule="auto"/>
        <w:ind w:firstLine="420" w:firstLineChars="200"/>
        <w:rPr>
          <w:rFonts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9）</w:t>
      </w:r>
      <w:r>
        <w:rPr>
          <w:rFonts w:hint="eastAsia" w:ascii="宋体" w:hAnsi="宋体"/>
          <w:sz w:val="21"/>
          <w:szCs w:val="21"/>
        </w:rPr>
        <w:t>投标人认为需提供的其他资料</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15.报价</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15.1投标人应当根据招标文件要求和范围，以</w:t>
      </w:r>
      <w:r>
        <w:rPr>
          <w:rFonts w:hint="eastAsia" w:ascii="宋体" w:hAnsi="宋体"/>
          <w:bCs/>
          <w:color w:val="000000" w:themeColor="text1"/>
          <w:szCs w:val="21"/>
          <w14:textFill>
            <w14:solidFill>
              <w14:schemeClr w14:val="tx1"/>
            </w14:solidFill>
          </w14:textFill>
        </w:rPr>
        <w:t>人民币</w:t>
      </w:r>
      <w:r>
        <w:rPr>
          <w:rFonts w:hint="eastAsia" w:ascii="宋体" w:hAnsi="宋体" w:eastAsia="宋体" w:cs="Times New Roman"/>
          <w:bCs/>
          <w:color w:val="000000" w:themeColor="text1"/>
          <w:szCs w:val="21"/>
          <w14:textFill>
            <w14:solidFill>
              <w14:schemeClr w14:val="tx1"/>
            </w14:solidFill>
          </w14:textFill>
        </w:rPr>
        <w:t>报价，以元为</w:t>
      </w:r>
      <w:r>
        <w:rPr>
          <w:rFonts w:hint="eastAsia" w:ascii="宋体" w:hAnsi="宋体"/>
          <w:color w:val="000000" w:themeColor="text1"/>
          <w:szCs w:val="21"/>
          <w14:textFill>
            <w14:solidFill>
              <w14:schemeClr w14:val="tx1"/>
            </w14:solidFill>
          </w14:textFill>
        </w:rPr>
        <w:t>单位，</w:t>
      </w:r>
      <w:r>
        <w:rPr>
          <w:rFonts w:hint="eastAsia" w:ascii="宋体" w:hAnsi="宋体"/>
          <w:b/>
          <w:bCs/>
          <w:color w:val="000000" w:themeColor="text1"/>
          <w:szCs w:val="21"/>
          <w14:textFill>
            <w14:solidFill>
              <w14:schemeClr w14:val="tx1"/>
            </w14:solidFill>
          </w14:textFill>
        </w:rPr>
        <w:t>保留小数点后两位</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15.2投标报价是履行合同的最终价格，应包括为完成本项目采购范围内所有货物、配套工具及软件费用、</w:t>
      </w:r>
      <w:r>
        <w:rPr>
          <w:rFonts w:hint="eastAsia" w:ascii="宋体" w:hAnsi="宋体"/>
          <w:color w:val="000000" w:themeColor="text1"/>
          <w:szCs w:val="21"/>
          <w:lang w:eastAsia="zh-CN"/>
          <w14:textFill>
            <w14:solidFill>
              <w14:schemeClr w14:val="tx1"/>
            </w14:solidFill>
          </w14:textFill>
        </w:rPr>
        <w:t>施工安装费、</w:t>
      </w:r>
      <w:r>
        <w:rPr>
          <w:rFonts w:hint="eastAsia" w:ascii="宋体" w:hAnsi="宋体"/>
          <w:color w:val="000000" w:themeColor="text1"/>
          <w:szCs w:val="21"/>
          <w14:textFill>
            <w14:solidFill>
              <w14:schemeClr w14:val="tx1"/>
            </w14:solidFill>
          </w14:textFill>
        </w:rPr>
        <w:t>人工费、运输、</w:t>
      </w:r>
      <w:r>
        <w:rPr>
          <w:rFonts w:hint="eastAsia" w:ascii="宋体" w:hAnsi="宋体"/>
          <w:color w:val="000000" w:themeColor="text1"/>
          <w:szCs w:val="21"/>
          <w:lang w:eastAsia="zh-CN"/>
          <w14:textFill>
            <w14:solidFill>
              <w14:schemeClr w14:val="tx1"/>
            </w14:solidFill>
          </w14:textFill>
        </w:rPr>
        <w:t>仓储</w:t>
      </w:r>
      <w:r>
        <w:rPr>
          <w:rFonts w:hint="eastAsia" w:ascii="宋体" w:hAnsi="宋体"/>
          <w:color w:val="000000" w:themeColor="text1"/>
          <w:szCs w:val="21"/>
          <w14:textFill>
            <w14:solidFill>
              <w14:schemeClr w14:val="tx1"/>
            </w14:solidFill>
          </w14:textFill>
        </w:rPr>
        <w:t>、培训、保险、税金及其它附带服务的全部费用。投标人漏报的单价或每项单价报价中漏报、少报的费用，视为此项费用已隐含在其他报价中，中标后不予调整。</w:t>
      </w:r>
    </w:p>
    <w:p>
      <w:pPr>
        <w:pStyle w:val="167"/>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15.3投标人应按第五章“采购需求”要求及第六章“投标文件组成”格式填写。投标人在</w:t>
      </w:r>
      <w:r>
        <w:rPr>
          <w:rFonts w:hint="eastAsia" w:ascii="宋体" w:hAnsi="宋体"/>
          <w:bCs/>
          <w:color w:val="000000" w:themeColor="text1"/>
          <w14:textFill>
            <w14:solidFill>
              <w14:schemeClr w14:val="tx1"/>
            </w14:solidFill>
          </w14:textFill>
        </w:rPr>
        <w:t>本章第11.1</w:t>
      </w:r>
      <w:r>
        <w:rPr>
          <w:rFonts w:hint="eastAsia" w:ascii="宋体" w:hAnsi="宋体" w:cs="宋体"/>
          <w:color w:val="000000" w:themeColor="text1"/>
          <w:lang w:val="zh-CN"/>
          <w14:textFill>
            <w14:solidFill>
              <w14:schemeClr w14:val="tx1"/>
            </w14:solidFill>
          </w14:textFill>
        </w:rPr>
        <w:t>款</w:t>
      </w:r>
      <w:r>
        <w:rPr>
          <w:rFonts w:hint="eastAsia" w:ascii="宋体" w:hAnsi="宋体"/>
          <w:bCs/>
          <w:color w:val="000000" w:themeColor="text1"/>
          <w14:textFill>
            <w14:solidFill>
              <w14:schemeClr w14:val="tx1"/>
            </w14:solidFill>
          </w14:textFill>
        </w:rPr>
        <w:t>规定的</w:t>
      </w:r>
      <w:r>
        <w:rPr>
          <w:rFonts w:hint="eastAsia" w:ascii="宋体" w:hAnsi="宋体" w:cs="宋体"/>
          <w:color w:val="000000" w:themeColor="text1"/>
          <w14:textFill>
            <w14:solidFill>
              <w14:schemeClr w14:val="tx1"/>
            </w14:solidFill>
          </w14:textFill>
        </w:rPr>
        <w:t>提交投标文件截止之日前</w:t>
      </w:r>
      <w:r>
        <w:rPr>
          <w:rFonts w:hint="eastAsia" w:ascii="宋体" w:hAnsi="宋体"/>
          <w:color w:val="000000" w:themeColor="text1"/>
          <w14:textFill>
            <w14:solidFill>
              <w14:schemeClr w14:val="tx1"/>
            </w14:solidFill>
          </w14:textFill>
        </w:rPr>
        <w:t>修改开标一览表中的报价，应同时修改其按第六章要求填写的相应表格中的报价。此修改须符合本章第21.1款的有关要求。</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15.4投标文件中标明的价格在合同执行过程中是固定不变的，不得以任何理由予以变更。以可变动价格提交的报价将被认为是非实质投标而被拒绝。</w:t>
      </w:r>
    </w:p>
    <w:p>
      <w:pPr>
        <w:pStyle w:val="26"/>
        <w:adjustRightInd w:val="0"/>
        <w:snapToGrid w:val="0"/>
        <w:spacing w:line="360" w:lineRule="auto"/>
        <w:ind w:firstLine="420" w:firstLineChars="200"/>
        <w:rPr>
          <w:rFonts w:hAnsi="宋体"/>
          <w:color w:val="000000" w:themeColor="text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15.5</w:t>
      </w:r>
      <w:r>
        <w:rPr>
          <w:rFonts w:hint="eastAsia" w:ascii="宋体" w:hAnsi="宋体"/>
          <w:b/>
          <w:color w:val="000000" w:themeColor="text1"/>
          <w:sz w:val="21"/>
          <w:szCs w:val="21"/>
          <w14:textFill>
            <w14:solidFill>
              <w14:schemeClr w14:val="tx1"/>
            </w14:solidFill>
          </w14:textFill>
        </w:rPr>
        <w:t>投标人的报价不得超过采购项目</w:t>
      </w:r>
      <w:r>
        <w:rPr>
          <w:rFonts w:hint="eastAsia" w:ascii="宋体" w:hAnsi="宋体"/>
          <w:b/>
          <w:color w:val="000000" w:themeColor="text1"/>
          <w:sz w:val="21"/>
          <w:szCs w:val="21"/>
          <w:lang w:eastAsia="zh-CN"/>
          <w14:textFill>
            <w14:solidFill>
              <w14:schemeClr w14:val="tx1"/>
            </w14:solidFill>
          </w14:textFill>
        </w:rPr>
        <w:t>预算单价或</w:t>
      </w:r>
      <w:r>
        <w:rPr>
          <w:rFonts w:hint="eastAsia" w:ascii="宋体" w:hAnsi="宋体"/>
          <w:b/>
          <w:color w:val="000000" w:themeColor="text1"/>
          <w:sz w:val="21"/>
          <w:szCs w:val="21"/>
          <w14:textFill>
            <w14:solidFill>
              <w14:schemeClr w14:val="tx1"/>
            </w14:solidFill>
          </w14:textFill>
        </w:rPr>
        <w:t>预算总金额，</w:t>
      </w:r>
      <w:r>
        <w:rPr>
          <w:rFonts w:hint="eastAsia" w:ascii="宋体" w:hAnsi="宋体"/>
          <w:color w:val="000000" w:themeColor="text1"/>
          <w:sz w:val="21"/>
          <w:szCs w:val="21"/>
          <w14:textFill>
            <w14:solidFill>
              <w14:schemeClr w14:val="tx1"/>
            </w14:solidFill>
          </w14:textFill>
        </w:rPr>
        <w:t>采购项目预算或其计算方法见</w:t>
      </w:r>
      <w:r>
        <w:rPr>
          <w:rFonts w:hint="eastAsia" w:ascii="宋体" w:hAnsi="宋体"/>
          <w:b/>
          <w:color w:val="000000" w:themeColor="text1"/>
          <w:sz w:val="21"/>
          <w:szCs w:val="21"/>
          <w14:textFill>
            <w14:solidFill>
              <w14:schemeClr w14:val="tx1"/>
            </w14:solidFill>
          </w14:textFill>
        </w:rPr>
        <w:t>招标须知前附表</w:t>
      </w:r>
      <w:r>
        <w:rPr>
          <w:rFonts w:hint="eastAsia" w:ascii="宋体" w:hAnsi="宋体"/>
          <w:color w:val="000000" w:themeColor="text1"/>
          <w:sz w:val="21"/>
          <w:szCs w:val="21"/>
          <w14:textFill>
            <w14:solidFill>
              <w14:schemeClr w14:val="tx1"/>
            </w14:solidFill>
          </w14:textFill>
        </w:rPr>
        <w:t>。</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16.</w:t>
      </w:r>
      <w:r>
        <w:rPr>
          <w:rFonts w:hint="eastAsia" w:ascii="宋体" w:hAnsi="宋体"/>
          <w:color w:val="000000" w:themeColor="text1"/>
          <w:sz w:val="21"/>
          <w:szCs w:val="21"/>
          <w14:textFill>
            <w14:solidFill>
              <w14:schemeClr w14:val="tx1"/>
            </w14:solidFill>
          </w14:textFill>
        </w:rPr>
        <w:t xml:space="preserve"> </w:t>
      </w:r>
      <w:r>
        <w:rPr>
          <w:rFonts w:hint="eastAsia" w:ascii="宋体" w:hAnsi="宋体"/>
          <w:b/>
          <w:color w:val="000000" w:themeColor="text1"/>
          <w:sz w:val="21"/>
          <w:szCs w:val="21"/>
          <w14:textFill>
            <w14:solidFill>
              <w14:schemeClr w14:val="tx1"/>
            </w14:solidFill>
          </w14:textFill>
        </w:rPr>
        <w:t>投标人满足招标文件规定的资格证明文件</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16.1</w:t>
      </w:r>
      <w:r>
        <w:rPr>
          <w:rFonts w:hint="eastAsia" w:ascii="宋体" w:hAnsi="宋体"/>
          <w:color w:val="000000" w:themeColor="text1"/>
          <w:szCs w:val="21"/>
          <w14:textFill>
            <w14:solidFill>
              <w14:schemeClr w14:val="tx1"/>
            </w14:solidFill>
          </w14:textFill>
        </w:rPr>
        <w:t>投标人应提供资格证明材料，以证实其各项条件能满足本章第3.1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szCs w:val="21"/>
          <w14:textFill>
            <w14:solidFill>
              <w14:schemeClr w14:val="tx1"/>
            </w14:solidFill>
          </w14:textFill>
        </w:rPr>
        <w:t>规定的投标人资格条件要求。</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16.2投标人应当提交满足招标文件规定的业绩证明文件，该证明文件作为投标文件的一部分，业绩证明文件要求详见</w:t>
      </w:r>
      <w:r>
        <w:rPr>
          <w:rFonts w:hint="eastAsia" w:ascii="宋体" w:hAnsi="宋体" w:cs="宋体"/>
          <w:b/>
          <w:color w:val="000000" w:themeColor="text1"/>
          <w:kern w:val="0"/>
          <w:szCs w:val="21"/>
          <w14:textFill>
            <w14:solidFill>
              <w14:schemeClr w14:val="tx1"/>
            </w14:solidFill>
          </w14:textFill>
        </w:rPr>
        <w:t>投标须知前附表</w:t>
      </w:r>
      <w:r>
        <w:rPr>
          <w:rFonts w:hint="eastAsia" w:ascii="宋体" w:hAnsi="宋体" w:cs="宋体"/>
          <w:color w:val="000000" w:themeColor="text1"/>
          <w:kern w:val="0"/>
          <w:szCs w:val="21"/>
          <w14:textFill>
            <w14:solidFill>
              <w14:schemeClr w14:val="tx1"/>
            </w14:solidFill>
          </w14:textFill>
        </w:rPr>
        <w:t>。</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16.3投标单位在货物说明一览表中应当说明货物的品牌</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型号、规格参数、制造商及原产地等，交货时应出具原产地证明及出厂合格证明。</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16.4上述证明文件可以是文字资料、图纸和数据，并须提供：</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（1）货物主要性能和参数的详细说明； </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（2）对照招标文件技术规格，逐条说明所提供货物和服务对招标文件的技术规格条文的响应与偏离。对有具体参数要求的指标，投标单位应提供具体参数值；</w:t>
      </w:r>
    </w:p>
    <w:p>
      <w:pPr>
        <w:adjustRightInd w:val="0"/>
        <w:snapToGrid w:val="0"/>
        <w:spacing w:line="360" w:lineRule="auto"/>
        <w:rPr>
          <w:rFonts w:hint="default" w:ascii="宋体" w:hAnsi="宋体" w:eastAsia="宋体"/>
          <w:b/>
          <w:bCs/>
          <w:color w:val="000000" w:themeColor="text1"/>
          <w:szCs w:val="21"/>
          <w:lang w:val="en-US" w:eastAsia="zh-CN"/>
          <w14:textFill>
            <w14:solidFill>
              <w14:schemeClr w14:val="tx1"/>
            </w14:solidFill>
          </w14:textFill>
        </w:rPr>
      </w:pPr>
      <w:r>
        <w:rPr>
          <w:rFonts w:hint="eastAsia" w:ascii="宋体" w:hAnsi="宋体"/>
          <w:b/>
          <w:bCs/>
          <w:color w:val="000000" w:themeColor="text1"/>
          <w:szCs w:val="21"/>
          <w14:textFill>
            <w14:solidFill>
              <w14:schemeClr w14:val="tx1"/>
            </w14:solidFill>
          </w14:textFill>
        </w:rPr>
        <w:t>17.投标保证金</w:t>
      </w:r>
    </w:p>
    <w:p>
      <w:pPr>
        <w:pStyle w:val="26"/>
        <w:adjustRightInd w:val="0"/>
        <w:snapToGrid w:val="0"/>
        <w:spacing w:line="360" w:lineRule="auto"/>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17.1</w:t>
      </w:r>
      <w:r>
        <w:rPr>
          <w:rFonts w:hint="eastAsia" w:ascii="宋体" w:hAnsi="宋体"/>
          <w:b/>
          <w:color w:val="000000" w:themeColor="text1"/>
          <w:sz w:val="21"/>
          <w:szCs w:val="21"/>
          <w14:textFill>
            <w14:solidFill>
              <w14:schemeClr w14:val="tx1"/>
            </w14:solidFill>
          </w14:textFill>
        </w:rPr>
        <w:t>投标须知前附表</w:t>
      </w:r>
      <w:r>
        <w:rPr>
          <w:rFonts w:hint="eastAsia" w:ascii="宋体" w:hAnsi="宋体"/>
          <w:color w:val="000000" w:themeColor="text1"/>
          <w:sz w:val="21"/>
          <w:szCs w:val="21"/>
          <w14:textFill>
            <w14:solidFill>
              <w14:schemeClr w14:val="tx1"/>
            </w14:solidFill>
          </w14:textFill>
        </w:rPr>
        <w:t>规定交纳投标</w:t>
      </w:r>
      <w:r>
        <w:rPr>
          <w:rFonts w:hint="eastAsia" w:ascii="宋体" w:hAnsi="宋体"/>
          <w:bCs/>
          <w:color w:val="000000" w:themeColor="text1"/>
          <w:sz w:val="21"/>
          <w:szCs w:val="21"/>
          <w14:textFill>
            <w14:solidFill>
              <w14:schemeClr w14:val="tx1"/>
            </w14:solidFill>
          </w14:textFill>
        </w:rPr>
        <w:t>保证金的</w:t>
      </w:r>
      <w:r>
        <w:rPr>
          <w:rFonts w:hint="eastAsia" w:ascii="宋体" w:hAnsi="宋体"/>
          <w:color w:val="000000" w:themeColor="text1"/>
          <w:sz w:val="21"/>
          <w:szCs w:val="21"/>
          <w14:textFill>
            <w14:solidFill>
              <w14:schemeClr w14:val="tx1"/>
            </w14:solidFill>
          </w14:textFill>
        </w:rPr>
        <w:t>，应按</w:t>
      </w:r>
      <w:r>
        <w:rPr>
          <w:rFonts w:hint="eastAsia" w:ascii="宋体" w:hAnsi="宋体"/>
          <w:b/>
          <w:color w:val="000000" w:themeColor="text1"/>
          <w:sz w:val="21"/>
          <w:szCs w:val="21"/>
          <w14:textFill>
            <w14:solidFill>
              <w14:schemeClr w14:val="tx1"/>
            </w14:solidFill>
          </w14:textFill>
        </w:rPr>
        <w:t>投标须知前附表</w:t>
      </w:r>
      <w:r>
        <w:rPr>
          <w:rFonts w:hint="eastAsia" w:ascii="宋体" w:hAnsi="宋体"/>
          <w:color w:val="000000" w:themeColor="text1"/>
          <w:sz w:val="21"/>
          <w:szCs w:val="21"/>
          <w14:textFill>
            <w14:solidFill>
              <w14:schemeClr w14:val="tx1"/>
            </w14:solidFill>
          </w14:textFill>
        </w:rPr>
        <w:t>规定的</w:t>
      </w:r>
      <w:r>
        <w:rPr>
          <w:rFonts w:hint="eastAsia" w:ascii="宋体" w:hAnsi="宋体"/>
          <w:bCs/>
          <w:color w:val="000000" w:themeColor="text1"/>
          <w:sz w:val="21"/>
          <w:szCs w:val="21"/>
          <w14:textFill>
            <w14:solidFill>
              <w14:schemeClr w14:val="tx1"/>
            </w14:solidFill>
          </w14:textFill>
        </w:rPr>
        <w:t>形式、金额</w:t>
      </w:r>
      <w:r>
        <w:rPr>
          <w:rFonts w:hint="eastAsia" w:ascii="宋体" w:hAnsi="宋体"/>
          <w:bCs/>
          <w:color w:val="000000" w:themeColor="text1"/>
          <w:sz w:val="21"/>
          <w:szCs w:val="21"/>
          <w:lang w:eastAsia="zh-CN"/>
          <w14:textFill>
            <w14:solidFill>
              <w14:schemeClr w14:val="tx1"/>
            </w14:solidFill>
          </w14:textFill>
        </w:rPr>
        <w:t>数量</w:t>
      </w:r>
      <w:r>
        <w:rPr>
          <w:rFonts w:hint="eastAsia" w:ascii="宋体" w:hAnsi="宋体"/>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在本章第11.1</w:t>
      </w:r>
      <w:r>
        <w:rPr>
          <w:rFonts w:hint="eastAsia" w:ascii="宋体" w:hAnsi="宋体" w:cs="宋体"/>
          <w:color w:val="000000" w:themeColor="text1"/>
          <w:kern w:val="0"/>
          <w:sz w:val="21"/>
          <w:szCs w:val="21"/>
          <w:lang w:val="zh-CN"/>
          <w14:textFill>
            <w14:solidFill>
              <w14:schemeClr w14:val="tx1"/>
            </w14:solidFill>
          </w14:textFill>
        </w:rPr>
        <w:t>款</w:t>
      </w:r>
      <w:r>
        <w:rPr>
          <w:rFonts w:hint="eastAsia" w:ascii="宋体" w:hAnsi="宋体"/>
          <w:color w:val="000000" w:themeColor="text1"/>
          <w:sz w:val="21"/>
          <w:szCs w:val="21"/>
          <w14:textFill>
            <w14:solidFill>
              <w14:schemeClr w14:val="tx1"/>
            </w14:solidFill>
          </w14:textFill>
        </w:rPr>
        <w:t>规定的</w:t>
      </w:r>
      <w:r>
        <w:rPr>
          <w:rFonts w:hint="eastAsia" w:ascii="宋体" w:hAnsi="宋体" w:cs="宋体"/>
          <w:color w:val="000000" w:themeColor="text1"/>
          <w:kern w:val="0"/>
          <w:sz w:val="21"/>
          <w:szCs w:val="21"/>
          <w14:textFill>
            <w14:solidFill>
              <w14:schemeClr w14:val="tx1"/>
            </w14:solidFill>
          </w14:textFill>
        </w:rPr>
        <w:t>提交投标文件截止时间</w:t>
      </w:r>
      <w:r>
        <w:rPr>
          <w:rFonts w:hint="eastAsia" w:ascii="宋体" w:hAnsi="宋体"/>
          <w:color w:val="000000" w:themeColor="text1"/>
          <w:sz w:val="21"/>
          <w:szCs w:val="21"/>
          <w14:textFill>
            <w14:solidFill>
              <w14:schemeClr w14:val="tx1"/>
            </w14:solidFill>
          </w14:textFill>
        </w:rPr>
        <w:t>前，</w:t>
      </w:r>
      <w:r>
        <w:rPr>
          <w:rFonts w:hint="eastAsia" w:ascii="宋体" w:hAnsi="宋体"/>
          <w:bCs/>
          <w:color w:val="000000" w:themeColor="text1"/>
          <w:sz w:val="21"/>
          <w:szCs w:val="21"/>
          <w14:textFill>
            <w14:solidFill>
              <w14:schemeClr w14:val="tx1"/>
            </w14:solidFill>
          </w14:textFill>
        </w:rPr>
        <w:t>提交投标保证金</w:t>
      </w:r>
      <w:r>
        <w:rPr>
          <w:rFonts w:hint="eastAsia" w:ascii="宋体" w:hAnsi="宋体"/>
          <w:color w:val="000000" w:themeColor="text1"/>
          <w:sz w:val="21"/>
          <w:szCs w:val="21"/>
          <w14:textFill>
            <w14:solidFill>
              <w14:schemeClr w14:val="tx1"/>
            </w14:solidFill>
          </w14:textFill>
        </w:rPr>
        <w:t>。</w:t>
      </w:r>
    </w:p>
    <w:p>
      <w:pPr>
        <w:pStyle w:val="26"/>
        <w:adjustRightInd w:val="0"/>
        <w:snapToGrid w:val="0"/>
        <w:spacing w:line="360" w:lineRule="auto"/>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18.</w:t>
      </w:r>
      <w:r>
        <w:rPr>
          <w:rFonts w:hint="eastAsia" w:ascii="宋体" w:hAnsi="宋体"/>
          <w:color w:val="000000" w:themeColor="text1"/>
          <w:sz w:val="21"/>
          <w:szCs w:val="21"/>
          <w14:textFill>
            <w14:solidFill>
              <w14:schemeClr w14:val="tx1"/>
            </w14:solidFill>
          </w14:textFill>
        </w:rPr>
        <w:t xml:space="preserve"> </w:t>
      </w:r>
      <w:r>
        <w:rPr>
          <w:rFonts w:hint="eastAsia" w:ascii="宋体" w:hAnsi="宋体"/>
          <w:b/>
          <w:color w:val="000000" w:themeColor="text1"/>
          <w:sz w:val="21"/>
          <w:szCs w:val="21"/>
          <w14:textFill>
            <w14:solidFill>
              <w14:schemeClr w14:val="tx1"/>
            </w14:solidFill>
          </w14:textFill>
        </w:rPr>
        <w:t>投标文件有效期</w:t>
      </w:r>
    </w:p>
    <w:p>
      <w:pPr>
        <w:adjustRightInd w:val="0"/>
        <w:snapToGrid w:val="0"/>
        <w:spacing w:line="360" w:lineRule="auto"/>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14:textFill>
            <w14:solidFill>
              <w14:schemeClr w14:val="tx1"/>
            </w14:solidFill>
          </w14:textFill>
        </w:rPr>
        <w:t>18.1投标文件</w:t>
      </w:r>
      <w:r>
        <w:rPr>
          <w:rFonts w:hint="eastAsia" w:ascii="宋体" w:hAnsi="宋体"/>
          <w:color w:val="000000" w:themeColor="text1"/>
          <w:szCs w:val="21"/>
          <w14:textFill>
            <w14:solidFill>
              <w14:schemeClr w14:val="tx1"/>
            </w14:solidFill>
          </w14:textFill>
        </w:rPr>
        <w:t>有效期见</w:t>
      </w:r>
      <w:r>
        <w:rPr>
          <w:rFonts w:hint="eastAsia" w:ascii="宋体" w:hAnsi="宋体"/>
          <w:b/>
          <w:color w:val="000000" w:themeColor="text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，在此期间</w:t>
      </w:r>
      <w:r>
        <w:rPr>
          <w:rFonts w:hint="eastAsia" w:ascii="宋体" w:hAnsi="宋体"/>
          <w:color w:val="000000" w:themeColor="text1"/>
          <w14:textFill>
            <w14:solidFill>
              <w14:schemeClr w14:val="tx1"/>
            </w14:solidFill>
          </w14:textFill>
        </w:rPr>
        <w:t>投标</w:t>
      </w:r>
      <w:r>
        <w:rPr>
          <w:rFonts w:hint="eastAsia" w:ascii="宋体" w:hAnsi="宋体"/>
          <w:color w:val="000000" w:themeColor="text1"/>
          <w:szCs w:val="21"/>
          <w14:textFill>
            <w14:solidFill>
              <w14:schemeClr w14:val="tx1"/>
            </w14:solidFill>
          </w14:textFill>
        </w:rPr>
        <w:t>文件对投标人具有法律约束力，</w:t>
      </w:r>
      <w:r>
        <w:rPr>
          <w:rFonts w:hint="eastAsia" w:ascii="宋体" w:hAnsi="宋体" w:cs="Arial"/>
          <w:color w:val="000000" w:themeColor="text1"/>
          <w14:textFill>
            <w14:solidFill>
              <w14:schemeClr w14:val="tx1"/>
            </w14:solidFill>
          </w14:textFill>
        </w:rPr>
        <w:t>从</w:t>
      </w:r>
      <w:r>
        <w:rPr>
          <w:rFonts w:hint="eastAsia" w:ascii="宋体" w:hAnsi="宋体"/>
          <w:color w:val="000000" w:themeColor="text1"/>
          <w14:textFill>
            <w14:solidFill>
              <w14:schemeClr w14:val="tx1"/>
            </w14:solidFill>
          </w14:textFill>
        </w:rPr>
        <w:t>本章第11.1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14:textFill>
            <w14:solidFill>
              <w14:schemeClr w14:val="tx1"/>
            </w14:solidFill>
          </w14:textFill>
        </w:rPr>
        <w:t>规定</w:t>
      </w:r>
      <w:r>
        <w:rPr>
          <w:rFonts w:hint="eastAsia" w:ascii="宋体" w:hAnsi="宋体"/>
          <w:color w:val="000000" w:themeColor="text1"/>
          <w:highlight w:val="none"/>
          <w14:textFill>
            <w14:solidFill>
              <w14:schemeClr w14:val="tx1"/>
            </w14:solidFill>
          </w14:textFill>
        </w:rPr>
        <w:t>的</w:t>
      </w:r>
      <w:r>
        <w:rPr>
          <w:rFonts w:hint="eastAsia" w:ascii="宋体" w:hAnsi="宋体" w:cs="宋体"/>
          <w:color w:val="000000" w:themeColor="text1"/>
          <w:kern w:val="0"/>
          <w:szCs w:val="21"/>
          <w:highlight w:val="none"/>
          <w14:textFill>
            <w14:solidFill>
              <w14:schemeClr w14:val="tx1"/>
            </w14:solidFill>
          </w14:textFill>
        </w:rPr>
        <w:t>提交投标文件截止时间</w:t>
      </w:r>
      <w:r>
        <w:rPr>
          <w:rFonts w:hint="eastAsia" w:ascii="宋体" w:hAnsi="宋体"/>
          <w:color w:val="000000" w:themeColor="text1"/>
          <w:highlight w:val="none"/>
          <w14:textFill>
            <w14:solidFill>
              <w14:schemeClr w14:val="tx1"/>
            </w14:solidFill>
          </w14:textFill>
        </w:rPr>
        <w:t>之日</w:t>
      </w:r>
      <w:r>
        <w:rPr>
          <w:rFonts w:hint="eastAsia" w:ascii="宋体" w:hAnsi="宋体" w:cs="Arial"/>
          <w:color w:val="000000" w:themeColor="text1"/>
          <w:highlight w:val="none"/>
          <w14:textFill>
            <w14:solidFill>
              <w14:schemeClr w14:val="tx1"/>
            </w14:solidFill>
          </w14:textFill>
        </w:rPr>
        <w:t>起计算。</w:t>
      </w:r>
      <w:r>
        <w:rPr>
          <w:rFonts w:hint="eastAsia" w:ascii="宋体" w:hAnsi="宋体"/>
          <w:color w:val="000000" w:themeColor="text1"/>
          <w:highlight w:val="none"/>
          <w14:textFill>
            <w14:solidFill>
              <w14:schemeClr w14:val="tx1"/>
            </w14:solidFill>
          </w14:textFill>
        </w:rPr>
        <w:t>投标文件有效期不足的将被视为无效投标。</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19.投标文件的签署及规定</w:t>
      </w:r>
    </w:p>
    <w:p>
      <w:pPr>
        <w:spacing w:line="360" w:lineRule="exact"/>
        <w:ind w:firstLine="420" w:firstLineChars="200"/>
        <w:rPr>
          <w:rFonts w:hint="eastAsia" w:ascii="宋体" w:hAnsi="宋体"/>
          <w:color w:val="000000"/>
          <w:sz w:val="21"/>
          <w:szCs w:val="21"/>
        </w:rPr>
      </w:pPr>
      <w:r>
        <w:rPr>
          <w:rFonts w:hint="eastAsia" w:ascii="宋体" w:hAnsi="宋体"/>
          <w:color w:val="000000" w:themeColor="text1"/>
          <w:sz w:val="21"/>
          <w:szCs w:val="21"/>
          <w14:textFill>
            <w14:solidFill>
              <w14:schemeClr w14:val="tx1"/>
            </w14:solidFill>
          </w14:textFill>
        </w:rPr>
        <w:t>19.1</w:t>
      </w:r>
      <w:r>
        <w:rPr>
          <w:rFonts w:hint="eastAsia" w:ascii="宋体" w:hAnsi="宋体"/>
          <w:color w:val="000000"/>
          <w:sz w:val="21"/>
          <w:szCs w:val="21"/>
        </w:rPr>
        <w:t>采用电子签章或</w:t>
      </w:r>
      <w:r>
        <w:rPr>
          <w:rFonts w:hint="eastAsia" w:ascii="宋体" w:hAnsi="宋体"/>
          <w:color w:val="000000"/>
          <w:sz w:val="21"/>
          <w:szCs w:val="21"/>
          <w:lang w:eastAsia="zh-CN"/>
        </w:rPr>
        <w:t>签字及加盖</w:t>
      </w:r>
      <w:r>
        <w:rPr>
          <w:rFonts w:hint="eastAsia" w:ascii="宋体" w:hAnsi="宋体"/>
          <w:color w:val="000000"/>
          <w:sz w:val="21"/>
          <w:szCs w:val="21"/>
        </w:rPr>
        <w:t>公章</w:t>
      </w:r>
      <w:r>
        <w:rPr>
          <w:rFonts w:hint="eastAsia" w:ascii="宋体" w:hAnsi="宋体"/>
          <w:color w:val="000000"/>
          <w:sz w:val="21"/>
          <w:szCs w:val="21"/>
          <w:lang w:eastAsia="zh-CN"/>
        </w:rPr>
        <w:t>均具有同等效力</w:t>
      </w:r>
      <w:r>
        <w:rPr>
          <w:rFonts w:hint="eastAsia" w:ascii="宋体" w:hAnsi="宋体"/>
          <w:color w:val="000000"/>
          <w:sz w:val="21"/>
          <w:szCs w:val="21"/>
        </w:rPr>
        <w:t>。</w:t>
      </w:r>
    </w:p>
    <w:p>
      <w:pPr>
        <w:spacing w:line="36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eastAsia="宋体"/>
          <w:color w:val="000000"/>
          <w:sz w:val="21"/>
          <w:szCs w:val="21"/>
          <w:lang w:val="en-US" w:eastAsia="zh-CN"/>
        </w:rPr>
        <w:t xml:space="preserve">19.2 </w:t>
      </w:r>
      <w:r>
        <w:rPr>
          <w:rFonts w:hint="eastAsia" w:ascii="宋体" w:hAnsi="宋体" w:eastAsia="宋体"/>
          <w:b/>
          <w:bCs/>
          <w:color w:val="000000"/>
          <w:sz w:val="21"/>
          <w:szCs w:val="21"/>
          <w:highlight w:val="yellow"/>
          <w:lang w:val="en-US" w:eastAsia="zh-CN"/>
        </w:rPr>
        <w:t>个人名印章不能代替本人签字</w:t>
      </w:r>
      <w:r>
        <w:rPr>
          <w:rFonts w:hint="eastAsia" w:ascii="宋体" w:hAnsi="宋体" w:eastAsia="宋体"/>
          <w:color w:val="000000"/>
          <w:sz w:val="21"/>
          <w:szCs w:val="21"/>
          <w:lang w:val="en-US" w:eastAsia="zh-CN"/>
        </w:rPr>
        <w:t>，电子签名与本人签字具有同等效力。</w:t>
      </w:r>
    </w:p>
    <w:p>
      <w:pPr>
        <w:adjustRightInd w:val="0"/>
        <w:snapToGrid w:val="0"/>
        <w:spacing w:line="360" w:lineRule="auto"/>
        <w:outlineLvl w:val="2"/>
        <w:rPr>
          <w:rFonts w:ascii="宋体" w:hAnsi="宋体"/>
          <w:b/>
          <w:color w:val="000000" w:themeColor="text1"/>
          <w:sz w:val="24"/>
          <w14:textFill>
            <w14:solidFill>
              <w14:schemeClr w14:val="tx1"/>
            </w14:solidFill>
          </w14:textFill>
        </w:rPr>
      </w:pPr>
      <w:bookmarkStart w:id="23" w:name="_Toc474235947"/>
      <w:bookmarkStart w:id="24" w:name="_Toc420948012"/>
      <w:r>
        <w:rPr>
          <w:rFonts w:hint="eastAsia" w:ascii="宋体" w:hAnsi="宋体"/>
          <w:b/>
          <w:color w:val="000000" w:themeColor="text1"/>
          <w:sz w:val="24"/>
          <w14:textFill>
            <w14:solidFill>
              <w14:schemeClr w14:val="tx1"/>
            </w14:solidFill>
          </w14:textFill>
        </w:rPr>
        <w:t>四、投标文件的递交</w:t>
      </w:r>
      <w:bookmarkEnd w:id="23"/>
      <w:bookmarkEnd w:id="24"/>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20.</w:t>
      </w:r>
      <w:r>
        <w:rPr>
          <w:rFonts w:hint="eastAsia" w:ascii="宋体" w:hAnsi="宋体"/>
          <w:b/>
          <w:color w:val="000000" w:themeColor="text1"/>
          <w:szCs w:val="21"/>
          <w14:textFill>
            <w14:solidFill>
              <w14:schemeClr w14:val="tx1"/>
            </w14:solidFill>
          </w14:textFill>
        </w:rPr>
        <w:t>投标文件</w:t>
      </w:r>
      <w:r>
        <w:rPr>
          <w:rFonts w:hint="eastAsia" w:ascii="宋体" w:hAnsi="宋体"/>
          <w:b/>
          <w:bCs/>
          <w:color w:val="000000" w:themeColor="text1"/>
          <w:szCs w:val="21"/>
          <w14:textFill>
            <w14:solidFill>
              <w14:schemeClr w14:val="tx1"/>
            </w14:solidFill>
          </w14:textFill>
        </w:rPr>
        <w:t>的密封和标记</w:t>
      </w:r>
    </w:p>
    <w:p>
      <w:pPr>
        <w:adjustRightInd w:val="0"/>
        <w:snapToGrid w:val="0"/>
        <w:spacing w:line="360" w:lineRule="auto"/>
        <w:ind w:firstLine="420" w:firstLineChars="200"/>
        <w:jc w:val="lef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20.1“电子加密投标文件”的递交：在线上传递交。投标人应在投标截止时间前将“电子加密投标文件”成功上传递交至“政府采购云平台”，否则投标无效。</w:t>
      </w:r>
    </w:p>
    <w:p>
      <w:pPr>
        <w:autoSpaceDE w:val="0"/>
        <w:autoSpaceDN w:val="0"/>
        <w:snapToGrid w:val="0"/>
        <w:spacing w:line="360" w:lineRule="auto"/>
        <w:ind w:firstLine="42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20.2“电子加密投标文件”成功上传递交后，投标人可自行打印投标文件接收回执。</w:t>
      </w:r>
    </w:p>
    <w:p>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20.3投标文件如果未按上述规定上传，</w:t>
      </w:r>
      <w:r>
        <w:rPr>
          <w:rFonts w:hint="eastAsia" w:ascii="宋体" w:hAnsi="宋体"/>
          <w:b w:val="0"/>
          <w:bCs/>
          <w:color w:val="000000" w:themeColor="text1"/>
          <w:szCs w:val="21"/>
          <w14:textFill>
            <w14:solidFill>
              <w14:schemeClr w14:val="tx1"/>
            </w14:solidFill>
          </w14:textFill>
        </w:rPr>
        <w:t>采购人或采购代理机构将视为无效投标</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14:textFill>
            <w14:solidFill>
              <w14:schemeClr w14:val="tx1"/>
            </w14:solidFill>
          </w14:textFill>
        </w:rPr>
        <w:t>21.投标文件的</w:t>
      </w:r>
      <w:r>
        <w:rPr>
          <w:rFonts w:hint="eastAsia" w:ascii="宋体" w:hAnsi="宋体" w:cs="宋体"/>
          <w:b/>
          <w:color w:val="000000" w:themeColor="text1"/>
          <w:kern w:val="0"/>
          <w:szCs w:val="21"/>
          <w:lang w:val="zh-CN"/>
          <w14:textFill>
            <w14:solidFill>
              <w14:schemeClr w14:val="tx1"/>
            </w14:solidFill>
          </w14:textFill>
        </w:rPr>
        <w:t>补充、修改或者撤回</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21.1投标人</w:t>
      </w:r>
      <w:r>
        <w:rPr>
          <w:rFonts w:hint="eastAsia" w:ascii="宋体" w:hAnsi="宋体" w:cs="宋体"/>
          <w:color w:val="000000" w:themeColor="text1"/>
          <w:kern w:val="0"/>
          <w:sz w:val="21"/>
          <w:szCs w:val="21"/>
          <w:highlight w:val="none"/>
          <w14:textFill>
            <w14:solidFill>
              <w14:schemeClr w14:val="tx1"/>
            </w14:solidFill>
          </w14:textFill>
        </w:rPr>
        <w:t>在</w:t>
      </w:r>
      <w:r>
        <w:rPr>
          <w:rFonts w:hint="eastAsia" w:ascii="宋体" w:hAnsi="宋体"/>
          <w:color w:val="000000" w:themeColor="text1"/>
          <w:sz w:val="21"/>
          <w:szCs w:val="21"/>
          <w:highlight w:val="none"/>
          <w14:textFill>
            <w14:solidFill>
              <w14:schemeClr w14:val="tx1"/>
            </w14:solidFill>
          </w14:textFill>
        </w:rPr>
        <w:t>本章第11.1</w:t>
      </w:r>
      <w:r>
        <w:rPr>
          <w:rFonts w:hint="eastAsia" w:ascii="宋体" w:hAnsi="宋体" w:cs="宋体"/>
          <w:color w:val="000000" w:themeColor="text1"/>
          <w:kern w:val="0"/>
          <w:sz w:val="21"/>
          <w:szCs w:val="21"/>
          <w:highlight w:val="none"/>
          <w:lang w:val="zh-CN"/>
          <w14:textFill>
            <w14:solidFill>
              <w14:schemeClr w14:val="tx1"/>
            </w14:solidFill>
          </w14:textFill>
        </w:rPr>
        <w:t>款</w:t>
      </w:r>
      <w:r>
        <w:rPr>
          <w:rFonts w:hint="eastAsia" w:ascii="宋体" w:hAnsi="宋体"/>
          <w:color w:val="000000" w:themeColor="text1"/>
          <w:sz w:val="21"/>
          <w:szCs w:val="21"/>
          <w:highlight w:val="none"/>
          <w14:textFill>
            <w14:solidFill>
              <w14:schemeClr w14:val="tx1"/>
            </w14:solidFill>
          </w14:textFill>
        </w:rPr>
        <w:t>规定的</w:t>
      </w:r>
      <w:r>
        <w:rPr>
          <w:rFonts w:hint="eastAsia" w:ascii="宋体" w:hAnsi="宋体" w:cs="宋体"/>
          <w:color w:val="000000" w:themeColor="text1"/>
          <w:kern w:val="0"/>
          <w:sz w:val="21"/>
          <w:szCs w:val="21"/>
          <w:highlight w:val="none"/>
          <w14:textFill>
            <w14:solidFill>
              <w14:schemeClr w14:val="tx1"/>
            </w14:solidFill>
          </w14:textFill>
        </w:rPr>
        <w:t>提交投标文件截止时间前，可以对所提交的投标文件进行补充、修改或者撤回，并书面通知采购人、采购代理机构。</w:t>
      </w:r>
      <w:r>
        <w:rPr>
          <w:rFonts w:hint="eastAsia" w:ascii="宋体" w:hAnsi="宋体"/>
          <w:color w:val="000000" w:themeColor="text1"/>
          <w:sz w:val="21"/>
          <w:szCs w:val="21"/>
          <w:highlight w:val="none"/>
          <w14:textFill>
            <w14:solidFill>
              <w14:schemeClr w14:val="tx1"/>
            </w14:solidFill>
          </w14:textFill>
        </w:rPr>
        <w:t>该通</w:t>
      </w:r>
      <w:r>
        <w:rPr>
          <w:rFonts w:hint="eastAsia" w:ascii="宋体" w:hAnsi="宋体"/>
          <w:color w:val="000000" w:themeColor="text1"/>
          <w:sz w:val="21"/>
          <w:szCs w:val="21"/>
          <w14:textFill>
            <w14:solidFill>
              <w14:schemeClr w14:val="tx1"/>
            </w14:solidFill>
          </w14:textFill>
        </w:rPr>
        <w:t>知应有投标人法定代表人或其委托代理人签字。</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21.2</w:t>
      </w:r>
      <w:r>
        <w:rPr>
          <w:rFonts w:hint="eastAsia" w:ascii="宋体" w:hAnsi="宋体" w:cs="宋体"/>
          <w:color w:val="000000" w:themeColor="text1"/>
          <w:kern w:val="0"/>
          <w:sz w:val="21"/>
          <w:szCs w:val="21"/>
          <w:lang w:val="zh-CN"/>
          <w14:textFill>
            <w14:solidFill>
              <w14:schemeClr w14:val="tx1"/>
            </w14:solidFill>
          </w14:textFill>
        </w:rPr>
        <w:t>补充、修改的内容与投标文件不一致时，以补充、修改的内容为准。</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22.投标文件的递交与接收</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22.1 投标人应在</w:t>
      </w:r>
      <w:r>
        <w:rPr>
          <w:rFonts w:hint="eastAsia" w:ascii="宋体" w:hAnsi="宋体"/>
          <w:color w:val="000000" w:themeColor="text1"/>
          <w14:textFill>
            <w14:solidFill>
              <w14:schemeClr w14:val="tx1"/>
            </w14:solidFill>
          </w14:textFill>
        </w:rPr>
        <w:t>本章第11.1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14:textFill>
            <w14:solidFill>
              <w14:schemeClr w14:val="tx1"/>
            </w14:solidFill>
          </w14:textFill>
        </w:rPr>
        <w:t>规定的</w:t>
      </w:r>
      <w:r>
        <w:rPr>
          <w:rFonts w:hint="eastAsia" w:ascii="宋体" w:hAnsi="宋体" w:cs="宋体"/>
          <w:color w:val="000000" w:themeColor="text1"/>
          <w:kern w:val="0"/>
          <w:szCs w:val="21"/>
          <w14:textFill>
            <w14:solidFill>
              <w14:schemeClr w14:val="tx1"/>
            </w14:solidFill>
          </w14:textFill>
        </w:rPr>
        <w:t>提交投标文件截止时间</w:t>
      </w:r>
      <w:r>
        <w:rPr>
          <w:rFonts w:hint="eastAsia" w:ascii="宋体" w:hAnsi="宋体"/>
          <w:color w:val="000000" w:themeColor="text1"/>
          <w:szCs w:val="21"/>
          <w14:textFill>
            <w14:solidFill>
              <w14:schemeClr w14:val="tx1"/>
            </w14:solidFill>
          </w14:textFill>
        </w:rPr>
        <w:t>前，将投标文件送</w:t>
      </w:r>
      <w:r>
        <w:rPr>
          <w:rFonts w:hint="eastAsia" w:ascii="宋体" w:hAnsi="宋体" w:cs="Arial"/>
          <w:color w:val="000000" w:themeColor="text1"/>
          <w:szCs w:val="21"/>
          <w14:textFill>
            <w14:solidFill>
              <w14:schemeClr w14:val="tx1"/>
            </w14:solidFill>
          </w14:textFill>
        </w:rPr>
        <w:t>达（上传)</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中指定的地点（网址）。</w:t>
      </w:r>
      <w:r>
        <w:rPr>
          <w:rFonts w:hint="eastAsia" w:ascii="宋体" w:hAnsi="宋体" w:cs="宋体"/>
          <w:color w:val="000000" w:themeColor="text1"/>
          <w:kern w:val="0"/>
          <w14:textFill>
            <w14:solidFill>
              <w14:schemeClr w14:val="tx1"/>
            </w14:solidFill>
          </w14:textFill>
        </w:rPr>
        <w:t>在截止时间后送达的投标文件，采购人、采购代理机构应当拒收。</w:t>
      </w:r>
    </w:p>
    <w:p>
      <w:pPr>
        <w:pStyle w:val="42"/>
        <w:adjustRightInd w:val="0"/>
        <w:snapToGrid w:val="0"/>
        <w:spacing w:before="156" w:beforeLines="50" w:beforeAutospacing="0" w:after="0" w:afterAutospacing="0" w:line="360" w:lineRule="auto"/>
        <w:outlineLvl w:val="2"/>
        <w:rPr>
          <w:b/>
          <w:color w:val="000000" w:themeColor="text1"/>
          <w:sz w:val="21"/>
          <w:szCs w:val="21"/>
          <w14:textFill>
            <w14:solidFill>
              <w14:schemeClr w14:val="tx1"/>
            </w14:solidFill>
          </w14:textFill>
        </w:rPr>
      </w:pPr>
      <w:bookmarkStart w:id="25" w:name="_Toc474235948"/>
      <w:bookmarkStart w:id="26" w:name="_Toc420948013"/>
      <w:r>
        <w:rPr>
          <w:rFonts w:hint="eastAsia"/>
          <w:b/>
          <w:color w:val="000000" w:themeColor="text1"/>
          <w14:textFill>
            <w14:solidFill>
              <w14:schemeClr w14:val="tx1"/>
            </w14:solidFill>
          </w14:textFill>
        </w:rPr>
        <w:t>五、</w:t>
      </w:r>
      <w:r>
        <w:rPr>
          <w:rFonts w:cs="Times New Roman"/>
          <w:b/>
          <w:color w:val="000000" w:themeColor="text1"/>
          <w:kern w:val="2"/>
          <w14:textFill>
            <w14:solidFill>
              <w14:schemeClr w14:val="tx1"/>
            </w14:solidFill>
          </w14:textFill>
        </w:rPr>
        <w:t>开标和评标</w:t>
      </w:r>
      <w:bookmarkEnd w:id="25"/>
    </w:p>
    <w:p>
      <w:pPr>
        <w:pStyle w:val="26"/>
        <w:adjustRightInd w:val="0"/>
        <w:snapToGrid w:val="0"/>
        <w:spacing w:line="360" w:lineRule="auto"/>
        <w:rPr>
          <w:rFonts w:ascii="宋体" w:hAnsi="宋体"/>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23.开标</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23.1 采购组织机构将按照招标文件规定的时间通过“政府采购云平台”组织开标，所有投标人均应当准时在线参加。投标人自行承担因不参加在线开标而产生的不利后果。</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23.2 向各投标投标人发出电子加密投标文件【开始解密】通知，各投标投标人代表应当在接到解密通知后</w:t>
      </w:r>
      <w:r>
        <w:rPr>
          <w:rFonts w:hint="eastAsia" w:ascii="宋体" w:hAnsi="宋体"/>
          <w:b/>
          <w:bCs/>
          <w:color w:val="000000" w:themeColor="text1"/>
          <w:szCs w:val="21"/>
          <w14:textFill>
            <w14:solidFill>
              <w14:schemeClr w14:val="tx1"/>
            </w14:solidFill>
          </w14:textFill>
        </w:rPr>
        <w:t>30分钟内自行完成“电子加密投标文件”的在线解密，如未按时解密则视为无效投标。</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23.3 开启《开标一览表》，公布投标投标人报价，各投标投标人代表应当在</w:t>
      </w:r>
      <w:r>
        <w:rPr>
          <w:rFonts w:hint="eastAsia" w:ascii="宋体" w:hAnsi="宋体"/>
          <w:b/>
          <w:bCs/>
          <w:color w:val="000000" w:themeColor="text1"/>
          <w:szCs w:val="21"/>
          <w:lang w:val="en-US" w:eastAsia="zh-CN"/>
          <w14:textFill>
            <w14:solidFill>
              <w14:schemeClr w14:val="tx1"/>
            </w14:solidFill>
          </w14:textFill>
        </w:rPr>
        <w:t>1</w:t>
      </w:r>
      <w:r>
        <w:rPr>
          <w:rFonts w:hint="eastAsia" w:ascii="宋体" w:hAnsi="宋体"/>
          <w:b/>
          <w:bCs/>
          <w:color w:val="000000" w:themeColor="text1"/>
          <w:szCs w:val="21"/>
          <w14:textFill>
            <w14:solidFill>
              <w14:schemeClr w14:val="tx1"/>
            </w14:solidFill>
          </w14:textFill>
        </w:rPr>
        <w:t>0分钟内CA签字确认，如未按时签字确认视为默认投标报价。</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23.4 开启资格证明文件，由采购人在监督下进行资格审查；评审小组对通过资格审查的投标投标人进行符合性审查。</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23.5 通过电子交易平台公布无效投标人名单及导致无效的原因。</w:t>
      </w:r>
    </w:p>
    <w:p>
      <w:pPr>
        <w:autoSpaceDE w:val="0"/>
        <w:autoSpaceDN w:val="0"/>
        <w:adjustRightIn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23.6 </w:t>
      </w:r>
      <w:r>
        <w:rPr>
          <w:rFonts w:hint="eastAsia" w:ascii="宋体" w:hAnsi="宋体"/>
          <w:color w:val="000000" w:themeColor="text1"/>
          <w:szCs w:val="21"/>
          <w:highlight w:val="none"/>
          <w14:textFill>
            <w14:solidFill>
              <w14:schemeClr w14:val="tx1"/>
            </w14:solidFill>
          </w14:textFill>
        </w:rPr>
        <w:t>开启在线</w:t>
      </w:r>
      <w:r>
        <w:rPr>
          <w:rFonts w:hint="eastAsia" w:ascii="宋体" w:hAnsi="宋体"/>
          <w:color w:val="000000" w:themeColor="text1"/>
          <w:szCs w:val="21"/>
          <w:highlight w:val="none"/>
          <w:lang w:eastAsia="zh-CN"/>
          <w14:textFill>
            <w14:solidFill>
              <w14:schemeClr w14:val="tx1"/>
            </w14:solidFill>
          </w14:textFill>
        </w:rPr>
        <w:t>商务技术评审，评审专家独立对各投标人商务技术文件打分。</w:t>
      </w:r>
    </w:p>
    <w:p>
      <w:pPr>
        <w:autoSpaceDE w:val="0"/>
        <w:autoSpaceDN w:val="0"/>
        <w:adjustRightIn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23.7 报价符合性评审，报价评审汇总。</w:t>
      </w:r>
      <w:r>
        <w:rPr>
          <w:rFonts w:hint="eastAsia" w:ascii="宋体" w:hAnsi="宋体"/>
          <w:color w:val="000000" w:themeColor="text1"/>
          <w:szCs w:val="21"/>
          <w:highlight w:val="none"/>
          <w:lang w:eastAsia="zh-CN"/>
          <w14:textFill>
            <w14:solidFill>
              <w14:schemeClr w14:val="tx1"/>
            </w14:solidFill>
          </w14:textFill>
        </w:rPr>
        <w:t>对符合要求享受中小企业扶持政策的投标人报价，按照</w:t>
      </w:r>
      <w:r>
        <w:rPr>
          <w:rFonts w:hint="eastAsia" w:ascii="宋体" w:hAnsi="宋体"/>
          <w:color w:val="000000" w:themeColor="text1"/>
          <w:szCs w:val="21"/>
          <w:highlight w:val="none"/>
          <w14:textFill>
            <w14:solidFill>
              <w14:schemeClr w14:val="tx1"/>
            </w14:solidFill>
          </w14:textFill>
        </w:rPr>
        <w:t>《政府采购促进中小企业发展管理办法》（财库[2020]46号）文件</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中</w:t>
      </w:r>
      <w:r>
        <w:rPr>
          <w:rFonts w:hint="eastAsia" w:ascii="宋体" w:hAnsi="宋体"/>
          <w:color w:val="000000" w:themeColor="text1"/>
          <w:szCs w:val="21"/>
          <w:highlight w:val="none"/>
          <w14:textFill>
            <w14:solidFill>
              <w14:schemeClr w14:val="tx1"/>
            </w14:solidFill>
          </w14:textFill>
        </w:rPr>
        <w:t>的规定</w:t>
      </w:r>
      <w:r>
        <w:rPr>
          <w:rFonts w:hint="eastAsia" w:cs="Times New Roman"/>
          <w:color w:val="000000" w:themeColor="text1"/>
          <w:kern w:val="2"/>
          <w:sz w:val="21"/>
          <w:szCs w:val="21"/>
          <w:highlight w:val="none"/>
          <w:lang w:val="en-US" w:eastAsia="zh-CN"/>
          <w14:textFill>
            <w14:solidFill>
              <w14:schemeClr w14:val="tx1"/>
            </w14:solidFill>
          </w14:textFill>
        </w:rPr>
        <w:t>执行</w:t>
      </w:r>
      <w:r>
        <w:rPr>
          <w:rFonts w:hint="eastAsia" w:ascii="宋体" w:hAnsi="宋体"/>
          <w:color w:val="000000" w:themeColor="text1"/>
          <w:szCs w:val="21"/>
          <w:highlight w:val="none"/>
          <w14:textFill>
            <w14:solidFill>
              <w14:schemeClr w14:val="tx1"/>
            </w14:solidFill>
          </w14:textFill>
        </w:rPr>
        <w:t>。</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23.8</w:t>
      </w:r>
      <w:r>
        <w:rPr>
          <w:rFonts w:hint="eastAsia" w:ascii="宋体" w:hAnsi="宋体"/>
          <w:color w:val="000000" w:themeColor="text1"/>
          <w:szCs w:val="21"/>
          <w:lang w:eastAsia="zh-CN"/>
          <w14:textFill>
            <w14:solidFill>
              <w14:schemeClr w14:val="tx1"/>
            </w14:solidFill>
          </w14:textFill>
        </w:rPr>
        <w:t>评审结果汇总</w:t>
      </w:r>
      <w:r>
        <w:rPr>
          <w:rFonts w:hint="eastAsia" w:ascii="宋体" w:hAnsi="宋体"/>
          <w:color w:val="000000" w:themeColor="text1"/>
          <w:szCs w:val="21"/>
          <w14:textFill>
            <w14:solidFill>
              <w14:schemeClr w14:val="tx1"/>
            </w14:solidFill>
          </w14:textFill>
        </w:rPr>
        <w:t>，得出有效投标（响应）</w:t>
      </w:r>
      <w:r>
        <w:rPr>
          <w:rFonts w:hint="eastAsia" w:ascii="宋体" w:hAnsi="宋体"/>
          <w:color w:val="000000" w:themeColor="text1"/>
          <w:szCs w:val="21"/>
          <w:lang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评分排名。</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 xml:space="preserve"> </w:t>
      </w:r>
      <w:r>
        <w:rPr>
          <w:rFonts w:hint="eastAsia" w:ascii="宋体" w:hAnsi="宋体"/>
          <w:i w:val="0"/>
          <w:iCs w:val="0"/>
          <w:color w:val="000000" w:themeColor="text1"/>
          <w:sz w:val="21"/>
          <w:szCs w:val="21"/>
          <w14:textFill>
            <w14:solidFill>
              <w14:schemeClr w14:val="tx1"/>
            </w14:solidFill>
          </w14:textFill>
        </w:rPr>
        <w:t>推荐3个中标候选供应商名单，采购人在</w:t>
      </w:r>
      <w:r>
        <w:rPr>
          <w:rFonts w:hint="eastAsia" w:ascii="宋体" w:hAnsi="宋体"/>
          <w:i w:val="0"/>
          <w:iCs w:val="0"/>
          <w:color w:val="000000" w:themeColor="text1"/>
          <w:sz w:val="21"/>
          <w:szCs w:val="21"/>
          <w:lang w:val="en-US" w:eastAsia="zh-CN"/>
          <w14:textFill>
            <w14:solidFill>
              <w14:schemeClr w14:val="tx1"/>
            </w14:solidFill>
          </w14:textFill>
        </w:rPr>
        <w:t>5</w:t>
      </w:r>
      <w:r>
        <w:rPr>
          <w:rFonts w:hint="eastAsia" w:ascii="宋体" w:hAnsi="宋体"/>
          <w:i w:val="0"/>
          <w:iCs w:val="0"/>
          <w:color w:val="000000" w:themeColor="text1"/>
          <w:sz w:val="21"/>
          <w:szCs w:val="21"/>
          <w14:textFill>
            <w14:solidFill>
              <w14:schemeClr w14:val="tx1"/>
            </w14:solidFill>
          </w14:textFill>
        </w:rPr>
        <w:t>个工作日内确认中标供应商，公示结果。</w:t>
      </w:r>
    </w:p>
    <w:p>
      <w:pPr>
        <w:tabs>
          <w:tab w:val="left" w:pos="0"/>
        </w:tabs>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24.评标委员会</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24.1评标委员会由采购人代表和评审专家组成，成员人数应当为5人以上单数，其中评审专家不得少于成员总数的三分之二。</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采购项目符合下列情形之一的，评标委员会成员人数应当为7人以上单数：</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（一）采购预算金额在1000万元以上；</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（二）技术复杂；</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（三）社会影响较大。</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评审专家对本单位的采购项目只能作为采购人代表参与评标</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24.2评标委员会成员与投标人存在利害关系的，应当回避。</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25</w:t>
      </w:r>
      <w:r>
        <w:rPr>
          <w:rFonts w:hint="eastAsia" w:ascii="宋体" w:hAnsi="宋体"/>
          <w:b/>
          <w:color w:val="000000" w:themeColor="text1"/>
          <w:sz w:val="21"/>
          <w:szCs w:val="21"/>
          <w14:textFill>
            <w14:solidFill>
              <w14:schemeClr w14:val="tx1"/>
            </w14:solidFill>
          </w14:textFill>
        </w:rPr>
        <w:t>.评标</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25.1 评标委员会按照第三章“评标方法及标准”规定的评标方法、评审因素、标准和程序以及有关法律、法规及规章对投标文件进行评审。</w:t>
      </w:r>
    </w:p>
    <w:bookmarkEnd w:id="26"/>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26.确定中标人</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26.1</w:t>
      </w:r>
      <w:r>
        <w:rPr>
          <w:rFonts w:hint="eastAsia" w:ascii="宋体" w:hAnsi="宋体" w:eastAsia="宋体" w:cs="宋体"/>
          <w:color w:val="auto"/>
          <w:spacing w:val="-2"/>
          <w:sz w:val="21"/>
          <w:szCs w:val="21"/>
        </w:rPr>
        <w:t>本次采购项目的评审采用</w:t>
      </w:r>
      <w:r>
        <w:rPr>
          <w:rFonts w:hint="eastAsia" w:ascii="宋体" w:hAnsi="宋体" w:cs="宋体"/>
          <w:color w:val="auto"/>
          <w:spacing w:val="-2"/>
          <w:sz w:val="21"/>
          <w:szCs w:val="21"/>
          <w:lang w:eastAsia="zh-CN"/>
        </w:rPr>
        <w:t>综合评分法</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综合评分</w:t>
      </w:r>
      <w:r>
        <w:rPr>
          <w:rFonts w:hint="eastAsia" w:ascii="宋体" w:hAnsi="宋体" w:eastAsia="宋体" w:cs="宋体"/>
          <w:color w:val="auto"/>
          <w:spacing w:val="-2"/>
          <w:sz w:val="21"/>
          <w:szCs w:val="21"/>
          <w:lang w:eastAsia="zh-CN"/>
        </w:rPr>
        <w:t>法，是指投标文件满足招标文件全部实质性要求且按照评审因素的量化指标评审得分最高的供应商为中标候选人的评标方法。</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26.2采购代理机构应当在评审结束后2个工作日内将结果确认单送采购人确认。</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26.3采购人应当在收到评标报告后5个工作日内，从评标报告提出中标候选人中，将合同授予实质上响应采购文件要求，经评定认为具备履行合同义务能力、技术和商务条件都符合采购文件要求的、政策享受优惠后</w:t>
      </w:r>
      <w:r>
        <w:rPr>
          <w:rFonts w:hint="eastAsia" w:ascii="宋体" w:hAnsi="宋体" w:eastAsia="宋体" w:cs="宋体"/>
          <w:color w:val="auto"/>
          <w:spacing w:val="-2"/>
          <w:sz w:val="21"/>
          <w:szCs w:val="21"/>
        </w:rPr>
        <w:t>且</w:t>
      </w:r>
      <w:r>
        <w:rPr>
          <w:rFonts w:hint="eastAsia" w:ascii="宋体" w:hAnsi="宋体" w:cs="宋体"/>
          <w:color w:val="auto"/>
          <w:spacing w:val="-2"/>
          <w:sz w:val="21"/>
          <w:szCs w:val="21"/>
          <w:lang w:eastAsia="zh-CN"/>
        </w:rPr>
        <w:t>评分最高</w:t>
      </w:r>
      <w:r>
        <w:rPr>
          <w:rFonts w:hint="eastAsia" w:ascii="宋体" w:hAnsi="宋体" w:eastAsia="宋体" w:cs="宋体"/>
          <w:color w:val="auto"/>
          <w:spacing w:val="-2"/>
          <w:sz w:val="21"/>
          <w:szCs w:val="21"/>
        </w:rPr>
        <w:t>的原则确定成交供应商</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投标得分相同的</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按照报价由低到高的原则选择</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得分报价均相同的</w:t>
      </w:r>
      <w:r>
        <w:rPr>
          <w:rFonts w:hint="eastAsia" w:ascii="宋体" w:hAnsi="宋体"/>
          <w:color w:val="000000" w:themeColor="text1"/>
          <w:sz w:val="21"/>
          <w:szCs w:val="21"/>
          <w14:textFill>
            <w14:solidFill>
              <w14:schemeClr w14:val="tx1"/>
            </w14:solidFill>
          </w14:textFill>
        </w:rPr>
        <w:t>，采取随机抽取的方式确定），也可以书面授权评标委员会直接确定中标人。采购人在收到评标报告5个工作日内未按评标报告推荐的中标候选人顺序确定中标人，又不能说明合法理由的，视同按评标报告推荐的顺序确定排名第一的中标候选人为中标人。</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26.4由采购人确定中标人的，在确定中标人前，采购人将通过“信用中国”网站(www.creditchina.gov.cn)、中国政府采购网(www.ccgp.gov.cn)查询中标候选人的信用记录，采购人将确定未被列入失信被执行人、重大税收违法案件当事人名单、政府采购严重违法失信行为记录名单的，排名第一的中标候选人为中标人。</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27.招标终止</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27.1采购人、采购代理机构在发出招标公告后，除因重大变故采购任务取消情况外，不得擅自终止招标活动。终止招标的，应当及时在原公告发布媒体上发布终止公告，并将项目实施情况和采购任务取消原因报告本级财政部门。</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27.2 </w:t>
      </w:r>
      <w:r>
        <w:rPr>
          <w:rFonts w:hint="eastAsia" w:ascii="宋体" w:hAnsi="宋体"/>
          <w:bCs/>
          <w:color w:val="000000" w:themeColor="text1"/>
          <w:sz w:val="21"/>
          <w:szCs w:val="21"/>
          <w14:textFill>
            <w14:solidFill>
              <w14:schemeClr w14:val="tx1"/>
            </w14:solidFill>
          </w14:textFill>
        </w:rPr>
        <w:t>采购过程中出现以下情形，导致电子交易平台无法正常运行，或者无法保证电子交易的公平、公正和安全时，采购人（或代理机构）可中止电子交易活动：</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 xml:space="preserve">（1）电子交易平台发生故障而无法登录访问的； </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（2）电子交易平台应用或数据库出现错误，不能进行正常操作的；</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（3）电子交易平台发现严重安全漏洞，有潜在泄密危险的；</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（4）病毒发作导致不能进行正常操作的；</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（5）其他无法保证电子交易的公平、公正和安全的情况。</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出现上述规定情形，不影响采购公平、公正性的，采购人（或代理机构）可以待上述情形消除后继续组织电子交易活动，也可以决定某些环节以纸质形式进行。</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28.重新评审</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28.1除资格性审查认定错误和价格计算错误外，采购人或者采购代理机构不能以任何理由组织重新评审。采购人、采购代理机构发现评标委员会未按照招标文件规定的评标标准进行评审的，应当重新开展采购活动，并同时书面报告本级财政部门。</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29.纪律与保密事项</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29.1评标委员会成员以及与评标工作有关的人员不得泄露评审情况以及评标过程中获悉的国家秘密、商业秘密。</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29.2投标人不得与采购人、采购代理机构、其他投标人恶意串通；不得向采购人、采购代理机构或者评标委员会成员行贿或者提供其他不正当利益；不得提供虚假材料谋取中标；不得以任何方式干扰、影响采购工作。</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29.3</w:t>
      </w:r>
      <w:r>
        <w:rPr>
          <w:rFonts w:ascii="宋体" w:hAnsi="宋体"/>
          <w:color w:val="000000" w:themeColor="text1"/>
          <w:sz w:val="21"/>
          <w:szCs w:val="21"/>
          <w14:textFill>
            <w14:solidFill>
              <w14:schemeClr w14:val="tx1"/>
            </w14:solidFill>
          </w14:textFill>
        </w:rPr>
        <w:t>有下列情形之一的，属于恶意串通，中标无效，并依照《政府采购法》第七十七条的规定追究法律责任：</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（1）投标人直接或者间接从采购人、采购代理机构获得其他投标人的投标情况，并修改其投标文件的；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（2）采购人、采购代理机构授意投标人撤换、修改投标文件的；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（3）投标人之间协商技术方案、合同条款以及报价等投标文件实质性内容的；</w:t>
      </w:r>
    </w:p>
    <w:p>
      <w:pPr>
        <w:pStyle w:val="26"/>
        <w:adjustRightInd w:val="0"/>
        <w:snapToGrid w:val="0"/>
        <w:spacing w:line="360" w:lineRule="auto"/>
        <w:ind w:firstLine="420" w:firstLineChars="200"/>
        <w:rPr>
          <w:rFonts w:ascii="宋体" w:hAnsi="宋体"/>
          <w:color w:val="000000" w:themeColor="text1"/>
          <w:spacing w:val="-4"/>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w:t>
      </w:r>
      <w:r>
        <w:rPr>
          <w:rFonts w:hint="eastAsia" w:ascii="宋体" w:hAnsi="宋体"/>
          <w:color w:val="000000" w:themeColor="text1"/>
          <w:spacing w:val="-4"/>
          <w:sz w:val="21"/>
          <w:szCs w:val="21"/>
          <w14:textFill>
            <w14:solidFill>
              <w14:schemeClr w14:val="tx1"/>
            </w14:solidFill>
          </w14:textFill>
        </w:rPr>
        <w:t>属于同一集团、协会、商会等组织成员的投标人按照该组织要求协同参加政府采购活动的；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（5）投标人之间事先约定由某一特定投标人中标的；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（6）投标人之间商定部分投标人放弃提交投标文件或者退出招标或者放弃中标的；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（7）投标人与采购人、采购代理机构以及评标委员会成员之间、投标人相互之间，为谋求特定投标人中标或者排斥其他投标人的其他串通行为的。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8</w:t>
      </w:r>
      <w:r>
        <w:rPr>
          <w:rFonts w:ascii="宋体" w:hAnsi="宋体"/>
          <w:color w:val="000000" w:themeColor="text1"/>
          <w:sz w:val="21"/>
          <w:szCs w:val="21"/>
          <w14:textFill>
            <w14:solidFill>
              <w14:schemeClr w14:val="tx1"/>
            </w14:solidFill>
          </w14:textFill>
        </w:rPr>
        <w:t>）法律、行政法规或规章规定的其他串通行为。</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bookmarkStart w:id="27" w:name="_Toc420948014"/>
      <w:r>
        <w:rPr>
          <w:rFonts w:hint="eastAsia" w:ascii="宋体" w:hAnsi="宋体"/>
          <w:b/>
          <w:color w:val="000000" w:themeColor="text1"/>
          <w:sz w:val="21"/>
          <w:szCs w:val="21"/>
          <w14:textFill>
            <w14:solidFill>
              <w14:schemeClr w14:val="tx1"/>
            </w14:solidFill>
          </w14:textFill>
        </w:rPr>
        <w:t>六、中标结果信息公布与授予合同</w:t>
      </w:r>
      <w:bookmarkEnd w:id="27"/>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30.中标信息的公布</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30.1中标人确定后2个工作日内，采购人或者采购代理机构应将中标结果信息在投标须知前附表指定的媒体上（新疆政府采购网www.ccgp-xinjiang.gov.cn）公布。</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31.询问及质疑</w:t>
      </w:r>
    </w:p>
    <w:p>
      <w:pPr>
        <w:pStyle w:val="26"/>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31.1投标人对政府采购活动事项有疑问的，可以向采购人或采购代理机构提出询问。采购人或采购代理机构将在三个工作日内作出答复。</w:t>
      </w:r>
    </w:p>
    <w:p>
      <w:pPr>
        <w:pStyle w:val="26"/>
        <w:adjustRightInd w:val="0"/>
        <w:snapToGrid w:val="0"/>
        <w:spacing w:line="360" w:lineRule="auto"/>
        <w:ind w:firstLine="420" w:firstLineChars="200"/>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1）对采购需求、评分标准、特定资质要求等事项的询问及质疑，向采购人提出并由采购人答复。</w:t>
      </w:r>
    </w:p>
    <w:p>
      <w:pPr>
        <w:pStyle w:val="26"/>
        <w:adjustRightInd w:val="0"/>
        <w:snapToGrid w:val="0"/>
        <w:spacing w:line="360" w:lineRule="auto"/>
        <w:ind w:firstLine="420" w:firstLineChars="200"/>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（2）对有关政府采购法律法规及采购程序方面的询问及质疑，向采购代理机构提出并由代理机构答复。</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31.2投标人若认为招标文件、招标过程和中标结果使自己的权益受到损害，应当在下列时间内以书面形式向采购人或采购代理机构提出：</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（1）关于采购过程的质疑，应在采购程序环节结束之日起七个工作日内提出。</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（2）关于中标结果的质疑，应在中标结果信息发布后七个工作日内提出。</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31.3 投标人提出质疑的，应提供</w:t>
      </w:r>
      <w:r>
        <w:rPr>
          <w:rFonts w:hint="eastAsia" w:ascii="宋体" w:hAnsi="宋体"/>
          <w:color w:val="000000" w:themeColor="text1"/>
          <w:sz w:val="21"/>
          <w:szCs w:val="21"/>
          <w:lang w:eastAsia="zh-CN"/>
          <w14:textFill>
            <w14:solidFill>
              <w14:schemeClr w14:val="tx1"/>
            </w14:solidFill>
          </w14:textFill>
        </w:rPr>
        <w:t>委托书及</w:t>
      </w:r>
      <w:r>
        <w:rPr>
          <w:rFonts w:hint="eastAsia" w:ascii="宋体" w:hAnsi="宋体"/>
          <w:color w:val="000000" w:themeColor="text1"/>
          <w:sz w:val="21"/>
          <w:szCs w:val="21"/>
          <w14:textFill>
            <w14:solidFill>
              <w14:schemeClr w14:val="tx1"/>
            </w14:solidFill>
          </w14:textFill>
        </w:rPr>
        <w:t>质疑书原件。采购人或采购代理机构应当向质疑投标人签收回执。</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31.4 质疑书应当包括下列内容：依照新疆政府采购网http://www.ccgp-xinjiang.gov.cn/ </w:t>
      </w:r>
      <w:r>
        <w:rPr>
          <w:rFonts w:hint="eastAsia" w:ascii="宋体" w:hAnsi="宋体"/>
          <w:color w:val="000000" w:themeColor="text1"/>
          <w:sz w:val="21"/>
          <w:szCs w:val="21"/>
          <w:lang w:eastAsia="zh-CN"/>
          <w14:textFill>
            <w14:solidFill>
              <w14:schemeClr w14:val="tx1"/>
            </w14:solidFill>
          </w14:textFill>
        </w:rPr>
        <w:t>下载专区</w:t>
      </w:r>
      <w:r>
        <w:rPr>
          <w:rFonts w:hint="eastAsia" w:ascii="宋体" w:hAnsi="宋体"/>
          <w:color w:val="000000" w:themeColor="text1"/>
          <w:sz w:val="21"/>
          <w:szCs w:val="21"/>
          <w14:textFill>
            <w14:solidFill>
              <w14:schemeClr w14:val="tx1"/>
            </w14:solidFill>
          </w14:textFill>
        </w:rPr>
        <w:t>栏目中的模板）</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（1）质疑投标人的名称、地址及有效联系方式；</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（2）质疑事项；</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（3）事实依据及相关证明材料；</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（4）相关请求及主张。</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31.5 质疑书应当由投标人法定代表人或其授权的代理人签字并加盖投标人单位章，质疑书由授权的代理人签字的应附投标人法定代表人委托授权书。</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31.6 采购人或采购代理机构将在签收回执之日起七个工作日内作出书面答复，并以书面形式通知质疑投标人和其他有关的投标人。</w:t>
      </w:r>
    </w:p>
    <w:p>
      <w:pPr>
        <w:pStyle w:val="26"/>
        <w:adjustRightInd w:val="0"/>
        <w:snapToGrid w:val="0"/>
        <w:spacing w:line="360" w:lineRule="auto"/>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31.7投标人对采购人或采购代理机构的答复不满意，或采购人或采购代理机构未在规定的期限作出答复的，可在答复期满后十五个工作日内，按政府采购相关法律法规规章的规定及程序，向同级财政部门提出投诉。</w:t>
      </w:r>
    </w:p>
    <w:p>
      <w:pPr>
        <w:pStyle w:val="26"/>
        <w:adjustRightInd w:val="0"/>
        <w:snapToGrid w:val="0"/>
        <w:spacing w:line="360" w:lineRule="auto"/>
        <w:rPr>
          <w:rFonts w:hint="eastAsia" w:ascii="宋体" w:hAnsi="宋体" w:eastAsia="宋体"/>
          <w:b/>
          <w:color w:val="000000" w:themeColor="text1"/>
          <w:sz w:val="21"/>
          <w:szCs w:val="21"/>
          <w:lang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32.中标通知</w:t>
      </w:r>
      <w:r>
        <w:rPr>
          <w:rFonts w:hint="eastAsia" w:ascii="宋体" w:hAnsi="宋体"/>
          <w:b/>
          <w:color w:val="000000" w:themeColor="text1"/>
          <w:sz w:val="21"/>
          <w:szCs w:val="21"/>
          <w:lang w:eastAsia="zh-CN"/>
          <w14:textFill>
            <w14:solidFill>
              <w14:schemeClr w14:val="tx1"/>
            </w14:solidFill>
          </w14:textFill>
        </w:rPr>
        <w:t>及履约保证金</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32.1中标人确定后，采购人或采购代理机构将以书面形式向中标人发出中标通知书。中标通知书对采购人和中标人具有同等法律效力。</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32.2 中标通知书是合同文件的组成部分。</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32.3 中标人</w:t>
      </w:r>
      <w:r>
        <w:rPr>
          <w:rFonts w:hint="eastAsia" w:ascii="宋体" w:hAnsi="宋体"/>
          <w:b w:val="0"/>
          <w:bCs w:val="0"/>
          <w:color w:val="000000" w:themeColor="text1"/>
          <w:sz w:val="21"/>
          <w:szCs w:val="21"/>
          <w14:textFill>
            <w14:solidFill>
              <w14:schemeClr w14:val="tx1"/>
            </w14:solidFill>
          </w14:textFill>
        </w:rPr>
        <w:t>应按照</w:t>
      </w:r>
      <w:r>
        <w:rPr>
          <w:rFonts w:hint="eastAsia" w:ascii="宋体" w:hAnsi="宋体"/>
          <w:b w:val="0"/>
          <w:bCs w:val="0"/>
          <w:color w:val="000000" w:themeColor="text1"/>
          <w:sz w:val="21"/>
          <w:szCs w:val="21"/>
          <w:lang w:eastAsia="zh-CN"/>
          <w14:textFill>
            <w14:solidFill>
              <w14:schemeClr w14:val="tx1"/>
            </w14:solidFill>
          </w14:textFill>
        </w:rPr>
        <w:t>合同约定</w:t>
      </w:r>
      <w:r>
        <w:rPr>
          <w:rFonts w:hint="eastAsia" w:ascii="宋体" w:hAnsi="宋体"/>
          <w:b w:val="0"/>
          <w:bCs w:val="0"/>
          <w:color w:val="000000" w:themeColor="text1"/>
          <w:sz w:val="21"/>
          <w:szCs w:val="21"/>
          <w14:textFill>
            <w14:solidFill>
              <w14:schemeClr w14:val="tx1"/>
            </w14:solidFill>
          </w14:textFill>
        </w:rPr>
        <w:t>，向采</w:t>
      </w:r>
      <w:r>
        <w:rPr>
          <w:rFonts w:hint="eastAsia" w:ascii="宋体" w:hAnsi="宋体"/>
          <w:color w:val="000000" w:themeColor="text1"/>
          <w:sz w:val="21"/>
          <w:szCs w:val="21"/>
          <w14:textFill>
            <w14:solidFill>
              <w14:schemeClr w14:val="tx1"/>
            </w14:solidFill>
          </w14:textFill>
        </w:rPr>
        <w:t>购人提交履约保证金。</w:t>
      </w:r>
    </w:p>
    <w:p>
      <w:pPr>
        <w:pStyle w:val="26"/>
        <w:adjustRightInd w:val="0"/>
        <w:snapToGrid w:val="0"/>
        <w:spacing w:line="360" w:lineRule="auto"/>
        <w:ind w:firstLine="420" w:firstLineChars="200"/>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32.4 中标人没有按照约定提交履约保证金的，</w:t>
      </w:r>
      <w:r>
        <w:rPr>
          <w:rFonts w:hint="eastAsia" w:ascii="Times New Roman" w:hAnsi="Times New Roman" w:eastAsia="宋体" w:cs="Times New Roman"/>
          <w:kern w:val="2"/>
          <w:sz w:val="21"/>
          <w:szCs w:val="24"/>
          <w:lang w:val="en-US" w:eastAsia="zh-CN" w:bidi="ar-SA"/>
        </w:rPr>
        <w:t>视同拒绝履行合同，采购人有权解除合同并依法对</w:t>
      </w:r>
      <w:r>
        <w:rPr>
          <w:rFonts w:hint="eastAsia" w:ascii="Times New Roman" w:hAnsi="Times New Roman" w:cs="Times New Roman"/>
          <w:kern w:val="2"/>
          <w:sz w:val="21"/>
          <w:szCs w:val="24"/>
          <w:lang w:val="en-US" w:eastAsia="zh-CN" w:bidi="ar-SA"/>
        </w:rPr>
        <w:t>本</w:t>
      </w:r>
      <w:r>
        <w:rPr>
          <w:rFonts w:hint="eastAsia" w:ascii="Times New Roman" w:hAnsi="Times New Roman" w:eastAsia="宋体" w:cs="Times New Roman"/>
          <w:kern w:val="2"/>
          <w:sz w:val="21"/>
          <w:szCs w:val="24"/>
          <w:lang w:val="en-US" w:eastAsia="zh-CN" w:bidi="ar-SA"/>
        </w:rPr>
        <w:t>项目进行</w:t>
      </w:r>
      <w:r>
        <w:rPr>
          <w:rFonts w:hint="eastAsia" w:ascii="Times New Roman" w:hAnsi="Times New Roman" w:cs="Times New Roman"/>
          <w:kern w:val="2"/>
          <w:sz w:val="21"/>
          <w:szCs w:val="24"/>
          <w:lang w:val="en-US" w:eastAsia="zh-CN" w:bidi="ar-SA"/>
        </w:rPr>
        <w:t>后续</w:t>
      </w:r>
      <w:r>
        <w:rPr>
          <w:rFonts w:hint="eastAsia" w:ascii="Times New Roman" w:hAnsi="Times New Roman" w:eastAsia="宋体" w:cs="Times New Roman"/>
          <w:kern w:val="2"/>
          <w:sz w:val="21"/>
          <w:szCs w:val="24"/>
          <w:lang w:val="en-US" w:eastAsia="zh-CN" w:bidi="ar-SA"/>
        </w:rPr>
        <w:t>处理。</w:t>
      </w:r>
    </w:p>
    <w:p>
      <w:pPr>
        <w:pStyle w:val="26"/>
        <w:adjustRightInd w:val="0"/>
        <w:snapToGrid w:val="0"/>
        <w:spacing w:line="360" w:lineRule="auto"/>
        <w:ind w:firstLine="420" w:firstLineChars="200"/>
        <w:rPr>
          <w:rFonts w:hint="eastAsia" w:ascii="宋体" w:hAnsi="宋体"/>
          <w:bCs/>
          <w:sz w:val="21"/>
          <w:szCs w:val="21"/>
          <w:highlight w:val="none"/>
        </w:rPr>
      </w:pPr>
      <w:r>
        <w:rPr>
          <w:rFonts w:hint="eastAsia" w:ascii="宋体" w:hAnsi="宋体"/>
          <w:color w:val="000000" w:themeColor="text1"/>
          <w:sz w:val="21"/>
          <w:szCs w:val="21"/>
          <w14:textFill>
            <w14:solidFill>
              <w14:schemeClr w14:val="tx1"/>
            </w14:solidFill>
          </w14:textFill>
        </w:rPr>
        <w:t>32.</w:t>
      </w:r>
      <w:r>
        <w:rPr>
          <w:rFonts w:hint="eastAsia" w:ascii="宋体" w:hAnsi="宋体"/>
          <w:sz w:val="21"/>
          <w:szCs w:val="21"/>
        </w:rPr>
        <w:t>5</w:t>
      </w:r>
      <w:r>
        <w:rPr>
          <w:rFonts w:hint="eastAsia" w:ascii="宋体" w:hAnsi="宋体"/>
          <w:sz w:val="21"/>
          <w:szCs w:val="21"/>
          <w:lang w:val="en-US" w:eastAsia="zh-CN"/>
        </w:rPr>
        <w:t xml:space="preserve"> </w:t>
      </w:r>
      <w:r>
        <w:rPr>
          <w:rFonts w:hint="eastAsia" w:ascii="宋体" w:hAnsi="宋体"/>
          <w:bCs/>
          <w:sz w:val="21"/>
          <w:szCs w:val="21"/>
          <w:highlight w:val="none"/>
        </w:rPr>
        <w:t>履约保证金可以以履约保函（保险）形式提供，</w:t>
      </w:r>
      <w:r>
        <w:rPr>
          <w:rFonts w:hint="eastAsia" w:ascii="宋体" w:hAnsi="宋体"/>
          <w:b/>
          <w:bCs w:val="0"/>
          <w:sz w:val="21"/>
          <w:szCs w:val="21"/>
          <w:highlight w:val="none"/>
        </w:rPr>
        <w:t>建议优先使用政采云电子保函</w:t>
      </w:r>
      <w:r>
        <w:rPr>
          <w:rFonts w:hint="eastAsia" w:ascii="宋体" w:hAnsi="宋体"/>
          <w:bCs/>
          <w:sz w:val="21"/>
          <w:szCs w:val="21"/>
          <w:highlight w:val="none"/>
        </w:rPr>
        <w:t>，具体办理流程详见新疆政府采购网《新疆维吾尔自治区政府采购电子保函工作方案》。供应商以电子保函形式缴纳履约保证金的，可通过“新疆政府采购网”的“电子保函”模块申请购买：</w:t>
      </w:r>
    </w:p>
    <w:p>
      <w:pPr>
        <w:pStyle w:val="26"/>
        <w:adjustRightInd w:val="0"/>
        <w:snapToGrid w:val="0"/>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rPr>
        <w:t>直达链接（电子保函）：</w:t>
      </w:r>
    </w:p>
    <w:p>
      <w:pPr>
        <w:pStyle w:val="26"/>
        <w:adjustRightInd w:val="0"/>
        <w:snapToGrid w:val="0"/>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rPr>
        <w:t>https://jinrong.zcygov.cn/luban/finance/letter/xinjiang?pageModelFlag=650000</w:t>
      </w:r>
    </w:p>
    <w:p>
      <w:pPr>
        <w:pStyle w:val="26"/>
        <w:adjustRightInd w:val="0"/>
        <w:snapToGrid w:val="0"/>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rPr>
        <w:t>电子保函咨询电话：0991-2661159</w:t>
      </w:r>
    </w:p>
    <w:p>
      <w:pPr>
        <w:pStyle w:val="26"/>
        <w:adjustRightInd w:val="0"/>
        <w:snapToGrid w:val="0"/>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lang w:val="en-US" w:eastAsia="zh-CN"/>
        </w:rPr>
        <w:t>32.6</w:t>
      </w:r>
      <w:r>
        <w:rPr>
          <w:rFonts w:hint="eastAsia" w:ascii="宋体" w:hAnsi="宋体"/>
          <w:bCs/>
          <w:sz w:val="21"/>
          <w:szCs w:val="21"/>
          <w:highlight w:val="none"/>
        </w:rPr>
        <w:t xml:space="preserve"> </w:t>
      </w:r>
      <w:r>
        <w:rPr>
          <w:rFonts w:hint="eastAsia" w:ascii="宋体" w:hAnsi="宋体"/>
          <w:sz w:val="21"/>
          <w:szCs w:val="21"/>
          <w:lang w:val="en-US" w:eastAsia="zh-CN"/>
        </w:rPr>
        <w:t>项目验收合格后采购单位</w:t>
      </w:r>
      <w:r>
        <w:rPr>
          <w:rFonts w:hint="eastAsia" w:ascii="宋体" w:hAnsi="宋体"/>
          <w:color w:val="000000" w:themeColor="text1"/>
          <w:sz w:val="21"/>
          <w:szCs w:val="21"/>
          <w14:textFill>
            <w14:solidFill>
              <w14:schemeClr w14:val="tx1"/>
            </w14:solidFill>
          </w14:textFill>
        </w:rPr>
        <w:t>按</w:t>
      </w:r>
      <w:r>
        <w:rPr>
          <w:rFonts w:hint="eastAsia" w:ascii="宋体" w:hAnsi="宋体"/>
          <w:b w:val="0"/>
          <w:bCs w:val="0"/>
          <w:color w:val="000000" w:themeColor="text1"/>
          <w:sz w:val="21"/>
          <w:szCs w:val="21"/>
          <w14:textFill>
            <w14:solidFill>
              <w14:schemeClr w14:val="tx1"/>
            </w14:solidFill>
          </w14:textFill>
        </w:rPr>
        <w:t>照</w:t>
      </w:r>
      <w:r>
        <w:rPr>
          <w:rFonts w:hint="eastAsia" w:ascii="宋体" w:hAnsi="宋体"/>
          <w:b w:val="0"/>
          <w:bCs w:val="0"/>
          <w:color w:val="000000" w:themeColor="text1"/>
          <w:sz w:val="21"/>
          <w:szCs w:val="21"/>
          <w:lang w:eastAsia="zh-CN"/>
          <w14:textFill>
            <w14:solidFill>
              <w14:schemeClr w14:val="tx1"/>
            </w14:solidFill>
          </w14:textFill>
        </w:rPr>
        <w:t>合同约定</w:t>
      </w:r>
      <w:r>
        <w:rPr>
          <w:rFonts w:hint="eastAsia" w:ascii="宋体" w:hAnsi="宋体"/>
          <w:b w:val="0"/>
          <w:bCs w:val="0"/>
          <w:sz w:val="21"/>
          <w:szCs w:val="21"/>
          <w:lang w:val="en-US" w:eastAsia="zh-CN"/>
        </w:rPr>
        <w:t>退还履约保</w:t>
      </w:r>
      <w:r>
        <w:rPr>
          <w:rFonts w:hint="eastAsia" w:ascii="宋体" w:hAnsi="宋体"/>
          <w:sz w:val="21"/>
          <w:szCs w:val="21"/>
          <w:lang w:val="en-US" w:eastAsia="zh-CN"/>
        </w:rPr>
        <w:t>证金。</w:t>
      </w:r>
    </w:p>
    <w:p>
      <w:pPr>
        <w:pStyle w:val="26"/>
        <w:adjustRightInd w:val="0"/>
        <w:snapToGrid w:val="0"/>
        <w:spacing w:line="360" w:lineRule="auto"/>
        <w:ind w:firstLine="420" w:firstLineChars="200"/>
        <w:jc w:val="left"/>
        <w:rPr>
          <w:rFonts w:hint="eastAsia" w:ascii="Times New Roman" w:hAnsi="Times New Roman" w:eastAsia="宋体" w:cs="Times New Roman"/>
          <w:kern w:val="2"/>
          <w:sz w:val="21"/>
          <w:szCs w:val="24"/>
          <w:lang w:val="en-US" w:eastAsia="zh-CN" w:bidi="ar-SA"/>
        </w:rPr>
      </w:pPr>
      <w:r>
        <w:rPr>
          <w:rFonts w:hint="eastAsia" w:ascii="宋体" w:hAnsi="宋体"/>
          <w:bCs/>
          <w:sz w:val="21"/>
          <w:szCs w:val="21"/>
          <w:highlight w:val="none"/>
          <w:lang w:val="en-US" w:eastAsia="zh-CN"/>
        </w:rPr>
        <w:t xml:space="preserve">32.7 </w:t>
      </w:r>
      <w:r>
        <w:rPr>
          <w:rFonts w:hint="eastAsia" w:ascii="Times New Roman" w:hAnsi="Times New Roman" w:eastAsia="宋体" w:cs="Times New Roman"/>
          <w:kern w:val="2"/>
          <w:sz w:val="21"/>
          <w:szCs w:val="24"/>
          <w:lang w:val="en-US" w:eastAsia="zh-CN" w:bidi="ar-SA"/>
        </w:rPr>
        <w:t>如中标人未按照招标文件要求交付使用期的时间内交货，将按照合同约定从支付款项中扣除。</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33.签订合同</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33.1 招标文件、中标人的投标文件及其补充的投标文件等均为签订政府采购合同的依据。</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33.2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33.3 中标人应当按照合同约定履行义务。中标人不得向他人转让中标项目，也不得将中标项目分包后分别向他人转让。</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33.4 中标人有下列情形之一的，责令限期改正，情节严重的，列入不良行为记录名单，在1至3年内禁止参加政府采购活动，并予以通报：</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（一）中标后无正当理由不与采购人签订合同的；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（二）未按照招标文件确定的事项签订政府采购合同，或者与采购人另行订立背离合同实质性内容的协议的；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（三）拒绝履行合同义务的；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（四）违反法律、规章、规范性文件规定的。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33.5采购人应当自政府采购合同签订之日起2个工作日内，将政府采购合同在省级以上人民政府财政部门指定的媒体上公告，但政府采购合同中涉及国家秘密、商业秘密的内容除外。</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34. 政府采购合同履行中数量的变更</w:t>
      </w:r>
    </w:p>
    <w:p>
      <w:pPr>
        <w:pStyle w:val="26"/>
        <w:adjustRightInd w:val="0"/>
        <w:snapToGrid w:val="0"/>
        <w:spacing w:line="360" w:lineRule="auto"/>
        <w:ind w:firstLine="420" w:firstLineChars="200"/>
        <w:jc w:val="left"/>
        <w:rPr>
          <w:rFonts w:ascii="宋体" w:hAnsi="宋体"/>
          <w:color w:val="000000" w:themeColor="text1"/>
          <w:sz w:val="21"/>
          <w:szCs w:val="21"/>
          <w14:textFill>
            <w14:solidFill>
              <w14:schemeClr w14:val="tx1"/>
            </w14:solidFill>
          </w14:textFill>
        </w:rPr>
        <w:sectPr>
          <w:pgSz w:w="11906" w:h="16838"/>
          <w:pgMar w:top="1474" w:right="1531" w:bottom="1474" w:left="1531" w:header="851" w:footer="992" w:gutter="0"/>
          <w:cols w:space="720" w:num="1"/>
          <w:docGrid w:type="lines" w:linePitch="312" w:charSpace="0"/>
        </w:sectPr>
      </w:pPr>
      <w:r>
        <w:rPr>
          <w:rFonts w:hint="eastAsia" w:ascii="宋体" w:hAnsi="宋体"/>
          <w:color w:val="000000" w:themeColor="text1"/>
          <w:sz w:val="21"/>
          <w:szCs w:val="21"/>
          <w14:textFill>
            <w14:solidFill>
              <w14:schemeClr w14:val="tx1"/>
            </w14:solidFill>
          </w14:textFill>
        </w:rPr>
        <w:t>34.1政府采购合同履行中，采购人需追加与合同标的相同的货物服务的，在不改变合同其他条款的前提下，可以与中标人协商签订补充合同，但所有补充合同的采购金额不得超过原合同采购金额的百分之十。</w:t>
      </w:r>
    </w:p>
    <w:p>
      <w:pPr>
        <w:pStyle w:val="26"/>
        <w:adjustRightInd w:val="0"/>
        <w:snapToGrid w:val="0"/>
        <w:spacing w:line="360" w:lineRule="auto"/>
        <w:jc w:val="center"/>
        <w:rPr>
          <w:rFonts w:ascii="宋体" w:hAnsi="宋体"/>
          <w:b/>
          <w:bCs/>
          <w:color w:val="000000" w:themeColor="text1"/>
          <w:sz w:val="32"/>
          <w:szCs w:val="32"/>
          <w14:textFill>
            <w14:solidFill>
              <w14:schemeClr w14:val="tx1"/>
            </w14:solidFill>
          </w14:textFill>
        </w:rPr>
      </w:pPr>
      <w:bookmarkStart w:id="28" w:name="_Toc474235949"/>
      <w:bookmarkStart w:id="29" w:name="_Toc430715133"/>
      <w:bookmarkStart w:id="30" w:name="_Toc420948016"/>
      <w:r>
        <w:rPr>
          <w:rFonts w:hint="eastAsia" w:ascii="宋体" w:hAnsi="宋体"/>
          <w:b/>
          <w:bCs/>
          <w:color w:val="000000" w:themeColor="text1"/>
          <w:sz w:val="32"/>
          <w:szCs w:val="32"/>
          <w14:textFill>
            <w14:solidFill>
              <w14:schemeClr w14:val="tx1"/>
            </w14:solidFill>
          </w14:textFill>
        </w:rPr>
        <w:t>第三章 评标方法及标准</w:t>
      </w:r>
      <w:bookmarkEnd w:id="28"/>
      <w:bookmarkEnd w:id="29"/>
    </w:p>
    <w:p>
      <w:pPr>
        <w:adjustRightInd w:val="0"/>
        <w:snapToGrid w:val="0"/>
        <w:spacing w:before="156" w:beforeLines="50" w:line="360" w:lineRule="auto"/>
        <w:ind w:right="-109" w:rightChars="-52"/>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一、资格审核</w:t>
      </w:r>
    </w:p>
    <w:p>
      <w:pPr>
        <w:adjustRightInd w:val="0"/>
        <w:snapToGrid w:val="0"/>
        <w:spacing w:before="156" w:beforeLines="50" w:line="360" w:lineRule="auto"/>
        <w:ind w:right="-109" w:rightChars="-52"/>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1.评标前投标文件的初步</w:t>
      </w:r>
      <w:r>
        <w:rPr>
          <w:rFonts w:hint="eastAsia" w:ascii="宋体" w:hAnsi="宋体"/>
          <w:b/>
          <w:color w:val="000000" w:themeColor="text1"/>
          <w:szCs w:val="21"/>
          <w14:textFill>
            <w14:solidFill>
              <w14:schemeClr w14:val="tx1"/>
            </w14:solidFill>
          </w14:textFill>
        </w:rPr>
        <w:t>审核</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1.1初步</w:t>
      </w:r>
      <w:r>
        <w:rPr>
          <w:rFonts w:hint="eastAsia" w:ascii="宋体" w:hAnsi="宋体"/>
          <w:color w:val="000000" w:themeColor="text1"/>
          <w:szCs w:val="21"/>
          <w14:textFill>
            <w14:solidFill>
              <w14:schemeClr w14:val="tx1"/>
            </w14:solidFill>
          </w14:textFill>
        </w:rPr>
        <w:t>评审为资格性检查和符合性检查。</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1.1.1 资格性检查。根据法律法规和招标文件的规定，对投标文件中的资格证明、投标保证金等进行审查，以确定投标人是否具备投标资格。</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1.1.2 符合性检查。依据招标文件的规定，从投标文件的有效性、完整性和对招标文件的响应程度进行审查，以确定是否对招标文件的实质性要求作出响应。采购人决定投标文件的响应性只根据投标文件真实无误的内容，而不依据外部的证据，但投标文件有不真实、不正确的内容时除外。</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1.1.3投标人不得通过修正或撤销不合要求的偏离从而使其投标成为实质上响应的投标。</w:t>
      </w:r>
    </w:p>
    <w:tbl>
      <w:tblPr>
        <w:tblStyle w:val="46"/>
        <w:tblW w:w="88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3824"/>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Align w:val="center"/>
          </w:tcPr>
          <w:p>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w:t>
            </w:r>
          </w:p>
        </w:tc>
        <w:tc>
          <w:tcPr>
            <w:tcW w:w="3824" w:type="dxa"/>
            <w:vAlign w:val="center"/>
          </w:tcPr>
          <w:p>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审核</w:t>
            </w:r>
            <w:r>
              <w:rPr>
                <w:rFonts w:ascii="宋体" w:hAnsi="宋体"/>
                <w:b/>
                <w:color w:val="000000" w:themeColor="text1"/>
                <w:szCs w:val="21"/>
                <w14:textFill>
                  <w14:solidFill>
                    <w14:schemeClr w14:val="tx1"/>
                  </w14:solidFill>
                </w14:textFill>
              </w:rPr>
              <w:t>因素</w:t>
            </w:r>
          </w:p>
        </w:tc>
        <w:tc>
          <w:tcPr>
            <w:tcW w:w="4012" w:type="dxa"/>
            <w:vAlign w:val="center"/>
          </w:tcPr>
          <w:p>
            <w:pPr>
              <w:spacing w:line="400" w:lineRule="exact"/>
              <w:jc w:val="center"/>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b/>
                <w:color w:val="000000" w:themeColor="text1"/>
                <w:szCs w:val="21"/>
                <w:lang w:eastAsia="zh-CN"/>
                <w14:textFill>
                  <w14:solidFill>
                    <w14:schemeClr w14:val="tx1"/>
                  </w14:solidFill>
                </w14:textFill>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restart"/>
            <w:vAlign w:val="center"/>
          </w:tcPr>
          <w:p>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资格性检查</w:t>
            </w: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eastAsia="zh-CN"/>
              </w:rPr>
            </w:pPr>
            <w:r>
              <w:rPr>
                <w:rFonts w:hint="eastAsia" w:ascii="宋体" w:hAnsi="宋体" w:eastAsia="宋体" w:cs="宋体"/>
                <w:color w:val="auto"/>
                <w:spacing w:val="-2"/>
                <w:sz w:val="20"/>
                <w:szCs w:val="20"/>
              </w:rPr>
              <w:t>1、营业执照；</w:t>
            </w:r>
          </w:p>
        </w:tc>
        <w:tc>
          <w:tcPr>
            <w:tcW w:w="4012" w:type="dxa"/>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eastAsia="宋体"/>
                <w:color w:val="000000" w:themeColor="text1"/>
                <w:lang w:eastAsia="zh-CN"/>
                <w14:textFill>
                  <w14:solidFill>
                    <w14:schemeClr w14:val="tx1"/>
                  </w14:solidFill>
                </w14:textFill>
              </w:rPr>
            </w:pPr>
            <w:r>
              <w:rPr>
                <w:rFonts w:hint="eastAsia" w:ascii="宋体" w:hAnsi="宋体" w:eastAsia="宋体" w:cs="宋体"/>
                <w:color w:val="auto"/>
                <w:spacing w:val="-2"/>
                <w:sz w:val="20"/>
                <w:szCs w:val="20"/>
              </w:rPr>
              <w:t>投标单位是事业单位的，应提供其有效的“事业单位法人证书”；投标单位是非企业专业服务机构的，应提供其有效的执业许可证；投标单位是个体工商户的，应提供其有效的“个体工商户营业执照”</w:t>
            </w:r>
            <w:r>
              <w:rPr>
                <w:rFonts w:hint="eastAsia" w:ascii="宋体" w:hAnsi="宋体" w:cs="宋体"/>
                <w:color w:val="auto"/>
                <w:spacing w:val="-2"/>
                <w:sz w:val="20"/>
                <w:szCs w:val="20"/>
                <w:lang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spacing w:line="400" w:lineRule="exact"/>
              <w:jc w:val="center"/>
              <w:rPr>
                <w:rFonts w:ascii="宋体" w:hAnsi="宋体"/>
                <w:b/>
                <w:color w:val="000000" w:themeColor="text1"/>
                <w:szCs w:val="2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2、法人提供法定代表人身份证明，或委托代理人提供授权委托书；</w:t>
            </w:r>
          </w:p>
        </w:tc>
        <w:tc>
          <w:tcPr>
            <w:tcW w:w="4012" w:type="dxa"/>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color w:val="000000" w:themeColor="text1"/>
                <w:szCs w:val="21"/>
                <w14:textFill>
                  <w14:solidFill>
                    <w14:schemeClr w14:val="tx1"/>
                  </w14:solidFill>
                </w14:textFill>
              </w:rPr>
            </w:pPr>
            <w:r>
              <w:rPr>
                <w:rFonts w:hint="eastAsia" w:ascii="宋体" w:hAnsi="宋体" w:eastAsia="宋体" w:cs="宋体"/>
                <w:color w:val="auto"/>
                <w:spacing w:val="-2"/>
                <w:sz w:val="20"/>
                <w:szCs w:val="20"/>
              </w:rPr>
              <w:t>内容清晰，</w:t>
            </w:r>
            <w:r>
              <w:rPr>
                <w:rFonts w:hint="eastAsia" w:ascii="宋体" w:hAnsi="宋体" w:cs="宋体"/>
                <w:color w:val="auto"/>
                <w:spacing w:val="-2"/>
                <w:sz w:val="20"/>
                <w:szCs w:val="20"/>
                <w:lang w:eastAsia="zh-CN"/>
              </w:rPr>
              <w:t>委托内容满足招投标需求，</w:t>
            </w:r>
            <w:r>
              <w:rPr>
                <w:rFonts w:hint="eastAsia" w:ascii="宋体" w:hAnsi="宋体" w:eastAsia="宋体" w:cs="宋体"/>
                <w:color w:val="auto"/>
                <w:spacing w:val="-2"/>
                <w:sz w:val="20"/>
                <w:szCs w:val="20"/>
              </w:rPr>
              <w:t>盖章及签字（如有）齐全；仅需提供任意一项。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spacing w:line="400" w:lineRule="exact"/>
              <w:jc w:val="center"/>
              <w:rPr>
                <w:rFonts w:ascii="宋体" w:hAnsi="宋体"/>
                <w:b/>
                <w:color w:val="000000" w:themeColor="text1"/>
                <w:szCs w:val="2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3、具有良好的商业信誉和健全的财务会计制度， </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rPr>
              <w:t>提供《政府采购供应商信用承诺函》；</w:t>
            </w:r>
          </w:p>
        </w:tc>
        <w:tc>
          <w:tcPr>
            <w:tcW w:w="401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1.条款投标供应商可自行选择是否提供承诺函，若不提供本承诺函，应按《中华人民共和国政府采购法》《中华人民共和国政府采购法实施条例》及采购文件资格要求提供相应的证明材料。（①无重大违法记录声明书、②202</w:t>
            </w:r>
            <w:r>
              <w:rPr>
                <w:rFonts w:hint="eastAsia" w:ascii="宋体" w:hAnsi="宋体" w:cs="宋体"/>
                <w:color w:val="auto"/>
                <w:spacing w:val="-2"/>
                <w:sz w:val="20"/>
                <w:szCs w:val="20"/>
                <w:lang w:val="en-US" w:eastAsia="zh-CN"/>
              </w:rPr>
              <w:t>3</w:t>
            </w:r>
            <w:r>
              <w:rPr>
                <w:rFonts w:hint="eastAsia" w:ascii="宋体" w:hAnsi="宋体" w:eastAsia="宋体" w:cs="宋体"/>
                <w:color w:val="auto"/>
                <w:spacing w:val="-2"/>
                <w:sz w:val="20"/>
                <w:szCs w:val="20"/>
              </w:rPr>
              <w:t>年度财务审计报告或近六个月内银行出具的资信证明、③税务部门出具的2024年任一个月完税证明、④社保机构出具的投标单位给员工近三个月社保缴纳证明、⑤具备履行合同所必需的设备和专业技术能力的承诺、⑥在“信用中国”（www.creditchina.gov.cn）和中国政府采购网（www.ccgp.gov.cn）网站上未被列入失信被执行人、重大税收违法案件当事人名单以及政府采购严重违法失信行为记录名单（</w:t>
            </w:r>
            <w:r>
              <w:rPr>
                <w:rFonts w:hint="eastAsia" w:ascii="宋体" w:hAnsi="宋体" w:cs="宋体"/>
                <w:color w:val="auto"/>
                <w:spacing w:val="-2"/>
                <w:sz w:val="20"/>
                <w:szCs w:val="20"/>
                <w:lang w:eastAsia="zh-CN"/>
              </w:rPr>
              <w:t>提供</w:t>
            </w:r>
            <w:r>
              <w:rPr>
                <w:rFonts w:hint="eastAsia" w:ascii="宋体" w:hAnsi="宋体" w:eastAsia="宋体" w:cs="宋体"/>
                <w:color w:val="auto"/>
                <w:spacing w:val="-2"/>
                <w:sz w:val="20"/>
                <w:szCs w:val="20"/>
              </w:rPr>
              <w:t>网页打印件须自招标文件发布之日起至投标截止时间从上述网站中通过浏览器打印</w:t>
            </w:r>
            <w:r>
              <w:rPr>
                <w:rFonts w:hint="eastAsia" w:ascii="宋体" w:hAnsi="宋体" w:eastAsia="宋体" w:cs="宋体"/>
                <w:b/>
                <w:bCs/>
                <w:color w:val="auto"/>
                <w:spacing w:val="-2"/>
                <w:sz w:val="20"/>
                <w:szCs w:val="20"/>
              </w:rPr>
              <w:t>提交打印扫描件</w:t>
            </w:r>
            <w:r>
              <w:rPr>
                <w:rFonts w:hint="eastAsia" w:ascii="宋体" w:hAnsi="宋体" w:eastAsia="宋体" w:cs="宋体"/>
                <w:color w:val="auto"/>
                <w:spacing w:val="-2"/>
                <w:sz w:val="20"/>
                <w:szCs w:val="20"/>
              </w:rPr>
              <w:t>）</w:t>
            </w:r>
            <w:r>
              <w:rPr>
                <w:rFonts w:hint="eastAsia" w:ascii="宋体" w:hAnsi="宋体" w:cs="宋体"/>
                <w:color w:val="auto"/>
                <w:spacing w:val="-2"/>
                <w:sz w:val="20"/>
                <w:szCs w:val="20"/>
                <w:lang w:eastAsia="zh-CN"/>
              </w:rPr>
              <w:t>）</w:t>
            </w:r>
            <w:r>
              <w:rPr>
                <w:rFonts w:hint="eastAsia" w:ascii="宋体" w:hAnsi="宋体" w:eastAsia="宋体" w:cs="宋体"/>
                <w:color w:val="auto"/>
                <w:spacing w:val="-2"/>
                <w:sz w:val="20"/>
                <w:szCs w:val="20"/>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2.提供本承诺函投标人须在投标文件中按采购文件规定的模板提供承诺函，未按照</w:t>
            </w:r>
            <w:r>
              <w:rPr>
                <w:rFonts w:hint="eastAsia" w:ascii="宋体" w:hAnsi="宋体" w:cs="宋体"/>
                <w:color w:val="auto"/>
                <w:spacing w:val="-2"/>
                <w:sz w:val="20"/>
                <w:szCs w:val="20"/>
                <w:lang w:eastAsia="zh-CN"/>
              </w:rPr>
              <w:t>采购文件</w:t>
            </w:r>
            <w:r>
              <w:rPr>
                <w:rFonts w:hint="eastAsia" w:ascii="宋体" w:hAnsi="宋体" w:eastAsia="宋体" w:cs="宋体"/>
                <w:color w:val="auto"/>
                <w:spacing w:val="-2"/>
                <w:sz w:val="20"/>
                <w:szCs w:val="20"/>
              </w:rPr>
              <w:t xml:space="preserve">模版承诺内容提供视为选择不提供承诺函。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color w:val="000000" w:themeColor="text1"/>
                <w14:textFill>
                  <w14:solidFill>
                    <w14:schemeClr w14:val="tx1"/>
                  </w14:solidFill>
                </w14:textFill>
              </w:rPr>
            </w:pPr>
            <w:r>
              <w:rPr>
                <w:rFonts w:hint="eastAsia" w:ascii="宋体" w:hAnsi="宋体" w:eastAsia="宋体" w:cs="宋体"/>
                <w:color w:val="auto"/>
                <w:spacing w:val="-2"/>
                <w:sz w:val="20"/>
                <w:szCs w:val="20"/>
              </w:rPr>
              <w:t>3.提交材料盖章及签字（如有）齐全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adjustRightInd w:val="0"/>
              <w:snapToGrid w:val="0"/>
              <w:spacing w:line="400" w:lineRule="exact"/>
              <w:jc w:val="left"/>
              <w:rPr>
                <w:color w:val="000000" w:themeColor="text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4、具有履行合同所必需的设备和专业技术能力，</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rPr>
              <w:t>提供《政府采购供应商信用承诺函》；</w:t>
            </w:r>
          </w:p>
        </w:tc>
        <w:tc>
          <w:tcPr>
            <w:tcW w:w="40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adjustRightInd w:val="0"/>
              <w:snapToGrid w:val="0"/>
              <w:spacing w:line="400" w:lineRule="exact"/>
              <w:jc w:val="left"/>
              <w:rPr>
                <w:color w:val="000000" w:themeColor="text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5、有依法缴纳税收和社会保障资金的良好记录，</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rPr>
              <w:t>提供《政府采购供应商信用承诺函》；</w:t>
            </w:r>
          </w:p>
        </w:tc>
        <w:tc>
          <w:tcPr>
            <w:tcW w:w="40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adjustRightInd w:val="0"/>
              <w:snapToGrid w:val="0"/>
              <w:spacing w:line="400" w:lineRule="exact"/>
              <w:jc w:val="left"/>
              <w:rPr>
                <w:color w:val="000000" w:themeColor="text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6、无重大违法记录，</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rPr>
              <w:t>提供《政府采购供应商信用承诺函》；</w:t>
            </w:r>
          </w:p>
        </w:tc>
        <w:tc>
          <w:tcPr>
            <w:tcW w:w="40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adjustRightInd w:val="0"/>
              <w:snapToGrid w:val="0"/>
              <w:spacing w:line="400" w:lineRule="exact"/>
              <w:jc w:val="left"/>
              <w:rPr>
                <w:color w:val="000000" w:themeColor="text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7、“信用中国”（www.creditchina.gov.cn）和中国政府采购网（www.ccgp.gov.cn）网站上未被列入失信被执行人、重大税收违法案件当事人名单以及政府采购严重违法失信行为记录名单；</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lang w:val="en-US" w:eastAsia="zh-CN"/>
              </w:rPr>
              <w:t>提供《政府采购供应商信用承诺函》</w:t>
            </w:r>
            <w:r>
              <w:rPr>
                <w:rFonts w:hint="eastAsia" w:ascii="宋体" w:hAnsi="宋体" w:eastAsia="宋体" w:cs="宋体"/>
                <w:color w:val="auto"/>
                <w:spacing w:val="-2"/>
                <w:sz w:val="20"/>
                <w:szCs w:val="20"/>
              </w:rPr>
              <w:t>；</w:t>
            </w:r>
          </w:p>
        </w:tc>
        <w:tc>
          <w:tcPr>
            <w:tcW w:w="40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restart"/>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符合性检查</w:t>
            </w: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1.投标文件按照按招标文件要求上传、解密、签署电子章的；</w:t>
            </w:r>
          </w:p>
        </w:tc>
        <w:tc>
          <w:tcPr>
            <w:tcW w:w="40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lang w:eastAsia="zh-CN"/>
              </w:rPr>
              <w:t>未按要求</w:t>
            </w:r>
            <w:r>
              <w:rPr>
                <w:rFonts w:hint="eastAsia" w:ascii="宋体" w:hAnsi="宋体" w:eastAsia="宋体" w:cs="宋体"/>
                <w:color w:val="auto"/>
                <w:spacing w:val="-2"/>
                <w:sz w:val="20"/>
                <w:szCs w:val="20"/>
              </w:rPr>
              <w:t>上传、解密、签署电子章的</w:t>
            </w:r>
            <w:r>
              <w:rPr>
                <w:rFonts w:hint="eastAsia" w:ascii="宋体" w:hAnsi="宋体" w:eastAsia="宋体" w:cs="宋体"/>
                <w:color w:val="auto"/>
                <w:spacing w:val="-2"/>
                <w:sz w:val="20"/>
                <w:szCs w:val="20"/>
                <w:lang w:eastAsia="zh-CN"/>
              </w:rPr>
              <w:t>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2"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2.</w:t>
            </w:r>
            <w:r>
              <w:rPr>
                <w:rFonts w:hint="eastAsia" w:ascii="宋体" w:hAnsi="宋体" w:cs="宋体"/>
                <w:color w:val="auto"/>
                <w:spacing w:val="-2"/>
                <w:sz w:val="20"/>
                <w:szCs w:val="20"/>
                <w:lang w:eastAsia="zh-CN"/>
              </w:rPr>
              <w:t>提供</w:t>
            </w:r>
            <w:r>
              <w:rPr>
                <w:rFonts w:hint="eastAsia" w:ascii="宋体" w:hAnsi="宋体" w:eastAsia="宋体" w:cs="宋体"/>
                <w:color w:val="auto"/>
                <w:spacing w:val="-2"/>
                <w:sz w:val="20"/>
                <w:szCs w:val="20"/>
                <w:lang w:eastAsia="zh-CN"/>
              </w:rPr>
              <w:t>《</w:t>
            </w:r>
            <w:r>
              <w:rPr>
                <w:rFonts w:hint="eastAsia" w:ascii="宋体" w:hAnsi="宋体" w:eastAsia="宋体" w:cs="宋体"/>
                <w:color w:val="auto"/>
                <w:spacing w:val="-2"/>
                <w:sz w:val="20"/>
                <w:szCs w:val="20"/>
              </w:rPr>
              <w:t>开标一览表</w:t>
            </w:r>
            <w:r>
              <w:rPr>
                <w:rFonts w:hint="eastAsia" w:ascii="宋体" w:hAnsi="宋体" w:eastAsia="宋体" w:cs="宋体"/>
                <w:color w:val="auto"/>
                <w:spacing w:val="-2"/>
                <w:sz w:val="20"/>
                <w:szCs w:val="20"/>
                <w:lang w:eastAsia="zh-CN"/>
              </w:rPr>
              <w:t>》</w:t>
            </w:r>
          </w:p>
        </w:tc>
        <w:tc>
          <w:tcPr>
            <w:tcW w:w="40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《开标一览表》内报价具有唯一性，且报价未超过招标文件中规定的预算单价或预算总金额</w:t>
            </w:r>
            <w:r>
              <w:rPr>
                <w:rFonts w:hint="eastAsia" w:ascii="宋体" w:hAnsi="宋体" w:cs="宋体"/>
                <w:color w:val="auto"/>
                <w:spacing w:val="-2"/>
                <w:sz w:val="20"/>
                <w:szCs w:val="20"/>
                <w:lang w:eastAsia="zh-CN"/>
              </w:rPr>
              <w:t>；</w:t>
            </w:r>
            <w:r>
              <w:rPr>
                <w:rFonts w:hint="eastAsia" w:ascii="宋体" w:hAnsi="宋体"/>
                <w:b w:val="0"/>
                <w:bCs/>
                <w:color w:val="auto"/>
                <w:sz w:val="18"/>
                <w:szCs w:val="18"/>
                <w:vertAlign w:val="baseline"/>
                <w:lang w:val="en-US" w:eastAsia="zh-CN"/>
              </w:rPr>
              <w:t>核心产品品牌具有唯一性</w:t>
            </w:r>
            <w:r>
              <w:rPr>
                <w:rFonts w:hint="eastAsia" w:ascii="宋体" w:hAnsi="宋体" w:eastAsia="宋体" w:cs="宋体"/>
                <w:color w:val="auto"/>
                <w:spacing w:val="-2"/>
                <w:sz w:val="20"/>
                <w:szCs w:val="20"/>
              </w:rPr>
              <w:t>；履约期限及质保期符合招标文件要求。</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提交材料盖章及签字（如有）齐全。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3.投标有效期满足招标文件要求</w:t>
            </w:r>
            <w:r>
              <w:rPr>
                <w:rFonts w:hint="eastAsia" w:ascii="宋体" w:hAnsi="宋体" w:eastAsia="宋体" w:cs="宋体"/>
                <w:color w:val="auto"/>
                <w:spacing w:val="-2"/>
                <w:sz w:val="20"/>
                <w:szCs w:val="20"/>
                <w:lang w:eastAsia="zh-CN"/>
              </w:rPr>
              <w:t>；</w:t>
            </w:r>
          </w:p>
        </w:tc>
        <w:tc>
          <w:tcPr>
            <w:tcW w:w="40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color w:val="auto"/>
                <w:spacing w:val="-2"/>
                <w:sz w:val="20"/>
                <w:szCs w:val="20"/>
              </w:rPr>
            </w:pPr>
            <w:r>
              <w:rPr>
                <w:rFonts w:hint="eastAsia" w:ascii="宋体" w:hAnsi="宋体"/>
                <w:b w:val="0"/>
                <w:bCs/>
                <w:color w:val="auto"/>
                <w:sz w:val="18"/>
                <w:szCs w:val="18"/>
                <w:vertAlign w:val="baseline"/>
                <w:lang w:val="en-US" w:eastAsia="zh-CN"/>
              </w:rPr>
              <w:t>有效期满足文件要求，盖章及签字（如有）齐全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7"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4</w:t>
            </w:r>
            <w:r>
              <w:rPr>
                <w:rFonts w:hint="eastAsia" w:ascii="宋体" w:hAnsi="宋体" w:eastAsia="宋体" w:cs="宋体"/>
                <w:color w:val="auto"/>
                <w:spacing w:val="-2"/>
                <w:sz w:val="20"/>
                <w:szCs w:val="20"/>
              </w:rPr>
              <w:t>.提供《参数偏离表》</w:t>
            </w:r>
            <w:r>
              <w:rPr>
                <w:rFonts w:hint="eastAsia" w:ascii="宋体" w:hAnsi="宋体" w:cs="宋体"/>
                <w:color w:val="auto"/>
                <w:spacing w:val="-2"/>
                <w:sz w:val="20"/>
                <w:szCs w:val="20"/>
                <w:lang w:eastAsia="zh-CN"/>
              </w:rPr>
              <w:t>、</w:t>
            </w:r>
            <w:r>
              <w:rPr>
                <w:rFonts w:hint="eastAsia" w:ascii="宋体" w:hAnsi="宋体" w:eastAsia="宋体" w:cs="宋体"/>
                <w:color w:val="auto"/>
                <w:spacing w:val="-2"/>
                <w:sz w:val="20"/>
                <w:szCs w:val="20"/>
              </w:rPr>
              <w:t>《投标报价明细表》</w:t>
            </w:r>
            <w:r>
              <w:rPr>
                <w:rFonts w:hint="eastAsia" w:ascii="宋体" w:hAnsi="宋体" w:cs="宋体"/>
                <w:color w:val="auto"/>
                <w:spacing w:val="-2"/>
                <w:sz w:val="20"/>
                <w:szCs w:val="20"/>
                <w:lang w:eastAsia="zh-CN"/>
              </w:rPr>
              <w:t>及证明材料</w:t>
            </w:r>
          </w:p>
        </w:tc>
        <w:tc>
          <w:tcPr>
            <w:tcW w:w="40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(1)《参数偏离表》与《投标报价明细表》</w:t>
            </w:r>
            <w:r>
              <w:rPr>
                <w:rFonts w:hint="eastAsia" w:ascii="宋体" w:hAnsi="宋体" w:cs="宋体"/>
                <w:color w:val="auto"/>
                <w:spacing w:val="-2"/>
                <w:sz w:val="20"/>
                <w:szCs w:val="20"/>
                <w:lang w:eastAsia="zh-CN"/>
              </w:rPr>
              <w:t>投标</w:t>
            </w:r>
            <w:r>
              <w:rPr>
                <w:rFonts w:hint="eastAsia" w:ascii="宋体" w:hAnsi="宋体" w:eastAsia="宋体" w:cs="宋体"/>
                <w:color w:val="auto"/>
                <w:spacing w:val="-2"/>
                <w:sz w:val="20"/>
                <w:szCs w:val="20"/>
              </w:rPr>
              <w:t>参数</w:t>
            </w:r>
            <w:r>
              <w:rPr>
                <w:rFonts w:hint="eastAsia" w:ascii="宋体" w:hAnsi="宋体" w:cs="宋体"/>
                <w:color w:val="auto"/>
                <w:spacing w:val="-2"/>
                <w:sz w:val="20"/>
                <w:szCs w:val="20"/>
                <w:lang w:eastAsia="zh-CN"/>
              </w:rPr>
              <w:t>内容</w:t>
            </w:r>
            <w:r>
              <w:rPr>
                <w:rFonts w:hint="eastAsia" w:ascii="宋体" w:hAnsi="宋体" w:eastAsia="宋体" w:cs="宋体"/>
                <w:color w:val="auto"/>
                <w:spacing w:val="-2"/>
                <w:sz w:val="20"/>
                <w:szCs w:val="20"/>
              </w:rPr>
              <w:t xml:space="preserve">一致； </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（2）“第四章 采购需求”中加注“★”号且标红条款为实质条款，投标参数劣于招标文件要求</w:t>
            </w:r>
            <w:r>
              <w:rPr>
                <w:rFonts w:hint="eastAsia" w:ascii="宋体" w:hAnsi="宋体" w:cs="宋体"/>
                <w:color w:val="auto"/>
                <w:spacing w:val="-2"/>
                <w:sz w:val="20"/>
                <w:szCs w:val="20"/>
                <w:lang w:eastAsia="zh-CN"/>
              </w:rPr>
              <w:t>或证明材料不满足要求</w:t>
            </w:r>
            <w:r>
              <w:rPr>
                <w:rFonts w:hint="eastAsia" w:ascii="宋体" w:hAnsi="宋体" w:eastAsia="宋体" w:cs="宋体"/>
                <w:color w:val="auto"/>
                <w:spacing w:val="-2"/>
                <w:sz w:val="20"/>
                <w:szCs w:val="20"/>
              </w:rPr>
              <w:t>视同为无效投标</w:t>
            </w:r>
            <w:r>
              <w:rPr>
                <w:rFonts w:hint="eastAsia" w:ascii="宋体" w:hAnsi="宋体" w:cs="宋体"/>
                <w:color w:val="auto"/>
                <w:spacing w:val="-2"/>
                <w:sz w:val="20"/>
                <w:szCs w:val="20"/>
                <w:lang w:eastAsia="zh-CN"/>
              </w:rPr>
              <w:t>；</w:t>
            </w:r>
            <w:r>
              <w:rPr>
                <w:rFonts w:hint="eastAsia" w:ascii="宋体" w:hAnsi="宋体" w:eastAsia="宋体" w:cs="宋体"/>
                <w:color w:val="auto"/>
                <w:spacing w:val="-2"/>
                <w:sz w:val="20"/>
                <w:szCs w:val="20"/>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（3）《投标报价明细表》中品牌、型号填写完整，符合实际。</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rPr>
              <w:t>（4）盖章及签字（如有）齐全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7"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5.满足强制节能认证要求，提供《强制节能产品情况表》及证明材料</w:t>
            </w:r>
          </w:p>
        </w:tc>
        <w:tc>
          <w:tcPr>
            <w:tcW w:w="40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 xml:space="preserve">1、节能产品政府采购强制采购的产品符合要求。认证机构符合《市场监管总局关于发布参与实施政府采购节能产品、环境标志产品认证机构名录的公告》（2019年第16号）中认证机构名录要求。 </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2、有“招标文件未列明但所投产品属国家强制节能认证产品承诺”</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3、盖章及签字（如有）齐全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7"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6.满足强制认证要求，提供《强制认证产品情况表》及证明材料</w:t>
            </w:r>
          </w:p>
        </w:tc>
        <w:tc>
          <w:tcPr>
            <w:tcW w:w="40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 xml:space="preserve">1、强制认证产品符合要求。认证机构应属于满足条件的强制性产品认证指定认证机构。 </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2、有“招标文件未列明但所投产品属国家强制认证产品承诺”</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3、盖章及签字（如有）齐全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7"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default"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7.提供《投标及履约承诺函》</w:t>
            </w:r>
          </w:p>
        </w:tc>
        <w:tc>
          <w:tcPr>
            <w:tcW w:w="40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1、</w:t>
            </w:r>
            <w:r>
              <w:rPr>
                <w:rFonts w:hint="eastAsia" w:ascii="宋体" w:hAnsi="宋体" w:cs="宋体"/>
                <w:color w:val="auto"/>
                <w:spacing w:val="-2"/>
                <w:sz w:val="20"/>
                <w:szCs w:val="20"/>
                <w:lang w:val="en-US" w:eastAsia="zh-CN"/>
              </w:rPr>
              <w:t>错峰施工承诺与采购文件模版一致</w:t>
            </w:r>
            <w:r>
              <w:rPr>
                <w:rFonts w:hint="eastAsia" w:ascii="宋体" w:hAnsi="宋体" w:eastAsia="宋体" w:cs="宋体"/>
                <w:color w:val="auto"/>
                <w:spacing w:val="-2"/>
                <w:sz w:val="20"/>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2、盖章及签字（如有）齐全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Align w:val="center"/>
          </w:tcPr>
          <w:p>
            <w:pPr>
              <w:spacing w:line="400" w:lineRule="exact"/>
              <w:jc w:val="center"/>
              <w:rPr>
                <w:rFonts w:ascii="宋体" w:hAnsi="宋体"/>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结论</w:t>
            </w:r>
          </w:p>
        </w:tc>
        <w:tc>
          <w:tcPr>
            <w:tcW w:w="7836" w:type="dxa"/>
            <w:gridSpan w:val="2"/>
            <w:vAlign w:val="center"/>
          </w:tcPr>
          <w:p>
            <w:pPr>
              <w:spacing w:line="400" w:lineRule="exact"/>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是否通过资格审查，进入下一阶段</w:t>
            </w:r>
            <w:r>
              <w:rPr>
                <w:rFonts w:hint="eastAsia"/>
                <w:color w:val="000000" w:themeColor="text1"/>
                <w:szCs w:val="21"/>
                <w:lang w:eastAsia="zh-CN"/>
                <w14:textFill>
                  <w14:solidFill>
                    <w14:schemeClr w14:val="tx1"/>
                  </w14:solidFill>
                </w14:textFill>
              </w:rPr>
              <w:t>商务技术</w:t>
            </w:r>
            <w:r>
              <w:rPr>
                <w:rFonts w:hint="eastAsia"/>
                <w:color w:val="000000" w:themeColor="text1"/>
                <w:szCs w:val="21"/>
                <w14:textFill>
                  <w14:solidFill>
                    <w14:schemeClr w14:val="tx1"/>
                  </w14:solidFill>
                </w14:textFill>
              </w:rPr>
              <w:t>评审。</w:t>
            </w:r>
          </w:p>
        </w:tc>
      </w:tr>
    </w:tbl>
    <w:p>
      <w:pPr>
        <w:tabs>
          <w:tab w:val="left" w:pos="0"/>
        </w:tabs>
        <w:adjustRightInd w:val="0"/>
        <w:snapToGrid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注：表中全部符合，则为有效投标，进入专家评标阶段。</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 有下列情形之一时，采购人或采购代理机构应予此次招标活动无效，并将理由通知所有投标人：</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（1）符合专业条件的投标人或者对招标文件作实质性响应的投标人不足三家的；</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（2）出现影响招标公正的违法、违规行为的；</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（3）投标人的报价均超过了采购预算；</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1.3邀请招标数额标准以上的采购项目，投标截止后投标人不足3家或者通过资格审查或符合性审查的投标人不足3家的，除采购任务取消情形外，按照以下方式处理：</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（1）招标文件存在不合理条款或者招标程序不符合规定的，采购人、采购代理机构改正后依法重新招标；</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（2）招标文件没有不合理条款、招标程序符合规定，需要采用其他采购方式采购的，采购人应当依法报财政部门批准。</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1.4有下列情形之一的，视为投标人串通投标，其投标无效：</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（1）不同投标人的投标文件由同一单位或者个人编制；</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（2）不同投标人委托同一单位或者个人办理投标事宜；</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（3）不同投标人的投标文件载明的项目管理成员或者联系人员为同一人；</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（4）不同投标人的投标文件异常一致或者投标报价呈规律性差别；</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（5）不同投标人的投标文件相互混装；</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（6）不同投标人的投标保证金从同一单位或者个人的账户转出。</w:t>
      </w:r>
    </w:p>
    <w:p>
      <w:pPr>
        <w:tabs>
          <w:tab w:val="left" w:pos="0"/>
        </w:tabs>
        <w:adjustRightInd w:val="0"/>
        <w:snapToGrid w:val="0"/>
        <w:spacing w:before="156" w:beforeLines="50" w:line="360" w:lineRule="auto"/>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二、评标程序</w:t>
      </w:r>
    </w:p>
    <w:p>
      <w:pPr>
        <w:adjustRightInd w:val="0"/>
        <w:snapToGrid w:val="0"/>
        <w:spacing w:before="156" w:beforeLines="50" w:line="360" w:lineRule="auto"/>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评标委员会</w:t>
      </w:r>
    </w:p>
    <w:p>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2.1评标由依法组成的评标委员会负责。</w:t>
      </w:r>
    </w:p>
    <w:p>
      <w:pPr>
        <w:adjustRightInd w:val="0"/>
        <w:snapToGrid w:val="0"/>
        <w:spacing w:before="156" w:beforeLines="50" w:line="360" w:lineRule="auto"/>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评标方法</w:t>
      </w:r>
    </w:p>
    <w:p>
      <w:pPr>
        <w:tabs>
          <w:tab w:val="left" w:pos="0"/>
        </w:tabs>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3.1评标方法：</w:t>
      </w:r>
      <w:r>
        <w:rPr>
          <w:rFonts w:hint="eastAsia" w:ascii="宋体" w:hAnsi="宋体"/>
          <w:b/>
          <w:bCs/>
          <w:color w:val="000000" w:themeColor="text1"/>
          <w:szCs w:val="21"/>
          <w:lang w:eastAsia="zh-CN"/>
          <w14:textFill>
            <w14:solidFill>
              <w14:schemeClr w14:val="tx1"/>
            </w14:solidFill>
          </w14:textFill>
        </w:rPr>
        <w:t>综合评分法</w:t>
      </w:r>
      <w:r>
        <w:rPr>
          <w:rFonts w:hint="eastAsia" w:ascii="宋体" w:hAnsi="宋体"/>
          <w:color w:val="000000" w:themeColor="text1"/>
          <w:szCs w:val="21"/>
          <w14:textFill>
            <w14:solidFill>
              <w14:schemeClr w14:val="tx1"/>
            </w14:solidFill>
          </w14:textFill>
        </w:rPr>
        <w:t>，是指投标文件满足招标文件全部实质性要求且按照评审因素的量化指标评审得分最高的供应商为中标候选人的评标方法。</w:t>
      </w:r>
    </w:p>
    <w:p>
      <w:pPr>
        <w:tabs>
          <w:tab w:val="left" w:pos="0"/>
        </w:tabs>
        <w:adjustRightInd w:val="0"/>
        <w:snapToGrid w:val="0"/>
        <w:spacing w:before="156" w:beforeLines="50" w:line="360" w:lineRule="auto"/>
        <w:ind w:firstLine="420" w:firstLineChars="200"/>
        <w:rPr>
          <w:rFonts w:ascii="宋体" w:hAnsi="宋体"/>
          <w:b/>
          <w:color w:val="000000" w:themeColor="text1"/>
          <w:kern w:val="0"/>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3.2本招标项目</w:t>
      </w:r>
      <w:r>
        <w:rPr>
          <w:rFonts w:hint="eastAsia" w:ascii="宋体" w:hAnsi="宋体"/>
          <w:color w:val="000000" w:themeColor="text1"/>
          <w:szCs w:val="21"/>
          <w14:textFill>
            <w14:solidFill>
              <w14:schemeClr w14:val="tx1"/>
            </w14:solidFill>
          </w14:textFill>
        </w:rPr>
        <w:t>的评标因素：价格、技术、信誉、业绩、服务、对招标文件的响应程度，以及相应的比重或者权值等，但不包括第二章“投标须知”第3.1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szCs w:val="21"/>
          <w14:textFill>
            <w14:solidFill>
              <w14:schemeClr w14:val="tx1"/>
            </w14:solidFill>
          </w14:textFill>
        </w:rPr>
        <w:t>规定的投标人资格条件。</w:t>
      </w:r>
    </w:p>
    <w:p>
      <w:pPr>
        <w:adjustRightInd w:val="0"/>
        <w:snapToGrid w:val="0"/>
        <w:spacing w:before="156" w:beforeLines="50" w:line="360" w:lineRule="auto"/>
        <w:ind w:right="-109" w:rightChars="-52"/>
        <w:rPr>
          <w:rFonts w:ascii="宋体" w:hAnsi="宋体"/>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4.澄清有关问题</w:t>
      </w:r>
    </w:p>
    <w:p>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 对投标文件中含义不明确、同类问题表述不一致或者有明显文字和计算错误的内容，评标委员会将以书面形式通知投标人作出必要的澄清、说明，但不得超出投标文件的范围或对投标文件做实质性的修改（计算错误修正除外）。评标委员会不接受投标人主动提出的澄清、说明。</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4.2投标人不得对下列内容进行澄清或补充：</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（1）开标时，未宣读的投标价格、价格折扣等实质性内容。</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（2）招标文件规定的实质性要求。</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4.3投标文件报价出现前后不一致的，除招标文件另有规定外，按照下列规定修正：</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（1）电子交易平台生成的开标一览表内容与投标文件中相应内容不一致的，以电子交易平台生成的开标一览表为准；</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（2）大写金额和小写金额不一致的，以大写金额为准；</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（3）单价金额小数点或者百分比有明显错位的，以电子交易平台生成的开标一览表为准，并修改单价；</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（5）总价金额与按单价汇总金额不一致的，以单价金额计算结果为准。</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时出现两种以上不一致的，按照前款规定的顺序修正。评标委员会应当通过电子交易平台要求投标人对修正后的报价予以确认并对投标人产生约束力。投标人不接受修正或在规定的时间内不予确认的，其投标无效。</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对不同文字文本投标文件的解释发生异议的，以中文文本为准。若投标人拒绝接受上述修正，在评标时将其视为无效投标。</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4.5评标委员会成员对需要共同认定的事项存在争议的，应当按照少数服从多数的原则作出结论。持不同意见的评标委员会成员应当在评标报告上签署不同意见及理由，否则视为同意评标报告。</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4.6 投标人的澄清、说明或者补正应该采用书面形式，并加盖公章，或者由法定代表人或其授权的代理人签字。投标人的澄清、说明或者补正不得超出投标文件的范围或者改变投标文件的实质性内容。</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4.7 有效的书面澄清材料，是投标文件的补充材料，成为投标文件的组成部分。</w:t>
      </w:r>
    </w:p>
    <w:p>
      <w:pPr>
        <w:tabs>
          <w:tab w:val="left" w:pos="0"/>
        </w:tabs>
        <w:adjustRightInd w:val="0"/>
        <w:snapToGrid w:val="0"/>
        <w:spacing w:before="156" w:beforeLines="5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5.投标文件的详细</w:t>
      </w:r>
      <w:r>
        <w:rPr>
          <w:rFonts w:hint="eastAsia" w:ascii="宋体" w:hAnsi="宋体"/>
          <w:b/>
          <w:color w:val="000000" w:themeColor="text1"/>
          <w:szCs w:val="21"/>
          <w14:textFill>
            <w14:solidFill>
              <w14:schemeClr w14:val="tx1"/>
            </w14:solidFill>
          </w14:textFill>
        </w:rPr>
        <w:t>评审</w:t>
      </w:r>
    </w:p>
    <w:p>
      <w:pPr>
        <w:tabs>
          <w:tab w:val="left" w:pos="0"/>
        </w:tabs>
        <w:adjustRightInd w:val="0"/>
        <w:snapToGrid w:val="0"/>
        <w:spacing w:before="156" w:beforeLines="50"/>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5.1评标委员会应按照招标文件中规定的评标方法、</w:t>
      </w:r>
      <w:r>
        <w:rPr>
          <w:rFonts w:hint="eastAsia" w:ascii="宋体" w:hAnsi="宋体"/>
          <w:color w:val="000000" w:themeColor="text1"/>
          <w:szCs w:val="21"/>
          <w14:textFill>
            <w14:solidFill>
              <w14:schemeClr w14:val="tx1"/>
            </w14:solidFill>
          </w14:textFill>
        </w:rPr>
        <w:t>标准和评标因素，</w:t>
      </w:r>
      <w:r>
        <w:rPr>
          <w:rFonts w:hint="eastAsia" w:ascii="宋体" w:hAnsi="宋体"/>
          <w:bCs/>
          <w:color w:val="000000" w:themeColor="text1"/>
          <w:szCs w:val="21"/>
          <w14:textFill>
            <w14:solidFill>
              <w14:schemeClr w14:val="tx1"/>
            </w14:solidFill>
          </w14:textFill>
        </w:rPr>
        <w:t>对</w:t>
      </w:r>
      <w:r>
        <w:rPr>
          <w:rFonts w:hint="eastAsia" w:ascii="宋体" w:hAnsi="宋体"/>
          <w:color w:val="000000" w:themeColor="text1"/>
          <w:szCs w:val="21"/>
          <w14:textFill>
            <w14:solidFill>
              <w14:schemeClr w14:val="tx1"/>
            </w14:solidFill>
          </w14:textFill>
        </w:rPr>
        <w:t>资格性检查</w:t>
      </w:r>
      <w:r>
        <w:rPr>
          <w:rFonts w:hint="eastAsia" w:ascii="宋体" w:hAnsi="宋体"/>
          <w:bCs/>
          <w:color w:val="000000" w:themeColor="text1"/>
          <w:szCs w:val="21"/>
          <w14:textFill>
            <w14:solidFill>
              <w14:schemeClr w14:val="tx1"/>
            </w14:solidFill>
          </w14:textFill>
        </w:rPr>
        <w:t>合格的投标文件进行详细评审。</w:t>
      </w:r>
    </w:p>
    <w:p>
      <w:pPr>
        <w:widowControl/>
        <w:adjustRightInd w:val="0"/>
        <w:snapToGrid w:val="0"/>
        <w:spacing w:before="156" w:beforeLines="50"/>
        <w:ind w:firstLine="420" w:firstLineChars="200"/>
        <w:jc w:val="left"/>
        <w:rPr>
          <w:rFonts w:ascii="宋体" w:hAnsi="宋体"/>
          <w:color w:val="000000" w:themeColor="text1"/>
          <w:szCs w:val="21"/>
          <w:highlight w:val="yellow"/>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5.2</w:t>
      </w:r>
      <w:r>
        <w:rPr>
          <w:rFonts w:hint="eastAsia" w:ascii="宋体" w:hAnsi="宋体"/>
          <w:color w:val="000000" w:themeColor="text1"/>
          <w:szCs w:val="21"/>
          <w14:textFill>
            <w14:solidFill>
              <w14:schemeClr w14:val="tx1"/>
            </w14:solidFill>
          </w14:textFill>
        </w:rPr>
        <w:t>评标时，评标委员会各成员应当</w:t>
      </w:r>
      <w:r>
        <w:rPr>
          <w:rFonts w:hint="eastAsia" w:ascii="宋体" w:hAnsi="宋体"/>
          <w:b/>
          <w:color w:val="000000" w:themeColor="text1"/>
          <w:szCs w:val="21"/>
          <w14:textFill>
            <w14:solidFill>
              <w14:schemeClr w14:val="tx1"/>
            </w14:solidFill>
          </w14:textFill>
        </w:rPr>
        <w:t>独立</w:t>
      </w:r>
      <w:r>
        <w:rPr>
          <w:rFonts w:hint="eastAsia" w:ascii="宋体" w:hAnsi="宋体"/>
          <w:color w:val="000000" w:themeColor="text1"/>
          <w:szCs w:val="21"/>
          <w14:textFill>
            <w14:solidFill>
              <w14:schemeClr w14:val="tx1"/>
            </w14:solidFill>
          </w14:textFill>
        </w:rPr>
        <w:t>对每个投标人的</w:t>
      </w:r>
      <w:r>
        <w:rPr>
          <w:rFonts w:hint="eastAsia" w:ascii="宋体" w:hAnsi="宋体"/>
          <w:bCs/>
          <w:color w:val="000000" w:themeColor="text1"/>
          <w:szCs w:val="21"/>
          <w14:textFill>
            <w14:solidFill>
              <w14:schemeClr w14:val="tx1"/>
            </w14:solidFill>
          </w14:textFill>
        </w:rPr>
        <w:t>投标文件</w:t>
      </w:r>
      <w:r>
        <w:rPr>
          <w:rFonts w:hint="eastAsia" w:ascii="宋体" w:hAnsi="宋体"/>
          <w:color w:val="000000" w:themeColor="text1"/>
          <w:szCs w:val="21"/>
          <w14:textFill>
            <w14:solidFill>
              <w14:schemeClr w14:val="tx1"/>
            </w14:solidFill>
          </w14:textFill>
        </w:rPr>
        <w:t>进行评价、评分，然后汇总每个投标人每项评分因素的得分。</w:t>
      </w:r>
    </w:p>
    <w:p>
      <w:pPr>
        <w:ind w:firstLine="420" w:firstLineChars="200"/>
        <w:rPr>
          <w:rFonts w:ascii="宋体" w:hAnsi="宋体" w:cs="宋体"/>
          <w:b/>
          <w:bCs/>
          <w:szCs w:val="21"/>
        </w:rPr>
      </w:pPr>
      <w:r>
        <w:rPr>
          <w:rFonts w:hint="eastAsia" w:ascii="宋体" w:hAnsi="宋体"/>
          <w:color w:val="000000" w:themeColor="text1"/>
          <w:szCs w:val="21"/>
          <w14:textFill>
            <w14:solidFill>
              <w14:schemeClr w14:val="tx1"/>
            </w14:solidFill>
          </w14:textFill>
        </w:rPr>
        <w:t>5.3</w:t>
      </w:r>
      <w:r>
        <w:rPr>
          <w:rFonts w:hint="eastAsia" w:ascii="宋体" w:hAnsi="宋体" w:cs="宋体"/>
          <w:b/>
          <w:bCs/>
          <w:szCs w:val="21"/>
          <w:lang w:bidi="ar"/>
        </w:rPr>
        <w:t>有下列情况之一的投标文件应作无效文件处理：</w:t>
      </w:r>
    </w:p>
    <w:p>
      <w:pPr>
        <w:spacing w:line="380" w:lineRule="exact"/>
        <w:ind w:firstLine="420" w:firstLineChars="200"/>
        <w:rPr>
          <w:rFonts w:ascii="宋体" w:hAnsi="宋体" w:cs="宋体"/>
          <w:szCs w:val="21"/>
        </w:rPr>
      </w:pPr>
      <w:r>
        <w:rPr>
          <w:rFonts w:hint="eastAsia" w:ascii="宋体" w:hAnsi="宋体" w:cs="宋体"/>
          <w:szCs w:val="21"/>
          <w:lang w:bidi="ar"/>
        </w:rPr>
        <w:t>（1）未在规定时间内按时解密的；</w:t>
      </w:r>
    </w:p>
    <w:p>
      <w:pPr>
        <w:spacing w:line="380" w:lineRule="exact"/>
        <w:ind w:firstLine="420" w:firstLineChars="200"/>
        <w:rPr>
          <w:rFonts w:hint="default" w:ascii="宋体" w:hAnsi="宋体" w:eastAsia="宋体" w:cs="宋体"/>
          <w:szCs w:val="21"/>
          <w:lang w:val="en-US" w:eastAsia="zh-CN"/>
        </w:rPr>
      </w:pPr>
      <w:r>
        <w:rPr>
          <w:rFonts w:hint="eastAsia" w:ascii="宋体" w:hAnsi="宋体" w:cs="宋体"/>
          <w:szCs w:val="21"/>
          <w:lang w:bidi="ar"/>
        </w:rPr>
        <w:t>（2）应交未交投标保证金的；</w:t>
      </w:r>
    </w:p>
    <w:p>
      <w:pPr>
        <w:spacing w:line="380" w:lineRule="exact"/>
        <w:ind w:firstLine="420" w:firstLineChars="200"/>
        <w:rPr>
          <w:rFonts w:ascii="宋体" w:hAnsi="宋体" w:cs="宋体"/>
          <w:szCs w:val="21"/>
        </w:rPr>
      </w:pPr>
      <w:r>
        <w:rPr>
          <w:rFonts w:hint="eastAsia" w:ascii="宋体" w:hAnsi="宋体" w:cs="宋体"/>
          <w:szCs w:val="21"/>
          <w:lang w:bidi="ar"/>
        </w:rPr>
        <w:t>（3）不具备采购文件中规定资格要求的；</w:t>
      </w:r>
    </w:p>
    <w:p>
      <w:pPr>
        <w:spacing w:line="380" w:lineRule="exact"/>
        <w:ind w:firstLine="420" w:firstLineChars="200"/>
        <w:rPr>
          <w:rFonts w:ascii="宋体" w:hAnsi="宋体" w:cs="宋体"/>
          <w:szCs w:val="21"/>
        </w:rPr>
      </w:pPr>
      <w:r>
        <w:rPr>
          <w:rFonts w:hint="eastAsia" w:ascii="宋体" w:hAnsi="宋体" w:cs="宋体"/>
          <w:szCs w:val="21"/>
          <w:lang w:bidi="ar"/>
        </w:rPr>
        <w:t>（4）投标文件未按规定由供应商法定代表人或其授权代理人签字和加盖公章的；</w:t>
      </w:r>
    </w:p>
    <w:p>
      <w:pPr>
        <w:spacing w:line="380" w:lineRule="exact"/>
        <w:ind w:firstLine="420" w:firstLineChars="200"/>
        <w:rPr>
          <w:rFonts w:ascii="宋体" w:hAnsi="宋体" w:cs="宋体"/>
          <w:szCs w:val="21"/>
        </w:rPr>
      </w:pPr>
      <w:r>
        <w:rPr>
          <w:rFonts w:hint="eastAsia" w:ascii="宋体" w:hAnsi="宋体" w:cs="宋体"/>
          <w:szCs w:val="21"/>
          <w:lang w:bidi="ar"/>
        </w:rPr>
        <w:t>（5）</w:t>
      </w:r>
      <w:r>
        <w:rPr>
          <w:rFonts w:hint="eastAsia" w:ascii="宋体" w:hAnsi="宋体" w:cs="宋体"/>
          <w:spacing w:val="15"/>
          <w:kern w:val="0"/>
          <w:szCs w:val="21"/>
          <w:lang w:bidi="ar"/>
        </w:rPr>
        <w:t>投标文件未按照采购文件规定要求签章的；</w:t>
      </w:r>
    </w:p>
    <w:p>
      <w:pPr>
        <w:spacing w:line="380" w:lineRule="exact"/>
        <w:ind w:firstLine="420" w:firstLineChars="200"/>
        <w:rPr>
          <w:rFonts w:ascii="宋体" w:hAnsi="宋体" w:cs="宋体"/>
          <w:szCs w:val="21"/>
        </w:rPr>
      </w:pPr>
      <w:r>
        <w:rPr>
          <w:rFonts w:hint="eastAsia" w:ascii="宋体" w:hAnsi="宋体" w:cs="宋体"/>
          <w:szCs w:val="21"/>
          <w:lang w:bidi="ar"/>
        </w:rPr>
        <w:t>（6）投标文件载明的采购项目</w:t>
      </w:r>
      <w:r>
        <w:rPr>
          <w:rFonts w:hint="eastAsia" w:ascii="宋体" w:hAnsi="宋体" w:cs="宋体"/>
          <w:szCs w:val="21"/>
          <w:lang w:eastAsia="zh-CN" w:bidi="ar"/>
        </w:rPr>
        <w:t>履约期限</w:t>
      </w:r>
      <w:r>
        <w:rPr>
          <w:rFonts w:hint="eastAsia" w:ascii="宋体" w:hAnsi="宋体" w:cs="宋体"/>
          <w:szCs w:val="21"/>
          <w:lang w:bidi="ar"/>
        </w:rPr>
        <w:t>超过采购文件规定期限的；</w:t>
      </w:r>
    </w:p>
    <w:p>
      <w:pPr>
        <w:spacing w:line="380" w:lineRule="exact"/>
        <w:ind w:firstLine="420" w:firstLineChars="200"/>
        <w:rPr>
          <w:rFonts w:ascii="宋体" w:hAnsi="宋体" w:cs="宋体"/>
          <w:szCs w:val="21"/>
        </w:rPr>
      </w:pPr>
      <w:r>
        <w:rPr>
          <w:rFonts w:hint="eastAsia" w:ascii="宋体" w:hAnsi="宋体" w:cs="宋体"/>
          <w:szCs w:val="21"/>
          <w:lang w:bidi="ar"/>
        </w:rPr>
        <w:t>（7）评标过程中拒绝澄清相关事宜和问题的；</w:t>
      </w:r>
    </w:p>
    <w:p>
      <w:pPr>
        <w:spacing w:line="380" w:lineRule="exact"/>
        <w:ind w:firstLine="420" w:firstLineChars="200"/>
        <w:rPr>
          <w:rFonts w:ascii="宋体" w:hAnsi="宋体" w:cs="宋体"/>
          <w:szCs w:val="21"/>
        </w:rPr>
      </w:pPr>
      <w:r>
        <w:rPr>
          <w:rFonts w:hint="eastAsia" w:ascii="宋体" w:hAnsi="宋体" w:cs="宋体"/>
          <w:szCs w:val="21"/>
          <w:lang w:bidi="ar"/>
        </w:rPr>
        <w:t>（8）投标文件不真实，有欺骗行为的；</w:t>
      </w:r>
    </w:p>
    <w:p>
      <w:pPr>
        <w:spacing w:line="400" w:lineRule="exact"/>
        <w:ind w:firstLine="420" w:firstLineChars="200"/>
        <w:rPr>
          <w:rFonts w:ascii="宋体" w:hAnsi="宋体" w:cs="宋体"/>
          <w:szCs w:val="21"/>
        </w:rPr>
      </w:pPr>
      <w:r>
        <w:rPr>
          <w:rFonts w:hint="eastAsia" w:ascii="宋体" w:hAnsi="宋体" w:cs="宋体"/>
          <w:szCs w:val="21"/>
          <w:lang w:bidi="ar"/>
        </w:rPr>
        <w:t>（9）</w:t>
      </w:r>
      <w:r>
        <w:rPr>
          <w:rFonts w:hint="eastAsia" w:ascii="宋体" w:hAnsi="宋体"/>
          <w:color w:val="000000" w:themeColor="text1"/>
          <w:szCs w:val="21"/>
          <w14:textFill>
            <w14:solidFill>
              <w14:schemeClr w14:val="tx1"/>
            </w14:solidFill>
          </w14:textFill>
        </w:rPr>
        <w:t>报价超过招标文件中规定的</w:t>
      </w:r>
      <w:r>
        <w:rPr>
          <w:rFonts w:hint="eastAsia" w:ascii="宋体" w:hAnsi="宋体"/>
          <w:color w:val="000000" w:themeColor="text1"/>
          <w:szCs w:val="21"/>
          <w:lang w:val="en-US" w:eastAsia="zh-CN"/>
          <w14:textFill>
            <w14:solidFill>
              <w14:schemeClr w14:val="tx1"/>
            </w14:solidFill>
          </w14:textFill>
        </w:rPr>
        <w:t>预算总价或预算单价的；</w:t>
      </w:r>
    </w:p>
    <w:p>
      <w:pPr>
        <w:spacing w:line="360" w:lineRule="auto"/>
        <w:ind w:firstLine="420" w:firstLineChars="200"/>
        <w:outlineLvl w:val="0"/>
        <w:rPr>
          <w:rFonts w:hint="eastAsia" w:ascii="宋体" w:hAnsi="宋体" w:cs="宋体"/>
          <w:szCs w:val="21"/>
          <w:lang w:bidi="ar"/>
        </w:rPr>
      </w:pPr>
      <w:r>
        <w:rPr>
          <w:rFonts w:hint="eastAsia" w:ascii="宋体" w:hAnsi="宋体" w:cs="宋体"/>
          <w:szCs w:val="21"/>
          <w:lang w:bidi="ar"/>
        </w:rPr>
        <w:t>（10）投标文件附有采购人和组织采购方不能接受的其它条件的；</w:t>
      </w:r>
    </w:p>
    <w:p>
      <w:pPr>
        <w:spacing w:line="360" w:lineRule="auto"/>
        <w:ind w:firstLine="420" w:firstLineChars="200"/>
        <w:outlineLvl w:val="0"/>
        <w:rPr>
          <w:rFonts w:hint="eastAsia" w:ascii="宋体" w:hAnsi="宋体" w:cs="宋体"/>
          <w:szCs w:val="21"/>
          <w:lang w:val="en-US" w:eastAsia="zh-CN" w:bidi="ar"/>
        </w:rPr>
      </w:pPr>
      <w:r>
        <w:rPr>
          <w:rFonts w:hint="eastAsia" w:ascii="宋体" w:hAnsi="宋体" w:cs="宋体"/>
          <w:szCs w:val="21"/>
          <w:lang w:eastAsia="zh-CN" w:bidi="ar"/>
        </w:rPr>
        <w:t>（</w:t>
      </w:r>
      <w:r>
        <w:rPr>
          <w:rFonts w:hint="eastAsia" w:ascii="宋体" w:hAnsi="宋体" w:cs="宋体"/>
          <w:szCs w:val="21"/>
          <w:lang w:val="en-US" w:eastAsia="zh-CN" w:bidi="ar"/>
        </w:rPr>
        <w:t>11）不满足采购文件实质性要求的；</w:t>
      </w:r>
    </w:p>
    <w:p>
      <w:pPr>
        <w:spacing w:line="400" w:lineRule="exact"/>
        <w:ind w:firstLine="420" w:firstLineChars="200"/>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 xml:space="preserve"> (12)采购文件“第五章 采购需求”中加注“■”产品为强制节能认证产品，不满足则导致投标无效。</w:t>
      </w:r>
    </w:p>
    <w:p>
      <w:pPr>
        <w:spacing w:line="400" w:lineRule="exact"/>
        <w:ind w:firstLine="420" w:firstLineChars="200"/>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（13）采购文件“第五章 采购需求”中加注“</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Times New Roman"/>
          <w:color w:val="000000" w:themeColor="text1"/>
          <w:szCs w:val="21"/>
          <w:lang w:val="en-US" w:eastAsia="zh-CN"/>
          <w14:textFill>
            <w14:solidFill>
              <w14:schemeClr w14:val="tx1"/>
            </w14:solidFill>
          </w14:textFill>
        </w:rPr>
        <w:t>”产品为强制认证产品，不满足则导致投标无效。</w:t>
      </w:r>
    </w:p>
    <w:p>
      <w:pPr>
        <w:pStyle w:val="35"/>
        <w:rPr>
          <w:rFonts w:hint="eastAsia"/>
          <w:lang w:val="en-US" w:eastAsia="zh-CN"/>
        </w:rPr>
      </w:pPr>
    </w:p>
    <w:bookmarkEnd w:id="30"/>
    <w:p>
      <w:pPr>
        <w:ind w:firstLine="420" w:firstLineChars="200"/>
        <w:rPr>
          <w:rFonts w:hint="eastAsia" w:ascii="宋体" w:hAnsi="宋体" w:eastAsia="宋体" w:cs="宋体"/>
          <w:b/>
          <w:bCs/>
          <w:kern w:val="2"/>
          <w:sz w:val="21"/>
          <w:szCs w:val="21"/>
        </w:rPr>
      </w:pPr>
      <w:bookmarkStart w:id="31" w:name="_Toc474235950"/>
      <w:bookmarkStart w:id="32" w:name="_Toc420948020"/>
      <w:r>
        <w:rPr>
          <w:rFonts w:hint="eastAsia"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eastAsia="宋体" w:cs="宋体"/>
          <w:b/>
          <w:bCs/>
          <w:kern w:val="2"/>
          <w:sz w:val="21"/>
          <w:szCs w:val="21"/>
          <w:lang w:val="en-US" w:eastAsia="zh-CN" w:bidi="ar"/>
        </w:rPr>
        <w:t xml:space="preserve"> 评分标准：</w:t>
      </w:r>
    </w:p>
    <w:p>
      <w:pPr>
        <w:keepNext w:val="0"/>
        <w:keepLines w:val="0"/>
        <w:widowControl w:val="0"/>
        <w:suppressLineNumbers w:val="0"/>
        <w:spacing w:before="0" w:beforeAutospacing="0" w:after="0" w:afterAutospacing="0" w:line="380" w:lineRule="exact"/>
        <w:ind w:left="0" w:right="0" w:firstLine="422" w:firstLineChars="200"/>
        <w:jc w:val="both"/>
        <w:rPr>
          <w:rFonts w:hint="eastAsia" w:ascii="宋体" w:hAnsi="宋体" w:eastAsia="宋体" w:cs="宋体"/>
          <w:b/>
          <w:bCs/>
          <w:kern w:val="2"/>
          <w:sz w:val="21"/>
          <w:szCs w:val="21"/>
          <w:lang w:val="en-US" w:eastAsia="zh-CN" w:bidi="ar"/>
        </w:rPr>
      </w:pPr>
      <w:r>
        <w:rPr>
          <w:rFonts w:hint="eastAsia" w:ascii="宋体" w:hAnsi="宋体" w:eastAsia="宋体" w:cs="宋体"/>
          <w:b/>
          <w:bCs/>
          <w:kern w:val="2"/>
          <w:sz w:val="21"/>
          <w:szCs w:val="21"/>
          <w:lang w:val="en-US" w:eastAsia="zh-CN" w:bidi="ar"/>
        </w:rPr>
        <w:t>具体评分细则如下：</w:t>
      </w:r>
    </w:p>
    <w:p>
      <w:pPr>
        <w:pStyle w:val="25"/>
        <w:ind w:left="0" w:leftChars="0" w:firstLine="0" w:firstLineChars="0"/>
        <w:jc w:val="left"/>
        <w:rPr>
          <w:rFonts w:hint="eastAsia" w:ascii="黑体" w:hAnsi="黑体" w:eastAsia="黑体" w:cs="黑体"/>
          <w:i w:val="0"/>
          <w:iCs w:val="0"/>
          <w:color w:val="FF0000"/>
          <w:sz w:val="28"/>
          <w:szCs w:val="28"/>
          <w:highlight w:val="yellow"/>
          <w:lang w:val="en-US" w:eastAsia="zh-CN"/>
        </w:rPr>
      </w:pPr>
      <w:r>
        <w:rPr>
          <w:rFonts w:hint="eastAsia" w:ascii="黑体" w:hAnsi="黑体" w:eastAsia="黑体" w:cs="黑体"/>
          <w:i w:val="0"/>
          <w:iCs w:val="0"/>
          <w:color w:val="FF0000"/>
          <w:sz w:val="28"/>
          <w:szCs w:val="28"/>
          <w:highlight w:val="yellow"/>
          <w:lang w:val="en-US" w:eastAsia="zh-CN"/>
        </w:rPr>
        <w:t>注：为方便电子评审，目录需关联至指定信息处，评审小组未找到相应资料视同为未提供。</w:t>
      </w:r>
    </w:p>
    <w:p>
      <w:pPr>
        <w:rPr>
          <w:rFonts w:hint="eastAsia"/>
          <w:lang w:val="en-US" w:eastAsia="zh-CN"/>
        </w:rPr>
      </w:pPr>
      <w:r>
        <w:rPr>
          <w:rFonts w:hint="eastAsia"/>
          <w:lang w:val="en-US" w:eastAsia="zh-CN"/>
        </w:rPr>
        <w:br w:type="page"/>
      </w:r>
    </w:p>
    <w:p>
      <w:pPr>
        <w:pStyle w:val="35"/>
        <w:rPr>
          <w:rFonts w:hint="eastAsia"/>
          <w:lang w:val="en-US" w:eastAsia="zh-CN"/>
        </w:rPr>
      </w:pPr>
    </w:p>
    <w:tbl>
      <w:tblPr>
        <w:tblStyle w:val="46"/>
        <w:tblW w:w="8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5577"/>
        <w:gridCol w:w="876"/>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blHeader/>
          <w:jc w:val="center"/>
        </w:trPr>
        <w:tc>
          <w:tcPr>
            <w:tcW w:w="1308" w:type="dxa"/>
            <w:noWrap w:val="0"/>
            <w:vAlign w:val="center"/>
          </w:tcPr>
          <w:p>
            <w:pPr>
              <w:pStyle w:val="26"/>
              <w:snapToGrid w:val="0"/>
              <w:spacing w:line="240" w:lineRule="exact"/>
              <w:jc w:val="center"/>
              <w:rPr>
                <w:rFonts w:ascii="宋体" w:hAnsi="宋体" w:cs="Courier New"/>
                <w:b/>
                <w:color w:val="auto"/>
                <w:sz w:val="21"/>
                <w:szCs w:val="21"/>
                <w:highlight w:val="none"/>
              </w:rPr>
            </w:pPr>
            <w:r>
              <w:rPr>
                <w:rFonts w:hint="eastAsia" w:ascii="宋体" w:hAnsi="宋体" w:cs="Courier New"/>
                <w:b/>
                <w:color w:val="auto"/>
                <w:sz w:val="21"/>
                <w:szCs w:val="21"/>
                <w:highlight w:val="none"/>
              </w:rPr>
              <w:t>项目</w:t>
            </w:r>
          </w:p>
        </w:tc>
        <w:tc>
          <w:tcPr>
            <w:tcW w:w="5577" w:type="dxa"/>
            <w:noWrap w:val="0"/>
            <w:vAlign w:val="center"/>
          </w:tcPr>
          <w:p>
            <w:pPr>
              <w:pStyle w:val="26"/>
              <w:snapToGrid w:val="0"/>
              <w:spacing w:line="240" w:lineRule="exact"/>
              <w:jc w:val="center"/>
              <w:rPr>
                <w:rFonts w:ascii="宋体" w:hAnsi="宋体" w:cs="Courier New"/>
                <w:b/>
                <w:color w:val="auto"/>
                <w:sz w:val="21"/>
                <w:szCs w:val="21"/>
                <w:highlight w:val="none"/>
              </w:rPr>
            </w:pPr>
            <w:r>
              <w:rPr>
                <w:rFonts w:hint="eastAsia" w:ascii="宋体" w:hAnsi="宋体" w:cs="Courier New"/>
                <w:b/>
                <w:color w:val="auto"/>
                <w:sz w:val="21"/>
                <w:szCs w:val="21"/>
                <w:highlight w:val="none"/>
              </w:rPr>
              <w:t>评审内容</w:t>
            </w:r>
          </w:p>
        </w:tc>
        <w:tc>
          <w:tcPr>
            <w:tcW w:w="876" w:type="dxa"/>
            <w:noWrap w:val="0"/>
            <w:vAlign w:val="center"/>
          </w:tcPr>
          <w:p>
            <w:pPr>
              <w:pStyle w:val="26"/>
              <w:snapToGrid w:val="0"/>
              <w:spacing w:line="240" w:lineRule="exact"/>
              <w:jc w:val="center"/>
              <w:rPr>
                <w:rFonts w:ascii="宋体" w:hAnsi="宋体" w:cs="Courier New"/>
                <w:b/>
                <w:color w:val="auto"/>
                <w:sz w:val="21"/>
                <w:szCs w:val="21"/>
                <w:highlight w:val="none"/>
              </w:rPr>
            </w:pPr>
            <w:r>
              <w:rPr>
                <w:rFonts w:hint="eastAsia" w:ascii="宋体" w:hAnsi="宋体" w:cs="Courier New"/>
                <w:b/>
                <w:color w:val="auto"/>
                <w:sz w:val="21"/>
                <w:szCs w:val="21"/>
                <w:highlight w:val="none"/>
              </w:rPr>
              <w:t>分值</w:t>
            </w:r>
          </w:p>
        </w:tc>
        <w:tc>
          <w:tcPr>
            <w:tcW w:w="1106" w:type="dxa"/>
            <w:noWrap w:val="0"/>
            <w:vAlign w:val="center"/>
          </w:tcPr>
          <w:p>
            <w:pPr>
              <w:pStyle w:val="26"/>
              <w:snapToGrid w:val="0"/>
              <w:spacing w:line="240" w:lineRule="exact"/>
              <w:jc w:val="center"/>
              <w:rPr>
                <w:rFonts w:ascii="宋体" w:hAnsi="宋体" w:cs="Courier New"/>
                <w:b/>
                <w:color w:val="auto"/>
                <w:sz w:val="21"/>
                <w:szCs w:val="21"/>
                <w:highlight w:val="none"/>
              </w:rPr>
            </w:pPr>
            <w:r>
              <w:rPr>
                <w:rFonts w:hint="eastAsia" w:ascii="宋体" w:hAnsi="宋体" w:cs="Courier New"/>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8867" w:type="dxa"/>
            <w:gridSpan w:val="4"/>
            <w:noWrap w:val="0"/>
            <w:vAlign w:val="center"/>
          </w:tcPr>
          <w:p>
            <w:pPr>
              <w:pStyle w:val="26"/>
              <w:snapToGrid w:val="0"/>
              <w:spacing w:line="240" w:lineRule="exact"/>
              <w:rPr>
                <w:rFonts w:ascii="宋体" w:hAnsi="宋体" w:cs="Courier New"/>
                <w:b/>
                <w:color w:val="auto"/>
                <w:sz w:val="21"/>
                <w:szCs w:val="21"/>
                <w:highlight w:val="none"/>
              </w:rPr>
            </w:pPr>
            <w:r>
              <w:rPr>
                <w:rFonts w:hint="eastAsia" w:ascii="宋体" w:hAnsi="宋体" w:cs="Courier New"/>
                <w:b/>
                <w:color w:val="auto"/>
                <w:sz w:val="21"/>
                <w:szCs w:val="21"/>
                <w:highlight w:val="none"/>
              </w:rPr>
              <w:t>A：投标</w:t>
            </w:r>
            <w:r>
              <w:rPr>
                <w:rFonts w:hint="eastAsia" w:ascii="宋体" w:hAnsi="宋体" w:cs="Courier New"/>
                <w:b/>
                <w:color w:val="auto"/>
                <w:sz w:val="21"/>
                <w:szCs w:val="21"/>
                <w:highlight w:val="none"/>
                <w:lang w:eastAsia="zh-CN"/>
              </w:rPr>
              <w:t>报价</w:t>
            </w:r>
            <w:r>
              <w:rPr>
                <w:rFonts w:hint="eastAsia" w:ascii="宋体" w:hAnsi="宋体" w:cs="Courier New"/>
                <w:b/>
                <w:color w:val="auto"/>
                <w:sz w:val="21"/>
                <w:szCs w:val="21"/>
                <w:highlight w:val="none"/>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8" w:hRule="atLeast"/>
          <w:jc w:val="center"/>
        </w:trPr>
        <w:tc>
          <w:tcPr>
            <w:tcW w:w="1308" w:type="dxa"/>
            <w:noWrap w:val="0"/>
            <w:vAlign w:val="center"/>
          </w:tcPr>
          <w:p>
            <w:pPr>
              <w:pStyle w:val="26"/>
              <w:snapToGrid w:val="0"/>
              <w:spacing w:line="240" w:lineRule="exact"/>
              <w:jc w:val="center"/>
              <w:rPr>
                <w:rFonts w:hint="eastAsia" w:ascii="宋体" w:hAnsi="宋体" w:eastAsia="宋体" w:cs="Courier New"/>
                <w:color w:val="auto"/>
                <w:sz w:val="21"/>
                <w:szCs w:val="21"/>
                <w:highlight w:val="none"/>
                <w:lang w:eastAsia="zh-CN"/>
              </w:rPr>
            </w:pPr>
            <w:r>
              <w:rPr>
                <w:rFonts w:hint="eastAsia" w:ascii="宋体" w:hAnsi="宋体" w:cs="Courier New"/>
                <w:color w:val="auto"/>
                <w:sz w:val="21"/>
                <w:szCs w:val="21"/>
                <w:highlight w:val="none"/>
                <w:lang w:eastAsia="zh-CN"/>
              </w:rPr>
              <w:t>报价</w:t>
            </w:r>
          </w:p>
        </w:tc>
        <w:tc>
          <w:tcPr>
            <w:tcW w:w="5577" w:type="dxa"/>
            <w:noWrap w:val="0"/>
            <w:vAlign w:val="center"/>
          </w:tcPr>
          <w:p>
            <w:pPr>
              <w:pStyle w:val="26"/>
              <w:snapToGrid w:val="0"/>
              <w:spacing w:line="240" w:lineRule="exact"/>
              <w:rPr>
                <w:rFonts w:hint="eastAsia" w:ascii="宋体" w:hAnsi="宋体" w:cs="Courier New"/>
                <w:color w:val="auto"/>
                <w:sz w:val="21"/>
                <w:szCs w:val="21"/>
                <w:highlight w:val="none"/>
              </w:rPr>
            </w:pPr>
            <w:r>
              <w:rPr>
                <w:rFonts w:hint="eastAsia" w:ascii="宋体" w:hAnsi="宋体" w:cs="Courier New"/>
                <w:b/>
                <w:color w:val="auto"/>
                <w:sz w:val="21"/>
                <w:szCs w:val="21"/>
                <w:highlight w:val="none"/>
              </w:rPr>
              <w:t>投标报价得分=(评标基准价/</w:t>
            </w:r>
            <w:r>
              <w:rPr>
                <w:rFonts w:hint="eastAsia" w:ascii="宋体" w:hAnsi="宋体" w:cs="Courier New"/>
                <w:b/>
                <w:color w:val="auto"/>
                <w:kern w:val="0"/>
                <w:sz w:val="21"/>
                <w:szCs w:val="21"/>
                <w:highlight w:val="none"/>
              </w:rPr>
              <w:t>修正后</w:t>
            </w:r>
            <w:r>
              <w:rPr>
                <w:rFonts w:hint="eastAsia" w:ascii="宋体" w:hAnsi="宋体" w:cs="Courier New"/>
                <w:b/>
                <w:color w:val="auto"/>
                <w:sz w:val="21"/>
                <w:szCs w:val="21"/>
                <w:highlight w:val="none"/>
              </w:rPr>
              <w:t>投标报价)×</w:t>
            </w:r>
            <w:r>
              <w:rPr>
                <w:rFonts w:hint="eastAsia" w:ascii="宋体" w:hAnsi="宋体" w:cs="Courier New"/>
                <w:b/>
                <w:color w:val="auto"/>
                <w:sz w:val="21"/>
                <w:szCs w:val="21"/>
                <w:highlight w:val="none"/>
                <w:lang w:val="en-US" w:eastAsia="zh-CN"/>
              </w:rPr>
              <w:t>最大分值</w:t>
            </w:r>
          </w:p>
          <w:p>
            <w:pPr>
              <w:pStyle w:val="26"/>
              <w:snapToGrid w:val="0"/>
              <w:spacing w:line="240" w:lineRule="exact"/>
              <w:rPr>
                <w:rFonts w:hint="eastAsia" w:ascii="宋体" w:hAnsi="宋体" w:cs="Courier New"/>
                <w:color w:val="auto"/>
                <w:sz w:val="21"/>
                <w:szCs w:val="21"/>
                <w:highlight w:val="none"/>
              </w:rPr>
            </w:pPr>
            <w:r>
              <w:rPr>
                <w:rFonts w:hint="eastAsia" w:ascii="宋体" w:hAnsi="宋体" w:cs="Courier New"/>
                <w:color w:val="auto"/>
                <w:sz w:val="21"/>
                <w:szCs w:val="21"/>
                <w:highlight w:val="none"/>
              </w:rPr>
              <w:t>备注：</w:t>
            </w:r>
          </w:p>
          <w:p>
            <w:pPr>
              <w:pStyle w:val="26"/>
              <w:snapToGrid w:val="0"/>
              <w:spacing w:line="240" w:lineRule="exact"/>
              <w:rPr>
                <w:rFonts w:hint="eastAsia" w:ascii="宋体" w:hAnsi="宋体" w:cs="Courier New"/>
                <w:color w:val="auto"/>
                <w:kern w:val="0"/>
                <w:sz w:val="21"/>
                <w:szCs w:val="21"/>
                <w:highlight w:val="none"/>
              </w:rPr>
            </w:pPr>
            <w:r>
              <w:rPr>
                <w:rFonts w:hint="eastAsia" w:ascii="宋体" w:hAnsi="宋体" w:cs="Courier New"/>
                <w:color w:val="auto"/>
                <w:kern w:val="0"/>
                <w:sz w:val="21"/>
                <w:szCs w:val="21"/>
                <w:highlight w:val="none"/>
              </w:rPr>
              <w:t>1.投标</w:t>
            </w:r>
            <w:r>
              <w:rPr>
                <w:rFonts w:hint="eastAsia" w:ascii="宋体" w:hAnsi="宋体" w:cs="Courier New"/>
                <w:color w:val="auto"/>
                <w:kern w:val="0"/>
                <w:sz w:val="21"/>
                <w:szCs w:val="21"/>
                <w:highlight w:val="none"/>
                <w:lang w:eastAsia="zh-CN"/>
              </w:rPr>
              <w:t>报价</w:t>
            </w:r>
            <w:r>
              <w:rPr>
                <w:rFonts w:hint="eastAsia" w:ascii="宋体" w:hAnsi="宋体" w:cs="Courier New"/>
                <w:color w:val="auto"/>
                <w:kern w:val="0"/>
                <w:sz w:val="21"/>
                <w:szCs w:val="21"/>
                <w:highlight w:val="none"/>
              </w:rPr>
              <w:t>评分采用低价优先法计算；</w:t>
            </w:r>
          </w:p>
          <w:p>
            <w:pPr>
              <w:pStyle w:val="26"/>
              <w:snapToGrid w:val="0"/>
              <w:spacing w:line="240" w:lineRule="exact"/>
              <w:rPr>
                <w:rFonts w:hint="eastAsia" w:ascii="宋体" w:hAnsi="宋体" w:cs="Courier New"/>
                <w:color w:val="auto"/>
                <w:kern w:val="0"/>
                <w:sz w:val="21"/>
                <w:szCs w:val="21"/>
                <w:highlight w:val="none"/>
              </w:rPr>
            </w:pPr>
            <w:r>
              <w:rPr>
                <w:rFonts w:hint="eastAsia" w:ascii="宋体" w:hAnsi="宋体" w:cs="Courier New"/>
                <w:color w:val="auto"/>
                <w:kern w:val="0"/>
                <w:sz w:val="21"/>
                <w:szCs w:val="21"/>
                <w:highlight w:val="none"/>
              </w:rPr>
              <w:t>2.评标基准价：满足招标文件要求且经算术修正，依据政府采购政策进行价格扣除后的有效最低报价为评标基准价；</w:t>
            </w:r>
          </w:p>
          <w:p>
            <w:pPr>
              <w:pStyle w:val="26"/>
              <w:snapToGrid w:val="0"/>
              <w:spacing w:line="240" w:lineRule="exact"/>
              <w:rPr>
                <w:rFonts w:hint="default" w:ascii="宋体" w:hAnsi="宋体" w:eastAsia="宋体" w:cs="Courier New"/>
                <w:color w:val="auto"/>
                <w:kern w:val="0"/>
                <w:sz w:val="21"/>
                <w:szCs w:val="21"/>
                <w:highlight w:val="none"/>
                <w:lang w:val="en-US" w:eastAsia="zh-CN"/>
              </w:rPr>
            </w:pPr>
            <w:r>
              <w:rPr>
                <w:rFonts w:hint="eastAsia" w:ascii="宋体" w:hAnsi="宋体" w:cs="Courier New"/>
                <w:color w:val="auto"/>
                <w:kern w:val="0"/>
                <w:sz w:val="21"/>
                <w:szCs w:val="21"/>
                <w:highlight w:val="none"/>
              </w:rPr>
              <w:t>3.修正后投标报价：评标委员会以开标一览表中投标报价为基础，对其进行算术修正，依据政府采购政策进行价格扣除后，作为投标报价计算的依据。</w:t>
            </w:r>
          </w:p>
        </w:tc>
        <w:tc>
          <w:tcPr>
            <w:tcW w:w="876" w:type="dxa"/>
            <w:noWrap w:val="0"/>
            <w:vAlign w:val="center"/>
          </w:tcPr>
          <w:p>
            <w:pPr>
              <w:pStyle w:val="26"/>
              <w:snapToGrid w:val="0"/>
              <w:spacing w:line="240" w:lineRule="exact"/>
              <w:jc w:val="center"/>
              <w:rPr>
                <w:rFonts w:ascii="宋体" w:hAnsi="宋体" w:cs="Courier New"/>
                <w:color w:val="auto"/>
                <w:sz w:val="21"/>
                <w:szCs w:val="21"/>
                <w:highlight w:val="none"/>
              </w:rPr>
            </w:pPr>
            <w:r>
              <w:rPr>
                <w:rFonts w:hint="eastAsia" w:ascii="宋体" w:hAnsi="宋体" w:cs="Courier New"/>
                <w:color w:val="auto"/>
                <w:sz w:val="21"/>
                <w:szCs w:val="21"/>
                <w:highlight w:val="none"/>
                <w:lang w:val="en-US" w:eastAsia="zh-CN"/>
              </w:rPr>
              <w:t>0-30</w:t>
            </w:r>
            <w:r>
              <w:rPr>
                <w:rFonts w:hint="eastAsia" w:ascii="宋体" w:hAnsi="宋体" w:cs="Courier New"/>
                <w:color w:val="auto"/>
                <w:sz w:val="21"/>
                <w:szCs w:val="21"/>
                <w:highlight w:val="none"/>
              </w:rPr>
              <w:t>分</w:t>
            </w:r>
          </w:p>
        </w:tc>
        <w:tc>
          <w:tcPr>
            <w:tcW w:w="1106" w:type="dxa"/>
            <w:noWrap w:val="0"/>
            <w:vAlign w:val="center"/>
          </w:tcPr>
          <w:p>
            <w:pPr>
              <w:pStyle w:val="26"/>
              <w:snapToGrid w:val="0"/>
              <w:spacing w:line="240" w:lineRule="exact"/>
              <w:jc w:val="center"/>
              <w:rPr>
                <w:rFonts w:ascii="宋体" w:hAnsi="宋体" w:cs="Courier New"/>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8867" w:type="dxa"/>
            <w:gridSpan w:val="4"/>
            <w:noWrap w:val="0"/>
            <w:vAlign w:val="center"/>
          </w:tcPr>
          <w:p>
            <w:pPr>
              <w:pStyle w:val="26"/>
              <w:snapToGrid w:val="0"/>
              <w:spacing w:line="240" w:lineRule="exact"/>
              <w:rPr>
                <w:rFonts w:ascii="宋体" w:hAnsi="宋体" w:cs="Courier New"/>
                <w:b/>
                <w:color w:val="auto"/>
                <w:sz w:val="21"/>
                <w:szCs w:val="21"/>
                <w:highlight w:val="none"/>
              </w:rPr>
            </w:pPr>
            <w:r>
              <w:rPr>
                <w:rFonts w:hint="eastAsia" w:ascii="宋体" w:hAnsi="宋体" w:cs="Courier New"/>
                <w:b/>
                <w:color w:val="auto"/>
                <w:sz w:val="21"/>
                <w:szCs w:val="21"/>
                <w:highlight w:val="none"/>
              </w:rPr>
              <w:t>B：</w:t>
            </w:r>
            <w:r>
              <w:rPr>
                <w:rFonts w:hint="eastAsia" w:ascii="宋体" w:hAnsi="宋体" w:cs="Courier New"/>
                <w:b/>
                <w:color w:val="auto"/>
                <w:sz w:val="21"/>
                <w:szCs w:val="21"/>
                <w:highlight w:val="none"/>
                <w:lang w:eastAsia="zh-CN"/>
              </w:rPr>
              <w:t>技术</w:t>
            </w:r>
            <w:r>
              <w:rPr>
                <w:rFonts w:hint="eastAsia" w:ascii="宋体" w:hAnsi="宋体" w:cs="Courier New"/>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08" w:type="dxa"/>
            <w:noWrap w:val="0"/>
            <w:vAlign w:val="center"/>
          </w:tcPr>
          <w:p>
            <w:pPr>
              <w:spacing w:line="240" w:lineRule="exact"/>
              <w:jc w:val="center"/>
              <w:rPr>
                <w:rFonts w:hint="eastAsia" w:hAnsi="宋体" w:eastAsia="宋体"/>
                <w:color w:val="auto"/>
                <w:highlight w:val="none"/>
              </w:rPr>
            </w:pPr>
            <w:r>
              <w:rPr>
                <w:rFonts w:hint="eastAsia" w:hAnsi="宋体"/>
                <w:color w:val="auto"/>
                <w:highlight w:val="none"/>
                <w:lang w:val="en-US" w:eastAsia="zh-CN"/>
              </w:rPr>
              <w:t>1、投标产品技术参数响应程度</w:t>
            </w:r>
          </w:p>
        </w:tc>
        <w:tc>
          <w:tcPr>
            <w:tcW w:w="5577" w:type="dxa"/>
            <w:noWrap w:val="0"/>
            <w:vAlign w:val="center"/>
          </w:tcPr>
          <w:p>
            <w:pPr>
              <w:pStyle w:val="26"/>
              <w:snapToGrid w:val="0"/>
              <w:spacing w:line="280" w:lineRule="exact"/>
              <w:rPr>
                <w:rFonts w:hint="default" w:ascii="宋体" w:hAnsi="宋体" w:cs="Courier New"/>
                <w:color w:val="auto"/>
                <w:sz w:val="21"/>
                <w:szCs w:val="21"/>
                <w:highlight w:val="none"/>
                <w:lang w:val="en-US" w:eastAsia="zh-CN"/>
              </w:rPr>
            </w:pPr>
            <w:r>
              <w:rPr>
                <w:rFonts w:hint="default" w:ascii="宋体" w:hAnsi="宋体" w:cs="Courier New"/>
                <w:color w:val="auto"/>
                <w:sz w:val="21"/>
                <w:szCs w:val="21"/>
                <w:highlight w:val="none"/>
                <w:lang w:val="en-US" w:eastAsia="zh-CN"/>
              </w:rPr>
              <w:t>（1）采购需求中非标“★”且标红条款的技术参数要求无偏离的得1</w:t>
            </w:r>
            <w:r>
              <w:rPr>
                <w:rFonts w:hint="eastAsia" w:ascii="宋体" w:hAnsi="宋体" w:cs="Courier New"/>
                <w:color w:val="auto"/>
                <w:sz w:val="21"/>
                <w:szCs w:val="21"/>
                <w:highlight w:val="none"/>
                <w:lang w:val="en-US" w:eastAsia="zh-CN"/>
              </w:rPr>
              <w:t>5</w:t>
            </w:r>
            <w:r>
              <w:rPr>
                <w:rFonts w:hint="default" w:ascii="宋体" w:hAnsi="宋体" w:cs="Courier New"/>
                <w:color w:val="auto"/>
                <w:sz w:val="21"/>
                <w:szCs w:val="21"/>
                <w:highlight w:val="none"/>
                <w:lang w:val="en-US" w:eastAsia="zh-CN"/>
              </w:rPr>
              <w:t>分；</w:t>
            </w:r>
          </w:p>
          <w:p>
            <w:pPr>
              <w:pStyle w:val="26"/>
              <w:snapToGrid w:val="0"/>
              <w:spacing w:line="280" w:lineRule="exact"/>
              <w:rPr>
                <w:rFonts w:hint="default" w:ascii="宋体" w:hAnsi="宋体" w:cs="Courier New"/>
                <w:color w:val="auto"/>
                <w:sz w:val="21"/>
                <w:szCs w:val="21"/>
                <w:highlight w:val="none"/>
                <w:lang w:val="en-US" w:eastAsia="zh-CN"/>
              </w:rPr>
            </w:pPr>
            <w:r>
              <w:rPr>
                <w:rFonts w:hint="default" w:ascii="宋体" w:hAnsi="宋体" w:cs="Courier New"/>
                <w:color w:val="auto"/>
                <w:sz w:val="21"/>
                <w:szCs w:val="21"/>
                <w:highlight w:val="none"/>
                <w:lang w:val="en-US" w:eastAsia="zh-CN"/>
              </w:rPr>
              <w:t>（2）采购需求中非标“★”且标红条款的技术参数要求优于文件要求，每出现1条以上情形加0.5分，最多加</w:t>
            </w:r>
            <w:r>
              <w:rPr>
                <w:rFonts w:hint="eastAsia" w:ascii="宋体" w:hAnsi="宋体" w:cs="Courier New"/>
                <w:color w:val="auto"/>
                <w:sz w:val="21"/>
                <w:szCs w:val="21"/>
                <w:highlight w:val="none"/>
                <w:lang w:val="en-US" w:eastAsia="zh-CN"/>
              </w:rPr>
              <w:t>5</w:t>
            </w:r>
            <w:r>
              <w:rPr>
                <w:rFonts w:hint="default" w:ascii="宋体" w:hAnsi="宋体" w:cs="Courier New"/>
                <w:color w:val="auto"/>
                <w:sz w:val="21"/>
                <w:szCs w:val="21"/>
                <w:highlight w:val="none"/>
                <w:lang w:val="en-US" w:eastAsia="zh-CN"/>
              </w:rPr>
              <w:t>分；（</w:t>
            </w:r>
            <w:r>
              <w:rPr>
                <w:rFonts w:hint="eastAsia" w:ascii="宋体" w:hAnsi="宋体" w:cs="Courier New"/>
                <w:color w:val="auto"/>
                <w:sz w:val="21"/>
                <w:szCs w:val="21"/>
                <w:highlight w:val="none"/>
                <w:lang w:val="en-US" w:eastAsia="zh-CN"/>
              </w:rPr>
              <w:t>以上</w:t>
            </w:r>
            <w:r>
              <w:rPr>
                <w:rFonts w:hint="default" w:ascii="宋体" w:hAnsi="宋体" w:cs="Courier New"/>
                <w:color w:val="auto"/>
                <w:sz w:val="21"/>
                <w:szCs w:val="21"/>
                <w:highlight w:val="none"/>
                <w:lang w:val="en-US" w:eastAsia="zh-CN"/>
              </w:rPr>
              <w:t>两项评分最高得</w:t>
            </w:r>
            <w:r>
              <w:rPr>
                <w:rFonts w:hint="eastAsia" w:ascii="宋体" w:hAnsi="宋体" w:cs="Courier New"/>
                <w:color w:val="auto"/>
                <w:sz w:val="21"/>
                <w:szCs w:val="21"/>
                <w:highlight w:val="none"/>
                <w:lang w:val="en-US" w:eastAsia="zh-CN"/>
              </w:rPr>
              <w:t>20</w:t>
            </w:r>
            <w:r>
              <w:rPr>
                <w:rFonts w:hint="default" w:ascii="宋体" w:hAnsi="宋体" w:cs="Courier New"/>
                <w:color w:val="auto"/>
                <w:sz w:val="21"/>
                <w:szCs w:val="21"/>
                <w:highlight w:val="none"/>
                <w:lang w:val="en-US" w:eastAsia="zh-CN"/>
              </w:rPr>
              <w:t>分）</w:t>
            </w:r>
          </w:p>
          <w:p>
            <w:pPr>
              <w:pStyle w:val="26"/>
              <w:snapToGrid w:val="0"/>
              <w:spacing w:line="280" w:lineRule="exact"/>
              <w:rPr>
                <w:rFonts w:hint="default" w:ascii="宋体" w:hAnsi="宋体" w:cs="Courier New"/>
                <w:color w:val="auto"/>
                <w:sz w:val="21"/>
                <w:szCs w:val="21"/>
                <w:highlight w:val="none"/>
                <w:lang w:val="en-US" w:eastAsia="zh-CN"/>
              </w:rPr>
            </w:pPr>
            <w:r>
              <w:rPr>
                <w:rFonts w:hint="default" w:ascii="宋体" w:hAnsi="宋体" w:cs="Courier New"/>
                <w:color w:val="auto"/>
                <w:sz w:val="21"/>
                <w:szCs w:val="21"/>
                <w:highlight w:val="none"/>
                <w:lang w:val="en-US" w:eastAsia="zh-CN"/>
              </w:rPr>
              <w:t>（3）采购需求中非标“★”且标红条款的技术参数要求劣于文件要求、未做应答或缺漏项不足</w:t>
            </w:r>
            <w:r>
              <w:rPr>
                <w:rFonts w:hint="eastAsia" w:ascii="宋体" w:hAnsi="宋体" w:cs="Courier New"/>
                <w:color w:val="auto"/>
                <w:sz w:val="21"/>
                <w:szCs w:val="21"/>
                <w:highlight w:val="none"/>
                <w:lang w:val="en-US" w:eastAsia="zh-CN"/>
              </w:rPr>
              <w:t>15</w:t>
            </w:r>
            <w:r>
              <w:rPr>
                <w:rFonts w:hint="default" w:ascii="宋体" w:hAnsi="宋体" w:cs="Courier New"/>
                <w:color w:val="auto"/>
                <w:sz w:val="21"/>
                <w:szCs w:val="21"/>
                <w:highlight w:val="none"/>
                <w:lang w:val="en-US" w:eastAsia="zh-CN"/>
              </w:rPr>
              <w:t>条的，每出现1条以上情形减1分；</w:t>
            </w:r>
          </w:p>
          <w:p>
            <w:pPr>
              <w:pStyle w:val="26"/>
              <w:snapToGrid w:val="0"/>
              <w:spacing w:line="280" w:lineRule="exact"/>
              <w:rPr>
                <w:rFonts w:hint="default" w:ascii="宋体" w:hAnsi="宋体" w:cs="Courier New"/>
                <w:color w:val="auto"/>
                <w:sz w:val="21"/>
                <w:szCs w:val="21"/>
                <w:highlight w:val="none"/>
                <w:lang w:val="en-US" w:eastAsia="zh-CN"/>
              </w:rPr>
            </w:pPr>
            <w:r>
              <w:rPr>
                <w:rFonts w:hint="default" w:ascii="宋体" w:hAnsi="宋体" w:cs="Courier New"/>
                <w:color w:val="auto"/>
                <w:sz w:val="21"/>
                <w:szCs w:val="21"/>
                <w:highlight w:val="none"/>
                <w:lang w:val="en-US" w:eastAsia="zh-CN"/>
              </w:rPr>
              <w:t>（4）采购需求中非标“★”且标红条款的技术参数要求劣于文件要求或未做应答≥15条的，本项得0分。</w:t>
            </w:r>
          </w:p>
          <w:p>
            <w:pPr>
              <w:pStyle w:val="26"/>
              <w:snapToGrid w:val="0"/>
              <w:spacing w:line="280" w:lineRule="exact"/>
              <w:rPr>
                <w:rFonts w:hint="eastAsia" w:ascii="宋体" w:hAnsi="宋体" w:eastAsia="宋体" w:cs="Courier New"/>
                <w:color w:val="auto"/>
                <w:sz w:val="21"/>
                <w:szCs w:val="21"/>
                <w:highlight w:val="none"/>
                <w:lang w:val="en-US" w:eastAsia="zh-CN"/>
              </w:rPr>
            </w:pPr>
            <w:r>
              <w:rPr>
                <w:rFonts w:hint="eastAsia" w:ascii="宋体" w:hAnsi="宋体" w:cs="Courier New"/>
                <w:color w:val="auto"/>
                <w:sz w:val="21"/>
                <w:szCs w:val="21"/>
                <w:highlight w:val="none"/>
                <w:lang w:val="en-US" w:eastAsia="zh-CN"/>
              </w:rPr>
              <w:t>注：提供《参数偏离表》《投标报价明细表》，</w:t>
            </w:r>
            <w:r>
              <w:rPr>
                <w:rFonts w:hint="eastAsia" w:ascii="宋体" w:hAnsi="宋体" w:cs="Courier New"/>
                <w:b/>
                <w:bCs/>
                <w:color w:val="auto"/>
                <w:sz w:val="21"/>
                <w:szCs w:val="21"/>
                <w:highlight w:val="none"/>
                <w:lang w:val="en-US" w:eastAsia="zh-CN"/>
              </w:rPr>
              <w:t>且“投标文件响应参数”与“投标参数”内容一致。两表参数内容不一致或“偏离说明</w:t>
            </w:r>
            <w:r>
              <w:rPr>
                <w:rFonts w:hint="default" w:ascii="宋体" w:hAnsi="宋体" w:cs="Courier New"/>
                <w:b/>
                <w:bCs/>
                <w:color w:val="auto"/>
                <w:sz w:val="21"/>
                <w:szCs w:val="21"/>
                <w:highlight w:val="none"/>
                <w:lang w:val="en-US" w:eastAsia="zh-CN"/>
              </w:rPr>
              <w:t>”</w:t>
            </w:r>
            <w:r>
              <w:rPr>
                <w:rFonts w:hint="eastAsia" w:ascii="宋体" w:hAnsi="宋体" w:cs="Courier New"/>
                <w:b/>
                <w:bCs/>
                <w:color w:val="auto"/>
                <w:sz w:val="21"/>
                <w:szCs w:val="21"/>
                <w:highlight w:val="none"/>
                <w:lang w:val="en-US" w:eastAsia="zh-CN"/>
              </w:rPr>
              <w:t>栏填写内容与实际偏离情况不符</w:t>
            </w:r>
            <w:r>
              <w:rPr>
                <w:rFonts w:hint="eastAsia" w:ascii="宋体" w:hAnsi="宋体" w:cs="Courier New"/>
                <w:color w:val="auto"/>
                <w:sz w:val="21"/>
                <w:szCs w:val="21"/>
                <w:highlight w:val="none"/>
                <w:lang w:val="en-US" w:eastAsia="zh-CN"/>
              </w:rPr>
              <w:t>，此项不得分。</w:t>
            </w:r>
          </w:p>
        </w:tc>
        <w:tc>
          <w:tcPr>
            <w:tcW w:w="876" w:type="dxa"/>
            <w:noWrap w:val="0"/>
            <w:vAlign w:val="center"/>
          </w:tcPr>
          <w:p>
            <w:pPr>
              <w:pStyle w:val="33"/>
              <w:snapToGrid w:val="0"/>
              <w:spacing w:line="240" w:lineRule="exact"/>
              <w:jc w:val="center"/>
              <w:rPr>
                <w:rFonts w:hint="eastAsia" w:ascii="宋体" w:hAnsi="宋体"/>
                <w:bCs/>
                <w:color w:val="auto"/>
                <w:sz w:val="21"/>
                <w:szCs w:val="21"/>
                <w:highlight w:val="none"/>
                <w:lang w:val="en-US" w:eastAsia="zh-CN"/>
              </w:rPr>
            </w:pPr>
            <w:r>
              <w:rPr>
                <w:rFonts w:hint="eastAsia" w:ascii="宋体" w:hAnsi="宋体" w:cs="Courier New"/>
                <w:b w:val="0"/>
                <w:color w:val="auto"/>
                <w:sz w:val="21"/>
                <w:szCs w:val="21"/>
                <w:highlight w:val="none"/>
                <w:lang w:val="en-US" w:eastAsia="zh-CN"/>
              </w:rPr>
              <w:t>0-20</w:t>
            </w:r>
            <w:r>
              <w:rPr>
                <w:rFonts w:hint="eastAsia" w:ascii="宋体" w:hAnsi="宋体" w:cs="Courier New"/>
                <w:b w:val="0"/>
                <w:color w:val="auto"/>
                <w:sz w:val="21"/>
                <w:szCs w:val="21"/>
                <w:highlight w:val="none"/>
              </w:rPr>
              <w:t>分</w:t>
            </w:r>
          </w:p>
        </w:tc>
        <w:tc>
          <w:tcPr>
            <w:tcW w:w="1106" w:type="dxa"/>
            <w:noWrap w:val="0"/>
            <w:vAlign w:val="center"/>
          </w:tcPr>
          <w:p>
            <w:pPr>
              <w:pStyle w:val="26"/>
              <w:snapToGrid w:val="0"/>
              <w:spacing w:line="2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5" w:hRule="atLeast"/>
          <w:jc w:val="center"/>
        </w:trPr>
        <w:tc>
          <w:tcPr>
            <w:tcW w:w="1308" w:type="dxa"/>
            <w:noWrap w:val="0"/>
            <w:vAlign w:val="center"/>
          </w:tcPr>
          <w:p>
            <w:pPr>
              <w:spacing w:line="240" w:lineRule="exact"/>
              <w:rPr>
                <w:rFonts w:hint="eastAsia" w:hAnsi="宋体" w:eastAsia="宋体"/>
                <w:color w:val="auto"/>
                <w:highlight w:val="none"/>
              </w:rPr>
            </w:pPr>
            <w:r>
              <w:rPr>
                <w:rFonts w:hint="eastAsia" w:ascii="宋体" w:hAnsi="宋体"/>
                <w:color w:val="000000"/>
                <w:sz w:val="24"/>
                <w:lang w:val="en-US" w:eastAsia="zh-CN"/>
              </w:rPr>
              <w:t>2、实施方案评价</w:t>
            </w:r>
          </w:p>
        </w:tc>
        <w:tc>
          <w:tcPr>
            <w:tcW w:w="5577" w:type="dxa"/>
            <w:noWrap w:val="0"/>
            <w:vAlign w:val="center"/>
          </w:tcPr>
          <w:p>
            <w:pPr>
              <w:pStyle w:val="26"/>
              <w:snapToGrid w:val="0"/>
              <w:spacing w:line="280" w:lineRule="exact"/>
              <w:rPr>
                <w:rFonts w:hint="default" w:ascii="宋体" w:hAnsi="宋体" w:cs="Courier New"/>
                <w:color w:val="auto"/>
                <w:sz w:val="21"/>
                <w:szCs w:val="21"/>
                <w:highlight w:val="none"/>
                <w:lang w:val="en-US" w:eastAsia="zh-CN"/>
              </w:rPr>
            </w:pPr>
            <w:r>
              <w:rPr>
                <w:rFonts w:hint="default" w:ascii="宋体" w:hAnsi="宋体" w:cs="Courier New"/>
                <w:color w:val="auto"/>
                <w:sz w:val="21"/>
                <w:szCs w:val="21"/>
                <w:highlight w:val="none"/>
                <w:lang w:val="en-US" w:eastAsia="zh-CN"/>
              </w:rPr>
              <w:t>针对本项目特性，根据投标单位对本项目的理解制定实施方案（</w:t>
            </w:r>
            <w:r>
              <w:rPr>
                <w:rFonts w:hint="default" w:ascii="宋体" w:hAnsi="宋体" w:cs="Courier New"/>
                <w:b/>
                <w:bCs/>
                <w:color w:val="auto"/>
                <w:sz w:val="21"/>
                <w:szCs w:val="21"/>
                <w:highlight w:val="none"/>
                <w:lang w:val="en-US" w:eastAsia="zh-CN"/>
              </w:rPr>
              <w:t>包括运输、供货、安装及调试以及工作时间进度表、工作程序和步骤、管理和协调方法、关键步骤的思路和重点要点</w:t>
            </w:r>
            <w:r>
              <w:rPr>
                <w:rFonts w:hint="default" w:ascii="宋体" w:hAnsi="宋体" w:cs="Courier New"/>
                <w:color w:val="auto"/>
                <w:sz w:val="21"/>
                <w:szCs w:val="21"/>
                <w:highlight w:val="none"/>
                <w:lang w:val="en-US" w:eastAsia="zh-CN"/>
              </w:rPr>
              <w:t>）的描述。</w:t>
            </w:r>
          </w:p>
          <w:p>
            <w:pPr>
              <w:pStyle w:val="26"/>
              <w:snapToGrid w:val="0"/>
              <w:spacing w:line="280" w:lineRule="exact"/>
              <w:rPr>
                <w:rFonts w:hint="default" w:ascii="宋体" w:hAnsi="宋体" w:cs="Courier New"/>
                <w:color w:val="auto"/>
                <w:sz w:val="21"/>
                <w:szCs w:val="21"/>
                <w:highlight w:val="none"/>
                <w:lang w:val="en-US" w:eastAsia="zh-CN"/>
              </w:rPr>
            </w:pPr>
            <w:r>
              <w:rPr>
                <w:rFonts w:hint="default" w:ascii="宋体" w:hAnsi="宋体" w:cs="Courier New"/>
                <w:color w:val="auto"/>
                <w:sz w:val="21"/>
                <w:szCs w:val="21"/>
                <w:highlight w:val="none"/>
                <w:lang w:val="en-US" w:eastAsia="zh-CN"/>
              </w:rPr>
              <w:t>①方案内容详细、合理、可实施性强，方案内容涵盖上述全部内容，充分满足采购需求的计1</w:t>
            </w:r>
            <w:r>
              <w:rPr>
                <w:rFonts w:hint="eastAsia" w:ascii="宋体" w:hAnsi="宋体" w:cs="Courier New"/>
                <w:color w:val="auto"/>
                <w:sz w:val="21"/>
                <w:szCs w:val="21"/>
                <w:highlight w:val="none"/>
                <w:lang w:val="en-US" w:eastAsia="zh-CN"/>
              </w:rPr>
              <w:t>2</w:t>
            </w:r>
            <w:r>
              <w:rPr>
                <w:rFonts w:hint="default" w:ascii="宋体" w:hAnsi="宋体" w:cs="Courier New"/>
                <w:color w:val="auto"/>
                <w:sz w:val="21"/>
                <w:szCs w:val="21"/>
                <w:highlight w:val="none"/>
                <w:lang w:val="en-US" w:eastAsia="zh-CN"/>
              </w:rPr>
              <w:t>分；</w:t>
            </w:r>
          </w:p>
          <w:p>
            <w:pPr>
              <w:pStyle w:val="26"/>
              <w:snapToGrid w:val="0"/>
              <w:spacing w:line="280" w:lineRule="exact"/>
              <w:rPr>
                <w:rFonts w:hint="default" w:ascii="宋体" w:hAnsi="宋体" w:cs="Courier New"/>
                <w:color w:val="auto"/>
                <w:sz w:val="21"/>
                <w:szCs w:val="21"/>
                <w:highlight w:val="none"/>
                <w:lang w:val="en-US" w:eastAsia="zh-CN"/>
              </w:rPr>
            </w:pPr>
            <w:r>
              <w:rPr>
                <w:rFonts w:hint="default" w:ascii="宋体" w:hAnsi="宋体" w:cs="Courier New"/>
                <w:color w:val="auto"/>
                <w:sz w:val="21"/>
                <w:szCs w:val="21"/>
                <w:highlight w:val="none"/>
                <w:lang w:val="en-US" w:eastAsia="zh-CN"/>
              </w:rPr>
              <w:t>②方案内容不详细、基本合理、可实施，方案内容有1处漏项或不合理内容，满足采购需求的计</w:t>
            </w:r>
            <w:r>
              <w:rPr>
                <w:rFonts w:hint="eastAsia" w:ascii="宋体" w:hAnsi="宋体" w:cs="Courier New"/>
                <w:color w:val="auto"/>
                <w:sz w:val="21"/>
                <w:szCs w:val="21"/>
                <w:highlight w:val="none"/>
                <w:lang w:val="en-US" w:eastAsia="zh-CN"/>
              </w:rPr>
              <w:t>8</w:t>
            </w:r>
            <w:r>
              <w:rPr>
                <w:rFonts w:hint="default" w:ascii="宋体" w:hAnsi="宋体" w:cs="Courier New"/>
                <w:color w:val="auto"/>
                <w:sz w:val="21"/>
                <w:szCs w:val="21"/>
                <w:highlight w:val="none"/>
                <w:lang w:val="en-US" w:eastAsia="zh-CN"/>
              </w:rPr>
              <w:t>分；</w:t>
            </w:r>
          </w:p>
          <w:p>
            <w:pPr>
              <w:pStyle w:val="26"/>
              <w:snapToGrid w:val="0"/>
              <w:spacing w:line="280" w:lineRule="exact"/>
              <w:rPr>
                <w:rFonts w:hint="default" w:ascii="宋体" w:hAnsi="宋体" w:cs="Courier New"/>
                <w:color w:val="auto"/>
                <w:sz w:val="21"/>
                <w:szCs w:val="21"/>
                <w:highlight w:val="none"/>
                <w:lang w:val="en-US" w:eastAsia="zh-CN"/>
              </w:rPr>
            </w:pPr>
            <w:r>
              <w:rPr>
                <w:rFonts w:hint="default" w:ascii="宋体" w:hAnsi="宋体" w:cs="Courier New"/>
                <w:color w:val="auto"/>
                <w:sz w:val="21"/>
                <w:szCs w:val="21"/>
                <w:highlight w:val="none"/>
                <w:lang w:val="en-US" w:eastAsia="zh-CN"/>
              </w:rPr>
              <w:t>③方案内容基本合理、基本可实施，方案内容有2处漏项或不合理内容，基本满足采购需求的计</w:t>
            </w:r>
            <w:r>
              <w:rPr>
                <w:rFonts w:hint="eastAsia" w:ascii="宋体" w:hAnsi="宋体" w:cs="Courier New"/>
                <w:color w:val="auto"/>
                <w:sz w:val="21"/>
                <w:szCs w:val="21"/>
                <w:highlight w:val="none"/>
                <w:lang w:val="en-US" w:eastAsia="zh-CN"/>
              </w:rPr>
              <w:t>4</w:t>
            </w:r>
            <w:r>
              <w:rPr>
                <w:rFonts w:hint="default" w:ascii="宋体" w:hAnsi="宋体" w:cs="Courier New"/>
                <w:color w:val="auto"/>
                <w:sz w:val="21"/>
                <w:szCs w:val="21"/>
                <w:highlight w:val="none"/>
                <w:lang w:val="en-US" w:eastAsia="zh-CN"/>
              </w:rPr>
              <w:t>分；</w:t>
            </w:r>
          </w:p>
          <w:p>
            <w:pPr>
              <w:pStyle w:val="26"/>
              <w:snapToGrid w:val="0"/>
              <w:spacing w:line="280" w:lineRule="exact"/>
              <w:rPr>
                <w:rFonts w:hint="default" w:ascii="宋体" w:hAnsi="宋体" w:cs="Courier New"/>
                <w:color w:val="auto"/>
                <w:sz w:val="21"/>
                <w:szCs w:val="21"/>
                <w:highlight w:val="none"/>
                <w:lang w:val="en-US" w:eastAsia="zh-CN"/>
              </w:rPr>
            </w:pPr>
            <w:r>
              <w:rPr>
                <w:rFonts w:hint="default" w:ascii="宋体" w:hAnsi="宋体" w:cs="Courier New"/>
                <w:color w:val="auto"/>
                <w:sz w:val="21"/>
                <w:szCs w:val="21"/>
                <w:highlight w:val="none"/>
                <w:lang w:val="en-US" w:eastAsia="zh-CN"/>
              </w:rPr>
              <w:t>④方案内容不完善或不合理、方案内容有3处及以上漏项，无法满足采购需求的计0分；</w:t>
            </w:r>
          </w:p>
          <w:p>
            <w:pPr>
              <w:pStyle w:val="26"/>
              <w:snapToGrid w:val="0"/>
              <w:spacing w:line="280" w:lineRule="exact"/>
              <w:rPr>
                <w:rFonts w:hint="default" w:ascii="宋体" w:hAnsi="宋体" w:cs="Courier New"/>
                <w:color w:val="auto"/>
                <w:sz w:val="21"/>
                <w:szCs w:val="21"/>
                <w:highlight w:val="none"/>
                <w:lang w:val="en-US" w:eastAsia="zh-CN"/>
              </w:rPr>
            </w:pPr>
            <w:r>
              <w:rPr>
                <w:rFonts w:hint="default" w:ascii="宋体" w:hAnsi="宋体" w:cs="Courier New"/>
                <w:color w:val="auto"/>
                <w:sz w:val="21"/>
                <w:szCs w:val="21"/>
                <w:highlight w:val="none"/>
                <w:lang w:val="en-US" w:eastAsia="zh-CN"/>
              </w:rPr>
              <w:t>（</w:t>
            </w:r>
            <w:r>
              <w:rPr>
                <w:rFonts w:hint="default" w:ascii="宋体" w:hAnsi="宋体" w:cs="Courier New"/>
                <w:b/>
                <w:bCs/>
                <w:color w:val="auto"/>
                <w:sz w:val="21"/>
                <w:szCs w:val="21"/>
                <w:highlight w:val="none"/>
                <w:lang w:val="en-US" w:eastAsia="zh-CN"/>
              </w:rPr>
              <w:t>不合理</w:t>
            </w:r>
            <w:r>
              <w:rPr>
                <w:rFonts w:hint="default" w:ascii="宋体" w:hAnsi="宋体" w:cs="Courier New"/>
                <w:color w:val="auto"/>
                <w:sz w:val="21"/>
                <w:szCs w:val="21"/>
                <w:highlight w:val="none"/>
                <w:lang w:val="en-US" w:eastAsia="zh-CN"/>
              </w:rPr>
              <w:t>是指存在不适用项目实际情况的情形、凭空编造、逻辑矛盾或不符合逻辑、科学原理错误以及不可能实现的夸大情形等影响项目实施效率、质量的内容。）</w:t>
            </w:r>
          </w:p>
        </w:tc>
        <w:tc>
          <w:tcPr>
            <w:tcW w:w="876" w:type="dxa"/>
            <w:noWrap w:val="0"/>
            <w:vAlign w:val="center"/>
          </w:tcPr>
          <w:p>
            <w:pPr>
              <w:pStyle w:val="26"/>
              <w:snapToGrid w:val="0"/>
              <w:spacing w:line="280" w:lineRule="exact"/>
              <w:jc w:val="center"/>
              <w:rPr>
                <w:rFonts w:hint="eastAsia" w:ascii="宋体" w:hAnsi="宋体"/>
                <w:bCs/>
                <w:color w:val="auto"/>
                <w:sz w:val="21"/>
                <w:szCs w:val="21"/>
                <w:highlight w:val="none"/>
                <w:lang w:val="en-US" w:eastAsia="zh-CN"/>
              </w:rPr>
            </w:pPr>
            <w:r>
              <w:rPr>
                <w:rFonts w:hint="eastAsia" w:ascii="宋体" w:hAnsi="宋体" w:cs="Courier New"/>
                <w:color w:val="auto"/>
                <w:sz w:val="21"/>
                <w:szCs w:val="21"/>
                <w:highlight w:val="none"/>
                <w:lang w:val="en-US" w:eastAsia="zh-CN"/>
              </w:rPr>
              <w:t>0-12分</w:t>
            </w:r>
          </w:p>
        </w:tc>
        <w:tc>
          <w:tcPr>
            <w:tcW w:w="1106" w:type="dxa"/>
            <w:noWrap w:val="0"/>
            <w:vAlign w:val="center"/>
          </w:tcPr>
          <w:p>
            <w:pPr>
              <w:pStyle w:val="26"/>
              <w:snapToGrid w:val="0"/>
              <w:spacing w:line="2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1308" w:type="dxa"/>
            <w:noWrap w:val="0"/>
            <w:vAlign w:val="center"/>
          </w:tcPr>
          <w:p>
            <w:pPr>
              <w:spacing w:line="240" w:lineRule="exact"/>
              <w:rPr>
                <w:rFonts w:hint="eastAsia" w:hAnsi="宋体" w:eastAsia="宋体"/>
                <w:color w:val="auto"/>
                <w:highlight w:val="none"/>
              </w:rPr>
            </w:pPr>
            <w:r>
              <w:rPr>
                <w:rFonts w:hint="eastAsia" w:hAnsi="宋体"/>
                <w:color w:val="auto"/>
                <w:highlight w:val="none"/>
                <w:lang w:val="en-US" w:eastAsia="zh-CN"/>
              </w:rPr>
              <w:t>3、布局设计</w:t>
            </w:r>
          </w:p>
        </w:tc>
        <w:tc>
          <w:tcPr>
            <w:tcW w:w="5577" w:type="dxa"/>
            <w:noWrap w:val="0"/>
            <w:vAlign w:val="center"/>
          </w:tcPr>
          <w:p>
            <w:pPr>
              <w:pStyle w:val="26"/>
              <w:snapToGrid w:val="0"/>
              <w:spacing w:line="280" w:lineRule="exact"/>
              <w:rPr>
                <w:rFonts w:hint="eastAsia" w:ascii="宋体" w:hAnsi="宋体" w:eastAsia="宋体" w:cs="Courier New"/>
                <w:color w:val="auto"/>
                <w:sz w:val="21"/>
                <w:szCs w:val="21"/>
                <w:highlight w:val="none"/>
                <w:lang w:val="en-US" w:eastAsia="zh-CN"/>
              </w:rPr>
            </w:pPr>
            <w:r>
              <w:rPr>
                <w:rFonts w:hint="eastAsia" w:ascii="宋体" w:hAnsi="宋体" w:eastAsia="宋体" w:cs="Courier New"/>
                <w:color w:val="auto"/>
                <w:sz w:val="21"/>
                <w:szCs w:val="21"/>
                <w:highlight w:val="none"/>
                <w:lang w:val="en-US" w:eastAsia="zh-CN"/>
              </w:rPr>
              <w:t>投标人根据平面草图对相关设施设备布局提供实验室、准备室设备安装平面布局图、效果图。</w:t>
            </w:r>
          </w:p>
          <w:p>
            <w:pPr>
              <w:pStyle w:val="26"/>
              <w:snapToGrid w:val="0"/>
              <w:spacing w:line="280" w:lineRule="exact"/>
              <w:rPr>
                <w:rFonts w:hint="eastAsia" w:ascii="宋体" w:hAnsi="宋体" w:eastAsia="宋体" w:cs="Courier New"/>
                <w:color w:val="auto"/>
                <w:sz w:val="21"/>
                <w:szCs w:val="21"/>
                <w:highlight w:val="none"/>
                <w:lang w:val="en-US" w:eastAsia="zh-CN"/>
              </w:rPr>
            </w:pPr>
            <w:r>
              <w:rPr>
                <w:rFonts w:hint="eastAsia" w:ascii="宋体" w:hAnsi="宋体" w:eastAsia="宋体" w:cs="Courier New"/>
                <w:color w:val="auto"/>
                <w:sz w:val="21"/>
                <w:szCs w:val="21"/>
                <w:highlight w:val="none"/>
                <w:lang w:val="en-US" w:eastAsia="zh-CN"/>
              </w:rPr>
              <w:t>（1）设备安装平面布局图、效果图合理、可行性高，无漏项的8分；</w:t>
            </w:r>
          </w:p>
          <w:p>
            <w:pPr>
              <w:pStyle w:val="26"/>
              <w:snapToGrid w:val="0"/>
              <w:spacing w:line="280" w:lineRule="exact"/>
              <w:rPr>
                <w:rFonts w:hint="eastAsia" w:ascii="宋体" w:hAnsi="宋体" w:eastAsia="宋体" w:cs="Courier New"/>
                <w:color w:val="auto"/>
                <w:sz w:val="21"/>
                <w:szCs w:val="21"/>
                <w:highlight w:val="none"/>
                <w:lang w:val="en-US" w:eastAsia="zh-CN"/>
              </w:rPr>
            </w:pPr>
            <w:r>
              <w:rPr>
                <w:rFonts w:hint="eastAsia" w:ascii="宋体" w:hAnsi="宋体" w:eastAsia="宋体" w:cs="Courier New"/>
                <w:color w:val="auto"/>
                <w:sz w:val="21"/>
                <w:szCs w:val="21"/>
                <w:highlight w:val="none"/>
                <w:lang w:val="en-US" w:eastAsia="zh-CN"/>
              </w:rPr>
              <w:t>（2）实验室设备安装平面布局图基本合理，效果图一般，布设内容有1处漏项的得5分；</w:t>
            </w:r>
          </w:p>
          <w:p>
            <w:pPr>
              <w:pStyle w:val="26"/>
              <w:snapToGrid w:val="0"/>
              <w:spacing w:line="280" w:lineRule="exact"/>
              <w:rPr>
                <w:rFonts w:hint="eastAsia" w:ascii="宋体" w:hAnsi="宋体" w:eastAsia="宋体" w:cs="Courier New"/>
                <w:color w:val="auto"/>
                <w:sz w:val="21"/>
                <w:szCs w:val="21"/>
                <w:highlight w:val="none"/>
                <w:lang w:val="en-US" w:eastAsia="zh-CN"/>
              </w:rPr>
            </w:pPr>
            <w:r>
              <w:rPr>
                <w:rFonts w:hint="eastAsia" w:ascii="宋体" w:hAnsi="宋体" w:eastAsia="宋体" w:cs="Courier New"/>
                <w:color w:val="auto"/>
                <w:sz w:val="21"/>
                <w:szCs w:val="21"/>
                <w:highlight w:val="none"/>
                <w:lang w:val="en-US" w:eastAsia="zh-CN"/>
              </w:rPr>
              <w:t>（3）实验室设备安装平面布局图基本合理，效果图一般，布设内容有2-3处漏项的得2分；</w:t>
            </w:r>
          </w:p>
          <w:p>
            <w:pPr>
              <w:pStyle w:val="26"/>
              <w:snapToGrid w:val="0"/>
              <w:spacing w:line="280" w:lineRule="exact"/>
              <w:rPr>
                <w:rFonts w:hint="eastAsia" w:ascii="宋体" w:hAnsi="宋体" w:eastAsia="宋体" w:cs="Courier New"/>
                <w:color w:val="auto"/>
                <w:sz w:val="21"/>
                <w:szCs w:val="21"/>
                <w:highlight w:val="none"/>
                <w:lang w:val="en-US" w:eastAsia="zh-CN"/>
              </w:rPr>
            </w:pPr>
            <w:r>
              <w:rPr>
                <w:rFonts w:hint="eastAsia" w:ascii="宋体" w:hAnsi="宋体" w:eastAsia="宋体" w:cs="Courier New"/>
                <w:color w:val="auto"/>
                <w:sz w:val="21"/>
                <w:szCs w:val="21"/>
                <w:highlight w:val="none"/>
                <w:lang w:val="en-US" w:eastAsia="zh-CN"/>
              </w:rPr>
              <w:t>（4）不合理或不提供不得分。</w:t>
            </w:r>
          </w:p>
          <w:p>
            <w:pPr>
              <w:pStyle w:val="26"/>
              <w:snapToGrid w:val="0"/>
              <w:spacing w:line="280" w:lineRule="exact"/>
              <w:rPr>
                <w:rFonts w:hint="default" w:ascii="宋体" w:hAnsi="宋体" w:eastAsia="宋体" w:cs="Courier New"/>
                <w:color w:val="auto"/>
                <w:sz w:val="21"/>
                <w:szCs w:val="21"/>
                <w:highlight w:val="none"/>
                <w:lang w:val="en-US" w:eastAsia="zh-CN"/>
              </w:rPr>
            </w:pPr>
            <w:r>
              <w:rPr>
                <w:rFonts w:hint="eastAsia" w:ascii="宋体" w:hAnsi="宋体" w:cs="Courier New"/>
                <w:color w:val="auto"/>
                <w:sz w:val="21"/>
                <w:szCs w:val="21"/>
                <w:highlight w:val="none"/>
                <w:lang w:val="en-US" w:eastAsia="zh-CN"/>
              </w:rPr>
              <w:t>注：</w:t>
            </w:r>
            <w:r>
              <w:rPr>
                <w:rFonts w:hint="eastAsia" w:ascii="宋体" w:hAnsi="宋体" w:cs="Courier New"/>
                <w:b/>
                <w:bCs/>
                <w:color w:val="auto"/>
                <w:sz w:val="21"/>
                <w:szCs w:val="21"/>
                <w:highlight w:val="none"/>
                <w:lang w:val="en-US" w:eastAsia="zh-CN"/>
              </w:rPr>
              <w:t>漏项</w:t>
            </w:r>
            <w:r>
              <w:rPr>
                <w:rFonts w:hint="eastAsia" w:ascii="宋体" w:hAnsi="宋体" w:cs="Courier New"/>
                <w:color w:val="auto"/>
                <w:sz w:val="21"/>
                <w:szCs w:val="21"/>
                <w:highlight w:val="none"/>
                <w:lang w:val="en-US" w:eastAsia="zh-CN"/>
              </w:rPr>
              <w:t>是指提交的布设内容存在购买标的物未考虑或未标注的情形。</w:t>
            </w:r>
          </w:p>
        </w:tc>
        <w:tc>
          <w:tcPr>
            <w:tcW w:w="876" w:type="dxa"/>
            <w:noWrap w:val="0"/>
            <w:vAlign w:val="center"/>
          </w:tcPr>
          <w:p>
            <w:pPr>
              <w:pStyle w:val="26"/>
              <w:snapToGrid w:val="0"/>
              <w:spacing w:line="280" w:lineRule="exact"/>
              <w:jc w:val="center"/>
              <w:rPr>
                <w:rFonts w:hint="eastAsia" w:ascii="宋体" w:hAnsi="宋体"/>
                <w:bCs/>
                <w:color w:val="auto"/>
                <w:sz w:val="21"/>
                <w:szCs w:val="21"/>
                <w:highlight w:val="none"/>
                <w:lang w:val="en-US" w:eastAsia="zh-CN"/>
              </w:rPr>
            </w:pPr>
            <w:r>
              <w:rPr>
                <w:rFonts w:hint="eastAsia" w:ascii="宋体" w:hAnsi="宋体" w:cs="宋体"/>
                <w:bCs/>
                <w:color w:val="auto"/>
                <w:sz w:val="21"/>
                <w:szCs w:val="21"/>
                <w:highlight w:val="none"/>
                <w:lang w:val="en-US" w:eastAsia="zh-CN"/>
              </w:rPr>
              <w:t>0-8</w:t>
            </w:r>
            <w:r>
              <w:rPr>
                <w:rFonts w:hint="eastAsia" w:ascii="宋体" w:hAnsi="宋体" w:cs="宋体"/>
                <w:bCs/>
                <w:color w:val="auto"/>
                <w:sz w:val="21"/>
                <w:szCs w:val="21"/>
                <w:highlight w:val="none"/>
              </w:rPr>
              <w:t>分</w:t>
            </w:r>
          </w:p>
        </w:tc>
        <w:tc>
          <w:tcPr>
            <w:tcW w:w="1106" w:type="dxa"/>
            <w:noWrap w:val="0"/>
            <w:vAlign w:val="center"/>
          </w:tcPr>
          <w:p>
            <w:pPr>
              <w:pStyle w:val="26"/>
              <w:snapToGrid w:val="0"/>
              <w:spacing w:line="240" w:lineRule="exact"/>
              <w:rPr>
                <w:rFonts w:hint="eastAsia" w:eastAsia="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1308" w:type="dxa"/>
            <w:noWrap w:val="0"/>
            <w:vAlign w:val="center"/>
          </w:tcPr>
          <w:p>
            <w:pPr>
              <w:spacing w:line="240" w:lineRule="exact"/>
              <w:rPr>
                <w:rFonts w:hint="eastAsia" w:hAnsi="宋体"/>
                <w:color w:val="auto"/>
                <w:highlight w:val="none"/>
                <w:lang w:val="en-US" w:eastAsia="zh-CN"/>
              </w:rPr>
            </w:pPr>
            <w:r>
              <w:rPr>
                <w:rFonts w:hint="eastAsia" w:hAnsi="宋体"/>
                <w:color w:val="auto"/>
                <w:highlight w:val="none"/>
                <w:lang w:val="en-US" w:eastAsia="zh-CN"/>
              </w:rPr>
              <w:t>4、售后服务</w:t>
            </w:r>
          </w:p>
          <w:p>
            <w:pPr>
              <w:spacing w:line="240" w:lineRule="exact"/>
              <w:rPr>
                <w:rFonts w:hint="default" w:hAnsi="宋体"/>
                <w:color w:val="auto"/>
                <w:highlight w:val="none"/>
                <w:lang w:val="en-US" w:eastAsia="zh-CN"/>
              </w:rPr>
            </w:pPr>
            <w:r>
              <w:rPr>
                <w:rFonts w:hint="eastAsia" w:hAnsi="宋体"/>
                <w:color w:val="auto"/>
                <w:highlight w:val="none"/>
                <w:lang w:val="en-US" w:eastAsia="zh-CN"/>
              </w:rPr>
              <w:t>方案</w:t>
            </w:r>
          </w:p>
        </w:tc>
        <w:tc>
          <w:tcPr>
            <w:tcW w:w="5577" w:type="dxa"/>
            <w:noWrap w:val="0"/>
            <w:vAlign w:val="center"/>
          </w:tcPr>
          <w:p>
            <w:pPr>
              <w:pStyle w:val="35"/>
              <w:rPr>
                <w:rFonts w:hint="eastAsia" w:eastAsia="宋体"/>
                <w:highlight w:val="none"/>
                <w:lang w:eastAsia="zh-CN"/>
              </w:rPr>
            </w:pPr>
            <w:r>
              <w:rPr>
                <w:rFonts w:hint="eastAsia"/>
                <w:highlight w:val="none"/>
              </w:rPr>
              <w:t>供应商设有正规完善的售后维修服务机构，包括维修详细地址、售后维保、技术人员技术支持及</w:t>
            </w:r>
            <w:r>
              <w:rPr>
                <w:rFonts w:hint="eastAsia"/>
                <w:highlight w:val="none"/>
                <w:lang w:eastAsia="zh-CN"/>
              </w:rPr>
              <w:t>终生</w:t>
            </w:r>
            <w:r>
              <w:rPr>
                <w:rFonts w:hint="eastAsia"/>
                <w:highlight w:val="none"/>
              </w:rPr>
              <w:t>咨询服务</w:t>
            </w:r>
            <w:r>
              <w:rPr>
                <w:rFonts w:hint="eastAsia"/>
                <w:highlight w:val="none"/>
                <w:lang w:eastAsia="zh-CN"/>
              </w:rPr>
              <w:t>。</w:t>
            </w:r>
          </w:p>
          <w:p>
            <w:pPr>
              <w:pStyle w:val="35"/>
              <w:rPr>
                <w:rFonts w:hint="eastAsia"/>
                <w:highlight w:val="none"/>
              </w:rPr>
            </w:pPr>
            <w:r>
              <w:rPr>
                <w:rFonts w:hint="eastAsia"/>
                <w:highlight w:val="none"/>
              </w:rPr>
              <w:t>1、方案完整</w:t>
            </w:r>
            <w:r>
              <w:rPr>
                <w:rFonts w:hint="eastAsia"/>
                <w:highlight w:val="none"/>
                <w:lang w:eastAsia="zh-CN"/>
              </w:rPr>
              <w:t>无缺项</w:t>
            </w:r>
            <w:r>
              <w:rPr>
                <w:rFonts w:hint="eastAsia"/>
                <w:highlight w:val="none"/>
              </w:rPr>
              <w:t>，逻辑清晰，贴合采购需求，</w:t>
            </w:r>
            <w:r>
              <w:rPr>
                <w:rFonts w:hint="eastAsia"/>
                <w:highlight w:val="none"/>
                <w:lang w:val="en-US" w:eastAsia="zh-CN"/>
              </w:rPr>
              <w:t>1</w:t>
            </w:r>
            <w:r>
              <w:rPr>
                <w:rFonts w:hint="eastAsia"/>
                <w:highlight w:val="none"/>
              </w:rPr>
              <w:t>个小时技术人员能到达现场，</w:t>
            </w:r>
            <w:r>
              <w:rPr>
                <w:rFonts w:hint="eastAsia"/>
                <w:highlight w:val="none"/>
                <w:lang w:val="en-US" w:eastAsia="zh-CN"/>
              </w:rPr>
              <w:t>4</w:t>
            </w:r>
            <w:r>
              <w:rPr>
                <w:rFonts w:hint="eastAsia"/>
                <w:highlight w:val="none"/>
              </w:rPr>
              <w:t>个小时（含）内解决问题并恢复正常使用得</w:t>
            </w:r>
            <w:r>
              <w:rPr>
                <w:rFonts w:hint="eastAsia"/>
                <w:highlight w:val="none"/>
                <w:lang w:val="en-US" w:eastAsia="zh-CN"/>
              </w:rPr>
              <w:t>8</w:t>
            </w:r>
            <w:r>
              <w:rPr>
                <w:rFonts w:hint="eastAsia"/>
                <w:highlight w:val="none"/>
              </w:rPr>
              <w:t>分；</w:t>
            </w:r>
          </w:p>
          <w:p>
            <w:pPr>
              <w:pStyle w:val="35"/>
              <w:rPr>
                <w:rFonts w:hint="eastAsia"/>
                <w:highlight w:val="none"/>
              </w:rPr>
            </w:pPr>
            <w:r>
              <w:rPr>
                <w:rFonts w:hint="eastAsia"/>
                <w:highlight w:val="none"/>
              </w:rPr>
              <w:t>2、方案完整</w:t>
            </w:r>
            <w:r>
              <w:rPr>
                <w:rFonts w:hint="eastAsia"/>
                <w:highlight w:val="none"/>
                <w:lang w:eastAsia="zh-CN"/>
              </w:rPr>
              <w:t>无缺项</w:t>
            </w:r>
            <w:r>
              <w:rPr>
                <w:rFonts w:hint="eastAsia"/>
                <w:highlight w:val="none"/>
              </w:rPr>
              <w:t>，逻辑清晰，贴合采购需求，2个小时技术人员能到达现场，8个小时（含）内解决问题并恢复正常使用得</w:t>
            </w:r>
            <w:r>
              <w:rPr>
                <w:rFonts w:hint="eastAsia"/>
                <w:highlight w:val="none"/>
                <w:lang w:val="en-US" w:eastAsia="zh-CN"/>
              </w:rPr>
              <w:t>5</w:t>
            </w:r>
            <w:r>
              <w:rPr>
                <w:rFonts w:hint="eastAsia"/>
                <w:highlight w:val="none"/>
              </w:rPr>
              <w:t>分；</w:t>
            </w:r>
          </w:p>
          <w:p>
            <w:pPr>
              <w:pStyle w:val="35"/>
              <w:rPr>
                <w:rFonts w:hint="eastAsia"/>
                <w:highlight w:val="none"/>
              </w:rPr>
            </w:pPr>
            <w:r>
              <w:rPr>
                <w:rFonts w:hint="eastAsia"/>
                <w:highlight w:val="none"/>
              </w:rPr>
              <w:t>3、方案</w:t>
            </w:r>
            <w:r>
              <w:rPr>
                <w:rFonts w:hint="eastAsia"/>
                <w:highlight w:val="none"/>
                <w:lang w:eastAsia="zh-CN"/>
              </w:rPr>
              <w:t>欠</w:t>
            </w:r>
            <w:r>
              <w:rPr>
                <w:rFonts w:hint="eastAsia"/>
                <w:highlight w:val="none"/>
              </w:rPr>
              <w:t>完整，</w:t>
            </w:r>
            <w:r>
              <w:rPr>
                <w:rFonts w:hint="eastAsia"/>
                <w:highlight w:val="none"/>
                <w:lang w:eastAsia="zh-CN"/>
              </w:rPr>
              <w:t>存在</w:t>
            </w:r>
            <w:r>
              <w:rPr>
                <w:rFonts w:hint="eastAsia"/>
                <w:highlight w:val="none"/>
                <w:lang w:val="en-US" w:eastAsia="zh-CN"/>
              </w:rPr>
              <w:t>1-3处不合理或漏项，</w:t>
            </w:r>
            <w:r>
              <w:rPr>
                <w:rFonts w:hint="eastAsia"/>
                <w:highlight w:val="none"/>
              </w:rPr>
              <w:t>贴合项目需求，人员要求资料较齐全、4个小时技术人员能到达现场，12个小时解决问题并恢复正常使用，方案较合理可行得</w:t>
            </w:r>
            <w:r>
              <w:rPr>
                <w:rFonts w:hint="eastAsia"/>
                <w:highlight w:val="none"/>
                <w:lang w:val="en-US" w:eastAsia="zh-CN"/>
              </w:rPr>
              <w:t>2</w:t>
            </w:r>
            <w:r>
              <w:rPr>
                <w:rFonts w:hint="eastAsia"/>
                <w:highlight w:val="none"/>
              </w:rPr>
              <w:t>分；</w:t>
            </w:r>
          </w:p>
          <w:p>
            <w:pPr>
              <w:pStyle w:val="35"/>
              <w:rPr>
                <w:rFonts w:hint="eastAsia" w:eastAsia="宋体"/>
                <w:highlight w:val="none"/>
                <w:lang w:eastAsia="zh-CN"/>
              </w:rPr>
            </w:pPr>
            <w:r>
              <w:rPr>
                <w:rFonts w:hint="eastAsia"/>
                <w:highlight w:val="none"/>
                <w:lang w:val="en-US" w:eastAsia="zh-CN"/>
              </w:rPr>
              <w:t>4、</w:t>
            </w:r>
            <w:r>
              <w:rPr>
                <w:rFonts w:hint="eastAsia"/>
                <w:highlight w:val="none"/>
                <w:lang w:eastAsia="zh-CN"/>
              </w:rPr>
              <w:t>其他不得分。</w:t>
            </w:r>
          </w:p>
        </w:tc>
        <w:tc>
          <w:tcPr>
            <w:tcW w:w="876" w:type="dxa"/>
            <w:noWrap w:val="0"/>
            <w:vAlign w:val="center"/>
          </w:tcPr>
          <w:p>
            <w:pPr>
              <w:pStyle w:val="26"/>
              <w:snapToGrid w:val="0"/>
              <w:spacing w:line="280" w:lineRule="exact"/>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0-8分</w:t>
            </w:r>
          </w:p>
        </w:tc>
        <w:tc>
          <w:tcPr>
            <w:tcW w:w="1106" w:type="dxa"/>
            <w:noWrap w:val="0"/>
            <w:vAlign w:val="center"/>
          </w:tcPr>
          <w:p>
            <w:pPr>
              <w:pStyle w:val="26"/>
              <w:snapToGrid w:val="0"/>
              <w:spacing w:line="240" w:lineRule="exact"/>
              <w:rPr>
                <w:rFonts w:hint="eastAsia" w:eastAsia="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67" w:type="dxa"/>
            <w:gridSpan w:val="4"/>
            <w:noWrap w:val="0"/>
            <w:vAlign w:val="center"/>
          </w:tcPr>
          <w:p>
            <w:pPr>
              <w:spacing w:line="240" w:lineRule="exact"/>
              <w:jc w:val="left"/>
              <w:rPr>
                <w:color w:val="auto"/>
                <w:highlight w:val="none"/>
              </w:rPr>
            </w:pPr>
            <w:r>
              <w:rPr>
                <w:rFonts w:hint="eastAsia" w:ascii="宋体" w:hAnsi="宋体" w:cs="Courier New"/>
                <w:b/>
                <w:bCs/>
                <w:color w:val="auto"/>
                <w:szCs w:val="21"/>
                <w:highlight w:val="none"/>
              </w:rPr>
              <w:t>C:</w:t>
            </w:r>
            <w:r>
              <w:rPr>
                <w:rFonts w:hint="eastAsia" w:ascii="宋体" w:hAnsi="宋体" w:cs="Courier New"/>
                <w:b/>
                <w:bCs/>
                <w:color w:val="auto"/>
                <w:szCs w:val="21"/>
                <w:highlight w:val="none"/>
                <w:lang w:eastAsia="zh-CN"/>
              </w:rPr>
              <w:t>商务</w:t>
            </w:r>
            <w:r>
              <w:rPr>
                <w:rFonts w:hint="eastAsia" w:ascii="宋体" w:hAnsi="宋体" w:cs="Courier New"/>
                <w:b/>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08" w:type="dxa"/>
            <w:noWrap w:val="0"/>
            <w:vAlign w:val="center"/>
          </w:tcPr>
          <w:p>
            <w:pPr>
              <w:spacing w:line="240" w:lineRule="exact"/>
              <w:rPr>
                <w:rFonts w:hint="eastAsia" w:ascii="宋体" w:hAnsi="宋体" w:eastAsia="宋体" w:cs="Courier New"/>
                <w:color w:val="auto"/>
                <w:kern w:val="2"/>
                <w:sz w:val="21"/>
                <w:szCs w:val="21"/>
                <w:highlight w:val="none"/>
                <w:lang w:val="en-US" w:eastAsia="zh-CN" w:bidi="ar-SA"/>
              </w:rPr>
            </w:pPr>
            <w:r>
              <w:rPr>
                <w:rFonts w:hint="eastAsia" w:hAnsi="宋体"/>
                <w:color w:val="auto"/>
                <w:highlight w:val="none"/>
                <w:lang w:val="en-US" w:eastAsia="zh-CN"/>
              </w:rPr>
              <w:t>5、质保期</w:t>
            </w:r>
          </w:p>
        </w:tc>
        <w:tc>
          <w:tcPr>
            <w:tcW w:w="5577" w:type="dxa"/>
            <w:noWrap w:val="0"/>
            <w:vAlign w:val="center"/>
          </w:tcPr>
          <w:p>
            <w:pPr>
              <w:pStyle w:val="35"/>
              <w:rPr>
                <w:rFonts w:hint="default" w:ascii="宋体" w:hAnsi="宋体" w:eastAsia="宋体" w:cs="Courier New"/>
                <w:color w:val="auto"/>
                <w:kern w:val="2"/>
                <w:sz w:val="21"/>
                <w:szCs w:val="21"/>
                <w:highlight w:val="none"/>
                <w:lang w:val="en-US" w:eastAsia="zh-CN" w:bidi="ar-SA"/>
              </w:rPr>
            </w:pPr>
            <w:r>
              <w:rPr>
                <w:rFonts w:hint="default" w:ascii="宋体" w:hAnsi="宋体" w:eastAsia="宋体" w:cs="Courier New"/>
                <w:color w:val="auto"/>
                <w:kern w:val="2"/>
                <w:sz w:val="21"/>
                <w:szCs w:val="21"/>
                <w:highlight w:val="none"/>
                <w:lang w:val="en-US" w:eastAsia="zh-CN" w:bidi="ar-SA"/>
              </w:rPr>
              <w:t>满足招标文件要求</w:t>
            </w:r>
            <w:r>
              <w:rPr>
                <w:rFonts w:hint="eastAsia"/>
                <w:lang w:val="en-US" w:eastAsia="zh-CN"/>
              </w:rPr>
              <w:t>（</w:t>
            </w:r>
            <w:r>
              <w:rPr>
                <w:rFonts w:hint="eastAsia" w:ascii="宋体" w:hAnsi="宋体" w:eastAsia="宋体" w:cs="宋体"/>
                <w:lang w:val="en-US" w:eastAsia="zh-CN"/>
              </w:rPr>
              <w:t>★</w:t>
            </w:r>
            <w:r>
              <w:rPr>
                <w:rFonts w:hint="eastAsia"/>
                <w:lang w:val="en-US" w:eastAsia="zh-CN"/>
              </w:rPr>
              <w:t>验收合格后一年内）</w:t>
            </w:r>
            <w:r>
              <w:rPr>
                <w:rFonts w:hint="default" w:ascii="宋体" w:hAnsi="宋体" w:eastAsia="宋体" w:cs="Courier New"/>
                <w:color w:val="auto"/>
                <w:kern w:val="2"/>
                <w:sz w:val="21"/>
                <w:szCs w:val="21"/>
                <w:highlight w:val="none"/>
                <w:lang w:val="en-US" w:eastAsia="zh-CN" w:bidi="ar-SA"/>
              </w:rPr>
              <w:t>，每增加1年得</w:t>
            </w:r>
            <w:r>
              <w:rPr>
                <w:rFonts w:hint="eastAsia" w:ascii="宋体" w:hAnsi="宋体" w:cs="Courier New"/>
                <w:color w:val="auto"/>
                <w:kern w:val="2"/>
                <w:sz w:val="21"/>
                <w:szCs w:val="21"/>
                <w:highlight w:val="none"/>
                <w:lang w:val="en-US" w:eastAsia="zh-CN" w:bidi="ar-SA"/>
              </w:rPr>
              <w:t>2</w:t>
            </w:r>
            <w:r>
              <w:rPr>
                <w:rFonts w:hint="default" w:ascii="宋体" w:hAnsi="宋体" w:eastAsia="宋体" w:cs="Courier New"/>
                <w:color w:val="auto"/>
                <w:kern w:val="2"/>
                <w:sz w:val="21"/>
                <w:szCs w:val="21"/>
                <w:highlight w:val="none"/>
                <w:lang w:val="en-US" w:eastAsia="zh-CN" w:bidi="ar-SA"/>
              </w:rPr>
              <w:t>分，</w:t>
            </w:r>
            <w:r>
              <w:rPr>
                <w:rFonts w:hint="eastAsia" w:ascii="宋体" w:hAnsi="宋体" w:cs="Courier New"/>
                <w:color w:val="auto"/>
                <w:kern w:val="2"/>
                <w:sz w:val="21"/>
                <w:szCs w:val="21"/>
                <w:highlight w:val="none"/>
                <w:lang w:val="en-US" w:eastAsia="zh-CN" w:bidi="ar-SA"/>
              </w:rPr>
              <w:t>最 多</w:t>
            </w:r>
            <w:r>
              <w:rPr>
                <w:rFonts w:hint="default" w:ascii="宋体" w:hAnsi="宋体" w:eastAsia="宋体" w:cs="Courier New"/>
                <w:color w:val="auto"/>
                <w:kern w:val="2"/>
                <w:sz w:val="21"/>
                <w:szCs w:val="21"/>
                <w:highlight w:val="none"/>
                <w:lang w:val="en-US" w:eastAsia="zh-CN" w:bidi="ar-SA"/>
              </w:rPr>
              <w:t>得6分。</w:t>
            </w:r>
          </w:p>
          <w:p>
            <w:pPr>
              <w:pStyle w:val="35"/>
              <w:rPr>
                <w:rFonts w:hint="default" w:ascii="宋体" w:hAnsi="宋体" w:eastAsia="宋体" w:cs="Courier New"/>
                <w:color w:val="auto"/>
                <w:kern w:val="2"/>
                <w:sz w:val="21"/>
                <w:szCs w:val="21"/>
                <w:highlight w:val="none"/>
                <w:lang w:val="en-US" w:eastAsia="zh-CN" w:bidi="ar-SA"/>
              </w:rPr>
            </w:pPr>
            <w:r>
              <w:rPr>
                <w:rFonts w:hint="eastAsia" w:ascii="宋体" w:hAnsi="宋体" w:cs="Courier New"/>
                <w:color w:val="auto"/>
                <w:kern w:val="2"/>
                <w:sz w:val="21"/>
                <w:szCs w:val="21"/>
                <w:highlight w:val="none"/>
                <w:lang w:val="en-US" w:eastAsia="zh-CN" w:bidi="ar-SA"/>
              </w:rPr>
              <w:t>注：因增加质保期产生的费用应包含在投标报价中，需提供《投标及履约承诺函》</w:t>
            </w:r>
          </w:p>
        </w:tc>
        <w:tc>
          <w:tcPr>
            <w:tcW w:w="876" w:type="dxa"/>
            <w:noWrap w:val="0"/>
            <w:vAlign w:val="center"/>
          </w:tcPr>
          <w:p>
            <w:pPr>
              <w:pStyle w:val="26"/>
              <w:snapToGrid w:val="0"/>
              <w:spacing w:line="28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lang w:val="en-US" w:eastAsia="zh-CN"/>
              </w:rPr>
              <w:t>0-6分</w:t>
            </w:r>
          </w:p>
        </w:tc>
        <w:tc>
          <w:tcPr>
            <w:tcW w:w="1106" w:type="dxa"/>
            <w:noWrap w:val="0"/>
            <w:vAlign w:val="center"/>
          </w:tcPr>
          <w:p>
            <w:pPr>
              <w:pStyle w:val="26"/>
              <w:snapToGrid w:val="0"/>
              <w:spacing w:line="2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08" w:type="dxa"/>
            <w:noWrap w:val="0"/>
            <w:vAlign w:val="center"/>
          </w:tcPr>
          <w:p>
            <w:pPr>
              <w:pStyle w:val="26"/>
              <w:snapToGrid w:val="0"/>
              <w:spacing w:line="240" w:lineRule="exact"/>
              <w:jc w:val="center"/>
              <w:rPr>
                <w:rFonts w:hint="eastAsia" w:ascii="宋体" w:hAnsi="宋体"/>
                <w:color w:val="000000"/>
                <w:sz w:val="24"/>
                <w:lang w:val="en-US" w:eastAsia="zh-CN"/>
              </w:rPr>
            </w:pPr>
            <w:r>
              <w:rPr>
                <w:rFonts w:hint="eastAsia" w:ascii="宋体" w:hAnsi="宋体"/>
                <w:color w:val="000000"/>
                <w:sz w:val="24"/>
                <w:lang w:val="en-US" w:eastAsia="zh-CN"/>
              </w:rPr>
              <w:t>6、企业业绩</w:t>
            </w:r>
          </w:p>
        </w:tc>
        <w:tc>
          <w:tcPr>
            <w:tcW w:w="5577" w:type="dxa"/>
            <w:noWrap w:val="0"/>
            <w:vAlign w:val="center"/>
          </w:tcPr>
          <w:p>
            <w:pPr>
              <w:pStyle w:val="35"/>
              <w:rPr>
                <w:rFonts w:hint="eastAsia"/>
                <w:highlight w:val="none"/>
              </w:rPr>
            </w:pPr>
            <w:r>
              <w:rPr>
                <w:rFonts w:hint="eastAsia"/>
              </w:rPr>
              <w:t>供应商自2021年1月1日以来(以合同签订时间为准)承接的类似</w:t>
            </w:r>
            <w:r>
              <w:rPr>
                <w:rFonts w:hint="eastAsia"/>
                <w:lang w:val="en-US" w:eastAsia="zh-CN"/>
              </w:rPr>
              <w:t>教学功能室设备采购</w:t>
            </w:r>
            <w:r>
              <w:rPr>
                <w:rFonts w:hint="eastAsia"/>
              </w:rPr>
              <w:t>项目，</w:t>
            </w:r>
            <w:r>
              <w:rPr>
                <w:rFonts w:hint="eastAsia"/>
                <w:highlight w:val="none"/>
              </w:rPr>
              <w:t>每提供1个合同得</w:t>
            </w:r>
            <w:r>
              <w:rPr>
                <w:rFonts w:hint="eastAsia"/>
                <w:highlight w:val="none"/>
                <w:lang w:val="en-US" w:eastAsia="zh-CN"/>
              </w:rPr>
              <w:t>2</w:t>
            </w:r>
            <w:r>
              <w:rPr>
                <w:rFonts w:hint="eastAsia"/>
                <w:highlight w:val="none"/>
              </w:rPr>
              <w:t>分，满分6分；</w:t>
            </w:r>
          </w:p>
          <w:p>
            <w:pPr>
              <w:pStyle w:val="35"/>
              <w:rPr>
                <w:rFonts w:hint="eastAsia"/>
                <w:lang w:eastAsia="zh-CN"/>
              </w:rPr>
            </w:pPr>
            <w:r>
              <w:rPr>
                <w:rFonts w:hint="eastAsia"/>
              </w:rPr>
              <w:t>注：须同时提供成交通知书、合同签订时间、合同签署页、</w:t>
            </w:r>
            <w:r>
              <w:rPr>
                <w:rFonts w:hint="eastAsia"/>
                <w:lang w:eastAsia="zh-CN"/>
              </w:rPr>
              <w:t>验收合格的</w:t>
            </w:r>
            <w:r>
              <w:rPr>
                <w:rFonts w:hint="eastAsia"/>
              </w:rPr>
              <w:t>验收报告等能反映上述相关信息的复印件加盖公章，方可得分。</w:t>
            </w:r>
          </w:p>
        </w:tc>
        <w:tc>
          <w:tcPr>
            <w:tcW w:w="876" w:type="dxa"/>
            <w:noWrap w:val="0"/>
            <w:vAlign w:val="center"/>
          </w:tcPr>
          <w:p>
            <w:pPr>
              <w:pStyle w:val="26"/>
              <w:snapToGrid w:val="0"/>
              <w:spacing w:line="280" w:lineRule="exact"/>
              <w:jc w:val="center"/>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0-6分</w:t>
            </w:r>
          </w:p>
        </w:tc>
        <w:tc>
          <w:tcPr>
            <w:tcW w:w="1106" w:type="dxa"/>
            <w:noWrap w:val="0"/>
            <w:vAlign w:val="center"/>
          </w:tcPr>
          <w:p>
            <w:pPr>
              <w:pStyle w:val="26"/>
              <w:snapToGrid w:val="0"/>
              <w:spacing w:line="2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08" w:type="dxa"/>
            <w:noWrap w:val="0"/>
            <w:vAlign w:val="center"/>
          </w:tcPr>
          <w:p>
            <w:pPr>
              <w:pStyle w:val="26"/>
              <w:snapToGrid w:val="0"/>
              <w:spacing w:line="240" w:lineRule="exact"/>
              <w:jc w:val="center"/>
              <w:rPr>
                <w:rFonts w:hint="default" w:ascii="宋体" w:hAnsi="宋体"/>
                <w:color w:val="000000"/>
                <w:sz w:val="24"/>
                <w:lang w:val="en-US" w:eastAsia="zh-CN"/>
              </w:rPr>
            </w:pPr>
            <w:r>
              <w:rPr>
                <w:rFonts w:hint="eastAsia" w:ascii="宋体" w:hAnsi="宋体"/>
                <w:color w:val="000000"/>
                <w:sz w:val="24"/>
                <w:lang w:val="en-US" w:eastAsia="zh-CN"/>
              </w:rPr>
              <w:t>7、非强制节能产品</w:t>
            </w:r>
          </w:p>
        </w:tc>
        <w:tc>
          <w:tcPr>
            <w:tcW w:w="5577" w:type="dxa"/>
            <w:noWrap w:val="0"/>
            <w:vAlign w:val="center"/>
          </w:tcPr>
          <w:p>
            <w:pPr>
              <w:pStyle w:val="35"/>
              <w:rPr>
                <w:rFonts w:hint="eastAsia"/>
                <w:highlight w:val="none"/>
              </w:rPr>
            </w:pPr>
            <w:r>
              <w:rPr>
                <w:rFonts w:hint="eastAsia"/>
                <w:highlight w:val="none"/>
              </w:rPr>
              <w:t>按照《关于调整优化节能产品、环境标志产品政府采购执行机制的通知》（财库[2019]9号）及财政部、发展改革委《关于印发节能产品政府采购品目清单的通知》（财库[2019]19号文）判定，投标产品是否属于节能产品。</w:t>
            </w:r>
          </w:p>
          <w:p>
            <w:pPr>
              <w:pStyle w:val="35"/>
              <w:rPr>
                <w:rFonts w:hint="eastAsia"/>
                <w:highlight w:val="none"/>
              </w:rPr>
            </w:pPr>
            <w:r>
              <w:rPr>
                <w:rFonts w:hint="eastAsia"/>
                <w:highlight w:val="none"/>
              </w:rPr>
              <w:t>（1）投标产品为1项的，且投标产品是非强制采购节能产品的计</w:t>
            </w:r>
            <w:r>
              <w:rPr>
                <w:rFonts w:hint="eastAsia"/>
                <w:highlight w:val="none"/>
                <w:lang w:val="en-US" w:eastAsia="zh-CN"/>
              </w:rPr>
              <w:t>5</w:t>
            </w:r>
            <w:r>
              <w:rPr>
                <w:rFonts w:hint="eastAsia"/>
                <w:highlight w:val="none"/>
              </w:rPr>
              <w:t>分；</w:t>
            </w:r>
          </w:p>
          <w:p>
            <w:pPr>
              <w:pStyle w:val="35"/>
              <w:rPr>
                <w:rFonts w:hint="eastAsia"/>
                <w:highlight w:val="none"/>
              </w:rPr>
            </w:pPr>
            <w:r>
              <w:rPr>
                <w:rFonts w:hint="eastAsia"/>
                <w:highlight w:val="none"/>
              </w:rPr>
              <w:t>（2）投标产品为多项的，得分为非强制采购节能产品价值权重×</w:t>
            </w:r>
            <w:r>
              <w:rPr>
                <w:rFonts w:hint="eastAsia"/>
                <w:highlight w:val="none"/>
                <w:lang w:val="en-US" w:eastAsia="zh-CN"/>
              </w:rPr>
              <w:t>5</w:t>
            </w:r>
            <w:r>
              <w:rPr>
                <w:rFonts w:hint="eastAsia"/>
                <w:highlight w:val="none"/>
              </w:rPr>
              <w:t>分（计算结果保留2位小数）；</w:t>
            </w:r>
          </w:p>
          <w:p>
            <w:pPr>
              <w:pStyle w:val="35"/>
              <w:rPr>
                <w:rFonts w:hint="eastAsia"/>
                <w:highlight w:val="none"/>
              </w:rPr>
            </w:pPr>
            <w:r>
              <w:rPr>
                <w:rFonts w:hint="eastAsia"/>
                <w:highlight w:val="none"/>
              </w:rPr>
              <w:t>（3）其他计0分。</w:t>
            </w:r>
          </w:p>
          <w:p>
            <w:pPr>
              <w:pStyle w:val="35"/>
              <w:rPr>
                <w:rFonts w:hint="eastAsia"/>
                <w:highlight w:val="none"/>
              </w:rPr>
            </w:pPr>
            <w:r>
              <w:rPr>
                <w:rFonts w:hint="eastAsia"/>
                <w:highlight w:val="none"/>
              </w:rPr>
              <w:t>需提供采购文件“第六章投标文件格式”中《附件16：政府采购政策情况表》</w:t>
            </w:r>
          </w:p>
        </w:tc>
        <w:tc>
          <w:tcPr>
            <w:tcW w:w="876" w:type="dxa"/>
            <w:noWrap w:val="0"/>
            <w:vAlign w:val="center"/>
          </w:tcPr>
          <w:p>
            <w:pPr>
              <w:pStyle w:val="26"/>
              <w:snapToGrid w:val="0"/>
              <w:spacing w:line="280" w:lineRule="exact"/>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0-5分</w:t>
            </w:r>
          </w:p>
        </w:tc>
        <w:tc>
          <w:tcPr>
            <w:tcW w:w="1106" w:type="dxa"/>
            <w:noWrap w:val="0"/>
            <w:vAlign w:val="center"/>
          </w:tcPr>
          <w:p>
            <w:pPr>
              <w:pStyle w:val="26"/>
              <w:snapToGrid w:val="0"/>
              <w:spacing w:line="2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08" w:type="dxa"/>
            <w:noWrap w:val="0"/>
            <w:vAlign w:val="center"/>
          </w:tcPr>
          <w:p>
            <w:pPr>
              <w:pStyle w:val="26"/>
              <w:snapToGrid w:val="0"/>
              <w:spacing w:line="240" w:lineRule="exact"/>
              <w:jc w:val="center"/>
              <w:rPr>
                <w:rFonts w:hint="default" w:ascii="宋体" w:hAnsi="宋体"/>
                <w:color w:val="000000"/>
                <w:sz w:val="24"/>
                <w:lang w:val="en-US" w:eastAsia="zh-CN"/>
              </w:rPr>
            </w:pPr>
            <w:r>
              <w:rPr>
                <w:rFonts w:hint="eastAsia" w:ascii="宋体" w:hAnsi="宋体"/>
                <w:color w:val="000000"/>
                <w:sz w:val="24"/>
                <w:lang w:val="en-US" w:eastAsia="zh-CN"/>
              </w:rPr>
              <w:t>8、环境标志产品</w:t>
            </w:r>
          </w:p>
        </w:tc>
        <w:tc>
          <w:tcPr>
            <w:tcW w:w="5577" w:type="dxa"/>
            <w:noWrap w:val="0"/>
            <w:vAlign w:val="center"/>
          </w:tcPr>
          <w:p>
            <w:pPr>
              <w:pStyle w:val="35"/>
              <w:rPr>
                <w:rFonts w:hint="eastAsia"/>
                <w:highlight w:val="none"/>
              </w:rPr>
            </w:pPr>
            <w:r>
              <w:rPr>
                <w:rFonts w:hint="eastAsia"/>
                <w:highlight w:val="none"/>
              </w:rPr>
              <w:t>按照《关于调整优化节能产品、环境标志产品政府采购执行机制的通知》（财库[2019]9号）及财政部、生态环境部《关于印发环境标志产品政府采购品目清单的通知》（财库[2019]18号文）判定，投标产品是否属于环境标志产品。</w:t>
            </w:r>
          </w:p>
          <w:p>
            <w:pPr>
              <w:pStyle w:val="35"/>
              <w:rPr>
                <w:rFonts w:hint="eastAsia"/>
                <w:highlight w:val="none"/>
              </w:rPr>
            </w:pPr>
            <w:r>
              <w:rPr>
                <w:rFonts w:hint="eastAsia"/>
                <w:highlight w:val="none"/>
              </w:rPr>
              <w:t>（1）投标产品为1项的，且投标产品是环境标志产品的计</w:t>
            </w:r>
            <w:r>
              <w:rPr>
                <w:rFonts w:hint="eastAsia"/>
                <w:highlight w:val="none"/>
                <w:lang w:val="en-US" w:eastAsia="zh-CN"/>
              </w:rPr>
              <w:t>5</w:t>
            </w:r>
            <w:r>
              <w:rPr>
                <w:rFonts w:hint="eastAsia"/>
                <w:highlight w:val="none"/>
              </w:rPr>
              <w:t>分；</w:t>
            </w:r>
          </w:p>
          <w:p>
            <w:pPr>
              <w:pStyle w:val="35"/>
              <w:rPr>
                <w:rFonts w:hint="eastAsia"/>
                <w:highlight w:val="none"/>
              </w:rPr>
            </w:pPr>
            <w:r>
              <w:rPr>
                <w:rFonts w:hint="eastAsia"/>
                <w:highlight w:val="none"/>
              </w:rPr>
              <w:t>（2）投标产品为多项的，得分为环境标志产品价值权重×</w:t>
            </w:r>
            <w:r>
              <w:rPr>
                <w:rFonts w:hint="eastAsia"/>
                <w:highlight w:val="none"/>
                <w:lang w:val="en-US" w:eastAsia="zh-CN"/>
              </w:rPr>
              <w:t>5</w:t>
            </w:r>
            <w:r>
              <w:rPr>
                <w:rFonts w:hint="eastAsia"/>
                <w:highlight w:val="none"/>
              </w:rPr>
              <w:t>分（计算结果保留2位小数）；</w:t>
            </w:r>
          </w:p>
          <w:p>
            <w:pPr>
              <w:pStyle w:val="35"/>
              <w:rPr>
                <w:rFonts w:hint="eastAsia"/>
                <w:highlight w:val="none"/>
              </w:rPr>
            </w:pPr>
            <w:r>
              <w:rPr>
                <w:rFonts w:hint="eastAsia"/>
                <w:highlight w:val="none"/>
              </w:rPr>
              <w:t>（3）其他计0分。</w:t>
            </w:r>
          </w:p>
          <w:p>
            <w:pPr>
              <w:pStyle w:val="35"/>
              <w:rPr>
                <w:rFonts w:hint="eastAsia"/>
                <w:highlight w:val="none"/>
              </w:rPr>
            </w:pPr>
            <w:r>
              <w:rPr>
                <w:rFonts w:hint="eastAsia"/>
                <w:highlight w:val="none"/>
              </w:rPr>
              <w:t>需提供采购文件“第六章投标文件格式”中《附件16：政府采购政策情况表》</w:t>
            </w:r>
          </w:p>
        </w:tc>
        <w:tc>
          <w:tcPr>
            <w:tcW w:w="876" w:type="dxa"/>
            <w:noWrap w:val="0"/>
            <w:vAlign w:val="center"/>
          </w:tcPr>
          <w:p>
            <w:pPr>
              <w:pStyle w:val="26"/>
              <w:snapToGrid w:val="0"/>
              <w:spacing w:line="280" w:lineRule="exact"/>
              <w:jc w:val="center"/>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0-5分</w:t>
            </w:r>
          </w:p>
        </w:tc>
        <w:tc>
          <w:tcPr>
            <w:tcW w:w="1106" w:type="dxa"/>
            <w:noWrap w:val="0"/>
            <w:vAlign w:val="center"/>
          </w:tcPr>
          <w:p>
            <w:pPr>
              <w:pStyle w:val="26"/>
              <w:snapToGrid w:val="0"/>
              <w:spacing w:line="240" w:lineRule="exact"/>
              <w:rPr>
                <w:color w:val="auto"/>
                <w:highlight w:val="none"/>
              </w:rPr>
            </w:pPr>
          </w:p>
        </w:tc>
      </w:tr>
    </w:tbl>
    <w:p>
      <w:pPr>
        <w:keepNext w:val="0"/>
        <w:keepLines w:val="0"/>
        <w:widowControl w:val="0"/>
        <w:suppressLineNumbers w:val="0"/>
        <w:spacing w:before="0" w:beforeAutospacing="0" w:after="0" w:afterAutospacing="0" w:line="380" w:lineRule="exact"/>
        <w:ind w:left="0" w:right="0" w:firstLine="420" w:firstLineChars="20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
          <w:bCs/>
          <w:kern w:val="2"/>
          <w:sz w:val="21"/>
          <w:szCs w:val="21"/>
          <w:u w:val="single"/>
        </w:rPr>
      </w:pPr>
      <w:r>
        <w:rPr>
          <w:rFonts w:hint="eastAsia" w:ascii="宋体" w:hAnsi="宋体" w:cs="宋体"/>
          <w:kern w:val="2"/>
          <w:sz w:val="21"/>
          <w:szCs w:val="21"/>
          <w:lang w:val="en-US" w:eastAsia="zh-CN" w:bidi="ar"/>
        </w:rPr>
        <w:t>说明：1.</w:t>
      </w:r>
      <w:r>
        <w:rPr>
          <w:rFonts w:hint="eastAsia" w:ascii="宋体" w:hAnsi="宋体" w:cs="宋体"/>
          <w:b/>
          <w:bCs/>
          <w:kern w:val="2"/>
          <w:sz w:val="21"/>
          <w:szCs w:val="21"/>
          <w:u w:val="single"/>
          <w:lang w:val="en-US" w:eastAsia="zh-CN" w:bidi="ar"/>
        </w:rPr>
        <w:t>采购</w:t>
      </w:r>
      <w:r>
        <w:rPr>
          <w:rFonts w:hint="eastAsia" w:ascii="宋体" w:hAnsi="宋体" w:eastAsia="宋体" w:cs="宋体"/>
          <w:b/>
          <w:bCs/>
          <w:kern w:val="2"/>
          <w:sz w:val="21"/>
          <w:szCs w:val="21"/>
          <w:u w:val="single"/>
          <w:lang w:val="en-US" w:eastAsia="zh-CN" w:bidi="ar"/>
        </w:rPr>
        <w:t>文件中加注“★”号且标红条款为实质条款，若有负偏离或不满足则导致投标无效；</w:t>
      </w:r>
    </w:p>
    <w:p>
      <w:pPr>
        <w:widowControl/>
        <w:adjustRightInd w:val="0"/>
        <w:snapToGrid w:val="0"/>
        <w:spacing w:before="156" w:beforeLines="50"/>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5.4评标结果汇总完成后，除下列情形外，任何人不得修改评标结果：</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（一）分值汇总计算错误的；</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（二）分项评分超出评分标准范围的；</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（三）评标委员会成员对客观评审因素评分不一致的；</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（四）经评标委员会认定评分畸高、畸低的。</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投标人对本条第一款情形提出质疑的，采购人或者采购代理机构可以组织原评标委员会进行重新评审，重新评审改变评标结果的，应当书面报告本级财政部门。</w:t>
      </w:r>
    </w:p>
    <w:p>
      <w:pPr>
        <w:tabs>
          <w:tab w:val="left" w:pos="0"/>
        </w:tabs>
        <w:adjustRightInd w:val="0"/>
        <w:snapToGrid w:val="0"/>
        <w:spacing w:before="156" w:beforeLines="50"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6.推荐中标候选人名单</w:t>
      </w:r>
    </w:p>
    <w:p>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6.1中标候选人家数：3家。</w:t>
      </w:r>
    </w:p>
    <w:p>
      <w:pPr>
        <w:ind w:firstLine="420" w:firstLineChars="200"/>
        <w:sectPr>
          <w:pgSz w:w="11906" w:h="16838"/>
          <w:pgMar w:top="1474" w:right="1531" w:bottom="1474" w:left="1531" w:header="851" w:footer="992" w:gutter="0"/>
          <w:cols w:space="720" w:num="1"/>
          <w:docGrid w:type="lines" w:linePitch="312" w:charSpace="0"/>
        </w:sectPr>
      </w:pPr>
      <w:r>
        <w:rPr>
          <w:rFonts w:hint="eastAsia" w:ascii="宋体" w:hAnsi="宋体" w:cs="宋体"/>
          <w:color w:val="000000" w:themeColor="text1"/>
          <w:szCs w:val="21"/>
          <w14:textFill>
            <w14:solidFill>
              <w14:schemeClr w14:val="tx1"/>
            </w14:solidFill>
          </w14:textFill>
        </w:rPr>
        <w:t>6.2按评审后得分由高到低顺序排列。得分相同的，按投标报价由低到高顺序排列。得分且投标报价相同的并列。投标文件满足招标文件全部实质性要求，且按照评审因素的量化指标评审得分最高的前三名为中标候选人名单。</w:t>
      </w:r>
    </w:p>
    <w:p>
      <w:pPr>
        <w:spacing w:line="360" w:lineRule="exact"/>
        <w:jc w:val="center"/>
        <w:outlineLvl w:val="0"/>
        <w:rPr>
          <w:rFonts w:ascii="宋体" w:hAnsi="宋体"/>
          <w:b/>
          <w:bCs/>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第四章  政府采购合同格式</w:t>
      </w:r>
      <w:bookmarkEnd w:id="31"/>
      <w:r>
        <w:rPr>
          <w:rFonts w:hint="eastAsia" w:ascii="宋体" w:hAnsi="宋体"/>
          <w:b/>
          <w:color w:val="000000" w:themeColor="text1"/>
          <w:sz w:val="32"/>
          <w:szCs w:val="32"/>
          <w14:textFill>
            <w14:solidFill>
              <w14:schemeClr w14:val="tx1"/>
            </w14:solidFill>
          </w14:textFill>
        </w:rPr>
        <w:t>、验收书</w:t>
      </w:r>
    </w:p>
    <w:p>
      <w:pPr>
        <w:pStyle w:val="192"/>
        <w:ind w:firstLine="0"/>
        <w:jc w:val="center"/>
        <w:rPr>
          <w:rFonts w:hAnsi="宋体" w:eastAsia="宋体" w:cs="宋体"/>
          <w:b/>
          <w:color w:val="000000" w:themeColor="text1"/>
          <w:szCs w:val="24"/>
          <w14:textFill>
            <w14:solidFill>
              <w14:schemeClr w14:val="tx1"/>
            </w14:solidFill>
          </w14:textFill>
        </w:rPr>
      </w:pPr>
    </w:p>
    <w:p>
      <w:pPr>
        <w:pageBreakBefore w:val="0"/>
        <w:bidi w:val="0"/>
        <w:spacing w:beforeAutospacing="0" w:afterAutospacing="0"/>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pageBreakBefore w:val="0"/>
        <w:bidi w:val="0"/>
        <w:spacing w:beforeAutospacing="0" w:afterAutospacing="0"/>
        <w:ind w:firstLine="640" w:firstLineChars="200"/>
        <w:rPr>
          <w:rFonts w:hint="eastAsia" w:ascii="仿宋_GB2312" w:hAnsi="仿宋_GB2312" w:eastAsia="仿宋_GB2312" w:cs="仿宋_GB2312"/>
          <w:sz w:val="32"/>
          <w:szCs w:val="32"/>
          <w:lang w:val="en-US" w:eastAsia="zh-CN"/>
        </w:rPr>
      </w:pPr>
    </w:p>
    <w:p>
      <w:pPr>
        <w:pageBreakBefore w:val="0"/>
        <w:bidi w:val="0"/>
        <w:spacing w:beforeAutospacing="0" w:afterAutospacing="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pageBreakBefore w:val="0"/>
        <w:bidi w:val="0"/>
        <w:spacing w:beforeAutospacing="0" w:afterAutospacing="0"/>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pageBreakBefore w:val="0"/>
        <w:bidi w:val="0"/>
        <w:spacing w:beforeAutospacing="0" w:afterAutospacing="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pageBreakBefore w:val="0"/>
        <w:bidi w:val="0"/>
        <w:spacing w:beforeAutospacing="0" w:afterAutospacing="0"/>
        <w:ind w:firstLine="880" w:firstLineChars="200"/>
        <w:jc w:val="both"/>
        <w:rPr>
          <w:rFonts w:eastAsia="黑体"/>
          <w:sz w:val="44"/>
          <w:szCs w:val="44"/>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5"/>
        <w:pageBreakBefore w:val="0"/>
        <w:bidi w:val="0"/>
        <w:adjustRightInd w:val="0"/>
        <w:snapToGrid w:val="0"/>
        <w:spacing w:before="0" w:beforeAutospacing="0" w:after="0" w:afterAutospacing="0" w:line="400" w:lineRule="exact"/>
        <w:jc w:val="center"/>
        <w:rPr>
          <w:rFonts w:hint="eastAsia" w:ascii="黑体" w:hAnsi="黑体" w:eastAsia="黑体"/>
          <w:sz w:val="28"/>
          <w:szCs w:val="28"/>
        </w:rPr>
      </w:pPr>
      <w:bookmarkStart w:id="33" w:name="_Toc22209"/>
    </w:p>
    <w:p>
      <w:pPr>
        <w:pStyle w:val="5"/>
        <w:pageBreakBefore w:val="0"/>
        <w:bidi w:val="0"/>
        <w:adjustRightInd w:val="0"/>
        <w:snapToGrid w:val="0"/>
        <w:spacing w:before="0" w:beforeAutospacing="0" w:after="0" w:afterAutospacing="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33"/>
    </w:p>
    <w:p>
      <w:pPr>
        <w:pStyle w:val="5"/>
        <w:pageBreakBefore w:val="0"/>
        <w:bidi w:val="0"/>
        <w:adjustRightInd w:val="0"/>
        <w:snapToGrid w:val="0"/>
        <w:spacing w:before="0" w:beforeAutospacing="0" w:after="0" w:afterAutospacing="0" w:line="400" w:lineRule="exact"/>
        <w:jc w:val="center"/>
        <w:rPr>
          <w:rFonts w:hint="eastAsia" w:ascii="黑体" w:hAnsi="华文中宋" w:eastAsia="黑体"/>
          <w:b w:val="0"/>
          <w:bCs w:val="0"/>
          <w:sz w:val="28"/>
          <w:szCs w:val="28"/>
        </w:rPr>
      </w:pPr>
    </w:p>
    <w:p>
      <w:pPr>
        <w:pageBreakBefore w:val="0"/>
        <w:bidi w:val="0"/>
        <w:adjustRightInd w:val="0"/>
        <w:snapToGrid w:val="0"/>
        <w:spacing w:beforeAutospacing="0" w:afterAutospacing="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pPr>
        <w:pageBreakBefore w:val="0"/>
        <w:bidi w:val="0"/>
        <w:adjustRightInd w:val="0"/>
        <w:snapToGrid w:val="0"/>
        <w:spacing w:beforeAutospacing="0" w:afterAutospacing="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pPr>
        <w:pageBreakBefore w:val="0"/>
        <w:bidi w:val="0"/>
        <w:adjustRightInd w:val="0"/>
        <w:snapToGrid w:val="0"/>
        <w:spacing w:beforeAutospacing="0" w:afterAutospacing="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pageBreakBefore w:val="0"/>
        <w:bidi w:val="0"/>
        <w:adjustRightInd w:val="0"/>
        <w:snapToGrid w:val="0"/>
        <w:spacing w:beforeAutospacing="0" w:afterAutospacing="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pPr>
        <w:pageBreakBefore w:val="0"/>
        <w:bidi w:val="0"/>
        <w:spacing w:beforeAutospacing="0" w:afterAutospacing="0" w:line="400" w:lineRule="exact"/>
        <w:rPr>
          <w:rFonts w:hint="default" w:eastAsia="宋体"/>
          <w:lang w:val="en-US" w:eastAsia="zh-CN"/>
        </w:rPr>
      </w:pPr>
    </w:p>
    <w:p>
      <w:pPr>
        <w:pStyle w:val="21"/>
        <w:pageBreakBefore w:val="0"/>
        <w:bidi w:val="0"/>
        <w:adjustRightInd w:val="0"/>
        <w:snapToGrid w:val="0"/>
        <w:spacing w:beforeAutospacing="0" w:afterAutospacing="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pPr>
        <w:pageBreakBefore w:val="0"/>
        <w:numPr>
          <w:ilvl w:val="0"/>
          <w:numId w:val="5"/>
        </w:numPr>
        <w:bidi w:val="0"/>
        <w:adjustRightInd w:val="0"/>
        <w:snapToGrid w:val="0"/>
        <w:spacing w:beforeAutospacing="0" w:afterAutospacing="0" w:line="400" w:lineRule="exact"/>
        <w:ind w:firstLine="422" w:firstLineChars="200"/>
        <w:rPr>
          <w:rFonts w:ascii="宋体" w:hAnsi="宋体"/>
          <w:b/>
          <w:szCs w:val="21"/>
        </w:rPr>
      </w:pPr>
      <w:r>
        <w:rPr>
          <w:rFonts w:hint="eastAsia" w:ascii="宋体" w:hAnsi="宋体"/>
          <w:b/>
          <w:szCs w:val="21"/>
        </w:rPr>
        <w:t>项目信息</w:t>
      </w:r>
    </w:p>
    <w:p>
      <w:pPr>
        <w:pStyle w:val="21"/>
        <w:pageBreakBefore w:val="0"/>
        <w:numPr>
          <w:ilvl w:val="0"/>
          <w:numId w:val="6"/>
        </w:numPr>
        <w:bidi w:val="0"/>
        <w:adjustRightInd w:val="0"/>
        <w:snapToGrid w:val="0"/>
        <w:spacing w:beforeAutospacing="0" w:afterAutospacing="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pStyle w:val="21"/>
        <w:pageBreakBefore w:val="0"/>
        <w:numPr>
          <w:ilvl w:val="0"/>
          <w:numId w:val="0"/>
        </w:numPr>
        <w:tabs>
          <w:tab w:val="left" w:pos="999"/>
        </w:tabs>
        <w:bidi w:val="0"/>
        <w:adjustRightInd w:val="0"/>
        <w:snapToGrid w:val="0"/>
        <w:spacing w:beforeAutospacing="0" w:afterAutospacing="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pPr>
        <w:pStyle w:val="21"/>
        <w:pageBreakBefore w:val="0"/>
        <w:bidi w:val="0"/>
        <w:adjustRightInd w:val="0"/>
        <w:snapToGrid w:val="0"/>
        <w:spacing w:beforeAutospacing="0" w:afterAutospacing="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szCs w:val="21"/>
        </w:rPr>
      </w:pPr>
      <w:r>
        <w:rPr>
          <w:rFonts w:hint="eastAsia" w:ascii="宋体" w:hAnsi="宋体"/>
          <w:szCs w:val="21"/>
        </w:rPr>
        <w:t>（3）项目内容：</w:t>
      </w:r>
    </w:p>
    <w:p>
      <w:pPr>
        <w:pageBreakBefore w:val="0"/>
        <w:bidi w:val="0"/>
        <w:adjustRightInd w:val="0"/>
        <w:snapToGrid w:val="0"/>
        <w:spacing w:beforeAutospacing="0" w:afterAutospacing="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pageBreakBefore w:val="0"/>
        <w:numPr>
          <w:ilvl w:val="0"/>
          <w:numId w:val="0"/>
        </w:numPr>
        <w:bidi w:val="0"/>
        <w:adjustRightInd w:val="0"/>
        <w:snapToGrid w:val="0"/>
        <w:spacing w:beforeAutospacing="0" w:afterAutospacing="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pPr>
        <w:pageBreakBefore w:val="0"/>
        <w:bidi w:val="0"/>
        <w:adjustRightInd w:val="0"/>
        <w:snapToGrid w:val="0"/>
        <w:spacing w:beforeAutospacing="0" w:afterAutospacing="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pPr>
        <w:pageBreakBefore w:val="0"/>
        <w:numPr>
          <w:ilvl w:val="0"/>
          <w:numId w:val="0"/>
        </w:numPr>
        <w:bidi w:val="0"/>
        <w:adjustRightInd w:val="0"/>
        <w:snapToGrid w:val="0"/>
        <w:spacing w:beforeAutospacing="0" w:afterAutospacing="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pPr>
        <w:pageBreakBefore w:val="0"/>
        <w:numPr>
          <w:ilvl w:val="0"/>
          <w:numId w:val="0"/>
        </w:numPr>
        <w:bidi w:val="0"/>
        <w:adjustRightInd w:val="0"/>
        <w:snapToGrid w:val="0"/>
        <w:spacing w:beforeAutospacing="0" w:afterAutospacing="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pPr>
        <w:pageBreakBefore w:val="0"/>
        <w:numPr>
          <w:ilvl w:val="0"/>
          <w:numId w:val="0"/>
        </w:numPr>
        <w:bidi w:val="0"/>
        <w:adjustRightInd w:val="0"/>
        <w:snapToGrid w:val="0"/>
        <w:spacing w:beforeAutospacing="0" w:afterAutospacing="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pPr>
        <w:pStyle w:val="332"/>
        <w:pageBreakBefore w:val="0"/>
        <w:bidi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pStyle w:val="332"/>
        <w:pageBreakBefore w:val="0"/>
        <w:bidi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pPr>
        <w:pStyle w:val="332"/>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332"/>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pPr>
        <w:pStyle w:val="332"/>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pPr>
        <w:pStyle w:val="332"/>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pPr>
        <w:pStyle w:val="332"/>
        <w:pageBreakBefore w:val="0"/>
        <w:numPr>
          <w:ilvl w:val="0"/>
          <w:numId w:val="0"/>
        </w:numPr>
        <w:bidi w:val="0"/>
        <w:adjustRightInd w:val="0"/>
        <w:snapToGrid w:val="0"/>
        <w:spacing w:beforeAutospacing="0" w:afterAutospacing="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default"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pPr>
        <w:pStyle w:val="332"/>
        <w:pageBreakBefore w:val="0"/>
        <w:numPr>
          <w:ilvl w:val="0"/>
          <w:numId w:val="0"/>
        </w:numPr>
        <w:bidi w:val="0"/>
        <w:adjustRightInd w:val="0"/>
        <w:snapToGrid w:val="0"/>
        <w:spacing w:beforeAutospacing="0" w:afterAutospacing="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default"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pPr>
        <w:pStyle w:val="332"/>
        <w:pageBreakBefore w:val="0"/>
        <w:numPr>
          <w:ilvl w:val="0"/>
          <w:numId w:val="0"/>
        </w:numPr>
        <w:bidi w:val="0"/>
        <w:adjustRightInd w:val="0"/>
        <w:snapToGrid w:val="0"/>
        <w:spacing w:beforeAutospacing="0" w:afterAutospacing="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pPr>
        <w:pStyle w:val="332"/>
        <w:pageBreakBefore w:val="0"/>
        <w:numPr>
          <w:ilvl w:val="0"/>
          <w:numId w:val="0"/>
        </w:numPr>
        <w:bidi w:val="0"/>
        <w:adjustRightInd w:val="0"/>
        <w:snapToGrid w:val="0"/>
        <w:spacing w:beforeAutospacing="0" w:afterAutospacing="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pPr>
        <w:pStyle w:val="332"/>
        <w:pageBreakBefore w:val="0"/>
        <w:numPr>
          <w:ilvl w:val="0"/>
          <w:numId w:val="0"/>
        </w:numPr>
        <w:bidi w:val="0"/>
        <w:adjustRightInd w:val="0"/>
        <w:snapToGrid w:val="0"/>
        <w:spacing w:beforeAutospacing="0" w:afterAutospacing="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pageBreakBefore w:val="0"/>
        <w:numPr>
          <w:ilvl w:val="0"/>
          <w:numId w:val="0"/>
        </w:numPr>
        <w:bidi w:val="0"/>
        <w:adjustRightInd w:val="0"/>
        <w:snapToGrid w:val="0"/>
        <w:spacing w:beforeAutospacing="0" w:afterAutospacing="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color="auto" w:fill="auto"/>
          <w:lang w:eastAsia="zh-CN"/>
        </w:rPr>
        <w:t>购</w:t>
      </w:r>
      <w:r>
        <w:rPr>
          <w:rFonts w:hint="eastAsia" w:ascii="宋体" w:hAnsi="宋体"/>
          <w:w w:val="100"/>
          <w:szCs w:val="21"/>
          <w:shd w:val="clear" w:color="auto" w:fill="auto"/>
        </w:rPr>
        <w:t>合同</w:t>
      </w:r>
      <w:r>
        <w:rPr>
          <w:rFonts w:hint="eastAsia" w:ascii="宋体" w:hAnsi="宋体"/>
          <w:w w:val="100"/>
          <w:szCs w:val="21"/>
          <w:shd w:val="clear" w:color="auto" w:fill="auto"/>
          <w:lang w:eastAsia="zh-CN"/>
        </w:rPr>
        <w:t>（中小企业预留合同）</w:t>
      </w:r>
      <w:r>
        <w:rPr>
          <w:rFonts w:hint="eastAsia" w:ascii="宋体" w:hAnsi="宋体"/>
          <w:szCs w:val="21"/>
          <w:shd w:val="clear" w:color="auto" w:fill="auto"/>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numPr>
          <w:ilvl w:val="0"/>
          <w:numId w:val="0"/>
        </w:numPr>
        <w:bidi w:val="0"/>
        <w:snapToGrid w:val="0"/>
        <w:spacing w:beforeAutospacing="0" w:afterAutospacing="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pPr>
        <w:pageBreakBefore w:val="0"/>
        <w:bidi w:val="0"/>
        <w:adjustRightInd w:val="0"/>
        <w:snapToGrid w:val="0"/>
        <w:spacing w:beforeAutospacing="0" w:afterAutospacing="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pageBreakBefore w:val="0"/>
        <w:bidi w:val="0"/>
        <w:adjustRightInd w:val="0"/>
        <w:snapToGrid w:val="0"/>
        <w:spacing w:beforeAutospacing="0" w:afterAutospacing="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pPr>
        <w:pageBreakBefore w:val="0"/>
        <w:bidi w:val="0"/>
        <w:adjustRightInd w:val="0"/>
        <w:snapToGrid w:val="0"/>
        <w:spacing w:beforeAutospacing="0" w:afterAutospacing="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pPr>
        <w:pageBreakBefore w:val="0"/>
        <w:bidi w:val="0"/>
        <w:adjustRightInd w:val="0"/>
        <w:snapToGrid w:val="0"/>
        <w:spacing w:beforeAutospacing="0" w:afterAutospacing="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pPr>
        <w:pageBreakBefore w:val="0"/>
        <w:numPr>
          <w:ilvl w:val="0"/>
          <w:numId w:val="0"/>
        </w:numPr>
        <w:bidi w:val="0"/>
        <w:adjustRightInd w:val="0"/>
        <w:snapToGrid w:val="0"/>
        <w:spacing w:beforeAutospacing="0" w:afterAutospacing="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pStyle w:val="332"/>
        <w:pageBreakBefore w:val="0"/>
        <w:tabs>
          <w:tab w:val="left" w:pos="1340"/>
        </w:tabs>
        <w:bidi w:val="0"/>
        <w:spacing w:beforeAutospacing="0" w:afterAutospacing="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pPr>
        <w:pageBreakBefore w:val="0"/>
        <w:numPr>
          <w:ilvl w:val="0"/>
          <w:numId w:val="0"/>
        </w:numPr>
        <w:bidi w:val="0"/>
        <w:adjustRightInd w:val="0"/>
        <w:snapToGrid w:val="0"/>
        <w:spacing w:beforeAutospacing="0" w:afterAutospacing="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pageBreakBefore w:val="0"/>
        <w:numPr>
          <w:ilvl w:val="0"/>
          <w:numId w:val="0"/>
        </w:numPr>
        <w:bidi w:val="0"/>
        <w:adjustRightInd w:val="0"/>
        <w:snapToGrid w:val="0"/>
        <w:spacing w:beforeAutospacing="0" w:afterAutospacing="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pPr>
        <w:pageBreakBefore w:val="0"/>
        <w:numPr>
          <w:ilvl w:val="0"/>
          <w:numId w:val="0"/>
        </w:numPr>
        <w:bidi w:val="0"/>
        <w:adjustRightInd w:val="0"/>
        <w:snapToGrid w:val="0"/>
        <w:spacing w:beforeAutospacing="0" w:afterAutospacing="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pageBreakBefore w:val="0"/>
        <w:bidi w:val="0"/>
        <w:adjustRightInd w:val="0"/>
        <w:snapToGrid w:val="0"/>
        <w:spacing w:beforeAutospacing="0" w:afterAutospacing="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pPr>
        <w:pageBreakBefore w:val="0"/>
        <w:numPr>
          <w:ilvl w:val="0"/>
          <w:numId w:val="0"/>
        </w:numPr>
        <w:tabs>
          <w:tab w:val="left" w:pos="740"/>
        </w:tabs>
        <w:bidi w:val="0"/>
        <w:adjustRightInd w:val="0"/>
        <w:snapToGrid w:val="0"/>
        <w:spacing w:beforeAutospacing="0" w:afterAutospacing="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ageBreakBefore w:val="0"/>
        <w:numPr>
          <w:ilvl w:val="0"/>
          <w:numId w:val="0"/>
        </w:numPr>
        <w:tabs>
          <w:tab w:val="left" w:pos="740"/>
        </w:tabs>
        <w:bidi w:val="0"/>
        <w:adjustRightInd w:val="0"/>
        <w:snapToGrid w:val="0"/>
        <w:spacing w:beforeAutospacing="0" w:afterAutospacing="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Style w:val="332"/>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pPr>
        <w:pStyle w:val="332"/>
        <w:pageBreakBefore w:val="0"/>
        <w:bidi w:val="0"/>
        <w:spacing w:beforeAutospacing="0" w:afterAutospacing="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Style w:val="332"/>
        <w:pageBreakBefore w:val="0"/>
        <w:bidi w:val="0"/>
        <w:spacing w:beforeAutospacing="0" w:afterAutospacing="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pageBreakBefore w:val="0"/>
        <w:numPr>
          <w:ilvl w:val="0"/>
          <w:numId w:val="0"/>
        </w:numPr>
        <w:bidi w:val="0"/>
        <w:adjustRightInd w:val="0"/>
        <w:snapToGrid w:val="0"/>
        <w:spacing w:beforeAutospacing="0" w:afterAutospacing="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pageBreakBefore w:val="0"/>
        <w:numPr>
          <w:ilvl w:val="0"/>
          <w:numId w:val="5"/>
        </w:numPr>
        <w:bidi w:val="0"/>
        <w:adjustRightInd w:val="0"/>
        <w:snapToGrid w:val="0"/>
        <w:spacing w:beforeAutospacing="0" w:afterAutospacing="0" w:line="400" w:lineRule="exact"/>
        <w:ind w:firstLine="422" w:firstLineChars="200"/>
        <w:rPr>
          <w:rFonts w:ascii="宋体" w:hAnsi="宋体"/>
          <w:b/>
          <w:szCs w:val="21"/>
          <w:highlight w:val="none"/>
        </w:rPr>
      </w:pPr>
      <w:r>
        <w:rPr>
          <w:rFonts w:hint="eastAsia" w:ascii="宋体" w:hAnsi="宋体"/>
          <w:b/>
          <w:szCs w:val="21"/>
          <w:highlight w:val="none"/>
        </w:rPr>
        <w:t>合同金额</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pPr>
        <w:pageBreakBefore w:val="0"/>
        <w:bidi w:val="0"/>
        <w:adjustRightInd w:val="0"/>
        <w:snapToGrid w:val="0"/>
        <w:spacing w:beforeAutospacing="0" w:afterAutospacing="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pPr>
        <w:pStyle w:val="126"/>
        <w:pageBreakBefore w:val="0"/>
        <w:bidi w:val="0"/>
        <w:spacing w:beforeAutospacing="0" w:afterAutospacing="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pPr>
        <w:pageBreakBefore w:val="0"/>
        <w:bidi w:val="0"/>
        <w:adjustRightInd w:val="0"/>
        <w:snapToGrid w:val="0"/>
        <w:spacing w:beforeAutospacing="0" w:afterAutospacing="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pPr>
        <w:pageBreakBefore w:val="0"/>
        <w:bidi w:val="0"/>
        <w:snapToGrid w:val="0"/>
        <w:spacing w:beforeAutospacing="0" w:afterAutospacing="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pPr>
        <w:pageBreakBefore w:val="0"/>
        <w:bidi w:val="0"/>
        <w:adjustRightInd w:val="0"/>
        <w:snapToGrid w:val="0"/>
        <w:spacing w:beforeAutospacing="0" w:afterAutospacing="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pageBreakBefore w:val="0"/>
        <w:bidi w:val="0"/>
        <w:adjustRightInd w:val="0"/>
        <w:snapToGrid w:val="0"/>
        <w:spacing w:beforeAutospacing="0" w:afterAutospacing="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pageBreakBefore w:val="0"/>
        <w:numPr>
          <w:ilvl w:val="0"/>
          <w:numId w:val="5"/>
        </w:numPr>
        <w:bidi w:val="0"/>
        <w:adjustRightInd w:val="0"/>
        <w:snapToGrid w:val="0"/>
        <w:spacing w:beforeAutospacing="0" w:afterAutospacing="0" w:line="400" w:lineRule="exact"/>
        <w:ind w:firstLine="422" w:firstLineChars="200"/>
        <w:rPr>
          <w:rFonts w:ascii="宋体" w:hAnsi="宋体"/>
          <w:b/>
          <w:bCs w:val="0"/>
          <w:szCs w:val="21"/>
          <w:u w:val="single"/>
        </w:rPr>
      </w:pPr>
      <w:r>
        <w:rPr>
          <w:rFonts w:hint="eastAsia" w:ascii="宋体" w:hAnsi="宋体"/>
          <w:b/>
          <w:bCs w:val="0"/>
          <w:szCs w:val="21"/>
        </w:rPr>
        <w:t>合同履行</w:t>
      </w:r>
    </w:p>
    <w:p>
      <w:pPr>
        <w:pageBreakBefore w:val="0"/>
        <w:bidi w:val="0"/>
        <w:adjustRightInd w:val="0"/>
        <w:snapToGrid w:val="0"/>
        <w:spacing w:beforeAutospacing="0" w:afterAutospacing="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ageBreakBefore w:val="0"/>
        <w:bidi w:val="0"/>
        <w:adjustRightInd w:val="0"/>
        <w:snapToGrid w:val="0"/>
        <w:spacing w:beforeAutospacing="0" w:afterAutospacing="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pStyle w:val="332"/>
        <w:pageBreakBefore w:val="0"/>
        <w:bidi w:val="0"/>
        <w:spacing w:beforeAutospacing="0" w:afterAutospacing="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pPr>
        <w:pStyle w:val="332"/>
        <w:pageBreakBefore w:val="0"/>
        <w:bidi w:val="0"/>
        <w:spacing w:beforeAutospacing="0" w:afterAutospacing="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pPr>
        <w:pageBreakBefore w:val="0"/>
        <w:bidi w:val="0"/>
        <w:snapToGrid w:val="0"/>
        <w:spacing w:beforeAutospacing="0" w:afterAutospacing="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pPr>
        <w:pageBreakBefore w:val="0"/>
        <w:numPr>
          <w:ilvl w:val="0"/>
          <w:numId w:val="5"/>
        </w:numPr>
        <w:bidi w:val="0"/>
        <w:adjustRightInd w:val="0"/>
        <w:snapToGrid w:val="0"/>
        <w:spacing w:beforeAutospacing="0" w:afterAutospacing="0" w:line="400" w:lineRule="exact"/>
        <w:ind w:firstLine="422" w:firstLineChars="200"/>
        <w:rPr>
          <w:rFonts w:ascii="宋体" w:hAnsi="宋体"/>
          <w:b/>
          <w:szCs w:val="21"/>
        </w:rPr>
      </w:pPr>
      <w:r>
        <w:rPr>
          <w:rFonts w:hint="eastAsia" w:ascii="宋体" w:hAnsi="宋体"/>
          <w:b/>
          <w:szCs w:val="21"/>
        </w:rPr>
        <w:t>合同验收</w:t>
      </w:r>
    </w:p>
    <w:p>
      <w:pPr>
        <w:pageBreakBefore w:val="0"/>
        <w:numPr>
          <w:ilvl w:val="0"/>
          <w:numId w:val="7"/>
        </w:numPr>
        <w:bidi w:val="0"/>
        <w:adjustRightInd w:val="0"/>
        <w:snapToGrid w:val="0"/>
        <w:spacing w:beforeAutospacing="0" w:afterAutospacing="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pPr>
        <w:pageBreakBefore w:val="0"/>
        <w:numPr>
          <w:ilvl w:val="0"/>
          <w:numId w:val="0"/>
        </w:numPr>
        <w:bidi w:val="0"/>
        <w:adjustRightInd w:val="0"/>
        <w:snapToGrid w:val="0"/>
        <w:spacing w:beforeAutospacing="0" w:afterAutospacing="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pageBreakBefore w:val="0"/>
        <w:bidi w:val="0"/>
        <w:adjustRightInd w:val="0"/>
        <w:snapToGrid w:val="0"/>
        <w:spacing w:beforeAutospacing="0" w:afterAutospacing="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pPr>
        <w:pageBreakBefore w:val="0"/>
        <w:bidi w:val="0"/>
        <w:adjustRightInd w:val="0"/>
        <w:snapToGrid w:val="0"/>
        <w:spacing w:beforeAutospacing="0" w:afterAutospacing="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pPr>
        <w:pageBreakBefore w:val="0"/>
        <w:bidi w:val="0"/>
        <w:adjustRightInd w:val="0"/>
        <w:snapToGrid w:val="0"/>
        <w:spacing w:beforeAutospacing="0" w:afterAutospacing="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pStyle w:val="332"/>
        <w:pageBreakBefore w:val="0"/>
        <w:bidi w:val="0"/>
        <w:spacing w:beforeAutospacing="0" w:afterAutospacing="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pPr>
        <w:pageBreakBefore w:val="0"/>
        <w:bidi w:val="0"/>
        <w:adjustRightInd w:val="0"/>
        <w:snapToGrid w:val="0"/>
        <w:spacing w:beforeAutospacing="0" w:afterAutospacing="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pPr>
        <w:pageBreakBefore w:val="0"/>
        <w:numPr>
          <w:ilvl w:val="0"/>
          <w:numId w:val="5"/>
        </w:numPr>
        <w:bidi w:val="0"/>
        <w:adjustRightInd w:val="0"/>
        <w:snapToGrid w:val="0"/>
        <w:spacing w:beforeAutospacing="0" w:afterAutospacing="0" w:line="400" w:lineRule="exact"/>
        <w:ind w:firstLine="422" w:firstLineChars="200"/>
        <w:rPr>
          <w:rFonts w:hint="eastAsia" w:ascii="宋体" w:hAnsi="宋体"/>
          <w:b/>
          <w:szCs w:val="21"/>
        </w:rPr>
      </w:pPr>
      <w:r>
        <w:rPr>
          <w:rFonts w:hint="eastAsia" w:ascii="宋体" w:hAnsi="宋体"/>
          <w:b/>
          <w:szCs w:val="21"/>
        </w:rPr>
        <w:t>组成合同的文件</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pageBreakBefore w:val="0"/>
        <w:bidi w:val="0"/>
        <w:adjustRightInd w:val="0"/>
        <w:snapToGrid w:val="0"/>
        <w:spacing w:beforeAutospacing="0" w:afterAutospacing="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pPr>
        <w:pageBreakBefore w:val="0"/>
        <w:bidi w:val="0"/>
        <w:adjustRightInd w:val="0"/>
        <w:snapToGrid w:val="0"/>
        <w:spacing w:beforeAutospacing="0" w:afterAutospacing="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（6）采购文件</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（7）有关技术文件，图纸</w:t>
      </w:r>
    </w:p>
    <w:p>
      <w:pPr>
        <w:pStyle w:val="332"/>
        <w:pageBreakBefore w:val="0"/>
        <w:bidi w:val="0"/>
        <w:spacing w:beforeAutospacing="0" w:afterAutospacing="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p>
    <w:p>
      <w:pPr>
        <w:pageBreakBefore w:val="0"/>
        <w:numPr>
          <w:ilvl w:val="0"/>
          <w:numId w:val="5"/>
        </w:numPr>
        <w:bidi w:val="0"/>
        <w:adjustRightInd w:val="0"/>
        <w:snapToGrid w:val="0"/>
        <w:spacing w:beforeAutospacing="0" w:afterAutospacing="0" w:line="400" w:lineRule="exact"/>
        <w:ind w:firstLine="422" w:firstLineChars="200"/>
        <w:rPr>
          <w:rFonts w:hint="eastAsia" w:ascii="宋体" w:hAnsi="宋体"/>
          <w:b/>
          <w:szCs w:val="21"/>
        </w:rPr>
      </w:pPr>
      <w:r>
        <w:rPr>
          <w:rFonts w:hint="eastAsia" w:ascii="宋体" w:hAnsi="宋体"/>
          <w:b/>
          <w:szCs w:val="21"/>
        </w:rPr>
        <w:t>合同生效</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pageBreakBefore w:val="0"/>
        <w:numPr>
          <w:ilvl w:val="0"/>
          <w:numId w:val="5"/>
        </w:numPr>
        <w:bidi w:val="0"/>
        <w:adjustRightInd w:val="0"/>
        <w:snapToGrid w:val="0"/>
        <w:spacing w:beforeAutospacing="0" w:afterAutospacing="0" w:line="400" w:lineRule="exact"/>
        <w:ind w:firstLine="422" w:firstLineChars="200"/>
        <w:rPr>
          <w:rFonts w:hint="eastAsia" w:ascii="宋体" w:hAnsi="宋体"/>
          <w:b/>
          <w:szCs w:val="21"/>
        </w:rPr>
      </w:pPr>
      <w:r>
        <w:rPr>
          <w:rFonts w:hint="eastAsia" w:ascii="宋体" w:hAnsi="宋体"/>
          <w:b/>
          <w:szCs w:val="21"/>
        </w:rPr>
        <w:t>合同份数</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pPr>
        <w:pStyle w:val="126"/>
        <w:pageBreakBefore w:val="0"/>
        <w:bidi w:val="0"/>
        <w:spacing w:beforeAutospacing="0" w:afterAutospacing="0" w:line="400" w:lineRule="exact"/>
      </w:pPr>
    </w:p>
    <w:p>
      <w:pPr>
        <w:pStyle w:val="5"/>
        <w:pageBreakBefore w:val="0"/>
        <w:bidi w:val="0"/>
        <w:spacing w:before="0" w:beforeAutospacing="0" w:after="0" w:afterAutospacing="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pPr>
        <w:pageBreakBefore w:val="0"/>
        <w:bidi w:val="0"/>
        <w:spacing w:beforeAutospacing="0" w:afterAutospacing="0"/>
        <w:rPr>
          <w:rFonts w:hint="eastAsia"/>
        </w:rPr>
      </w:pPr>
      <w:r>
        <w:rPr>
          <w:rFonts w:hint="eastAsia"/>
        </w:rPr>
        <w:br w:type="page"/>
      </w:r>
    </w:p>
    <w:p>
      <w:pPr>
        <w:pStyle w:val="126"/>
        <w:pageBreakBefore w:val="0"/>
        <w:bidi w:val="0"/>
        <w:spacing w:beforeAutospacing="0" w:afterAutospacing="0"/>
        <w:rPr>
          <w:rFonts w:hint="eastAsia"/>
        </w:rPr>
      </w:pPr>
    </w:p>
    <w:tbl>
      <w:tblPr>
        <w:tblStyle w:val="46"/>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095" w:type="dxa"/>
            <w:gridSpan w:val="2"/>
            <w:tcBorders>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法定代表人</w:t>
            </w:r>
          </w:p>
          <w:p>
            <w:pPr>
              <w:pageBreakBefore w:val="0"/>
              <w:bidi w:val="0"/>
              <w:adjustRightInd w:val="0"/>
              <w:snapToGrid w:val="0"/>
              <w:spacing w:beforeAutospacing="0" w:afterAutospacing="0"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法定代表人</w:t>
            </w:r>
          </w:p>
          <w:p>
            <w:pPr>
              <w:pageBreakBefore w:val="0"/>
              <w:bidi w:val="0"/>
              <w:adjustRightInd w:val="0"/>
              <w:snapToGrid w:val="0"/>
              <w:spacing w:beforeAutospacing="0" w:afterAutospacing="0"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vMerge w:val="continue"/>
            <w:tcBorders>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拥有者性别</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lang w:eastAsia="zh-CN"/>
              </w:rPr>
              <w:t>通信地址</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86" w:hRule="atLeast"/>
        </w:trPr>
        <w:tc>
          <w:tcPr>
            <w:tcW w:w="8398" w:type="dxa"/>
            <w:gridSpan w:val="4"/>
            <w:tcBorders>
              <w:top w:val="single" w:color="auto" w:sz="2" w:space="0"/>
            </w:tcBorders>
            <w:noWrap w:val="0"/>
            <w:vAlign w:val="center"/>
          </w:tcPr>
          <w:p>
            <w:pPr>
              <w:pStyle w:val="21"/>
              <w:pageBreakBefore w:val="0"/>
              <w:bidi w:val="0"/>
              <w:adjustRightInd w:val="0"/>
              <w:snapToGrid w:val="0"/>
              <w:spacing w:beforeAutospacing="0" w:afterAutospacing="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pPr>
        <w:pStyle w:val="5"/>
        <w:pageBreakBefore w:val="0"/>
        <w:bidi w:val="0"/>
        <w:adjustRightInd w:val="0"/>
        <w:snapToGrid w:val="0"/>
        <w:spacing w:before="0" w:beforeAutospacing="0" w:after="0" w:afterAutospacing="0"/>
        <w:jc w:val="center"/>
        <w:rPr>
          <w:rFonts w:ascii="黑体" w:hAnsi="黑体" w:eastAsia="黑体"/>
          <w:sz w:val="28"/>
          <w:szCs w:val="28"/>
        </w:rPr>
      </w:pPr>
      <w:r>
        <w:rPr>
          <w:rFonts w:ascii="宋体" w:hAnsi="宋体"/>
          <w:sz w:val="21"/>
          <w:szCs w:val="21"/>
          <w:u w:val="single"/>
        </w:rPr>
        <w:br w:type="page"/>
      </w:r>
      <w:bookmarkStart w:id="34" w:name="_Toc27624"/>
      <w:r>
        <w:rPr>
          <w:rFonts w:hint="eastAsia" w:ascii="黑体" w:hAnsi="黑体" w:eastAsia="黑体"/>
          <w:b w:val="0"/>
          <w:bCs w:val="0"/>
          <w:sz w:val="28"/>
          <w:szCs w:val="28"/>
        </w:rPr>
        <w:t>第二节 政府采购合同通用条款</w:t>
      </w:r>
      <w:bookmarkEnd w:id="34"/>
    </w:p>
    <w:p>
      <w:pPr>
        <w:pageBreakBefore w:val="0"/>
        <w:tabs>
          <w:tab w:val="left" w:pos="8820"/>
          <w:tab w:val="left" w:pos="9345"/>
          <w:tab w:val="left" w:pos="9765"/>
        </w:tabs>
        <w:bidi w:val="0"/>
        <w:adjustRightInd w:val="0"/>
        <w:snapToGrid w:val="0"/>
        <w:spacing w:beforeAutospacing="0" w:afterAutospacing="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1.1合同当事人</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color w:val="auto"/>
          <w:szCs w:val="21"/>
          <w:highlight w:val="none"/>
        </w:rPr>
        <w:t>。</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szCs w:val="21"/>
          <w:highlight w:val="none"/>
        </w:rPr>
        <w:t>包括软件）及相关的其备品备件、工具、手册及</w:t>
      </w:r>
      <w:r>
        <w:rPr>
          <w:rFonts w:hint="default" w:ascii="宋体" w:hAnsi="宋体"/>
          <w:color w:val="000000"/>
          <w:szCs w:val="21"/>
          <w:highlight w:val="none"/>
          <w:lang w:val="en"/>
        </w:rPr>
        <w:t>其他</w:t>
      </w:r>
      <w:r>
        <w:rPr>
          <w:rFonts w:hint="eastAsia" w:ascii="宋体" w:hAnsi="宋体"/>
          <w:color w:val="000000"/>
          <w:szCs w:val="21"/>
          <w:highlight w:val="none"/>
        </w:rPr>
        <w:t>技术资料和材料</w:t>
      </w:r>
      <w:r>
        <w:rPr>
          <w:rFonts w:hint="eastAsia" w:ascii="宋体" w:hAnsi="宋体"/>
          <w:color w:val="000000"/>
          <w:szCs w:val="21"/>
          <w:highlight w:val="none"/>
          <w:lang w:eastAsia="zh-CN"/>
        </w:rPr>
        <w:t>等</w:t>
      </w:r>
      <w:r>
        <w:rPr>
          <w:rFonts w:hint="eastAsia" w:ascii="宋体" w:hAnsi="宋体"/>
          <w:color w:val="000000"/>
          <w:szCs w:val="21"/>
          <w:highlight w:val="none"/>
        </w:rPr>
        <w:t>。</w:t>
      </w:r>
    </w:p>
    <w:p>
      <w:pPr>
        <w:pageBreakBefore w:val="0"/>
        <w:bidi w:val="0"/>
        <w:adjustRightInd w:val="0"/>
        <w:snapToGrid w:val="0"/>
        <w:spacing w:beforeAutospacing="0" w:afterAutospacing="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auto"/>
          <w:szCs w:val="21"/>
          <w:highlight w:val="none"/>
          <w:lang w:val="en-US" w:eastAsia="zh-CN"/>
        </w:rPr>
        <w:t>相关</w:t>
      </w:r>
      <w:r>
        <w:rPr>
          <w:rFonts w:hint="eastAsia" w:ascii="宋体" w:hAnsi="宋体"/>
          <w:color w:val="000000"/>
          <w:szCs w:val="21"/>
          <w:highlight w:val="none"/>
        </w:rPr>
        <w:t>服务”系指根据合同规定，乙方应提供的</w:t>
      </w:r>
      <w:r>
        <w:rPr>
          <w:rFonts w:hint="eastAsia" w:ascii="宋体" w:hAnsi="宋体"/>
          <w:color w:val="000000"/>
          <w:szCs w:val="21"/>
          <w:highlight w:val="none"/>
          <w:lang w:val="en-US" w:eastAsia="zh-CN"/>
        </w:rPr>
        <w:t>与货物有关的</w:t>
      </w:r>
      <w:r>
        <w:rPr>
          <w:rFonts w:hint="eastAsia" w:ascii="宋体" w:hAnsi="宋体"/>
          <w:color w:val="000000"/>
          <w:szCs w:val="21"/>
          <w:highlight w:val="none"/>
        </w:rPr>
        <w:t>技术、管理和</w:t>
      </w:r>
      <w:r>
        <w:rPr>
          <w:rFonts w:hint="default" w:ascii="宋体" w:hAnsi="宋体"/>
          <w:color w:val="000000"/>
          <w:szCs w:val="21"/>
          <w:highlight w:val="none"/>
          <w:lang w:val="en"/>
        </w:rPr>
        <w:t>其他</w:t>
      </w:r>
      <w:r>
        <w:rPr>
          <w:rFonts w:hint="eastAsia" w:ascii="宋体" w:hAnsi="宋体"/>
          <w:color w:val="000000"/>
          <w:szCs w:val="21"/>
          <w:highlight w:val="none"/>
        </w:rPr>
        <w:t>服务，包括但不限于：管理和质量保证、运输、保险、检验、现场准备、安装、集成、调试、培训、维修、</w:t>
      </w:r>
      <w:r>
        <w:rPr>
          <w:rFonts w:hint="eastAsia" w:ascii="宋体" w:hAnsi="宋体"/>
          <w:color w:val="000000"/>
          <w:szCs w:val="21"/>
          <w:highlight w:val="none"/>
          <w:lang w:eastAsia="zh-CN"/>
        </w:rPr>
        <w:t>废弃处置、</w:t>
      </w:r>
      <w:r>
        <w:rPr>
          <w:rFonts w:hint="eastAsia" w:ascii="宋体" w:hAnsi="宋体"/>
          <w:color w:val="000000"/>
          <w:szCs w:val="21"/>
          <w:highlight w:val="none"/>
        </w:rPr>
        <w:t>技术支持等以及合同中规定乙方应承担的</w:t>
      </w:r>
      <w:r>
        <w:rPr>
          <w:rFonts w:hint="default" w:ascii="宋体" w:hAnsi="宋体"/>
          <w:color w:val="000000"/>
          <w:szCs w:val="21"/>
          <w:highlight w:val="none"/>
          <w:lang w:val="en"/>
        </w:rPr>
        <w:t>其他</w:t>
      </w:r>
      <w:r>
        <w:rPr>
          <w:rFonts w:hint="eastAsia" w:ascii="宋体" w:hAnsi="宋体"/>
          <w:color w:val="000000"/>
          <w:szCs w:val="21"/>
          <w:highlight w:val="none"/>
        </w:rPr>
        <w:t>义务。</w:t>
      </w:r>
    </w:p>
    <w:p>
      <w:pPr>
        <w:pageBreakBefore w:val="0"/>
        <w:bidi w:val="0"/>
        <w:adjustRightInd w:val="0"/>
        <w:snapToGrid w:val="0"/>
        <w:spacing w:beforeAutospacing="0" w:afterAutospacing="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）“分包”系指中标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供应商按采购文件、投标（响应）文件的规定，根据分包意向协议，将中标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项目中的部分履约内容，分给具有相应资质条件的供应商履行合同的行为。</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szCs w:val="21"/>
          <w:highlight w:val="none"/>
          <w:lang w:eastAsia="zh-CN"/>
        </w:rPr>
        <w:t>。</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szCs w:val="21"/>
          <w:highlight w:val="none"/>
          <w:lang w:eastAsia="zh-CN"/>
        </w:rPr>
        <w:t>甲方</w:t>
      </w:r>
      <w:r>
        <w:rPr>
          <w:rFonts w:hint="eastAsia" w:ascii="宋体" w:hAnsi="宋体"/>
          <w:color w:val="000000"/>
          <w:szCs w:val="21"/>
          <w:highlight w:val="none"/>
        </w:rPr>
        <w:t>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7</w:t>
      </w:r>
      <w:r>
        <w:rPr>
          <w:rFonts w:hint="eastAsia" w:ascii="宋体" w:hAnsi="宋体"/>
          <w:color w:val="000000"/>
          <w:szCs w:val="21"/>
          <w:highlight w:val="none"/>
        </w:rPr>
        <w:t>）其他术语解释，见【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pageBreakBefore w:val="0"/>
        <w:numPr>
          <w:ilvl w:val="0"/>
          <w:numId w:val="8"/>
        </w:numPr>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color w:val="000000"/>
          <w:sz w:val="24"/>
          <w:highlight w:val="none"/>
        </w:rPr>
        <w:t>合同标的及金额</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b/>
          <w:bCs/>
          <w:i/>
          <w:iCs/>
          <w:color w:val="000000"/>
          <w:szCs w:val="21"/>
          <w:highlight w:val="none"/>
        </w:rPr>
      </w:pPr>
      <w:r>
        <w:rPr>
          <w:rFonts w:hint="eastAsia" w:ascii="宋体" w:hAnsi="宋体"/>
          <w:color w:val="000000"/>
          <w:szCs w:val="21"/>
          <w:highlight w:val="none"/>
          <w:lang w:eastAsia="zh-CN"/>
        </w:rPr>
        <w:t>2</w:t>
      </w:r>
      <w:r>
        <w:rPr>
          <w:rFonts w:hint="eastAsia" w:ascii="宋体" w:hAnsi="宋体"/>
          <w:color w:val="000000"/>
          <w:szCs w:val="21"/>
          <w:highlight w:val="none"/>
        </w:rPr>
        <w:t>.1 合同标的及金额应与中标（成交）结果一致。乙方为履行本合同而发生的所有费用均应包含在合同</w:t>
      </w:r>
      <w:r>
        <w:rPr>
          <w:rFonts w:hint="eastAsia" w:ascii="宋体" w:hAnsi="宋体"/>
          <w:color w:val="000000"/>
          <w:szCs w:val="21"/>
          <w:highlight w:val="none"/>
          <w:lang w:eastAsia="zh-CN"/>
        </w:rPr>
        <w:t>价款</w:t>
      </w:r>
      <w:r>
        <w:rPr>
          <w:rFonts w:hint="eastAsia" w:ascii="宋体" w:hAnsi="宋体"/>
          <w:color w:val="000000"/>
          <w:szCs w:val="21"/>
          <w:highlight w:val="none"/>
        </w:rPr>
        <w:t>中，甲方不再另行支付</w:t>
      </w:r>
      <w:r>
        <w:rPr>
          <w:rFonts w:hint="default" w:ascii="宋体" w:hAnsi="宋体"/>
          <w:color w:val="000000"/>
          <w:szCs w:val="21"/>
          <w:highlight w:val="none"/>
          <w:lang w:val="en"/>
        </w:rPr>
        <w:t>其他</w:t>
      </w:r>
      <w:r>
        <w:rPr>
          <w:rFonts w:hint="eastAsia" w:ascii="宋体" w:hAnsi="宋体"/>
          <w:color w:val="000000"/>
          <w:szCs w:val="21"/>
          <w:highlight w:val="none"/>
        </w:rPr>
        <w:t>任何费用。</w:t>
      </w:r>
    </w:p>
    <w:p>
      <w:pPr>
        <w:pageBreakBefore w:val="0"/>
        <w:bidi w:val="0"/>
        <w:adjustRightInd w:val="0"/>
        <w:snapToGrid w:val="0"/>
        <w:spacing w:beforeAutospacing="0" w:afterAutospacing="0" w:line="400" w:lineRule="exact"/>
        <w:jc w:val="left"/>
        <w:rPr>
          <w:rFonts w:ascii="宋体" w:hAnsi="宋体"/>
          <w:b/>
          <w:color w:val="000000"/>
          <w:sz w:val="24"/>
          <w:highlight w:val="none"/>
        </w:rPr>
      </w:pPr>
      <w:r>
        <w:rPr>
          <w:rFonts w:hint="eastAsia" w:ascii="宋体" w:hAnsi="宋体"/>
          <w:b/>
          <w:color w:val="000000"/>
          <w:sz w:val="24"/>
          <w:highlight w:val="none"/>
          <w:lang w:eastAsia="zh-CN"/>
        </w:rPr>
        <w:t>3</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履行合同的时间、地点和方式</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3</w:t>
      </w:r>
      <w:r>
        <w:rPr>
          <w:rFonts w:hint="eastAsia" w:ascii="宋体" w:hAnsi="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pPr>
        <w:pageBreakBefore w:val="0"/>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4</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甲方的权利和义务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.1</w:t>
      </w:r>
      <w:r>
        <w:rPr>
          <w:rFonts w:ascii="宋体" w:hAnsi="宋体"/>
          <w:color w:val="000000"/>
          <w:szCs w:val="21"/>
          <w:highlight w:val="none"/>
        </w:rPr>
        <w:t xml:space="preserve"> 签署合同后，甲方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 xml:space="preserve">.2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pPr>
        <w:pageBreakBefore w:val="0"/>
        <w:bidi w:val="0"/>
        <w:snapToGrid w:val="0"/>
        <w:spacing w:beforeAutospacing="0" w:afterAutospacing="0" w:line="400" w:lineRule="exact"/>
        <w:ind w:firstLine="420" w:firstLineChars="200"/>
        <w:rPr>
          <w:rFonts w:hint="eastAsia" w:eastAsia="华文楷体"/>
          <w:lang w:val="en-US" w:eastAsia="zh-CN"/>
        </w:rPr>
      </w:pPr>
      <w:r>
        <w:rPr>
          <w:rFonts w:hint="default" w:ascii="宋体" w:hAnsi="宋体"/>
          <w:color w:val="000000"/>
          <w:szCs w:val="21"/>
          <w:highlight w:val="none"/>
          <w:lang w:val="en-US" w:eastAsia="zh-CN"/>
        </w:rPr>
        <w:t>4.4 甲方应当按照合同约定及时对交付的货物进行验收</w:t>
      </w:r>
      <w:r>
        <w:rPr>
          <w:rFonts w:hint="eastAsia" w:ascii="宋体" w:hAnsi="宋体"/>
          <w:color w:val="000000"/>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szCs w:val="21"/>
          <w:highlight w:val="none"/>
          <w:lang w:val="en-US" w:eastAsia="zh-CN"/>
        </w:rPr>
        <w:t>视为验收通过。</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default" w:ascii="宋体" w:hAnsi="宋体"/>
          <w:color w:val="000000"/>
          <w:szCs w:val="21"/>
          <w:highlight w:val="none"/>
          <w:lang w:eastAsia="zh-CN"/>
        </w:rPr>
        <w:t>4</w:t>
      </w:r>
      <w:r>
        <w:rPr>
          <w:rFonts w:hint="eastAsia" w:ascii="宋体" w:hAnsi="宋体"/>
          <w:color w:val="000000"/>
          <w:szCs w:val="21"/>
          <w:highlight w:val="none"/>
        </w:rPr>
        <w:t>.</w:t>
      </w:r>
      <w:r>
        <w:rPr>
          <w:rFonts w:hint="default" w:ascii="宋体" w:hAnsi="宋体"/>
          <w:color w:val="000000"/>
          <w:szCs w:val="21"/>
          <w:highlight w:val="none"/>
          <w:lang w:val="en-US" w:eastAsia="zh-CN"/>
        </w:rPr>
        <w:t>5</w:t>
      </w:r>
      <w:r>
        <w:rPr>
          <w:rFonts w:ascii="宋体" w:hAnsi="宋体"/>
          <w:color w:val="000000"/>
          <w:szCs w:val="21"/>
          <w:highlight w:val="none"/>
        </w:rPr>
        <w:t xml:space="preserve"> </w:t>
      </w:r>
      <w:r>
        <w:rPr>
          <w:rFonts w:hint="eastAsia" w:ascii="宋体" w:hAnsi="宋体"/>
          <w:color w:val="000000"/>
          <w:szCs w:val="21"/>
          <w:highlight w:val="none"/>
        </w:rPr>
        <w:t>甲方应当根据合同约定</w:t>
      </w:r>
      <w:r>
        <w:rPr>
          <w:rFonts w:hint="eastAsia" w:ascii="宋体" w:hAnsi="宋体"/>
          <w:color w:val="000000"/>
          <w:szCs w:val="21"/>
          <w:highlight w:val="none"/>
          <w:lang w:eastAsia="zh-CN"/>
        </w:rPr>
        <w:t>及</w:t>
      </w:r>
      <w:r>
        <w:rPr>
          <w:rFonts w:hint="eastAsia" w:ascii="宋体" w:hAnsi="宋体"/>
          <w:color w:val="000000"/>
          <w:szCs w:val="21"/>
          <w:highlight w:val="none"/>
        </w:rPr>
        <w:t>时向乙方支付</w:t>
      </w:r>
      <w:r>
        <w:rPr>
          <w:rFonts w:hint="eastAsia" w:ascii="宋体" w:hAnsi="宋体"/>
          <w:color w:val="000000"/>
          <w:szCs w:val="21"/>
          <w:highlight w:val="none"/>
          <w:lang w:eastAsia="zh-CN"/>
        </w:rPr>
        <w:t>合同价款</w:t>
      </w:r>
      <w:r>
        <w:rPr>
          <w:rFonts w:hint="default" w:ascii="宋体" w:hAnsi="宋体"/>
          <w:color w:val="000000"/>
          <w:szCs w:val="21"/>
          <w:highlight w:val="none"/>
          <w:lang w:eastAsia="zh-CN"/>
        </w:rPr>
        <w:t>，不得以内部人员变更、履行内部付款流程等为由，拒绝或迟延支付。</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lang w:eastAsia="zh-CN"/>
        </w:rPr>
        <w:t>约定应</w:t>
      </w:r>
      <w:r>
        <w:rPr>
          <w:rFonts w:hint="eastAsia" w:ascii="宋体" w:hAnsi="宋体"/>
          <w:color w:val="000000"/>
          <w:szCs w:val="21"/>
          <w:highlight w:val="none"/>
        </w:rPr>
        <w:t>由甲方承担的其他义务和责任。</w:t>
      </w:r>
    </w:p>
    <w:p>
      <w:pPr>
        <w:pageBreakBefore w:val="0"/>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5</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乙方的权利和义务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 xml:space="preserve">.1 </w:t>
      </w:r>
      <w:r>
        <w:rPr>
          <w:rFonts w:ascii="宋体" w:hAnsi="宋体"/>
          <w:color w:val="000000"/>
          <w:szCs w:val="21"/>
          <w:highlight w:val="none"/>
        </w:rPr>
        <w:t>签署合同后，乙方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w:t>
      </w:r>
      <w:r>
        <w:rPr>
          <w:rFonts w:hint="eastAsia" w:ascii="宋体" w:hAnsi="宋体"/>
          <w:color w:val="000000"/>
          <w:szCs w:val="21"/>
          <w:highlight w:val="none"/>
          <w:lang w:eastAsia="zh-CN"/>
        </w:rPr>
        <w:t>及相关</w:t>
      </w:r>
      <w:r>
        <w:rPr>
          <w:rFonts w:hint="eastAsia" w:ascii="宋体" w:hAnsi="宋体"/>
          <w:color w:val="000000"/>
          <w:szCs w:val="21"/>
          <w:highlight w:val="none"/>
        </w:rPr>
        <w:t>服务符合合同</w:t>
      </w:r>
      <w:r>
        <w:rPr>
          <w:rFonts w:hint="eastAsia" w:ascii="宋体" w:hAnsi="宋体"/>
          <w:color w:val="000000"/>
          <w:szCs w:val="21"/>
          <w:highlight w:val="none"/>
          <w:lang w:eastAsia="zh-CN"/>
        </w:rPr>
        <w:t>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w:t>
      </w:r>
      <w:r>
        <w:rPr>
          <w:rFonts w:hint="eastAsia" w:ascii="宋体" w:hAnsi="宋体"/>
          <w:color w:val="000000"/>
          <w:szCs w:val="21"/>
          <w:highlight w:val="none"/>
          <w:lang w:eastAsia="zh-CN"/>
        </w:rPr>
        <w:t>及验收</w:t>
      </w:r>
      <w:r>
        <w:rPr>
          <w:rFonts w:hint="eastAsia" w:ascii="宋体" w:hAnsi="宋体"/>
          <w:color w:val="000000"/>
          <w:szCs w:val="21"/>
          <w:highlight w:val="none"/>
        </w:rPr>
        <w:t>，并</w:t>
      </w:r>
      <w:r>
        <w:rPr>
          <w:rFonts w:ascii="宋体" w:hAnsi="宋体"/>
          <w:color w:val="000000"/>
          <w:szCs w:val="21"/>
          <w:highlight w:val="none"/>
        </w:rPr>
        <w:t>负责项目实施过程中的所有协调工作。</w:t>
      </w:r>
    </w:p>
    <w:p>
      <w:pPr>
        <w:pStyle w:val="3"/>
        <w:pageBreakBefore w:val="0"/>
        <w:bidi w:val="0"/>
        <w:spacing w:beforeAutospacing="0" w:afterAutospacing="0" w:line="400" w:lineRule="exact"/>
        <w:ind w:firstLine="369"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乙方有权</w:t>
      </w:r>
      <w:r>
        <w:rPr>
          <w:rFonts w:hint="eastAsia" w:ascii="宋体" w:hAnsi="宋体" w:cs="宋体"/>
          <w:color w:val="000000"/>
          <w:szCs w:val="21"/>
          <w:highlight w:val="none"/>
        </w:rPr>
        <w:t>根据合同约定向甲方收取</w:t>
      </w:r>
      <w:r>
        <w:rPr>
          <w:rFonts w:hint="eastAsia" w:ascii="宋体" w:hAnsi="宋体" w:cs="宋体"/>
          <w:color w:val="000000"/>
          <w:szCs w:val="21"/>
          <w:highlight w:val="none"/>
          <w:lang w:eastAsia="zh-CN"/>
        </w:rPr>
        <w:t>合同价款</w:t>
      </w:r>
      <w:r>
        <w:rPr>
          <w:rFonts w:hint="eastAsia" w:ascii="宋体" w:hAnsi="宋体" w:cs="宋体"/>
          <w:color w:val="000000"/>
          <w:szCs w:val="21"/>
          <w:highlight w:val="none"/>
        </w:rPr>
        <w:t>。</w:t>
      </w:r>
    </w:p>
    <w:p>
      <w:pPr>
        <w:pStyle w:val="3"/>
        <w:pageBreakBefore w:val="0"/>
        <w:bidi w:val="0"/>
        <w:spacing w:beforeAutospacing="0" w:afterAutospacing="0" w:line="400" w:lineRule="exact"/>
        <w:ind w:firstLine="369"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s="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szCs w:val="21"/>
          <w:highlight w:val="none"/>
        </w:rPr>
        <w:t>由乙方承担的其他义务和责任。</w:t>
      </w:r>
    </w:p>
    <w:p>
      <w:pPr>
        <w:pageBreakBefore w:val="0"/>
        <w:numPr>
          <w:ilvl w:val="0"/>
          <w:numId w:val="9"/>
        </w:numPr>
        <w:autoSpaceDE w:val="0"/>
        <w:autoSpaceDN w:val="0"/>
        <w:bidi w:val="0"/>
        <w:adjustRightInd w:val="0"/>
        <w:snapToGrid w:val="0"/>
        <w:spacing w:beforeAutospacing="0" w:afterAutospacing="0" w:line="400" w:lineRule="exact"/>
        <w:jc w:val="left"/>
        <w:rPr>
          <w:rFonts w:hint="eastAsia" w:ascii="宋体" w:hAnsi="宋体"/>
          <w:b/>
          <w:bCs/>
          <w:color w:val="000000"/>
          <w:sz w:val="24"/>
          <w:highlight w:val="none"/>
        </w:rPr>
      </w:pPr>
      <w:r>
        <w:rPr>
          <w:rFonts w:hint="eastAsia" w:ascii="宋体" w:hAnsi="宋体"/>
          <w:b/>
          <w:bCs/>
          <w:color w:val="000000"/>
          <w:sz w:val="24"/>
          <w:highlight w:val="none"/>
        </w:rPr>
        <w:t>合同履</w:t>
      </w:r>
      <w:r>
        <w:rPr>
          <w:rFonts w:hint="eastAsia" w:ascii="宋体" w:hAnsi="宋体"/>
          <w:b/>
          <w:bCs/>
          <w:color w:val="000000"/>
          <w:sz w:val="24"/>
          <w:highlight w:val="none"/>
          <w:lang w:val="en-US" w:eastAsia="zh-CN"/>
        </w:rPr>
        <w:t>行</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pPr>
        <w:pageBreakBefore w:val="0"/>
        <w:autoSpaceDE w:val="0"/>
        <w:autoSpaceDN w:val="0"/>
        <w:bidi w:val="0"/>
        <w:adjustRightInd w:val="0"/>
        <w:snapToGrid w:val="0"/>
        <w:spacing w:beforeAutospacing="0" w:afterAutospacing="0" w:line="400" w:lineRule="exact"/>
        <w:ind w:firstLine="420" w:firstLineChars="200"/>
        <w:jc w:val="left"/>
      </w:pPr>
      <w:r>
        <w:rPr>
          <w:rFonts w:hint="eastAsia" w:ascii="宋体" w:hAnsi="宋体"/>
          <w:color w:val="000000"/>
          <w:szCs w:val="21"/>
          <w:highlight w:val="none"/>
          <w:lang w:eastAsia="zh-CN"/>
        </w:rPr>
        <w:t>6</w:t>
      </w:r>
      <w:r>
        <w:rPr>
          <w:rFonts w:hint="eastAsia" w:ascii="宋体" w:hAnsi="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pageBreakBefore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7</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货物包装、运输</w:t>
      </w:r>
      <w:r>
        <w:rPr>
          <w:rFonts w:hint="eastAsia" w:ascii="宋体" w:hAnsi="宋体"/>
          <w:b/>
          <w:bCs/>
          <w:color w:val="000000"/>
          <w:sz w:val="24"/>
          <w:highlight w:val="none"/>
          <w:lang w:eastAsia="zh-CN"/>
        </w:rPr>
        <w:t>、</w:t>
      </w:r>
      <w:r>
        <w:rPr>
          <w:rFonts w:hint="eastAsia" w:ascii="宋体" w:hAnsi="宋体"/>
          <w:b/>
          <w:bCs/>
          <w:color w:val="000000"/>
          <w:sz w:val="24"/>
          <w:highlight w:val="none"/>
        </w:rPr>
        <w:t>保险</w:t>
      </w:r>
      <w:r>
        <w:rPr>
          <w:rFonts w:hint="eastAsia" w:ascii="宋体" w:hAnsi="宋体"/>
          <w:b/>
          <w:bCs/>
          <w:color w:val="000000"/>
          <w:sz w:val="24"/>
          <w:highlight w:val="none"/>
          <w:lang w:eastAsia="zh-CN"/>
        </w:rPr>
        <w:t>和交付</w:t>
      </w:r>
      <w:r>
        <w:rPr>
          <w:rFonts w:hint="eastAsia" w:ascii="宋体" w:hAnsi="宋体"/>
          <w:b/>
          <w:bCs/>
          <w:color w:val="000000"/>
          <w:sz w:val="24"/>
          <w:highlight w:val="none"/>
        </w:rPr>
        <w:t>要求</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.1 本合同</w:t>
      </w:r>
      <w:r>
        <w:rPr>
          <w:rFonts w:hint="eastAsia" w:ascii="宋体" w:hAnsi="宋体"/>
          <w:bCs/>
          <w:color w:val="000000"/>
          <w:szCs w:val="21"/>
          <w:highlight w:val="none"/>
        </w:rPr>
        <w:t>涉及商品包装</w:t>
      </w:r>
      <w:r>
        <w:rPr>
          <w:rFonts w:hint="eastAsia" w:ascii="宋体" w:hAnsi="宋体"/>
          <w:bCs/>
          <w:color w:val="000000"/>
          <w:szCs w:val="21"/>
          <w:highlight w:val="none"/>
          <w:lang w:eastAsia="zh-CN"/>
        </w:rPr>
        <w:t>、</w:t>
      </w:r>
      <w:r>
        <w:rPr>
          <w:rFonts w:hint="eastAsia" w:ascii="宋体" w:hAnsi="宋体"/>
          <w:bCs/>
          <w:color w:val="000000"/>
          <w:szCs w:val="21"/>
          <w:highlight w:val="none"/>
        </w:rPr>
        <w:t>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 w:val="0"/>
          <w:bCs/>
          <w:color w:val="000000"/>
          <w:szCs w:val="21"/>
          <w:highlight w:val="none"/>
          <w:lang w:eastAsia="zh-CN"/>
        </w:rPr>
        <w:t>约定的</w:t>
      </w:r>
      <w:r>
        <w:rPr>
          <w:rFonts w:hint="eastAsia" w:ascii="宋体" w:hAnsi="宋体"/>
          <w:color w:val="000000"/>
          <w:szCs w:val="21"/>
          <w:highlight w:val="none"/>
        </w:rPr>
        <w:t>指定现场。</w:t>
      </w:r>
    </w:p>
    <w:p>
      <w:pPr>
        <w:pageBreakBefore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乙方负责办理将货物运抵本合同规定的交货地点</w:t>
      </w:r>
      <w:r>
        <w:rPr>
          <w:rFonts w:hint="eastAsia" w:ascii="宋体" w:hAnsi="宋体"/>
          <w:color w:val="000000"/>
          <w:szCs w:val="21"/>
          <w:highlight w:val="none"/>
          <w:lang w:eastAsia="zh-CN"/>
        </w:rPr>
        <w:t>，并装卸、交付至甲方</w:t>
      </w:r>
      <w:r>
        <w:rPr>
          <w:rFonts w:hint="eastAsia" w:ascii="宋体" w:hAnsi="宋体"/>
          <w:color w:val="000000"/>
          <w:szCs w:val="21"/>
          <w:highlight w:val="none"/>
        </w:rPr>
        <w:t>的一切运输事项，相关费用应</w:t>
      </w:r>
      <w:r>
        <w:rPr>
          <w:rFonts w:hint="eastAsia" w:ascii="宋体" w:hAnsi="宋体"/>
          <w:color w:val="000000"/>
          <w:szCs w:val="21"/>
          <w:highlight w:val="none"/>
          <w:lang w:eastAsia="zh-CN"/>
        </w:rPr>
        <w:t>包含</w:t>
      </w:r>
      <w:r>
        <w:rPr>
          <w:rFonts w:hint="eastAsia" w:ascii="宋体" w:hAnsi="宋体"/>
          <w:color w:val="000000"/>
          <w:szCs w:val="21"/>
          <w:highlight w:val="none"/>
        </w:rPr>
        <w:t>在合同</w:t>
      </w:r>
      <w:r>
        <w:rPr>
          <w:rFonts w:hint="eastAsia" w:ascii="宋体" w:hAnsi="宋体"/>
          <w:color w:val="000000"/>
          <w:szCs w:val="21"/>
          <w:highlight w:val="none"/>
          <w:lang w:eastAsia="zh-CN"/>
        </w:rPr>
        <w:t>价款</w:t>
      </w:r>
      <w:r>
        <w:rPr>
          <w:rFonts w:hint="eastAsia" w:ascii="宋体" w:hAnsi="宋体"/>
          <w:color w:val="000000"/>
          <w:szCs w:val="21"/>
          <w:highlight w:val="none"/>
        </w:rPr>
        <w:t>中。</w:t>
      </w:r>
    </w:p>
    <w:p>
      <w:pPr>
        <w:pageBreakBefore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 xml:space="preserve">.4 </w:t>
      </w:r>
      <w:r>
        <w:rPr>
          <w:rFonts w:hint="eastAsia" w:ascii="宋体" w:hAnsi="宋体"/>
          <w:color w:val="000000"/>
          <w:szCs w:val="21"/>
          <w:highlight w:val="none"/>
          <w:lang w:val="en-US" w:eastAsia="zh-CN"/>
        </w:rPr>
        <w:t>除采购活动</w:t>
      </w:r>
      <w:r>
        <w:rPr>
          <w:rFonts w:hint="eastAsia" w:ascii="宋体" w:hAnsi="宋体"/>
          <w:color w:val="000000"/>
          <w:szCs w:val="21"/>
          <w:highlight w:val="none"/>
        </w:rPr>
        <w:t>对商品包装</w:t>
      </w:r>
      <w:r>
        <w:rPr>
          <w:rFonts w:hint="eastAsia" w:ascii="宋体" w:hAnsi="宋体"/>
          <w:color w:val="000000"/>
          <w:szCs w:val="21"/>
          <w:highlight w:val="none"/>
          <w:lang w:eastAsia="zh-CN"/>
        </w:rPr>
        <w:t>、</w:t>
      </w:r>
      <w:r>
        <w:rPr>
          <w:rFonts w:hint="eastAsia" w:ascii="宋体" w:hAnsi="宋体"/>
          <w:color w:val="000000"/>
          <w:szCs w:val="21"/>
          <w:highlight w:val="none"/>
        </w:rPr>
        <w:t>快递包装</w:t>
      </w:r>
      <w:r>
        <w:rPr>
          <w:rFonts w:hint="eastAsia" w:ascii="宋体" w:hAnsi="宋体"/>
          <w:color w:val="000000"/>
          <w:szCs w:val="21"/>
          <w:highlight w:val="none"/>
          <w:lang w:val="en-US" w:eastAsia="zh-CN"/>
        </w:rPr>
        <w:t>达成具体约定外</w:t>
      </w:r>
      <w:r>
        <w:rPr>
          <w:rFonts w:hint="eastAsia" w:ascii="宋体" w:hAnsi="宋体"/>
          <w:color w:val="000000"/>
          <w:szCs w:val="21"/>
          <w:highlight w:val="none"/>
        </w:rPr>
        <w:t>，乙方提供产品及相关快递服务</w:t>
      </w:r>
      <w:r>
        <w:rPr>
          <w:rFonts w:hint="eastAsia" w:ascii="宋体" w:hAnsi="宋体"/>
          <w:color w:val="000000"/>
          <w:szCs w:val="21"/>
          <w:highlight w:val="none"/>
          <w:lang w:val="en-US" w:eastAsia="zh-CN"/>
        </w:rPr>
        <w:t>涉及到</w:t>
      </w:r>
      <w:r>
        <w:rPr>
          <w:rFonts w:hint="eastAsia" w:ascii="宋体" w:hAnsi="宋体"/>
          <w:color w:val="000000"/>
          <w:szCs w:val="21"/>
          <w:highlight w:val="none"/>
        </w:rPr>
        <w:t>具体包装要求</w:t>
      </w:r>
      <w:r>
        <w:rPr>
          <w:rFonts w:hint="eastAsia" w:ascii="宋体" w:hAnsi="宋体"/>
          <w:color w:val="000000"/>
          <w:szCs w:val="21"/>
          <w:highlight w:val="none"/>
          <w:lang w:val="en-US" w:eastAsia="zh-CN"/>
        </w:rPr>
        <w:t>的，</w:t>
      </w:r>
      <w:r>
        <w:rPr>
          <w:rFonts w:hint="eastAsia" w:ascii="宋体" w:hAnsi="宋体"/>
          <w:color w:val="000000"/>
          <w:szCs w:val="21"/>
          <w:highlight w:val="none"/>
        </w:rPr>
        <w:t>应</w:t>
      </w:r>
      <w:r>
        <w:rPr>
          <w:rFonts w:hint="eastAsia" w:ascii="宋体" w:hAnsi="宋体"/>
          <w:color w:val="000000"/>
          <w:szCs w:val="21"/>
          <w:highlight w:val="none"/>
          <w:lang w:val="en-US" w:eastAsia="zh-CN"/>
        </w:rPr>
        <w:t>不低于</w:t>
      </w:r>
      <w:r>
        <w:rPr>
          <w:rFonts w:hint="eastAsia" w:ascii="宋体" w:hAnsi="宋体"/>
          <w:color w:val="000000"/>
          <w:szCs w:val="21"/>
          <w:highlight w:val="none"/>
        </w:rPr>
        <w:t>《商品包装政府采购需求标准（试行）</w:t>
      </w:r>
      <w:r>
        <w:rPr>
          <w:rFonts w:hint="eastAsia" w:ascii="宋体" w:hAnsi="宋体"/>
          <w:color w:val="000000"/>
          <w:szCs w:val="21"/>
          <w:highlight w:val="none"/>
          <w:lang w:eastAsia="zh-CN"/>
        </w:rPr>
        <w:t>》《</w:t>
      </w:r>
      <w:r>
        <w:rPr>
          <w:rFonts w:hint="eastAsia" w:ascii="宋体" w:hAnsi="宋体"/>
          <w:color w:val="000000"/>
          <w:szCs w:val="21"/>
          <w:highlight w:val="none"/>
        </w:rPr>
        <w:t>快递包装政府采购需求标准（试行）》</w:t>
      </w:r>
      <w:r>
        <w:rPr>
          <w:rFonts w:hint="eastAsia" w:ascii="宋体" w:hAnsi="宋体"/>
          <w:color w:val="000000"/>
          <w:szCs w:val="21"/>
          <w:highlight w:val="none"/>
          <w:lang w:val="en-US" w:eastAsia="zh-CN"/>
        </w:rPr>
        <w:t>标准</w:t>
      </w:r>
      <w:r>
        <w:rPr>
          <w:rFonts w:hint="eastAsia" w:ascii="宋体" w:hAnsi="宋体"/>
          <w:color w:val="000000"/>
          <w:szCs w:val="21"/>
          <w:highlight w:val="none"/>
        </w:rPr>
        <w:t>，并作为履约验收的内容，必要时甲方可以要求乙方在履约验收环节出具检测报告。</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pPr>
        <w:pStyle w:val="332"/>
        <w:pageBreakBefore w:val="0"/>
        <w:bidi w:val="0"/>
        <w:spacing w:beforeAutospacing="0" w:afterAutospacing="0"/>
        <w:rPr>
          <w:rFonts w:hint="default" w:eastAsia="华文楷体"/>
          <w:sz w:val="21"/>
          <w:lang w:val="en-US" w:eastAsia="zh-CN"/>
        </w:rPr>
      </w:pPr>
      <w:r>
        <w:rPr>
          <w:rFonts w:hint="eastAsia" w:ascii="宋体" w:hAnsi="宋体" w:eastAsia="宋体" w:cs="Times New Roman"/>
          <w:color w:val="000000"/>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pPr>
        <w:pageBreakBefore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color w:val="000000"/>
          <w:sz w:val="24"/>
          <w:highlight w:val="none"/>
          <w:lang w:eastAsia="zh-CN"/>
        </w:rPr>
        <w:t>8</w:t>
      </w:r>
      <w:r>
        <w:rPr>
          <w:rFonts w:hint="eastAsia" w:ascii="宋体" w:hAnsi="宋体"/>
          <w:b/>
          <w:color w:val="000000"/>
          <w:sz w:val="24"/>
          <w:highlight w:val="none"/>
          <w:lang w:val="en-US" w:eastAsia="zh-CN"/>
        </w:rPr>
        <w:t xml:space="preserve">. </w:t>
      </w:r>
      <w:r>
        <w:rPr>
          <w:rFonts w:hint="eastAsia" w:ascii="宋体" w:hAnsi="宋体"/>
          <w:b/>
          <w:color w:val="auto"/>
          <w:sz w:val="24"/>
          <w:highlight w:val="none"/>
        </w:rPr>
        <w:t>质量标准和保证</w:t>
      </w:r>
    </w:p>
    <w:p>
      <w:pPr>
        <w:pStyle w:val="26"/>
        <w:pageBreakBefore w:val="0"/>
        <w:bidi w:val="0"/>
        <w:adjustRightInd w:val="0"/>
        <w:snapToGrid w:val="0"/>
        <w:spacing w:beforeAutospacing="0" w:afterAutospacing="0" w:line="400" w:lineRule="exact"/>
        <w:ind w:firstLine="48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26"/>
        <w:pageBreakBefore w:val="0"/>
        <w:bidi w:val="0"/>
        <w:adjustRightInd w:val="0"/>
        <w:snapToGrid w:val="0"/>
        <w:spacing w:beforeAutospacing="0" w:afterAutospacing="0" w:line="400" w:lineRule="exact"/>
        <w:ind w:firstLine="480" w:firstLineChars="200"/>
        <w:jc w:val="left"/>
        <w:rPr>
          <w:rFonts w:hAnsi="宋体"/>
          <w:color w:val="auto"/>
          <w:highlight w:val="none"/>
        </w:rPr>
      </w:pPr>
      <w:r>
        <w:rPr>
          <w:rFonts w:hint="eastAsia" w:hAnsi="宋体"/>
          <w:color w:val="auto"/>
          <w:highlight w:val="none"/>
        </w:rPr>
        <w:t>（2）采用中华人民共和国法定计量单位。</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szCs w:val="21"/>
          <w:highlight w:val="none"/>
          <w:lang w:eastAsia="zh-CN"/>
        </w:rPr>
        <w:t>追究</w:t>
      </w:r>
      <w:r>
        <w:rPr>
          <w:rFonts w:hint="eastAsia" w:ascii="宋体" w:hAnsi="宋体"/>
          <w:color w:val="auto"/>
          <w:szCs w:val="21"/>
          <w:highlight w:val="none"/>
        </w:rPr>
        <w:t>乙方</w:t>
      </w:r>
      <w:r>
        <w:rPr>
          <w:rFonts w:hint="eastAsia" w:ascii="宋体" w:hAnsi="宋体"/>
          <w:color w:val="000000"/>
          <w:szCs w:val="21"/>
          <w:highlight w:val="none"/>
          <w:lang w:eastAsia="zh-CN"/>
        </w:rPr>
        <w:t>的违约责任</w:t>
      </w:r>
      <w:r>
        <w:rPr>
          <w:rFonts w:hint="eastAsia" w:ascii="宋体" w:hAnsi="宋体"/>
          <w:color w:val="auto"/>
          <w:szCs w:val="21"/>
          <w:highlight w:val="none"/>
        </w:rPr>
        <w:t>。</w:t>
      </w:r>
    </w:p>
    <w:p>
      <w:pPr>
        <w:pageBreakBefore w:val="0"/>
        <w:bidi w:val="0"/>
        <w:adjustRightInd w:val="0"/>
        <w:snapToGrid w:val="0"/>
        <w:spacing w:beforeAutospacing="0" w:afterAutospacing="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pageBreakBefore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000000"/>
          <w:sz w:val="24"/>
          <w:highlight w:val="none"/>
          <w:lang w:eastAsia="zh-CN"/>
        </w:rPr>
        <w:t>9</w:t>
      </w:r>
      <w:r>
        <w:rPr>
          <w:rFonts w:hint="eastAsia" w:ascii="宋体" w:hAnsi="宋体"/>
          <w:b/>
          <w:bCs/>
          <w:color w:val="auto"/>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auto"/>
          <w:sz w:val="24"/>
          <w:highlight w:val="none"/>
        </w:rPr>
        <w:t>权利瑕疵担保</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.1 乙方保证对其出售的货物享有合法的权利。</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 xml:space="preserve">.2 </w:t>
      </w:r>
      <w:r>
        <w:rPr>
          <w:rFonts w:hint="eastAsia" w:ascii="宋体" w:hAnsi="宋体" w:eastAsia="宋体" w:cs="宋体"/>
          <w:szCs w:val="15"/>
        </w:rPr>
        <w:t>乙方保证在交付的货物上不存在抵押权等担保物权。</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.3 如甲方使用</w:t>
      </w:r>
      <w:r>
        <w:rPr>
          <w:rFonts w:hint="eastAsia" w:ascii="宋体" w:hAnsi="宋体"/>
          <w:color w:val="000000"/>
          <w:szCs w:val="21"/>
          <w:highlight w:val="none"/>
          <w:lang w:val="en-US" w:eastAsia="zh-CN"/>
        </w:rPr>
        <w:t>上述</w:t>
      </w:r>
      <w:r>
        <w:rPr>
          <w:rFonts w:hint="eastAsia" w:ascii="宋体" w:hAnsi="宋体"/>
          <w:color w:val="000000"/>
          <w:szCs w:val="21"/>
          <w:highlight w:val="none"/>
        </w:rPr>
        <w:t>货物构成</w:t>
      </w:r>
      <w:r>
        <w:rPr>
          <w:rFonts w:hint="eastAsia" w:ascii="宋体" w:hAnsi="宋体"/>
          <w:color w:val="000000"/>
          <w:szCs w:val="21"/>
          <w:highlight w:val="none"/>
          <w:lang w:val="en-US" w:eastAsia="zh-CN"/>
        </w:rPr>
        <w:t>对第三人</w:t>
      </w:r>
      <w:r>
        <w:rPr>
          <w:rFonts w:hint="eastAsia" w:ascii="宋体" w:hAnsi="宋体"/>
          <w:color w:val="000000"/>
          <w:szCs w:val="21"/>
          <w:highlight w:val="none"/>
        </w:rPr>
        <w:t>侵权的，则由乙方承担全部责任。</w:t>
      </w:r>
    </w:p>
    <w:p>
      <w:pPr>
        <w:pageBreakBefore w:val="0"/>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rPr>
        <w:t>1</w:t>
      </w:r>
      <w:r>
        <w:rPr>
          <w:rFonts w:hint="eastAsia" w:ascii="宋体" w:hAnsi="宋体"/>
          <w:b/>
          <w:bCs/>
          <w:color w:val="000000"/>
          <w:sz w:val="24"/>
          <w:highlight w:val="none"/>
          <w:lang w:eastAsia="zh-CN"/>
        </w:rPr>
        <w:t>0</w:t>
      </w:r>
      <w:r>
        <w:rPr>
          <w:rFonts w:hint="eastAsia" w:ascii="宋体" w:hAnsi="宋体"/>
          <w:b/>
          <w:bCs/>
          <w:color w:val="000000"/>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知识产权保护</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0</w:t>
      </w:r>
      <w:r>
        <w:rPr>
          <w:rFonts w:hint="eastAsia" w:ascii="宋体" w:hAnsi="宋体"/>
          <w:color w:val="000000"/>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5"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5"/>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pageBreakBefore w:val="0"/>
        <w:autoSpaceDE/>
        <w:autoSpaceDN/>
        <w:bidi w:val="0"/>
        <w:adjustRightInd w:val="0"/>
        <w:snapToGrid w:val="0"/>
        <w:spacing w:beforeAutospacing="0" w:afterAutospacing="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pStyle w:val="5"/>
        <w:pageBreakBefore w:val="0"/>
        <w:bidi w:val="0"/>
        <w:spacing w:before="0" w:beforeAutospacing="0" w:after="0" w:afterAutospacing="0"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pPr>
        <w:pStyle w:val="3"/>
        <w:pageBreakBefore w:val="0"/>
        <w:bidi w:val="0"/>
        <w:spacing w:beforeAutospacing="0" w:afterAutospacing="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pageBreakBefore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pageBreakBefore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pageBreakBefore w:val="0"/>
        <w:bidi w:val="0"/>
        <w:spacing w:beforeAutospacing="0" w:afterAutospacing="0"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pageBreakBefore w:val="0"/>
        <w:autoSpaceDE w:val="0"/>
        <w:autoSpaceDN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pPr>
        <w:pStyle w:val="332"/>
        <w:pageBreakBefore w:val="0"/>
        <w:bidi w:val="0"/>
        <w:spacing w:beforeAutospacing="0" w:afterAutospacing="0"/>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pageBreakBefore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pageBreakBefore w:val="0"/>
        <w:bidi w:val="0"/>
        <w:adjustRightInd w:val="0"/>
        <w:snapToGrid w:val="0"/>
        <w:spacing w:beforeAutospacing="0" w:afterAutospacing="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pageBreakBefore w:val="0"/>
        <w:numPr>
          <w:ilvl w:val="0"/>
          <w:numId w:val="10"/>
        </w:numPr>
        <w:autoSpaceDE w:val="0"/>
        <w:autoSpaceDN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pageBreakBefore w:val="0"/>
        <w:autoSpaceDE/>
        <w:autoSpaceDN/>
        <w:bidi w:val="0"/>
        <w:adjustRightInd w:val="0"/>
        <w:snapToGrid w:val="0"/>
        <w:spacing w:beforeAutospacing="0" w:afterAutospacing="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332"/>
        <w:pageBreakBefore w:val="0"/>
        <w:bidi w:val="0"/>
        <w:spacing w:beforeAutospacing="0" w:afterAutospacing="0"/>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pPr>
        <w:pageBreakBefore w:val="0"/>
        <w:bidi w:val="0"/>
        <w:snapToGrid w:val="0"/>
        <w:spacing w:beforeAutospacing="0" w:afterAutospacing="0"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pageBreakBefore w:val="0"/>
        <w:bidi w:val="0"/>
        <w:snapToGrid w:val="0"/>
        <w:spacing w:beforeAutospacing="0" w:afterAutospacing="0"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pPr>
        <w:pStyle w:val="332"/>
        <w:pageBreakBefore w:val="0"/>
        <w:bidi w:val="0"/>
        <w:spacing w:beforeAutospacing="0" w:afterAutospacing="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332"/>
        <w:pageBreakBefore w:val="0"/>
        <w:bidi w:val="0"/>
        <w:spacing w:beforeAutospacing="0" w:afterAutospacing="0"/>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332"/>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pPr>
        <w:pStyle w:val="332"/>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332"/>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pPr>
        <w:pageBreakBefore w:val="0"/>
        <w:autoSpaceDE w:val="0"/>
        <w:autoSpaceDN w:val="0"/>
        <w:bidi w:val="0"/>
        <w:adjustRightInd w:val="0"/>
        <w:snapToGrid w:val="0"/>
        <w:spacing w:beforeAutospacing="0" w:afterAutospacing="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pageBreakBefore w:val="0"/>
        <w:autoSpaceDE w:val="0"/>
        <w:autoSpaceDN w:val="0"/>
        <w:bidi w:val="0"/>
        <w:adjustRightInd w:val="0"/>
        <w:snapToGrid w:val="0"/>
        <w:spacing w:beforeAutospacing="0" w:afterAutospacing="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3"/>
        <w:pageBreakBefore w:val="0"/>
        <w:bidi w:val="0"/>
        <w:spacing w:beforeAutospacing="0" w:afterAutospacing="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ageBreakBefore w:val="0"/>
        <w:autoSpaceDE w:val="0"/>
        <w:autoSpaceDN w:val="0"/>
        <w:bidi w:val="0"/>
        <w:adjustRightInd w:val="0"/>
        <w:snapToGrid w:val="0"/>
        <w:spacing w:beforeAutospacing="0" w:afterAutospacing="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332"/>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pPr>
        <w:pStyle w:val="332"/>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pPr>
        <w:pageBreakBefore w:val="0"/>
        <w:numPr>
          <w:ilvl w:val="0"/>
          <w:numId w:val="0"/>
        </w:numPr>
        <w:autoSpaceDE w:val="0"/>
        <w:autoSpaceDN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332"/>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pPr>
        <w:pStyle w:val="332"/>
        <w:pageBreakBefore w:val="0"/>
        <w:bidi w:val="0"/>
        <w:spacing w:beforeAutospacing="0" w:afterAutospacing="0"/>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pageBreakBefore w:val="0"/>
        <w:numPr>
          <w:ilvl w:val="0"/>
          <w:numId w:val="11"/>
        </w:numPr>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pageBreakBefore w:val="0"/>
        <w:bidi w:val="0"/>
        <w:adjustRightInd w:val="0"/>
        <w:snapToGrid w:val="0"/>
        <w:spacing w:beforeAutospacing="0" w:afterAutospacing="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pageBreakBefore w:val="0"/>
        <w:bidi w:val="0"/>
        <w:adjustRightInd w:val="0"/>
        <w:snapToGrid w:val="0"/>
        <w:spacing w:beforeAutospacing="0" w:afterAutospacing="0"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36" w:name="_Toc20313"/>
    </w:p>
    <w:p>
      <w:pPr>
        <w:pageBreakBefore w:val="0"/>
        <w:bidi w:val="0"/>
        <w:adjustRightInd w:val="0"/>
        <w:snapToGrid w:val="0"/>
        <w:spacing w:beforeAutospacing="0" w:afterAutospacing="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pStyle w:val="5"/>
        <w:pageBreakBefore w:val="0"/>
        <w:bidi w:val="0"/>
        <w:adjustRightInd w:val="0"/>
        <w:snapToGrid w:val="0"/>
        <w:spacing w:before="0" w:beforeAutospacing="0" w:after="0" w:afterAutospacing="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36"/>
    </w:p>
    <w:tbl>
      <w:tblPr>
        <w:tblStyle w:val="4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lang w:eastAsia="zh-CN"/>
              </w:rPr>
              <w:t>联合体具体要求</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eastAsia="宋体" w:cs="Times New Roman"/>
                <w:kern w:val="2"/>
                <w:sz w:val="21"/>
                <w:szCs w:val="21"/>
                <w:lang w:val="en-US" w:eastAsia="zh-CN" w:bidi="ar-SA"/>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lang w:eastAsia="zh-CN"/>
              </w:rPr>
            </w:pPr>
            <w:r>
              <w:rPr>
                <w:rFonts w:hint="eastAsia" w:ascii="宋体" w:hAnsi="宋体"/>
                <w:szCs w:val="21"/>
                <w:lang w:eastAsia="zh-CN"/>
              </w:rPr>
              <w:t>第二节</w:t>
            </w:r>
          </w:p>
          <w:p>
            <w:pPr>
              <w:pageBreakBefore w:val="0"/>
              <w:bidi w:val="0"/>
              <w:snapToGrid w:val="0"/>
              <w:spacing w:beforeAutospacing="0" w:afterAutospacing="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lang w:eastAsia="zh-CN"/>
              </w:rPr>
            </w:pPr>
            <w:r>
              <w:rPr>
                <w:rFonts w:hint="eastAsia" w:ascii="宋体" w:hAnsi="宋体"/>
                <w:szCs w:val="21"/>
                <w:lang w:eastAsia="zh-CN"/>
              </w:rPr>
              <w:t>第二节</w:t>
            </w:r>
          </w:p>
          <w:p>
            <w:pPr>
              <w:pageBreakBefore w:val="0"/>
              <w:bidi w:val="0"/>
              <w:snapToGrid w:val="0"/>
              <w:spacing w:beforeAutospacing="0" w:afterAutospacing="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eastAsia="zh-CN"/>
              </w:rPr>
            </w:pPr>
            <w:r>
              <w:rPr>
                <w:rFonts w:hint="eastAsia" w:ascii="宋体" w:hAnsi="宋体"/>
                <w:szCs w:val="21"/>
                <w:lang w:eastAsia="zh-CN"/>
              </w:rPr>
              <w:t>履行合同义务的顺序</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restart"/>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noWrap w:val="0"/>
            <w:vAlign w:val="center"/>
          </w:tcPr>
          <w:p>
            <w:pPr>
              <w:pageBreakBefore w:val="0"/>
              <w:bidi w:val="0"/>
              <w:spacing w:beforeAutospacing="0" w:afterAutospacing="0"/>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continue"/>
            <w:noWrap w:val="0"/>
            <w:vAlign w:val="center"/>
          </w:tcPr>
          <w:p>
            <w:pPr>
              <w:pageBreakBefore w:val="0"/>
              <w:bidi w:val="0"/>
              <w:adjustRightInd w:val="0"/>
              <w:snapToGrid w:val="0"/>
              <w:spacing w:beforeAutospacing="0" w:afterAutospacing="0"/>
              <w:jc w:val="center"/>
              <w:rPr>
                <w:rFonts w:hint="eastAsia" w:ascii="宋体" w:hAnsi="宋体"/>
                <w:szCs w:val="21"/>
              </w:rPr>
            </w:pP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noWrap w:val="0"/>
            <w:vAlign w:val="center"/>
          </w:tcPr>
          <w:p>
            <w:pPr>
              <w:pageBreakBefore w:val="0"/>
              <w:bidi w:val="0"/>
              <w:spacing w:beforeAutospacing="0" w:afterAutospacing="0"/>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2"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noWrap w:val="0"/>
            <w:vAlign w:val="center"/>
          </w:tcPr>
          <w:p>
            <w:pPr>
              <w:pageBreakBefore w:val="0"/>
              <w:bidi w:val="0"/>
              <w:spacing w:beforeAutospacing="0" w:afterAutospacing="0"/>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noWrap w:val="0"/>
            <w:vAlign w:val="center"/>
          </w:tcPr>
          <w:p>
            <w:pPr>
              <w:pageBreakBefore w:val="0"/>
              <w:bidi w:val="0"/>
              <w:spacing w:beforeAutospacing="0" w:afterAutospacing="0"/>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质量保证期</w:t>
            </w:r>
          </w:p>
        </w:tc>
        <w:tc>
          <w:tcPr>
            <w:tcW w:w="5170" w:type="dxa"/>
            <w:noWrap w:val="0"/>
            <w:vAlign w:val="center"/>
          </w:tcPr>
          <w:p>
            <w:pPr>
              <w:pageBreakBefore w:val="0"/>
              <w:autoSpaceDE w:val="0"/>
              <w:autoSpaceDN w:val="0"/>
              <w:bidi w:val="0"/>
              <w:adjustRightInd w:val="0"/>
              <w:snapToGrid w:val="0"/>
              <w:spacing w:beforeAutospacing="0" w:afterAutospacing="0"/>
              <w:ind w:firstLine="4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eastAsia="zh-CN"/>
              </w:rPr>
            </w:pPr>
            <w:r>
              <w:rPr>
                <w:rFonts w:hint="eastAsia" w:ascii="宋体" w:hAnsi="宋体"/>
                <w:szCs w:val="21"/>
                <w:lang w:eastAsia="zh-CN"/>
              </w:rPr>
              <w:t>货物质量缺陷</w:t>
            </w:r>
          </w:p>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响应时间</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snapToGrid w:val="0"/>
              <w:spacing w:beforeAutospacing="0" w:afterAutospacing="0"/>
              <w:jc w:val="center"/>
              <w:rPr>
                <w:rFonts w:hint="eastAsia" w:ascii="宋体" w:hAnsi="宋体" w:cs="宋体"/>
                <w:szCs w:val="21"/>
                <w:lang w:val="en-US" w:eastAsia="zh-CN"/>
              </w:rPr>
            </w:pPr>
            <w:r>
              <w:rPr>
                <w:rFonts w:hint="eastAsia" w:ascii="宋体" w:hAnsi="宋体" w:cs="宋体"/>
                <w:szCs w:val="21"/>
                <w:lang w:val="en-US" w:eastAsia="zh-CN"/>
              </w:rPr>
              <w:t>第二节</w:t>
            </w:r>
          </w:p>
          <w:p>
            <w:pPr>
              <w:pStyle w:val="332"/>
              <w:pageBreakBefore w:val="0"/>
              <w:bidi w:val="0"/>
              <w:spacing w:beforeAutospacing="0" w:afterAutospacing="0"/>
              <w:ind w:firstLine="0" w:firstLineChars="0"/>
              <w:jc w:val="center"/>
              <w:rPr>
                <w:rFonts w:hint="default"/>
                <w:lang w:val="en-US" w:eastAsia="zh-CN"/>
              </w:rPr>
            </w:pPr>
            <w:r>
              <w:rPr>
                <w:rFonts w:hint="eastAsia" w:ascii="宋体" w:hAnsi="宋体" w:eastAsia="宋体" w:cs="宋体"/>
                <w:szCs w:val="21"/>
                <w:lang w:val="en-US" w:eastAsia="zh-CN"/>
              </w:rPr>
              <w:t>第   款</w:t>
            </w:r>
          </w:p>
        </w:tc>
        <w:tc>
          <w:tcPr>
            <w:tcW w:w="1742" w:type="dxa"/>
            <w:noWrap w:val="0"/>
            <w:vAlign w:val="center"/>
          </w:tcPr>
          <w:p>
            <w:pPr>
              <w:pageBreakBefore w:val="0"/>
              <w:bidi w:val="0"/>
              <w:adjustRightInd w:val="0"/>
              <w:snapToGrid w:val="0"/>
              <w:spacing w:beforeAutospacing="0" w:afterAutospacing="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款</w:t>
            </w:r>
          </w:p>
        </w:tc>
        <w:tc>
          <w:tcPr>
            <w:tcW w:w="1742" w:type="dxa"/>
            <w:noWrap w:val="0"/>
            <w:vAlign w:val="center"/>
          </w:tcPr>
          <w:p>
            <w:pPr>
              <w:pageBreakBefore w:val="0"/>
              <w:bidi w:val="0"/>
              <w:adjustRightInd w:val="0"/>
              <w:snapToGrid w:val="0"/>
              <w:spacing w:beforeAutospacing="0" w:afterAutospacing="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款</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乙方提供的其他服务</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default" w:ascii="宋体" w:hAnsi="宋体" w:eastAsia="宋体"/>
                <w:szCs w:val="21"/>
                <w:lang w:val="en-US" w:eastAsia="zh-CN"/>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迟延交货赔偿费</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rPr>
            </w:pPr>
            <w:r>
              <w:rPr>
                <w:rFonts w:hint="eastAsia" w:ascii="宋体" w:hAnsi="宋体"/>
                <w:szCs w:val="21"/>
              </w:rPr>
              <w:t>逾期付款利息</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tcBorders>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noWrap w:val="0"/>
            <w:vAlign w:val="center"/>
          </w:tcPr>
          <w:p>
            <w:pPr>
              <w:pageBreakBefore w:val="0"/>
              <w:bidi w:val="0"/>
              <w:adjustRightInd w:val="0"/>
              <w:snapToGrid w:val="0"/>
              <w:spacing w:beforeAutospacing="0" w:afterAutospacing="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tcBorders>
              <w:top w:val="single" w:color="auto" w:sz="2" w:space="0"/>
              <w:left w:val="single" w:color="auto" w:sz="2" w:space="0"/>
              <w:right w:val="single" w:color="auto" w:sz="2" w:space="0"/>
            </w:tcBorders>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noWrap w:val="0"/>
            <w:vAlign w:val="center"/>
          </w:tcPr>
          <w:p>
            <w:pPr>
              <w:pageBreakBefore w:val="0"/>
              <w:autoSpaceDE w:val="0"/>
              <w:autoSpaceDN w:val="0"/>
              <w:bidi w:val="0"/>
              <w:adjustRightInd w:val="0"/>
              <w:snapToGrid w:val="0"/>
              <w:spacing w:beforeAutospacing="0" w:afterAutospacing="0"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pageBreakBefore w:val="0"/>
              <w:autoSpaceDE w:val="0"/>
              <w:autoSpaceDN w:val="0"/>
              <w:bidi w:val="0"/>
              <w:adjustRightInd w:val="0"/>
              <w:snapToGrid w:val="0"/>
              <w:spacing w:beforeAutospacing="0" w:afterAutospacing="0"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pageBreakBefore w:val="0"/>
              <w:bidi w:val="0"/>
              <w:adjustRightInd w:val="0"/>
              <w:snapToGrid w:val="0"/>
              <w:spacing w:beforeAutospacing="0" w:afterAutospacing="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0"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lang w:eastAsia="zh-CN"/>
              </w:rPr>
              <w:t>款</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bCs/>
                <w:color w:val="auto"/>
                <w:szCs w:val="21"/>
                <w:highlight w:val="none"/>
                <w:lang w:eastAsia="zh-CN"/>
              </w:rPr>
              <w:t>其他专用条款</w:t>
            </w:r>
          </w:p>
        </w:tc>
        <w:tc>
          <w:tcPr>
            <w:tcW w:w="5170" w:type="dxa"/>
            <w:noWrap w:val="0"/>
            <w:vAlign w:val="center"/>
          </w:tcPr>
          <w:p>
            <w:pPr>
              <w:pageBreakBefore w:val="0"/>
              <w:bidi w:val="0"/>
              <w:adjustRightInd w:val="0"/>
              <w:snapToGrid w:val="0"/>
              <w:spacing w:beforeAutospacing="0" w:afterAutospacing="0"/>
              <w:jc w:val="left"/>
              <w:rPr>
                <w:rFonts w:hint="default" w:ascii="宋体" w:hAnsi="宋体" w:eastAsia="宋体"/>
                <w:szCs w:val="21"/>
                <w:lang w:val="en-US" w:eastAsia="zh-CN"/>
              </w:rPr>
            </w:pPr>
          </w:p>
        </w:tc>
      </w:tr>
    </w:tbl>
    <w:p>
      <w:pPr>
        <w:pageBreakBefore w:val="0"/>
        <w:bidi w:val="0"/>
        <w:spacing w:beforeAutospacing="0" w:afterAutospacing="0"/>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Style w:val="5"/>
        <w:spacing w:line="240" w:lineRule="atLeast"/>
        <w:ind w:left="1080" w:leftChars="257" w:hanging="540"/>
        <w:rPr>
          <w:rFonts w:ascii="仿宋_GB2312" w:hAnsi="宋体" w:eastAsia="仿宋_GB2312"/>
          <w:color w:val="000000" w:themeColor="text1"/>
          <w14:textFill>
            <w14:solidFill>
              <w14:schemeClr w14:val="tx1"/>
            </w14:solidFill>
          </w14:textFill>
        </w:rPr>
      </w:pPr>
    </w:p>
    <w:p>
      <w:pPr>
        <w:rPr>
          <w:color w:val="000000" w:themeColor="text1"/>
          <w14:textFill>
            <w14:solidFill>
              <w14:schemeClr w14:val="tx1"/>
            </w14:solidFill>
          </w14:textFill>
        </w:rPr>
      </w:pPr>
    </w:p>
    <w:bookmarkEnd w:id="32"/>
    <w:p>
      <w:pPr>
        <w:pStyle w:val="3"/>
        <w:snapToGrid w:val="0"/>
        <w:jc w:val="left"/>
        <w:rPr>
          <w:rFonts w:ascii="宋体" w:hAnsi="宋体"/>
          <w:b/>
          <w:color w:val="000000" w:themeColor="text1"/>
          <w:sz w:val="28"/>
          <w:szCs w:val="28"/>
          <w14:textFill>
            <w14:solidFill>
              <w14:schemeClr w14:val="tx1"/>
            </w14:solidFill>
          </w14:textFill>
        </w:rPr>
      </w:pPr>
      <w:bookmarkStart w:id="37" w:name="_Toc474235954"/>
      <w:bookmarkStart w:id="38" w:name="_Toc420948021"/>
      <w:r>
        <w:rPr>
          <w:rFonts w:hint="eastAsia" w:ascii="宋体" w:hAnsi="宋体"/>
          <w:b/>
          <w:color w:val="000000" w:themeColor="text1"/>
          <w:sz w:val="32"/>
          <w:szCs w:val="32"/>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四、验收书</w:t>
      </w:r>
    </w:p>
    <w:p>
      <w:pPr>
        <w:spacing w:line="720" w:lineRule="auto"/>
        <w:jc w:val="center"/>
        <w:rPr>
          <w:rFonts w:ascii="宋体" w:hAnsi="宋体"/>
          <w:bCs/>
          <w:color w:val="000000" w:themeColor="text1"/>
          <w:sz w:val="32"/>
          <w:szCs w:val="32"/>
          <w14:textFill>
            <w14:solidFill>
              <w14:schemeClr w14:val="tx1"/>
            </w14:solidFill>
          </w14:textFill>
        </w:rPr>
      </w:pPr>
      <w:r>
        <w:rPr>
          <w:rFonts w:hint="eastAsia" w:ascii="宋体" w:hAnsi="宋体"/>
          <w:bCs/>
          <w:color w:val="000000" w:themeColor="text1"/>
          <w:sz w:val="32"/>
          <w:szCs w:val="32"/>
          <w14:textFill>
            <w14:solidFill>
              <w14:schemeClr w14:val="tx1"/>
            </w14:solidFill>
          </w14:textFill>
        </w:rPr>
        <w:t>政府采购项目验收书</w:t>
      </w:r>
    </w:p>
    <w:p>
      <w:pPr>
        <w:pStyle w:val="4"/>
        <w:spacing w:line="360" w:lineRule="auto"/>
        <w:rPr>
          <w:rFonts w:ascii="宋体" w:hAnsi="宋体"/>
          <w:b w:val="0"/>
          <w:bCs w:val="0"/>
          <w:color w:val="000000" w:themeColor="text1"/>
          <w:sz w:val="21"/>
          <w:szCs w:val="21"/>
          <w14:textFill>
            <w14:solidFill>
              <w14:schemeClr w14:val="tx1"/>
            </w14:solidFill>
          </w14:textFill>
        </w:rPr>
      </w:pPr>
      <w:r>
        <w:rPr>
          <w:rFonts w:hint="eastAsia" w:ascii="宋体" w:hAnsi="宋体"/>
          <w:b w:val="0"/>
          <w:bCs w:val="0"/>
          <w:color w:val="000000" w:themeColor="text1"/>
          <w:sz w:val="21"/>
          <w:szCs w:val="21"/>
          <w14:textFill>
            <w14:solidFill>
              <w14:schemeClr w14:val="tx1"/>
            </w14:solidFill>
          </w14:textFill>
        </w:rPr>
        <w:t>（本验收书为验收书样稿，最终稿由双方协商后确定）</w:t>
      </w:r>
    </w:p>
    <w:tbl>
      <w:tblPr>
        <w:tblStyle w:val="46"/>
        <w:tblW w:w="933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908"/>
        <w:gridCol w:w="1837"/>
        <w:gridCol w:w="301"/>
        <w:gridCol w:w="1409"/>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920" w:type="dxa"/>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项目名称及编号</w:t>
            </w:r>
          </w:p>
        </w:tc>
        <w:tc>
          <w:tcPr>
            <w:tcW w:w="7410" w:type="dxa"/>
            <w:gridSpan w:val="5"/>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霍尔果斯市                   项目</w:t>
            </w:r>
          </w:p>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HEGSCG-20   -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920" w:type="dxa"/>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验收单位</w:t>
            </w:r>
          </w:p>
        </w:tc>
        <w:tc>
          <w:tcPr>
            <w:tcW w:w="3046" w:type="dxa"/>
            <w:gridSpan w:val="3"/>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1409" w:type="dxa"/>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交货单位</w:t>
            </w:r>
          </w:p>
        </w:tc>
        <w:tc>
          <w:tcPr>
            <w:tcW w:w="2955" w:type="dxa"/>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920" w:type="dxa"/>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验收人</w:t>
            </w:r>
          </w:p>
        </w:tc>
        <w:tc>
          <w:tcPr>
            <w:tcW w:w="3046" w:type="dxa"/>
            <w:gridSpan w:val="3"/>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1409" w:type="dxa"/>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交货人</w:t>
            </w:r>
          </w:p>
        </w:tc>
        <w:tc>
          <w:tcPr>
            <w:tcW w:w="2955" w:type="dxa"/>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0" w:hRule="atLeast"/>
        </w:trPr>
        <w:tc>
          <w:tcPr>
            <w:tcW w:w="1920" w:type="dxa"/>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tc>
        <w:tc>
          <w:tcPr>
            <w:tcW w:w="3046" w:type="dxa"/>
            <w:gridSpan w:val="3"/>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1409" w:type="dxa"/>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tc>
        <w:tc>
          <w:tcPr>
            <w:tcW w:w="2955" w:type="dxa"/>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5" w:hRule="atLeast"/>
        </w:trPr>
        <w:tc>
          <w:tcPr>
            <w:tcW w:w="282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w:t>
            </w:r>
            <w:r>
              <w:rPr>
                <w:rFonts w:hint="eastAsia" w:ascii="宋体" w:hAnsi="宋体"/>
                <w:color w:val="000000" w:themeColor="text1"/>
                <w:szCs w:val="21"/>
                <w:lang w:eastAsia="zh-CN"/>
                <w14:textFill>
                  <w14:solidFill>
                    <w14:schemeClr w14:val="tx1"/>
                  </w14:solidFill>
                </w14:textFill>
              </w:rPr>
              <w:t>标的物</w:t>
            </w:r>
            <w:r>
              <w:rPr>
                <w:rFonts w:hint="eastAsia" w:ascii="宋体" w:hAnsi="宋体"/>
                <w:color w:val="000000" w:themeColor="text1"/>
                <w:szCs w:val="21"/>
                <w14:textFill>
                  <w14:solidFill>
                    <w14:schemeClr w14:val="tx1"/>
                  </w14:solidFill>
                </w14:textFill>
              </w:rPr>
              <w:t>名称</w:t>
            </w:r>
          </w:p>
        </w:tc>
        <w:tc>
          <w:tcPr>
            <w:tcW w:w="213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数量（单位）</w:t>
            </w:r>
          </w:p>
        </w:tc>
        <w:tc>
          <w:tcPr>
            <w:tcW w:w="4364"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相关服务要求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5" w:hRule="atLeast"/>
        </w:trPr>
        <w:tc>
          <w:tcPr>
            <w:tcW w:w="282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213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4364"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5" w:hRule="atLeast"/>
        </w:trPr>
        <w:tc>
          <w:tcPr>
            <w:tcW w:w="282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213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4364"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5" w:hRule="atLeast"/>
        </w:trPr>
        <w:tc>
          <w:tcPr>
            <w:tcW w:w="282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213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4364"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5" w:hRule="atLeast"/>
        </w:trPr>
        <w:tc>
          <w:tcPr>
            <w:tcW w:w="282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213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4364"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5" w:hRule="atLeast"/>
        </w:trPr>
        <w:tc>
          <w:tcPr>
            <w:tcW w:w="282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213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4364"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5" w:hRule="atLeast"/>
        </w:trPr>
        <w:tc>
          <w:tcPr>
            <w:tcW w:w="282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13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4364"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trPr>
        <w:tc>
          <w:tcPr>
            <w:tcW w:w="2828" w:type="dxa"/>
            <w:gridSpan w:val="2"/>
            <w:tcBorders>
              <w:bottom w:val="single" w:color="auto" w:sz="4" w:space="0"/>
            </w:tcBorders>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验收情况</w:t>
            </w:r>
          </w:p>
        </w:tc>
        <w:tc>
          <w:tcPr>
            <w:tcW w:w="6502" w:type="dxa"/>
            <w:gridSpan w:val="4"/>
            <w:tcBorders>
              <w:bottom w:val="single" w:color="auto" w:sz="4" w:space="0"/>
            </w:tcBorders>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4665" w:type="dxa"/>
            <w:gridSpan w:val="3"/>
            <w:tcBorders>
              <w:top w:val="single" w:color="auto" w:sz="4" w:space="0"/>
              <w:left w:val="single" w:color="auto" w:sz="4" w:space="0"/>
              <w:bottom w:val="single" w:color="auto" w:sz="4" w:space="0"/>
              <w:right w:val="single" w:color="auto" w:sz="4" w:space="0"/>
            </w:tcBorders>
            <w:vAlign w:val="center"/>
          </w:tcPr>
          <w:p>
            <w:pPr>
              <w:pStyle w:val="3"/>
              <w:snapToGri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验收单位（盖章）：</w:t>
            </w:r>
          </w:p>
          <w:p>
            <w:pPr>
              <w:pStyle w:val="3"/>
              <w:snapToGrid w:val="0"/>
              <w:spacing w:line="380" w:lineRule="exact"/>
              <w:jc w:val="center"/>
              <w:rPr>
                <w:rFonts w:ascii="宋体" w:hAnsi="宋体"/>
                <w:color w:val="000000" w:themeColor="text1"/>
                <w:szCs w:val="21"/>
                <w14:textFill>
                  <w14:solidFill>
                    <w14:schemeClr w14:val="tx1"/>
                  </w14:solidFill>
                </w14:textFill>
              </w:rPr>
            </w:pPr>
          </w:p>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pStyle w:val="3"/>
              <w:snapToGri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交货单位（盖章）：</w:t>
            </w:r>
          </w:p>
          <w:p>
            <w:pPr>
              <w:pStyle w:val="3"/>
              <w:snapToGrid w:val="0"/>
              <w:spacing w:line="380" w:lineRule="exact"/>
              <w:jc w:val="center"/>
              <w:rPr>
                <w:rFonts w:ascii="宋体" w:hAnsi="宋体"/>
                <w:color w:val="000000" w:themeColor="text1"/>
                <w:szCs w:val="21"/>
                <w14:textFill>
                  <w14:solidFill>
                    <w14:schemeClr w14:val="tx1"/>
                  </w14:solidFill>
                </w14:textFill>
              </w:rPr>
            </w:pPr>
          </w:p>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p>
        </w:tc>
      </w:tr>
    </w:tbl>
    <w:p>
      <w:pPr>
        <w:ind w:firstLine="630" w:firstLineChars="300"/>
        <w:outlineLvl w:val="0"/>
        <w:rPr>
          <w:rFonts w:ascii="宋体" w:hAnsi="宋体"/>
          <w:color w:val="000000" w:themeColor="text1"/>
          <w:szCs w:val="21"/>
          <w14:textFill>
            <w14:solidFill>
              <w14:schemeClr w14:val="tx1"/>
            </w14:solidFill>
          </w14:textFill>
        </w:rPr>
      </w:pPr>
    </w:p>
    <w:p>
      <w:pPr>
        <w:outlineLvl w:val="0"/>
        <w:rPr>
          <w:rFonts w:ascii="宋体" w:hAnsi="宋体"/>
          <w:color w:val="000000" w:themeColor="text1"/>
          <w:szCs w:val="21"/>
          <w14:textFill>
            <w14:solidFill>
              <w14:schemeClr w14:val="tx1"/>
            </w14:solidFill>
          </w14:textFill>
        </w:rPr>
        <w:sectPr>
          <w:footerReference r:id="rId11" w:type="first"/>
          <w:headerReference r:id="rId9" w:type="default"/>
          <w:footerReference r:id="rId10" w:type="default"/>
          <w:pgSz w:w="11906" w:h="16838"/>
          <w:pgMar w:top="1134" w:right="1134" w:bottom="1134" w:left="1418" w:header="851" w:footer="992" w:gutter="0"/>
          <w:cols w:space="720" w:num="1"/>
          <w:docGrid w:type="lines" w:linePitch="333" w:charSpace="0"/>
        </w:sectPr>
      </w:pPr>
      <w:r>
        <w:rPr>
          <w:rFonts w:hint="eastAsia" w:ascii="宋体" w:hAnsi="宋体"/>
          <w:color w:val="000000" w:themeColor="text1"/>
          <w:szCs w:val="21"/>
          <w14:textFill>
            <w14:solidFill>
              <w14:schemeClr w14:val="tx1"/>
            </w14:solidFill>
          </w14:textFill>
        </w:rPr>
        <w:t>备注：本验收书一式四份，采购单位、中标供应商各一份，并报送采购办、采购中心留档</w:t>
      </w:r>
    </w:p>
    <w:p>
      <w:pPr>
        <w:numPr>
          <w:ilvl w:val="0"/>
          <w:numId w:val="12"/>
        </w:numPr>
        <w:jc w:val="center"/>
        <w:outlineLvl w:val="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采购需求</w:t>
      </w:r>
    </w:p>
    <w:p>
      <w:pPr>
        <w:keepNext w:val="0"/>
        <w:keepLines w:val="0"/>
        <w:pageBreakBefore w:val="0"/>
        <w:widowControl w:val="0"/>
        <w:kinsoku/>
        <w:overflowPunct/>
        <w:autoSpaceDE/>
        <w:autoSpaceDN/>
        <w:bidi w:val="0"/>
        <w:adjustRightInd/>
        <w:snapToGrid/>
        <w:spacing w:line="560"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黑体" w:eastAsia="黑体" w:cs="Times New Roman"/>
          <w:sz w:val="32"/>
          <w:szCs w:val="32"/>
        </w:rPr>
        <w:t>一、</w:t>
      </w:r>
      <w:r>
        <w:rPr>
          <w:rFonts w:hint="eastAsia" w:hAnsi="黑体" w:eastAsia="黑体" w:cs="Times New Roman"/>
          <w:sz w:val="32"/>
          <w:szCs w:val="32"/>
          <w:lang w:eastAsia="zh-CN"/>
        </w:rPr>
        <w:t>标的物</w:t>
      </w:r>
      <w:r>
        <w:rPr>
          <w:rFonts w:ascii="Times New Roman" w:hAnsi="黑体" w:eastAsia="黑体" w:cs="Times New Roman"/>
          <w:sz w:val="32"/>
          <w:szCs w:val="32"/>
        </w:rPr>
        <w:t>名称、数量和技术参数</w:t>
      </w:r>
    </w:p>
    <w:bookmarkEnd w:id="37"/>
    <w:bookmarkEnd w:id="38"/>
    <w:tbl>
      <w:tblPr>
        <w:tblStyle w:val="46"/>
        <w:tblW w:w="14168" w:type="dxa"/>
        <w:tblInd w:w="0" w:type="dxa"/>
        <w:tblLayout w:type="fixed"/>
        <w:tblCellMar>
          <w:top w:w="0" w:type="dxa"/>
          <w:left w:w="108" w:type="dxa"/>
          <w:bottom w:w="0" w:type="dxa"/>
          <w:right w:w="108" w:type="dxa"/>
        </w:tblCellMar>
      </w:tblPr>
      <w:tblGrid>
        <w:gridCol w:w="869"/>
        <w:gridCol w:w="1"/>
        <w:gridCol w:w="2"/>
        <w:gridCol w:w="18"/>
        <w:gridCol w:w="1290"/>
        <w:gridCol w:w="4"/>
        <w:gridCol w:w="5"/>
        <w:gridCol w:w="24"/>
        <w:gridCol w:w="1599"/>
        <w:gridCol w:w="6"/>
        <w:gridCol w:w="8"/>
        <w:gridCol w:w="30"/>
        <w:gridCol w:w="7613"/>
        <w:gridCol w:w="6"/>
        <w:gridCol w:w="10"/>
        <w:gridCol w:w="36"/>
        <w:gridCol w:w="818"/>
        <w:gridCol w:w="6"/>
        <w:gridCol w:w="12"/>
        <w:gridCol w:w="42"/>
        <w:gridCol w:w="815"/>
        <w:gridCol w:w="9"/>
        <w:gridCol w:w="13"/>
        <w:gridCol w:w="41"/>
        <w:gridCol w:w="886"/>
        <w:gridCol w:w="5"/>
      </w:tblGrid>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bookmarkStart w:id="39" w:name="_Toc474235955"/>
            <w:r>
              <w:rPr>
                <w:rFonts w:hint="eastAsia" w:ascii="新宋体" w:hAnsi="新宋体" w:eastAsia="新宋体" w:cs="新宋体"/>
                <w:color w:val="000000"/>
                <w:kern w:val="0"/>
                <w:sz w:val="20"/>
                <w:szCs w:val="20"/>
                <w:lang w:bidi="ar"/>
              </w:rPr>
              <w:t>序号</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标的物名称</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标的物所属行业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技术参数要求</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单位</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数量</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备注</w:t>
            </w:r>
          </w:p>
        </w:tc>
      </w:tr>
      <w:tr>
        <w:tblPrEx>
          <w:tblLayout w:type="fixed"/>
          <w:tblCellMar>
            <w:top w:w="0" w:type="dxa"/>
            <w:left w:w="108" w:type="dxa"/>
            <w:bottom w:w="0" w:type="dxa"/>
            <w:right w:w="108" w:type="dxa"/>
          </w:tblCellMar>
        </w:tblPrEx>
        <w:trPr>
          <w:gridAfter w:val="1"/>
          <w:wAfter w:w="5" w:type="dxa"/>
          <w:trHeight w:val="600" w:hRule="atLeast"/>
        </w:trPr>
        <w:tc>
          <w:tcPr>
            <w:tcW w:w="14163"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b/>
                <w:bCs/>
                <w:color w:val="000000"/>
                <w:sz w:val="20"/>
                <w:szCs w:val="20"/>
              </w:rPr>
            </w:pPr>
            <w:r>
              <w:rPr>
                <w:rFonts w:hint="eastAsia" w:ascii="新宋体" w:hAnsi="新宋体" w:eastAsia="新宋体" w:cs="新宋体"/>
                <w:b/>
                <w:bCs/>
                <w:color w:val="000000"/>
                <w:kern w:val="0"/>
                <w:sz w:val="20"/>
                <w:szCs w:val="20"/>
                <w:lang w:bidi="ar"/>
              </w:rPr>
              <w:t>化学通风实验室（吊装）50座</w:t>
            </w: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教师演示台</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FF0000"/>
                <w:kern w:val="0"/>
                <w:sz w:val="20"/>
                <w:szCs w:val="20"/>
                <w:lang w:bidi="ar"/>
              </w:rPr>
            </w:pPr>
            <w:r>
              <w:rPr>
                <w:rFonts w:hint="eastAsia" w:ascii="新宋体" w:hAnsi="新宋体" w:eastAsia="新宋体" w:cs="新宋体"/>
                <w:color w:val="000000"/>
                <w:kern w:val="0"/>
                <w:sz w:val="20"/>
                <w:szCs w:val="20"/>
                <w:lang w:bidi="ar"/>
              </w:rPr>
              <w:t>1、长2400*宽700*高850mm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w:t>
            </w:r>
            <w:r>
              <w:rPr>
                <w:rFonts w:hint="eastAsia" w:ascii="新宋体" w:hAnsi="新宋体" w:eastAsia="新宋体" w:cs="新宋体"/>
                <w:color w:val="FF0000"/>
                <w:kern w:val="0"/>
                <w:sz w:val="20"/>
                <w:szCs w:val="20"/>
                <w:lang w:bidi="ar"/>
              </w:rPr>
              <w:t>★台面： 采用≥25mm厚金属树脂高能理化板，且满足如下参数要求：</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（1）化学性能检测：台面依据GB/T 17657-2022 《人造板及饰面人造板理化性能试验方法》标准，耐污染性能不少于130项试验污染物的检测，且包含：65%硝酸、37%盐酸、98%硫酸、40%氢氧化钠、乙基苯、正丙醇等试剂，覆盖玻璃盖板和未覆盖玻璃盖板检验结果均为5级：无明显变化。</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（2）物理性能检测：台面依据GB/T 17657-2022 《人造板及饰面人造板理化性能试验方法》标准，满足：弹性模量≥9700MPa； 含水率：≤0.9%；尺寸稳定性：横向≤0.11%、纵向≤0.08%；表面耐磨性能：≥1200r,未出现磨损点;表面耐湿热性能：五级：无明显变化；浸渍剥离性能：贴面层与基材之间的胶层无剥离和分层现象；耐光色牢度性能:&gt;4级;漆膜附着力：≥六级：切割边缘完全平滑，网格内无脱落等不低于16项检测。</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18584-2001《室内装饰装修材料木家具中有害物质限量》标准，满足4种重金属含量mg/kg（可溶性铅≤2.2、镉：≤0.1、铬≤0.2、汞：未检出）。</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4）抗菌性能检测：台面依据JC/T2039-2010标准，满足：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（5）防霉性能检测：台面依据JC/T2039-2010标准，满足：黑曲霉、土曲霉、球毛壳霉、宛氏拟青霉、绳状青霉、出芽短梗霉等不少于6种的霉菌检测，且防霉等级为0级。</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（6）燃烧性能检测：台面依据GB/T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（7）抗老化性检测：台面依据GB/T24508-2020标准：48小时无开裂、无鼓泡、无粉化。</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投标人需出具国家认可的2021年或以后版本且带CMA或CNAS标志的检测告复印件，且需加盖投标人公章。</w:t>
            </w:r>
          </w:p>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3、结构：全钢独立柜体结构，无需安装；演示台设有储物柜，中间为演示台，设置电源主控系统、多媒体设备（主机、显示器、中控、功放、交换机）的位置预留。</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4、柜身主体背板、吊板及所有板材均采用采用1.0优质一级冷轧钢板（SPCCT）经CNC机压成型，满焊无缝焊接工艺，表面经磷化、环氧树脂静电粉末涂装处理。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5、柜门：双包结构，柜门内部填充蜂窝隔音棉。</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6、门铰：采用锌合金铰链。自闭式，与柜体面水平角度&lt;15度时，柜门即可自行关闭，使用过程中无噪音，可开关十万次。</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7、滑轨：三节静音滑轨滑轨，承重性强、滑动性能良好、无噪音开合十万次不变形。</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8、拉手：内隐藏拉手，与门板抽屉连为一体，造型独特美观。</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 xml:space="preserve">9、脚垫：ABS注塑专用垫，具有高度可调、耐磨、防潮、耐腐蚀等特点。     </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张</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教师总控电源</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装置在主控台组合柜内，采用耐磨、耐腐蚀的PVC薄膜面板，优质元器件，微电脑控制，轻触按钮开关。</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1、输入电压：220v±10%；</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2、教师电源：交流输出2-24V,2V/档，额定电流6A，过载保护：超过105%额定电流自动保护。轻触开关直选输出电压，高精度数字电压电流表显示，显示误差：交流电压1%，交流电流1%。</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 xml:space="preserve">3、直流输出1-24V（极限0-24V），精度0.1V，键盘直选电压控制方式，额定电流6A，过载保护：超过105%额定电流自动保护。高精度数字电压电流表显示，显示误差：直流电压0.5%，直流电流0.5%。 </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4、可以对实验室的排风设备的控制启动及风量调节。</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5、2路5孔插座220V输出。额定输出电流10A/路。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 xml:space="preserve">6、使用环境：温度0-40℃，湿度&lt;90%。 </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教师椅</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规格：长500*宽500*高800mm靠背及下座采用高密度网布格，阻燃、舒适、回弹性好。面料为优质网布格.骨架钢管电镀，气动升降。</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张</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宋体" w:hAnsi="宋体"/>
                <w:sz w:val="24"/>
              </w:rPr>
              <w:t>▲</w:t>
            </w:r>
            <w:r>
              <w:rPr>
                <w:rFonts w:hint="eastAsia" w:ascii="新宋体" w:hAnsi="新宋体" w:eastAsia="新宋体" w:cs="新宋体"/>
                <w:color w:val="000000"/>
                <w:kern w:val="0"/>
                <w:sz w:val="20"/>
                <w:szCs w:val="20"/>
                <w:lang w:bidi="ar"/>
              </w:rPr>
              <w:t>实验桌</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1、长1200*宽600*高780mm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w:t>
            </w:r>
            <w:r>
              <w:rPr>
                <w:rFonts w:hint="eastAsia" w:ascii="新宋体" w:hAnsi="新宋体" w:eastAsia="新宋体" w:cs="新宋体"/>
                <w:color w:val="FF0000"/>
                <w:kern w:val="0"/>
                <w:sz w:val="20"/>
                <w:szCs w:val="20"/>
                <w:lang w:bidi="ar"/>
              </w:rPr>
              <w:t>★台面：采用≥20mm厚无甲醛新型环保陶瓷台面，台面表面为实验室专业耐腐蚀、耐污染、抗冲击釉面。坯体一体实芯，釉面和坯体经高温一体烧结而成。</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（1）耐化学腐蚀性能：为保证台面耐化学腐蚀的稳定性，参照T/CIQA10-2020标准，台面耐化学腐蚀性不低于GLA级；</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（2）耐污染性能：为保证台面耐污染、易清洁的要求，参照T/CIQA10-2020标准，台面耐污染性能不低于5级；</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（3）抗冲击性能：为保证台面使用的安全性，参照T/CIQA10-2020标准，台面抗冲击性（恢复系数）不低于0.86；</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（4）防潮要求：为保证台面防潮、防霉的性能，台面吸水率测试平均值≤0.02％；</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（5）颜色稳定性：为保证台面的美观度，参照GB/T17657-2022标准,耐光色牢度不低于4级。</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以上技术参数需提供CMA或CNAS认证的第三方检测机构出具的检测报告，复印件加盖投标人公章。</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000000"/>
                <w:kern w:val="0"/>
                <w:sz w:val="20"/>
                <w:szCs w:val="20"/>
                <w:lang w:bidi="ar"/>
              </w:rPr>
              <w:t>3、台身结构：新型塑铝结构，学生位镂空式，符合人体工程学设计，美观大方。</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4、桌身：由桌腿、立柱、支撑柱、上拉管、 挡水条组成。</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5、桌腿：采用工字型压铸铝一次成型，底部贴有防滑垫60*40mm、底部卡槽内镶嵌注塑升降脚，直径40mm</w:t>
            </w:r>
            <w:r>
              <w:rPr>
                <w:rFonts w:ascii="新宋体" w:hAnsi="新宋体" w:eastAsia="新宋体" w:cs="新宋体"/>
                <w:color w:val="000000"/>
                <w:kern w:val="0"/>
                <w:sz w:val="20"/>
                <w:szCs w:val="20"/>
                <w:lang w:bidi="ar"/>
              </w:rPr>
              <w:t>-</w:t>
            </w:r>
            <w:r>
              <w:rPr>
                <w:rFonts w:hint="eastAsia" w:ascii="新宋体" w:hAnsi="新宋体" w:eastAsia="新宋体" w:cs="新宋体"/>
                <w:color w:val="000000"/>
                <w:kern w:val="0"/>
                <w:sz w:val="20"/>
                <w:szCs w:val="20"/>
                <w:lang w:bidi="ar"/>
              </w:rPr>
              <w:t>10mm内自由升降。</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8、下脚正反面设有塑料卡盖。</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9、立柱：立柱采用椭圆型铝镁合金材质 ，尺寸Φ50mmX高110mm，采用丝杆上下联通连接。</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10、上拉管：长29mm*宽29mm扇形钢管经高温粉体烤漆处理。后横梁上侧设有挡水条</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11、下横梁固定拉杆:宽15*长95mm，壁厚1.2mm。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12、材料采用优质铝镁合金材料，材料表面经高压静电喷涂环氧树脂防护层，耐酸碱，耐腐蚀处理。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13、书包斗:尺寸长430</w:t>
            </w:r>
            <w:r>
              <w:rPr>
                <w:rFonts w:ascii="新宋体" w:hAnsi="新宋体" w:eastAsia="新宋体" w:cs="新宋体"/>
                <w:color w:val="000000"/>
                <w:kern w:val="0"/>
                <w:sz w:val="20"/>
                <w:szCs w:val="20"/>
                <w:lang w:bidi="ar"/>
              </w:rPr>
              <w:t>*宽</w:t>
            </w:r>
            <w:r>
              <w:rPr>
                <w:rFonts w:hint="eastAsia" w:ascii="新宋体" w:hAnsi="新宋体" w:eastAsia="新宋体" w:cs="新宋体"/>
                <w:color w:val="000000"/>
                <w:kern w:val="0"/>
                <w:sz w:val="20"/>
                <w:szCs w:val="20"/>
                <w:lang w:bidi="ar"/>
              </w:rPr>
              <w:t>270</w:t>
            </w:r>
            <w:r>
              <w:rPr>
                <w:rFonts w:ascii="新宋体" w:hAnsi="新宋体" w:eastAsia="新宋体" w:cs="新宋体"/>
                <w:color w:val="000000"/>
                <w:kern w:val="0"/>
                <w:sz w:val="20"/>
                <w:szCs w:val="20"/>
                <w:lang w:bidi="ar"/>
              </w:rPr>
              <w:t>*高</w:t>
            </w:r>
            <w:r>
              <w:rPr>
                <w:rFonts w:hint="eastAsia" w:ascii="新宋体" w:hAnsi="新宋体" w:eastAsia="新宋体" w:cs="新宋体"/>
                <w:color w:val="000000"/>
                <w:kern w:val="0"/>
                <w:sz w:val="20"/>
                <w:szCs w:val="20"/>
                <w:lang w:bidi="ar"/>
              </w:rPr>
              <w:t>160mm采用环保型ABS工程塑料一次性注塑成型。  两个书包斗中间设有学生电源盒长260</w:t>
            </w:r>
            <w:r>
              <w:rPr>
                <w:rFonts w:ascii="新宋体" w:hAnsi="新宋体" w:eastAsia="新宋体" w:cs="新宋体"/>
                <w:color w:val="000000"/>
                <w:kern w:val="0"/>
                <w:sz w:val="20"/>
                <w:szCs w:val="20"/>
                <w:lang w:bidi="ar"/>
              </w:rPr>
              <w:t>*宽</w:t>
            </w:r>
            <w:r>
              <w:rPr>
                <w:rFonts w:hint="eastAsia" w:ascii="新宋体" w:hAnsi="新宋体" w:eastAsia="新宋体" w:cs="新宋体"/>
                <w:color w:val="000000"/>
                <w:kern w:val="0"/>
                <w:sz w:val="20"/>
                <w:szCs w:val="20"/>
                <w:lang w:bidi="ar"/>
              </w:rPr>
              <w:t>185</w:t>
            </w:r>
            <w:r>
              <w:rPr>
                <w:rFonts w:ascii="新宋体" w:hAnsi="新宋体" w:eastAsia="新宋体" w:cs="新宋体"/>
                <w:color w:val="000000"/>
                <w:kern w:val="0"/>
                <w:sz w:val="20"/>
                <w:szCs w:val="20"/>
                <w:lang w:bidi="ar"/>
              </w:rPr>
              <w:t>*高</w:t>
            </w:r>
            <w:r>
              <w:rPr>
                <w:rFonts w:hint="eastAsia" w:ascii="新宋体" w:hAnsi="新宋体" w:eastAsia="新宋体" w:cs="新宋体"/>
                <w:color w:val="000000"/>
                <w:kern w:val="0"/>
                <w:sz w:val="20"/>
                <w:szCs w:val="20"/>
                <w:lang w:bidi="ar"/>
              </w:rPr>
              <w:t>140mm，方便学生使用。</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张</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独立水槽实验台</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水槽台整体规格：长600*宽460*高820mm,滴水架、柜体和水槽底座三部分组成。水槽内规格≥长400×宽300×高240m。柜体底座采用ABS注塑成型，水槽采用PP塑料一次模具成型，确保柜体结构稳固；柜体前后带有磁吸检修门，方便日后维修，前沿带有围边挡水，带有防溢水孔，水槽预留安装水嘴孔，洗眼器孔，按压洗手液孔，柜体内设有隐藏式抽屉方便放置洗涤用品，水封式水塞可防止废水回流和堵塞。</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多功能平台架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滴水架整体呈梯形，上部尺寸宽120*长400mm下部宽170*长440mm高280mm,滴水架正面设有十条试管位滴水架注塑模具一次成型无缝链接，采用优质ABS材料，无臭无毒、耐强酸碱，使废水无法沿着水槽台台面侵蚀柜体。</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化验水槽</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1、采用耐腐蚀高密度PP材质，模具一次注塑成型，规格：外径≥长440×宽340×高240mm，水槽厚度≥5mm。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2、水槽应具有耐酸碱、耐热、耐有机溶剂，排水口应有水封装置。</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3、水槽应采取台下托底式安装（带支撑托架），水槽与台面间采用防水密封胶封闭，无漏水现象。</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4、水槽的上水、下水均应隐蔽，专用下水管扣，使下水管弯曲成“S”型防臭。</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bidi="ar"/>
              </w:rPr>
              <w:t>三联水嘴</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新宋体" w:hAnsi="新宋体" w:eastAsia="新宋体" w:cs="新宋体"/>
                <w:color w:val="000000"/>
                <w:sz w:val="20"/>
                <w:szCs w:val="20"/>
                <w:lang w:val="en-US" w:eastAsia="zh-CN"/>
              </w:rPr>
            </w:pPr>
            <w:r>
              <w:rPr>
                <w:rFonts w:hint="eastAsia" w:ascii="新宋体" w:hAnsi="新宋体" w:eastAsia="新宋体" w:cs="新宋体"/>
                <w:color w:val="000000"/>
                <w:kern w:val="0"/>
                <w:sz w:val="20"/>
                <w:szCs w:val="20"/>
                <w:lang w:bidi="ar"/>
              </w:rPr>
              <w:t>采</w:t>
            </w:r>
            <w:r>
              <w:rPr>
                <w:rFonts w:hint="eastAsia" w:ascii="新宋体" w:hAnsi="新宋体" w:eastAsia="新宋体" w:cs="新宋体"/>
                <w:color w:val="auto"/>
                <w:kern w:val="0"/>
                <w:sz w:val="20"/>
                <w:szCs w:val="20"/>
                <w:lang w:bidi="ar"/>
              </w:rPr>
              <w:t>用一体式结构，上下水接头集于一体，上下水接口置于桌面以上便于和上方水源及排水装置连接，上下水接口均采用快速链接。鹅颈式实验室专用优质化验水嘴：要求防酸碱、防锈、防虹吸、防阻塞，表面环氧树脂喷涂。出水嘴为铜质瓷芯，高头，便于多用途使用，可拆卸清洗阻塞。出水嘴可拆卸，内有成型螺纹，可方便连接循环等特殊用水水管</w:t>
            </w:r>
            <w:r>
              <w:rPr>
                <w:rFonts w:hint="eastAsia" w:ascii="新宋体" w:hAnsi="新宋体" w:eastAsia="新宋体" w:cs="新宋体"/>
                <w:color w:val="auto"/>
                <w:kern w:val="0"/>
                <w:sz w:val="20"/>
                <w:szCs w:val="20"/>
                <w:lang w:eastAsia="zh-CN" w:bidi="ar"/>
              </w:rPr>
              <w:t>。</w:t>
            </w:r>
            <w:r>
              <w:rPr>
                <w:rFonts w:hint="eastAsia" w:ascii="新宋体" w:hAnsi="新宋体" w:eastAsia="新宋体" w:cs="新宋体"/>
                <w:color w:val="auto"/>
                <w:kern w:val="0"/>
                <w:sz w:val="20"/>
                <w:szCs w:val="20"/>
                <w:lang w:val="en-US" w:eastAsia="zh-CN" w:bidi="ar"/>
              </w:rPr>
              <w:t>需提供国家强制节能产品认证证书。</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实验凳</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规格:φ300*高440-500mm;2.凳脚材质:4个凳脚采用长34*宽16*厚1.1MM椭圆形钢管一次性折弯成型,全圆满焊完成,结构牢固,经高温粉体烤漆处理,长时间使用也不会产生表面烤漆剥落现象,整体美观大方.4脚垫:采用PP加耐磨纤维质塑料,5.凳子可螺旋升降。</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全智能系统控制箱</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整体尺寸不大于：长450mm×宽200mm×高900㎜(±5㎜)；箱体厚度为1.2㎜SPCC冷轧钢板，表面光滑，不易变形，强度高等特点，钣金折弯成型，表面经酸洗磷化处理，静电喷涂环保粉末高温处理工艺，无有害物质，具有防腐性高。</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2、控制箱体内分二段式结构设计，柜上端为电气设备安装层，下端为控制操作屏系统</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3、风机控制系统：重载矢量控制变频器1个，功率5.5KVA，额定输入电压：三相380V，±15%；额定输入频率：50/60 HZ。</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4、控制功能：数码显示、移位、编程、运行、正传切换、数值加减无极调速、停止复位。</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A.技术要求：采用集成IGBT模块，PLC运行，RS485通讯，智能设计参数，多段速运行，自动节能控制，自动稳压、宽电压设计、多种控制模式，</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B.特点：瞬间电机保护，电机转速调节、自动检测负载电流调整输出电压,</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C.九大保护电机：过载、过热、过压、欠压、过流、缺相、接地、短路、失速等保护。</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5、3P电源总开关一组，学生总控2P漏电保护器一组，220V电源插座三组，</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6、摇臂控制系统：教师通过控制箱或移动设备对全室摇臂进行单独或分组控制（上升、下降或暂停，上升或下降到底后摇臂会自动停止）。</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7、电源控制系统：教师通过控制箱或移动设备对全室220V高压及0-30V低压进行单独或分组控制。</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8、照明控制系统：教师通过控制箱或移动设备对全室照明进行单独或分组控制；</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9、供排水控制系统：供水系统：每个学生终端配置一组水流检测传感器，当供水时自动进行排水控制；摇臂下方配有插拔式自动锁紧供水接口，接口与学生水槽柜之间通过优质硅胶软管连接，即插即用，用完拔下收起即可。排水系统：排水由智能化控制系统集中控制，摇臂下方配有插拔式自动锁紧排水接口，接口与学生水槽柜通过具有耐酸、耐碱、耐腐蚀功能的优质硅胶软管连接，即插即用，用完拔下收起即可，供排水管具有到位检测功能，水管未拔下，摇臂不能收起（防摇臂误操作收起检测系统）。</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10、单片机控制器及功能扩展模块1套，单片机保护模块1个,，急停控制系统1套；配有关键安全系统既长时间不操作，自动切断总电源。电源分组控制系统1套、照明分组控制系统1套、供排水分组控制系统1套。</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智能控制屏</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规格：10寸高分辨率工业安卓屏，集中控制系统，可执行各选项控制（配一启动按钮开关和一急停开关）1、摇臂控制：对全室摇臂进行单独或分组控制（上升、下降或暂停，上升或下降到底后摇臂会自动停止），具有防卡，防夹功能2、电源控制：对全室220V进行单独或分组控制；3、照明控制：对全室照明进行单独或分组控制；4、通风控制：触摸数字无极变频控制，具有频率数字显示功能，可精确控制通风风量；5、供水控制：对全室给排水进行控制。</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app吊装控制系统</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微信小程序APP集中控制系统，可执行各选项控制1、摇臂控制：对全室摇臂进行单独或分组控制（上升、下降或暂停，上升或下降到底后摇臂会自动停止），具有防卡，防夹功能2、电源控制：对全室220V进行单独或分组控制；3、照明控制：对全室照明进行单独或分组控制；</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项</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温湿度探测系统</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 xml:space="preserve">系统控制箱内配置精密温湿度传感器，实时监测室内的温度和湿度，实时显示当前环境的温度和湿度，为舒适的室内环境提供实时数据参考 </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项</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吊装主体框架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采用标准模块化组成；外形及材质：主框架采用航空飞碟式设计1.8MM-3mm厚铝合金模具成型表面经环氧树脂粉末喷涂高温固化处理，舱体下部采用镀锌钢板配色成型，左右装饰条采用实验室专用铝合金模具型材，表面经环氧树脂粉末喷涂高温固化处理。具有阻燃性强和耐酸碱、耐腐蚀，光泽度好，美观大方。</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智能摇臂升降系统</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动力采用为直流24V减速低压电机，连接杆采用专用铝合金模具一体成型，功能模块采用模具一体成型，形状为椭圆形设计，功能模块可安装高低压电源（低压电源为交直流，可以显示交直流电压）、急停开关，可配网络同时可以扩展多媒体控制。系统自带障碍物保护功能，当摇臂在运动的过程中遇到障碍物时会自动复位；摇臂在运动的过程中供应模块的电源处于断电状态</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电源操作系统供应模块</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接收智能化控制系统控制，内含新国标5孔插座。可以分组或独立控制电源供给。</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教师主控型，学生低压电源都可接收主控电源发送的锁定信号，在锁定指示灯点亮后，学生接收老师输送的设定电源电压，教师锁定时,学生自己无法操作，这样可避免学生的误操作。可以分组或独立控制；2、学生电源采用耐磨、耐腐蚀、耐高温的PC亮光薄膜面板，学生电源的控制采用按钮式按键，可以随意设置电压，贴片元件生产技术，微电脑控制，采用4寸液晶显示电源学生交直流电压 ；3、学生交流电源通过上下键0～24V电压，最小调节单元可达1V,额定电流2A； 4、学生直流电源也是通过上下键选取，调节范围为1.5～24V，分辨率可达0.1V,额定电流2A。当学生按举手按钮时，教师控制端语音播报定位学生位置序号</w:t>
            </w:r>
            <w:r>
              <w:rPr>
                <w:rFonts w:hint="eastAsia" w:ascii="新宋体" w:hAnsi="新宋体" w:eastAsia="新宋体" w:cs="新宋体"/>
                <w:color w:val="000000"/>
                <w:kern w:val="0"/>
                <w:sz w:val="20"/>
                <w:szCs w:val="20"/>
                <w:lang w:val="en-US" w:eastAsia="zh-CN" w:bidi="ar"/>
              </w:rPr>
              <w:t>,</w:t>
            </w:r>
            <w:r>
              <w:rPr>
                <w:rFonts w:hint="eastAsia" w:ascii="新宋体" w:hAnsi="新宋体" w:eastAsia="新宋体" w:cs="新宋体"/>
                <w:color w:val="000000"/>
                <w:kern w:val="0"/>
                <w:sz w:val="20"/>
                <w:szCs w:val="20"/>
                <w:lang w:bidi="ar"/>
              </w:rPr>
              <w:t>采用485网络模块接口。</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组</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供电线路</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2.5mm²，模块化设计，每组模块间采用活接式连接，方便安装、检修。采用2.5mm²电线进行系统布线。</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项</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●智能照明</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新宋体" w:hAnsi="新宋体" w:eastAsia="新宋体" w:cs="新宋体"/>
                <w:color w:val="000000"/>
                <w:sz w:val="20"/>
                <w:szCs w:val="20"/>
                <w:lang w:val="en-US" w:eastAsia="zh-CN"/>
              </w:rPr>
            </w:pPr>
            <w:r>
              <w:rPr>
                <w:rFonts w:hint="eastAsia" w:ascii="新宋体" w:hAnsi="新宋体" w:eastAsia="新宋体" w:cs="新宋体"/>
                <w:color w:val="000000"/>
                <w:kern w:val="0"/>
                <w:sz w:val="20"/>
                <w:szCs w:val="20"/>
                <w:lang w:bidi="ar"/>
              </w:rPr>
              <w:t>接收智能化控制系统控制，采用LED灯珠，设计安装磨砂透明均光板，不仅能使光线扩散均匀更能起到安全防护作用。</w:t>
            </w:r>
            <w:r>
              <w:rPr>
                <w:rFonts w:hint="eastAsia" w:ascii="新宋体" w:hAnsi="新宋体" w:eastAsia="新宋体" w:cs="新宋体"/>
                <w:color w:val="auto"/>
                <w:kern w:val="0"/>
                <w:sz w:val="20"/>
                <w:szCs w:val="20"/>
                <w:lang w:val="en-US" w:eastAsia="zh-CN" w:bidi="ar"/>
              </w:rPr>
              <w:t>需提供国家强性产品CCC证书。</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26</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自动给排水系统</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自动排水模块1组、水模拟量控制器1组、电源控制器1套</w:t>
            </w:r>
            <w:r>
              <w:rPr>
                <w:rFonts w:hint="eastAsia" w:ascii="新宋体" w:hAnsi="新宋体" w:eastAsia="新宋体" w:cs="新宋体"/>
                <w:color w:val="auto"/>
                <w:kern w:val="0"/>
                <w:sz w:val="20"/>
                <w:szCs w:val="20"/>
                <w:lang w:bidi="ar"/>
              </w:rPr>
              <w:t>、水壶一个，规格≥450×280×160㎜、水泵一个功率40W，工作电压24V，自动保护系统1组。</w:t>
            </w:r>
            <w:r>
              <w:rPr>
                <w:rFonts w:hint="eastAsia" w:ascii="新宋体" w:hAnsi="新宋体" w:eastAsia="新宋体" w:cs="新宋体"/>
                <w:color w:val="auto"/>
                <w:kern w:val="0"/>
                <w:sz w:val="20"/>
                <w:szCs w:val="20"/>
                <w:lang w:bidi="ar"/>
              </w:rPr>
              <w:br w:type="textWrapping"/>
            </w:r>
            <w:r>
              <w:rPr>
                <w:rFonts w:hint="eastAsia" w:ascii="新宋体" w:hAnsi="新宋体" w:eastAsia="新宋体" w:cs="新宋体"/>
                <w:color w:val="auto"/>
                <w:kern w:val="0"/>
                <w:sz w:val="20"/>
                <w:szCs w:val="20"/>
                <w:lang w:bidi="ar"/>
              </w:rPr>
              <w:t>所有排水由智能化控制系统集中控制，三联高低位龙头处</w:t>
            </w:r>
            <w:r>
              <w:rPr>
                <w:rFonts w:hint="eastAsia" w:ascii="新宋体" w:hAnsi="新宋体" w:eastAsia="新宋体" w:cs="新宋体"/>
                <w:color w:val="000000"/>
                <w:kern w:val="0"/>
                <w:sz w:val="20"/>
                <w:szCs w:val="20"/>
                <w:lang w:bidi="ar"/>
              </w:rPr>
              <w:t>设置排水接口，接口与学生水槽柜采用优质硅胶软管（具有防酸、防碱、耐腐蚀功能）连接，接口均采用自动锁紧插拔式连接方式，用时接上，不用时可收起。当学生水槽柜量达到一定值时系统自动排水、污水经过连接管排至顶部排水管总管后流出，当水槽柜污水排净后排水系统自动关闭。控制系统设置一键排空功能，可一键将管道内所有的污水排空。</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给排水接口</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给排水接口采用PVC材质，具有耐酸碱，拔插轻松，不生锈；即插即用，具有高密封性能，即使在供水排水工作时，随时拔掉接口不会有任何滴漏现象。</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给水管路</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给水主管选用φ20-32mmPP-R给水管，模块化设计，每组模块间采用活接式连接，方便安装、检修。</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项</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排水管路</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排水管选用加厚φ50-75mmPVC-U国标管（具有防酸、防碱、耐腐蚀功能），模块化设计，每组模块间采用活接式连接，方便安装、检修。</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项</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吊装端头</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整体采用ABS材料，抗老化、易清洁；模具一体成型，顶端配置蓝色装饰条。</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系统调试</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新宋体" w:hAnsi="新宋体" w:eastAsia="新宋体" w:cs="新宋体"/>
                <w:color w:val="000000"/>
                <w:sz w:val="20"/>
                <w:szCs w:val="20"/>
                <w:lang w:eastAsia="zh-CN"/>
              </w:rPr>
            </w:pPr>
            <w:r>
              <w:rPr>
                <w:rFonts w:hint="eastAsia" w:ascii="新宋体" w:hAnsi="新宋体" w:eastAsia="新宋体" w:cs="新宋体"/>
                <w:color w:val="000000"/>
                <w:kern w:val="0"/>
                <w:sz w:val="20"/>
                <w:szCs w:val="20"/>
                <w:lang w:eastAsia="zh-CN" w:bidi="ar"/>
              </w:rPr>
              <w:t>此项不填写中小企业声明函</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1、吊顶式安装系统采用模块化结构设计，采用吊装安装方式；</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2、系统结构调试；</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3、系统控制调试；</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4、室内通风系统调试；</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5、给排水调试；</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6、供电系统调试；</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7、照明系统调试。</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系统安装辅件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新宋体" w:hAnsi="新宋体" w:eastAsia="新宋体" w:cs="新宋体"/>
                <w:color w:val="000000"/>
                <w:sz w:val="20"/>
                <w:szCs w:val="20"/>
                <w:lang w:eastAsia="zh-CN"/>
              </w:rPr>
            </w:pPr>
            <w:r>
              <w:rPr>
                <w:rFonts w:hint="eastAsia" w:ascii="新宋体" w:hAnsi="新宋体" w:eastAsia="新宋体" w:cs="新宋体"/>
                <w:color w:val="000000"/>
                <w:kern w:val="0"/>
                <w:sz w:val="20"/>
                <w:szCs w:val="20"/>
                <w:lang w:eastAsia="zh-CN" w:bidi="ar"/>
              </w:rPr>
              <w:t>此项不填写中小企业声明函</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采用双槽钢横梁吊装方式，减少楼板承重，防止左右晃动，可进行上下、左右的平衡调节。主要辅件有：三角构件、直角座、龙骨架连接件、吊装挂件、安装连接板等。</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项</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万向吸风罩</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1.关节：高密度PP材质表面磨砂，优化了视觉美感和手握触感可360°旋转调节方向。</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2.关节密封圈：不易老化之高密度橡胶。在关节之间随着旋钮压力加大而产生阻尼效果。</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3.关节连接杆：304不锈钢双头锁杆。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4.关节盖：高密度PP材质表面磨砂。</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5.关节松紧选钮：高密度PP材质，内置微形平面推力不锈钢轴承，与关节连接杆锁合。</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6.拱形集气罩：直径260mm，高密度PC制成。</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7.伸缩导管：4节直径50mm的6系专业抗氧化抗腐蚀的镁硅铝合金，表面做特氟龙表面处理，耐酸、耐碱、耐划痕。</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8.扭簧：使用90度的4mm专用弹簧钢抗氧化处理，防止吸风罩整体滑下。</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9.安装后可根据使用需要达到三维360度任意转停，集气罩吸气角度360度任意转停。整体美观大方，吻合高水准专业实验室。</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室内通风系统</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采用PVC风管，具有耐酸碱性能。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规格：主风管直径≥200mm，支风管直径≥110mm。管卡采用碳钢制作，表面经镀铬处理，具有耐腐蚀、防火、防潮等功能。</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项</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室外通风系统</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采用PVC风管，或PP焊接管具有耐酸碱性能。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规格：主风管直径≥400mm。管卡采用碳钢制作，表面经镀铬处理，具有耐腐蚀、防火、防潮等功能。</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项</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通风风机</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6#离心风机 5.5KW，转速 1450r/min，流量 10602-21204M3/h，全压 1150-748Pa，噪声符合国家标准,风机外壳和叶轮均采用模具一次成型。配橡胶减震器用于消除专用通风机引起的震动，配防雨帽，PP材质，主要用于对专用通风机的防护。</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消音器</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 xml:space="preserve"> φ400*高1000mm,PP材质，内置隔音棉等隔音装置，确保通风室外噪音小于50分贝。</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风机软连接</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 xml:space="preserve"> φ600-φ400mm,pp材质。进出口接头采用柔性材质，消除因震动引起的微量错位对风机的影响。</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分机控制线</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国标：采用交联聚乙烯绝缘﹑铝塑带绕包总屏蔽﹑低烟无卤聚烯烃内衬层﹑钢丝铠装﹑低烟无卤聚烯烃护套耐火计算机对绞控制电缆。电缆的额定电压300/500V，电缆长期工作温度-30～90℃，电缆敷设温度不低于0℃，WDZCN-DJYJP3YP3VR-33电缆弯曲半径不小于电缆直径的12倍，低烟无卤成束阻燃型电缆燃烧时析出气体中HCL含量≤100mg/g。</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项</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吊顶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吊顶形式:不上人型吊顶；吊筋Φ8，H＝750mm；50系列轻钢龙骨，间距:400*600。材料符合国家环保要求。</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项</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●LED格栅灯</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auto"/>
                <w:sz w:val="20"/>
                <w:szCs w:val="20"/>
                <w:lang w:eastAsia="zh-CN"/>
              </w:rPr>
            </w:pPr>
            <w:r>
              <w:rPr>
                <w:rFonts w:hint="eastAsia" w:ascii="新宋体" w:hAnsi="新宋体" w:eastAsia="新宋体" w:cs="新宋体"/>
                <w:color w:val="auto"/>
                <w:kern w:val="0"/>
                <w:sz w:val="20"/>
                <w:szCs w:val="20"/>
                <w:lang w:bidi="ar"/>
              </w:rPr>
              <w:t>LED格栅灯功率：30W发光角度:120度外接电源：AC110-240V</w:t>
            </w:r>
            <w:r>
              <w:rPr>
                <w:rFonts w:hint="eastAsia" w:ascii="新宋体" w:hAnsi="新宋体" w:eastAsia="新宋体" w:cs="新宋体"/>
                <w:color w:val="auto"/>
                <w:kern w:val="0"/>
                <w:sz w:val="20"/>
                <w:szCs w:val="20"/>
                <w:lang w:eastAsia="zh-CN" w:bidi="ar"/>
              </w:rPr>
              <w:t>，</w:t>
            </w:r>
            <w:r>
              <w:rPr>
                <w:rFonts w:hint="eastAsia" w:ascii="新宋体" w:hAnsi="新宋体" w:eastAsia="新宋体" w:cs="新宋体"/>
                <w:color w:val="auto"/>
                <w:kern w:val="0"/>
                <w:sz w:val="20"/>
                <w:szCs w:val="20"/>
                <w:lang w:bidi="ar"/>
              </w:rPr>
              <w:t>铝合金外框，表面烤漆喷涂，LED专用扩散板，无眩光，透光率佳，安装简便</w:t>
            </w:r>
            <w:r>
              <w:rPr>
                <w:rFonts w:hint="eastAsia" w:ascii="新宋体" w:hAnsi="新宋体" w:eastAsia="新宋体" w:cs="新宋体"/>
                <w:color w:val="auto"/>
                <w:kern w:val="0"/>
                <w:sz w:val="20"/>
                <w:szCs w:val="20"/>
                <w:lang w:eastAsia="zh-CN" w:bidi="ar"/>
              </w:rPr>
              <w:t>。</w:t>
            </w:r>
            <w:r>
              <w:rPr>
                <w:rFonts w:hint="eastAsia" w:ascii="新宋体" w:hAnsi="新宋体" w:eastAsia="新宋体" w:cs="新宋体"/>
                <w:color w:val="auto"/>
                <w:kern w:val="0"/>
                <w:sz w:val="20"/>
                <w:szCs w:val="20"/>
                <w:lang w:val="en-US" w:eastAsia="zh-CN" w:bidi="ar"/>
              </w:rPr>
              <w:t>需提供国家强性产品CCC证书。</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盏</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highlight w:val="none"/>
                <w:lang w:eastAsia="zh-CN" w:bidi="ar"/>
              </w:rPr>
              <w:t>■</w:t>
            </w:r>
            <w:r>
              <w:rPr>
                <w:rFonts w:hint="eastAsia" w:ascii="新宋体" w:hAnsi="新宋体" w:eastAsia="新宋体" w:cs="新宋体"/>
                <w:color w:val="auto"/>
                <w:kern w:val="0"/>
                <w:sz w:val="20"/>
                <w:szCs w:val="20"/>
                <w:highlight w:val="none"/>
                <w:lang w:bidi="ar"/>
              </w:rPr>
              <w:t>●</w:t>
            </w:r>
            <w:r>
              <w:rPr>
                <w:rFonts w:hint="eastAsia" w:ascii="新宋体" w:hAnsi="新宋体" w:eastAsia="新宋体" w:cs="新宋体"/>
                <w:color w:val="000000"/>
                <w:kern w:val="0"/>
                <w:sz w:val="20"/>
                <w:szCs w:val="20"/>
                <w:highlight w:val="none"/>
                <w:lang w:bidi="ar"/>
              </w:rPr>
              <w:t>示教终端机</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新宋体" w:hAnsi="新宋体" w:eastAsia="新宋体" w:cs="新宋体"/>
                <w:color w:val="auto"/>
                <w:kern w:val="0"/>
                <w:sz w:val="20"/>
                <w:szCs w:val="20"/>
                <w:lang w:val="en-US" w:eastAsia="zh-CN" w:bidi="ar"/>
              </w:rPr>
            </w:pPr>
            <w:r>
              <w:rPr>
                <w:rFonts w:hint="eastAsia" w:ascii="新宋体" w:hAnsi="新宋体" w:eastAsia="新宋体" w:cs="新宋体"/>
                <w:color w:val="auto"/>
                <w:kern w:val="0"/>
                <w:sz w:val="20"/>
                <w:szCs w:val="20"/>
                <w:highlight w:val="none"/>
                <w:lang w:bidi="ar"/>
              </w:rPr>
              <w:t>1.</w:t>
            </w:r>
            <w:r>
              <w:rPr>
                <w:rFonts w:hint="eastAsia" w:ascii="新宋体" w:hAnsi="新宋体" w:eastAsia="新宋体" w:cs="新宋体"/>
                <w:color w:val="auto"/>
                <w:kern w:val="0"/>
                <w:sz w:val="20"/>
                <w:szCs w:val="20"/>
                <w:lang w:eastAsia="zh-CN" w:bidi="ar"/>
              </w:rPr>
              <w:t>显示器尺寸≥</w:t>
            </w:r>
            <w:r>
              <w:rPr>
                <w:rFonts w:hint="eastAsia" w:ascii="新宋体" w:hAnsi="新宋体" w:eastAsia="新宋体" w:cs="新宋体"/>
                <w:color w:val="auto"/>
                <w:kern w:val="0"/>
                <w:sz w:val="20"/>
                <w:szCs w:val="20"/>
                <w:lang w:val="en-US" w:eastAsia="zh-CN" w:bidi="ar"/>
              </w:rPr>
              <w:t>21.5寸。需提供国家强性产品CCC证书。</w:t>
            </w:r>
          </w:p>
          <w:p>
            <w:pPr>
              <w:widowControl/>
              <w:jc w:val="left"/>
              <w:textAlignment w:val="center"/>
              <w:rPr>
                <w:rFonts w:hint="eastAsia" w:ascii="新宋体" w:hAnsi="新宋体" w:eastAsia="新宋体" w:cs="新宋体"/>
                <w:color w:val="auto"/>
                <w:kern w:val="0"/>
                <w:sz w:val="20"/>
                <w:szCs w:val="20"/>
                <w:lang w:bidi="ar"/>
              </w:rPr>
            </w:pPr>
            <w:r>
              <w:rPr>
                <w:rFonts w:hint="eastAsia" w:ascii="新宋体" w:hAnsi="新宋体" w:eastAsia="新宋体" w:cs="新宋体"/>
                <w:color w:val="auto"/>
                <w:kern w:val="0"/>
                <w:sz w:val="20"/>
                <w:szCs w:val="20"/>
                <w:lang w:val="en-US" w:eastAsia="zh-CN" w:bidi="ar"/>
              </w:rPr>
              <w:t>2.</w:t>
            </w:r>
            <w:r>
              <w:rPr>
                <w:rFonts w:hint="eastAsia" w:ascii="新宋体" w:hAnsi="新宋体" w:eastAsia="新宋体" w:cs="新宋体"/>
                <w:color w:val="auto"/>
                <w:kern w:val="0"/>
                <w:sz w:val="20"/>
                <w:szCs w:val="20"/>
                <w:lang w:bidi="ar"/>
              </w:rPr>
              <w:t>CPU采用国产处理器，CPU配置性能≥8核心8线程，主频≥2.7GHz。</w:t>
            </w:r>
          </w:p>
          <w:p>
            <w:pPr>
              <w:widowControl/>
              <w:jc w:val="left"/>
              <w:textAlignment w:val="center"/>
              <w:rPr>
                <w:rFonts w:hint="eastAsia" w:ascii="新宋体" w:hAnsi="新宋体" w:eastAsia="新宋体" w:cs="新宋体"/>
                <w:color w:val="auto"/>
                <w:kern w:val="0"/>
                <w:sz w:val="20"/>
                <w:szCs w:val="20"/>
                <w:lang w:bidi="ar"/>
              </w:rPr>
            </w:pPr>
            <w:r>
              <w:rPr>
                <w:rFonts w:hint="eastAsia" w:ascii="新宋体" w:hAnsi="新宋体" w:eastAsia="新宋体" w:cs="新宋体"/>
                <w:color w:val="auto"/>
                <w:kern w:val="0"/>
                <w:sz w:val="20"/>
                <w:szCs w:val="20"/>
                <w:lang w:val="en-US" w:eastAsia="zh-CN" w:bidi="ar"/>
              </w:rPr>
              <w:t>3</w:t>
            </w:r>
            <w:r>
              <w:rPr>
                <w:rFonts w:hint="eastAsia" w:ascii="新宋体" w:hAnsi="新宋体" w:eastAsia="新宋体" w:cs="新宋体"/>
                <w:color w:val="auto"/>
                <w:kern w:val="0"/>
                <w:sz w:val="20"/>
                <w:szCs w:val="20"/>
                <w:lang w:bidi="ar"/>
              </w:rPr>
              <w:t>.内存：≥8GB DDR4内存，2个so-DIMM插槽，最大支持32GB。</w:t>
            </w:r>
          </w:p>
          <w:p>
            <w:pPr>
              <w:widowControl/>
              <w:jc w:val="left"/>
              <w:textAlignment w:val="center"/>
              <w:rPr>
                <w:rFonts w:hint="eastAsia" w:ascii="新宋体" w:hAnsi="新宋体" w:eastAsia="新宋体" w:cs="新宋体"/>
                <w:color w:val="auto"/>
                <w:kern w:val="0"/>
                <w:sz w:val="20"/>
                <w:szCs w:val="20"/>
                <w:lang w:bidi="ar"/>
              </w:rPr>
            </w:pPr>
            <w:r>
              <w:rPr>
                <w:rFonts w:hint="eastAsia" w:ascii="新宋体" w:hAnsi="新宋体" w:eastAsia="新宋体" w:cs="新宋体"/>
                <w:color w:val="auto"/>
                <w:kern w:val="0"/>
                <w:sz w:val="20"/>
                <w:szCs w:val="20"/>
                <w:lang w:val="en-US" w:eastAsia="zh-CN" w:bidi="ar"/>
              </w:rPr>
              <w:t>4</w:t>
            </w:r>
            <w:r>
              <w:rPr>
                <w:rFonts w:hint="eastAsia" w:ascii="新宋体" w:hAnsi="新宋体" w:eastAsia="新宋体" w:cs="新宋体"/>
                <w:color w:val="auto"/>
                <w:kern w:val="0"/>
                <w:sz w:val="20"/>
                <w:szCs w:val="20"/>
                <w:lang w:bidi="ar"/>
              </w:rPr>
              <w:t>.硬盘：≥256GB M.2 PCIe SSD，支持HDD+SSD双硬盘。</w:t>
            </w:r>
          </w:p>
          <w:p>
            <w:pPr>
              <w:widowControl/>
              <w:jc w:val="left"/>
              <w:textAlignment w:val="center"/>
              <w:rPr>
                <w:rFonts w:hint="eastAsia" w:ascii="新宋体" w:hAnsi="新宋体" w:eastAsia="新宋体" w:cs="新宋体"/>
                <w:color w:val="auto"/>
                <w:kern w:val="0"/>
                <w:sz w:val="20"/>
                <w:szCs w:val="20"/>
                <w:lang w:bidi="ar"/>
              </w:rPr>
            </w:pPr>
            <w:r>
              <w:rPr>
                <w:rFonts w:hint="eastAsia" w:ascii="新宋体" w:hAnsi="新宋体" w:eastAsia="新宋体" w:cs="新宋体"/>
                <w:color w:val="auto"/>
                <w:kern w:val="0"/>
                <w:sz w:val="20"/>
                <w:szCs w:val="20"/>
                <w:lang w:val="en-US" w:eastAsia="zh-CN" w:bidi="ar"/>
              </w:rPr>
              <w:t>5</w:t>
            </w:r>
            <w:r>
              <w:rPr>
                <w:rFonts w:hint="eastAsia" w:ascii="新宋体" w:hAnsi="新宋体" w:eastAsia="新宋体" w:cs="新宋体"/>
                <w:color w:val="auto"/>
                <w:kern w:val="0"/>
                <w:sz w:val="20"/>
                <w:szCs w:val="20"/>
                <w:lang w:bidi="ar"/>
              </w:rPr>
              <w:t>.显卡：集成显卡。</w:t>
            </w:r>
          </w:p>
          <w:p>
            <w:pPr>
              <w:widowControl/>
              <w:jc w:val="left"/>
              <w:textAlignment w:val="center"/>
              <w:rPr>
                <w:rFonts w:hint="eastAsia" w:ascii="新宋体" w:hAnsi="新宋体" w:eastAsia="新宋体" w:cs="新宋体"/>
                <w:color w:val="auto"/>
                <w:kern w:val="0"/>
                <w:sz w:val="20"/>
                <w:szCs w:val="20"/>
                <w:lang w:bidi="ar"/>
              </w:rPr>
            </w:pPr>
            <w:r>
              <w:rPr>
                <w:rFonts w:hint="eastAsia" w:ascii="新宋体" w:hAnsi="新宋体" w:eastAsia="新宋体" w:cs="新宋体"/>
                <w:color w:val="auto"/>
                <w:kern w:val="0"/>
                <w:sz w:val="20"/>
                <w:szCs w:val="20"/>
                <w:lang w:val="en-US" w:eastAsia="zh-CN" w:bidi="ar"/>
              </w:rPr>
              <w:t>6</w:t>
            </w:r>
            <w:r>
              <w:rPr>
                <w:rFonts w:hint="eastAsia" w:ascii="新宋体" w:hAnsi="新宋体" w:eastAsia="新宋体" w:cs="新宋体"/>
                <w:color w:val="auto"/>
                <w:kern w:val="0"/>
                <w:sz w:val="20"/>
                <w:szCs w:val="20"/>
                <w:lang w:bidi="ar"/>
              </w:rPr>
              <w:t>.网卡：集成千兆以太网卡。</w:t>
            </w:r>
          </w:p>
          <w:p>
            <w:pPr>
              <w:widowControl/>
              <w:jc w:val="left"/>
              <w:textAlignment w:val="center"/>
              <w:rPr>
                <w:rFonts w:hint="eastAsia" w:ascii="新宋体" w:hAnsi="新宋体" w:eastAsia="新宋体" w:cs="新宋体"/>
                <w:color w:val="auto"/>
                <w:kern w:val="0"/>
                <w:sz w:val="20"/>
                <w:szCs w:val="20"/>
                <w:lang w:bidi="ar"/>
              </w:rPr>
            </w:pPr>
            <w:r>
              <w:rPr>
                <w:rFonts w:hint="eastAsia" w:ascii="新宋体" w:hAnsi="新宋体" w:eastAsia="新宋体" w:cs="新宋体"/>
                <w:color w:val="auto"/>
                <w:kern w:val="0"/>
                <w:sz w:val="20"/>
                <w:szCs w:val="20"/>
                <w:lang w:val="en-US" w:eastAsia="zh-CN" w:bidi="ar"/>
              </w:rPr>
              <w:t>需提供国家强制节能产品认证证书。</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互动示教系统软件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软件和信息技术服务业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1、教学计划自动同步至教师授课端，支持选择教学计划进行授课；</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2、课堂座位管理:支持按照学生人数自动/手动分配实验室座位，支持查看全班座位分布图，并手动对学生座位进行调整；</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3、信息查看：支持查看班级每名学生的个人信息和签到状态；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4、锁屏控制：支持批量一键锁屏，支持对单独学生端进行锁屏；</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5、支持教师控制课堂开始签到、开始上课、开始/结束投屏、开始/结束练习、开始/结束测试、管理/教学模式切换等课堂环节控制；</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6、支持将教师的屏幕同步到实验学生学习端；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7、支持教师参看备课资源，支持在授课端进行播放并投屏，支持将备课资源下发到学生端；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8、支持投屏播放不同角度实验操作的直播画面；</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9、教师在进行实验操作授课时，支持实时显示AI步骤评分；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10、教师可以发起由学生进行实验操作的练习/测试模式，支持设置练习/测试次数；</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11、支持同时</w:t>
            </w:r>
            <w:r>
              <w:rPr>
                <w:rFonts w:hint="eastAsia" w:ascii="新宋体" w:hAnsi="新宋体" w:eastAsia="新宋体" w:cs="新宋体"/>
                <w:color w:val="auto"/>
                <w:kern w:val="0"/>
                <w:sz w:val="20"/>
                <w:szCs w:val="20"/>
                <w:lang w:bidi="ar"/>
              </w:rPr>
              <w:t>播放≥6个学生端的双路实验操</w:t>
            </w:r>
            <w:r>
              <w:rPr>
                <w:rFonts w:hint="eastAsia" w:ascii="新宋体" w:hAnsi="新宋体" w:eastAsia="新宋体" w:cs="新宋体"/>
                <w:color w:val="000000"/>
                <w:kern w:val="0"/>
                <w:sz w:val="20"/>
                <w:szCs w:val="20"/>
                <w:lang w:bidi="ar"/>
              </w:rPr>
              <w:t>作实时画面，并同时支持查看AI系统对学生每个操作步骤进行实时评分，支持查看每名学生的评分详情及视频截图。</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监考平台管理终端</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FF0000"/>
                <w:sz w:val="20"/>
                <w:szCs w:val="20"/>
              </w:rPr>
            </w:pPr>
            <w:r>
              <w:rPr>
                <w:rFonts w:hint="eastAsia" w:ascii="新宋体" w:hAnsi="新宋体" w:eastAsia="新宋体" w:cs="新宋体"/>
                <w:color w:val="auto"/>
                <w:kern w:val="0"/>
                <w:sz w:val="20"/>
                <w:szCs w:val="20"/>
                <w:lang w:bidi="ar"/>
              </w:rPr>
              <w:t>≥10.4英寸， 全面屏平板电脑，≥2K显示屏，分辨率为≥2000×1200，至少搭载7nm芯片麒麟810或同类性能芯片，内存≥4GB+64GB，前置</w:t>
            </w:r>
            <w:r>
              <w:rPr>
                <w:rFonts w:hint="eastAsia" w:ascii="新宋体" w:hAnsi="新宋体" w:eastAsia="新宋体" w:cs="新宋体"/>
                <w:color w:val="auto"/>
                <w:kern w:val="0"/>
                <w:sz w:val="20"/>
                <w:szCs w:val="20"/>
                <w:lang w:val="en-US" w:eastAsia="zh-CN" w:bidi="ar"/>
              </w:rPr>
              <w:t>摄像头</w:t>
            </w:r>
            <w:r>
              <w:rPr>
                <w:rFonts w:hint="eastAsia" w:ascii="新宋体" w:hAnsi="新宋体" w:eastAsia="新宋体" w:cs="新宋体"/>
                <w:color w:val="auto"/>
                <w:kern w:val="0"/>
                <w:sz w:val="20"/>
                <w:szCs w:val="20"/>
                <w:lang w:bidi="ar"/>
              </w:rPr>
              <w:t>≥800万像素，后置</w:t>
            </w:r>
            <w:r>
              <w:rPr>
                <w:rFonts w:hint="eastAsia" w:ascii="新宋体" w:hAnsi="新宋体" w:eastAsia="新宋体" w:cs="新宋体"/>
                <w:color w:val="auto"/>
                <w:kern w:val="0"/>
                <w:sz w:val="20"/>
                <w:szCs w:val="20"/>
                <w:lang w:val="en-US" w:eastAsia="zh-CN" w:bidi="ar"/>
              </w:rPr>
              <w:t>摄像头</w:t>
            </w:r>
            <w:r>
              <w:rPr>
                <w:rFonts w:hint="eastAsia" w:ascii="新宋体" w:hAnsi="新宋体" w:eastAsia="新宋体" w:cs="新宋体"/>
                <w:color w:val="auto"/>
                <w:kern w:val="0"/>
                <w:sz w:val="20"/>
                <w:szCs w:val="20"/>
                <w:lang w:bidi="ar"/>
              </w:rPr>
              <w:t>≥800万像素，电池容量为≥7250mAh，支持4096级压感手写笔。</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实验教学测评监考软件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软件和信息技术服务业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学生端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1、设备设置：支持与当前座位物理地址绑定，支持IP地址、摄像头设置；</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2、学生签到：在教师控制课堂开始签到后，学生可以在实验终端上输入自己的信息进行签到入座，支持多位学生共同签到入座同一台设备；</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3、实验内容展示：能够显示本堂实验课的实验内容，包括：实验封面（器材的照片）、器材清单、实验内容等知识信息，支持锁屏未投屏状态下默认显示；</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4、投屏播放：在教师进行演示授课时，学生端默认锁屏并同步显示教师的投屏内容；</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5、实验采集：支持多角度采集实验操作图像，并在学生终端同步播放，支持自动录制学生测试时的操作视频并保存在本地设备；</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6、练习/测试：支持练习/测试学生身份确认，支持调用AI阅卷系统自动根据学生的操作进行实时自动赋分，并实时给出扣分依据及截图；</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7、资源播放：学生可以放浏览播放教师授课端下发的备课资源；</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8、多人轮流练习/测试：系统对练习操作时间自动计时，系统将优先让还未进行过操作的同学进行实操演练；</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9、实验操作录制视频和评分结果支持自动上传服务器。</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教师端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【快速练习】</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1、支持老师在监考端启用快速练习模式，免考试计划创建，免学生和老师信息导入，支持多次练习；</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2、只需要选择对应考题和设置时长，在正式考试前带领考生模拟进行考试，学生在终端上的操作和实验流程应与正式考试一致；</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3、快速练习时，支持查看AI实时评分成绩，及时规范纠正考生实验操作过程问题；</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【考场准备】</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1、支持通过监考员身份证号码登陆系统，登陆后通过自动获取所参与的考试计划进入监考界面；</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2、监考页面可查看考试计划基础信息及当前考试状态，支持显示该考场及考务老师信息；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3、支持查看考场所有座位的各科目考题分布情况，支持通过座位分布图查看设备状态，支持上报多种设备异常情况，支持修改该座位考题或进行备用座位替换；</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4、可查看最近开始或当前场次考试时间、科目、实时状态（不同颜色），支持显示最近场次开始时间倒计时或本场结束倒计时；</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5、支持查看该考场所有场次列表，可查看各场次科目、时间、考生数量、实时状态，可查看本场考生清单及考试状态；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6、支持查看已完成场次的座位分布图，查看各考生信息及各科目考题完成情况，支持查看考试完成情况以及考生参加补考详情。</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【监考功能】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1、支持查看本场考生信息和场次学生状态，防止学生未进到考试界面，支持查看各个座位的考生信息和考生实时状态；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2、支持对该考位的考生进行验证，线下验证完考生后，支持在系统中一键验证本场次的所有考生，支持通过人脸对考生进行验证；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3、可通过座位监考和视频监考两种模式间</w:t>
            </w:r>
            <w:r>
              <w:rPr>
                <w:rFonts w:hint="eastAsia" w:ascii="新宋体" w:hAnsi="新宋体" w:eastAsia="新宋体" w:cs="新宋体"/>
                <w:color w:val="auto"/>
                <w:kern w:val="0"/>
                <w:sz w:val="20"/>
                <w:szCs w:val="20"/>
                <w:lang w:bidi="ar"/>
              </w:rPr>
              <w:t>切换，支持≥8个考位不少于3个视角实时</w:t>
            </w:r>
            <w:r>
              <w:rPr>
                <w:rFonts w:hint="eastAsia" w:ascii="新宋体" w:hAnsi="新宋体" w:eastAsia="新宋体" w:cs="新宋体"/>
                <w:color w:val="000000"/>
                <w:kern w:val="0"/>
                <w:sz w:val="20"/>
                <w:szCs w:val="20"/>
                <w:lang w:bidi="ar"/>
              </w:rPr>
              <w:t>画面同时播放，支持手动轮巡切换画面；（提供功能截图证明并加盖投标人公章）</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4、考生交卷后，支持查看该考生已上传的视频文件，支持审核考生提交的答卷及视频完整性。</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【异常处理】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1、支持对考生提交补考，补考同时支持系统自动当天安排和监考老师指定，允许一次性对整个场次提交补考，支持在考生考试过程中重发考题，可点击补考详情查看该考生的补考安排情况；</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2、考生考试过程中，实验器材不足或者设备出现异常时，支持将考生安排到备用考位继续考试，考生需在当前场次内完成考试；当前场次剩余时间不足以继续考试时，支持将考生安排到快速考试考位；</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3、考生缺考时，支持对考生进行提交缺考，当场次结束但考生未交卷时，系统应自动对考生提交缺考，支持对考生提交强制交卷；</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4、设备出现异常时，支持对设备提交异常，并记录异常原因；当提交设备异常时，如果有考生在考试，则自动提交补考，支持在系统中将备用考位替换正常考位；</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考试中可以取消该考生考试，并选择是否提供补考，支持选择取消原因，同时确认统一补考或选择补考时间，考试期间出现异常时，支持对该考位未交卷的科目进行重发考题；（提供系统功能截图并加盖投标人公章）</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6、学生在学生端点击呼叫老师按钮，支持在监考端收到提醒；</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【AI实时评分成绩查看】</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1、当考试计划启用AI实时评分时，支持在监考实时查看考生AI评分情况；</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2、支持点击某个考生的AI评分详情，实时查看考生各个步骤和评分点的分数和评分依据，评分依据包括关键帧、图片中的标注和评分描述。（提供系统功能截图及第三方检测报告证明并加盖投标人公章）</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理化生考生终端机</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0"/>
                <w:szCs w:val="20"/>
                <w:lang w:bidi="ar"/>
              </w:rPr>
            </w:pPr>
            <w:r>
              <w:rPr>
                <w:rFonts w:hint="eastAsia" w:ascii="新宋体" w:hAnsi="新宋体" w:eastAsia="新宋体" w:cs="新宋体"/>
                <w:color w:val="000000"/>
                <w:kern w:val="0"/>
                <w:sz w:val="20"/>
                <w:szCs w:val="20"/>
                <w:lang w:bidi="ar"/>
              </w:rPr>
              <w:t>1、64位四核四线程处理器（主频≥2.0GHz），内存≥4GB DDR4，存储≥64GB SSD；；</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2、屏幕尺寸≥15英寸；支持多点触控，不低于10点；</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3、支持人脸识别功能，内置1个200万像素人脸识别摄像头（安装高度≥350mm），采用在线1：N方式验证，比对响应时间≤0.2s；</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4、采用嵌入式操作系统，需要满足断电系统保护功能，支持来电自启；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5、终端带有一个扬声器，支持外放语音操作指令，散热采用无风扇0噪音设计；</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6、底座采用金属合金和ABS材质制成，能够稳固在试验台上不能轻易被外力移动；</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7、摄像头数量≥3个，≥1个原生USB3.0，≥1个原生USB2.0，≥1个RJ45（100/1000M自适应），≥1个HDMI接口，≥1个DC 12V 电源接口；</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8、能稳定支持同时接入2个USB摄像头后不出现供电不足及卡顿，USB摄像头画面与终端自带摄像头画面无明显延迟；</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9、为保证不影响学生实验操作，俯视摄像头高度应≥630mm，侧视摄像头1和侧视摄像头2距离≥650mm；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10、摄像头采用≥400万像素高品质CMOS传感器，使用先进的ISP处理技术和算法；输出分辨率可达2K，输出帧率高达30帧/秒；</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11、最低照度0.1Lux；支持逆光对比开关；曝光参数可调节，支持自动曝光；亮度、清晰度、饱和度、对比度、白平衡、增益、抗闪烁、低亮度补偿等参数可调节；</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12、支持多种视频格式H.264、H.265、MJPEG、YUV；</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13、终端摄像头、显示屏、支架、底座须为一体化设计，不易拆卸，并且所有接口非转接，一体化封装于设备。</w:t>
            </w:r>
          </w:p>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13、终端采用DC12V 5A适配器供电，支持断电系统保护功能，具备来电自启功能（提供具有CNAS及CMA认证标志的第三方检测报告并加盖投标人公章）；</w:t>
            </w:r>
          </w:p>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14、终端内置扬声器，支持音源播放功能，扬声器输出功率≥2W，终端出现硬件问题时能够通过内置蜂鸣器报警提醒；</w:t>
            </w:r>
          </w:p>
          <w:p>
            <w:pPr>
              <w:widowControl/>
              <w:jc w:val="left"/>
              <w:textAlignment w:val="center"/>
              <w:rPr>
                <w:rFonts w:hint="eastAsia" w:ascii="新宋体" w:hAnsi="新宋体" w:eastAsia="新宋体" w:cs="新宋体"/>
                <w:color w:val="000000"/>
                <w:kern w:val="0"/>
                <w:sz w:val="20"/>
                <w:szCs w:val="20"/>
                <w:lang w:bidi="ar"/>
              </w:rPr>
            </w:pPr>
            <w:r>
              <w:rPr>
                <w:rFonts w:hint="eastAsia" w:ascii="新宋体" w:hAnsi="新宋体" w:eastAsia="新宋体" w:cs="新宋体"/>
                <w:i w:val="0"/>
                <w:iCs w:val="0"/>
                <w:color w:val="auto"/>
                <w:kern w:val="0"/>
                <w:sz w:val="20"/>
                <w:szCs w:val="20"/>
                <w:u w:val="none"/>
                <w:lang w:val="en-US" w:eastAsia="zh-CN" w:bidi="ar"/>
              </w:rPr>
              <w:t>15、终端能够在正常使用中接入USB图像后自动替换其中一路原有图像实现即插即用功能；</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考生套件系统软件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软件和信息技术服务业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1、支持将考试终端设置为：正常考位、备用考位和快速考试考位；</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设备绑定座位号后，首页显示该设备绑定的考场名称、座位号、考生个人信息和考题信息等，考生确认信息无误后，支持拍摄考生正面图像并自动发起人脸比对验证，验证结果自动推送到监考端；（提供系统功能截图并加盖投标人公章）</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3、支持考生考前确认考生信息和考题信息、摄像头画面视频正常显示、实验器材是否齐全，展示考题要求对应的实验器材信息，异常情况可在系统中呼叫监考老师；</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4、准备阶段后支持在考试开始前自动进入备考页面，支持根据选择的题目呈现实验器材清单，在同一个场次中多科目混考时，考生可根据自己实际情况选择各个科目的考试顺序；</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5、考试过程中完整录制考生实验操作视频，场次结束后将考生考试终端自动结束视频录制和交卷，支持考生在未提交答卷时，清空答题内容与操作视频进行重做；</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6、支持学生进行答题卡填写，支持普通填空题、单选题、多选题、拍照拖动题、拍照选择题、拍照填空题、看图作答题、专用填空题（数字+单位选择）；</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7、将备用考位替换绑定出问题的正常考位，场次时间不足或其它异常情况时，可使用快速考位考试，输入准考证号、身份证后六位和科目后，查询考生考试信息，监考老师确认后考生可快速开始考试；</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8、如考生考试出现异常，经监考老师许可后，考生可前往设置好的快速考试考位，输入考生信息快速开始考试；</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9、备用考位同场场次时间自动结束考试并交卷，快速考位按照设置场次时间完成考试；</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阅卷客户端软件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软件和信息技术服务业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【人工评卷配置】</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1、支持通过阅卷老师账号对自动分配的试卷（实验操作视频、答题卡）进行阅卷，可同时参与多个计划阅卷，支持通过阅卷详情查看待阅数量和已阅数量；</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2、支持基于每个操作步骤评分项进行单独评分，支持评分项分值快速判分为满分或零分；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3、支持考务人员登陆系统对考生进行现考现评，现场基于操作步骤评分项进行判分；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4、持单张试卷同</w:t>
            </w:r>
            <w:r>
              <w:rPr>
                <w:rFonts w:hint="eastAsia" w:ascii="新宋体" w:hAnsi="新宋体" w:eastAsia="新宋体" w:cs="新宋体"/>
                <w:color w:val="auto"/>
                <w:kern w:val="0"/>
                <w:sz w:val="20"/>
                <w:szCs w:val="20"/>
                <w:lang w:bidi="ar"/>
              </w:rPr>
              <w:t>时播放不少于3个不同角度视频画面，或阅读2张试卷同时播放不少于6个视频画面，支持AI</w:t>
            </w:r>
            <w:r>
              <w:rPr>
                <w:rFonts w:hint="eastAsia" w:ascii="新宋体" w:hAnsi="新宋体" w:eastAsia="新宋体" w:cs="新宋体"/>
                <w:color w:val="000000"/>
                <w:kern w:val="0"/>
                <w:sz w:val="20"/>
                <w:szCs w:val="20"/>
                <w:lang w:bidi="ar"/>
              </w:rPr>
              <w:t>辅助评分功能，能够查看各评分项AI评分及AI评分详情，包括AI评分分值，操作关键帧截图/关键操作视频片段，正确或错误操作说明。（提供系统功能截图并加盖投标人公章）</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【AI阅卷设置】</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1、支持查看各考试计划下系统推送给AI算法的试卷数量，AI算法已阅试卷和待阅试卷数量，支持以进度条和百分比方式查看算法阅卷进度，可手动对AI算法未接受试卷重新推送；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2、支持以考题维度查看AI算法阅卷进度，可查看每个考生在该考题下的AI评分详情，包括各操作步骤评分项的AI评分、实验操作视频、操作关键帧截图/关键操作视频片段、正确或错误操作说明；</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3、支持查询和抽检考生试卷的AI阅卷情况，查看考生视频、答题信息、各个实验步骤和原子点的得分情况和评分依据；</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【AI智能评分】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1、支持配合终端采集设备进行AI自动实时评分，考生在实验过程中，AI实时对考生终端的实时画面进行评分，实时返回AI评分点分数和评分依据，评分依据包括关键帧图片和文字描述；</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2、考生实验完成后，支持AI自动对考生终端录制的实验操作视频进行评分，返回AI评分点分数和评分依据，评分依据包括关键帧图片、步骤的视频段和文字描述；</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3、AI实时评分/考后评分模式均支持理化生3个学科实验，支持不少于9个实验同时并行阅卷；</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【分差仲裁功能】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1、进行双评或多评时，设置允许的分差；设置分差内计算最终成绩的标准：最高分、平均分和最低分；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2、当多个阅卷老师/人机之间对同一份试卷的评分超过设定的分差，自动进行仲裁阅卷并发送给仲裁老师评分。</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交换机</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1、≥48个10/100/1000/BASE-T以太网端口，≥2个10G Base-XSFP+光口；</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2、交换容量≥136Gbps，包转发率≥ 100Mpps；</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 MAC 地址≥16K；</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4、支持 IGMP V1/V2/V3 Snooping；</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5、额定电压： 100-240V AC，50/60Hz。</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网络巡考摄像头</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1、支持poe供电网络</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2、监控高清摄像机镜头焦距≥2.0mm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3、≥100M 以太网端口</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无线路由器</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1、网络标准：IEEE802.11a,IEEE802.11Bb,IEEE802.11g,IEEE802.1n;</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2、传输速率：≥1800Mbps</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3、频率范围：支持2.4GHz,5GHz</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4、网络接口：≥5个自适应千兆网口，其中3个LAN/WAN复用接口</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5、天线：外置，≥4根</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机柜</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≥18U机柜</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14163"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b/>
                <w:bCs/>
                <w:color w:val="000000"/>
                <w:sz w:val="20"/>
                <w:szCs w:val="20"/>
              </w:rPr>
            </w:pPr>
            <w:r>
              <w:rPr>
                <w:rFonts w:hint="eastAsia" w:ascii="新宋体" w:hAnsi="新宋体" w:eastAsia="新宋体" w:cs="新宋体"/>
                <w:b/>
                <w:bCs/>
                <w:color w:val="000000"/>
                <w:kern w:val="0"/>
                <w:sz w:val="20"/>
                <w:szCs w:val="20"/>
                <w:lang w:bidi="ar"/>
              </w:rPr>
              <w:t>物理实验室（吊装）50座</w:t>
            </w:r>
          </w:p>
        </w:tc>
      </w:tr>
      <w:tr>
        <w:tblPrEx>
          <w:tblLayout w:type="fixed"/>
          <w:tblCellMar>
            <w:top w:w="0" w:type="dxa"/>
            <w:left w:w="108" w:type="dxa"/>
            <w:bottom w:w="0" w:type="dxa"/>
            <w:right w:w="108" w:type="dxa"/>
          </w:tblCellMar>
        </w:tblPrEx>
        <w:trPr>
          <w:gridAfter w:val="1"/>
          <w:wAfter w:w="5" w:type="dxa"/>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46</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教师演示台</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1、长2400*宽700*高850mm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w:t>
            </w:r>
            <w:r>
              <w:rPr>
                <w:rFonts w:hint="eastAsia" w:ascii="新宋体" w:hAnsi="新宋体" w:eastAsia="新宋体" w:cs="新宋体"/>
                <w:color w:val="FF0000"/>
                <w:kern w:val="0"/>
                <w:sz w:val="20"/>
                <w:szCs w:val="20"/>
                <w:lang w:bidi="ar"/>
              </w:rPr>
              <w:t>★台面： 采用≥25mm厚金属树脂高能理化板，且满足如下参数要求：</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（1）化学性能检测：台面依据GB/T 17657-2022 《人造板及饰面人造板理化性能试验方法》标准，耐污染性能不少于130项试验污染物的检测，且包含：65%硝酸、37%盐酸、98%硫酸、40%氢氧化钠、乙基苯、正丙醇等试剂，覆盖玻璃盖板和未覆盖玻璃盖板检验结果均为5级：无明显变化。</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（2）物理性能检测：台面依据GB/T 17657-2022 《人造板及饰面人造板理化性能试验方法》标准，满足：弹性模量≥9700MPa； 含水率：≤0.9%；尺寸稳定性：横向≤0.11%、纵向≤0.08%；表面耐磨性能：≥1200r,未出现磨损点;表面耐湿热性能：五级：无明显变化；浸渍剥离性能：贴面层与基材之间的胶层无剥离和分层现象；耐光色牢度性能:&gt;4级;漆膜附着力：六级：切割边缘完全平滑，网格内无脱落等不低于16项检测。</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18584-2001《室内装饰装修材料木家具中有害物质限量》标准，满足4种重金属含量mg/kg（可溶性铅≤2.2、镉：≤0.1、铬≤0.2、汞：未检出）。</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4）抗菌性能检测：台面依据JC/T2039-2010标准，满足：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（5）防霉性能检测：台面依据JC/T2039-2010标准，满足：黑曲霉、土曲霉、球毛壳霉、宛氏拟青霉、绳状青霉、出芽短梗霉等不少于6种的霉菌检测，且防霉等级为0级。</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（6）燃烧性能检测：台面依据GB/T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（7）抗老化性检测：台面依据GB/T24508-2020标准：48小时无开裂、无鼓泡、无粉化。</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投标人需出具国家认可的2021年或以后版本且带CMA或CNAS标志的检测告复印件，且需加盖投标人公章。</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000000"/>
                <w:kern w:val="0"/>
                <w:sz w:val="20"/>
                <w:szCs w:val="20"/>
                <w:lang w:bidi="ar"/>
              </w:rPr>
              <w:t>3、结构：全钢独立柜体结构，无需安装；演示台设有储物柜，中间为演示台，设置电源主控系统、多媒体设备（主机、显示器、中控、功放、交换机）的位置预留。</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4、柜身主体背板、吊板及所有板材均采用采用1.0优质一级冷轧钢板（SPCCT）经CNC机压成型，满焊无缝焊接工艺，表面经磷化、环氧树脂静电粉末涂装处理。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5、柜门：双包结构，柜门内部填充蜂窝隔音棉。</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6、门铰：采用锌合金铰链。自闭式，与柜体面水平角度&lt;15度时，柜门即可自行关闭，使用过程中无噪音，可开关十万次。</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7、滑轨：三节静音滑轨滑轨，承重性强、滑动性能良好、无噪音开合十万次不变形。</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8、拉手：隐藏拉手，与门板抽屉连为一体，造型独特美观。</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 xml:space="preserve">9、脚垫：ABS注塑专用垫，具有高度可调、耐磨、防潮、耐腐蚀等特点。     </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 xml:space="preserve">                                     </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张</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47</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教师总控电源</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1.电源控制台（教师电源）采用冷轧钢板喷塑制成。教师电源采用翻转式，（使用时由专用钥匙开锁后向下翻转45度,上下翻转时能在任意角度停止）。电源面板采用优质铝合金喷塑印刷制成（不可使用铝塑板）。</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2.为确保实验需要，电源设置一块尺寸为50mm*50mm的多功能高精度数字表，可同时显示交流电压、交流电流以及直流电压、直流电流。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3.电源采用一个63A（带漏电装置）的空气开关作为总电源开关以及四个32A的空气开关，分四组向学生桌输出交流220V电压。电源具有防雷击功能。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4.电源配置一套室内环境监测系统，显示屏尺寸为85*45（mm）能监测和显示室内温度、湿度、甲醛含量、雾霾状况、TVOC数值、pm2.5和pm10数值。并有超标报警功能。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5.电源交/直流输出均为连续可调，交/直流电压输出调节采用同一个旋钮，交流输出必须保证正弦波。当输入电压从150V--242V范围内电源能正常工作,且输出电压符合参数。</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6.电源具有过流过压保护功能和自动复位功能（当遇过载时具有自动切断输出电压的功能）。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7.主要技术参数：电源工作电压交流150V—242V交流输出电压0.5-30V5A（无极连续可调）正弦波直流输出电压0.5-30V5A（无极连续可调）。</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8.电源设置一组交流220V输出，带双安全门的多功能插座，并必须标注安全警示标语。</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48</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教师椅</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规格：长500*宽500*高800mm靠背及下座采用高密度网布格，阻燃、舒适、回弹性好。面料为优质网布格.骨架钢管电镀，气动升降。</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张</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49</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实验桌</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1、长1200*宽600*高780mm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w:t>
            </w:r>
            <w:r>
              <w:rPr>
                <w:rFonts w:hint="eastAsia" w:ascii="新宋体" w:hAnsi="新宋体" w:eastAsia="新宋体" w:cs="新宋体"/>
                <w:color w:val="FF0000"/>
                <w:kern w:val="0"/>
                <w:sz w:val="20"/>
                <w:szCs w:val="20"/>
                <w:lang w:bidi="ar"/>
              </w:rPr>
              <w:t>★台面： 采用≥12.7mm厚双面膜实芯理化板，且满足如下参数要求：</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（1）化学性能检测：台面依据GB/T 17657-2022 《人造板及饰面人造板理化性能试验方法》标准，耐污染性能不少于130项试验污染物的检测，且包含：65%硝酸、37%盐酸、98%硫酸、40%氢氧化钠、乙基苯、正丙醇等试剂，覆盖玻璃盖板和未覆盖玻璃盖板检验结果均为5级：无明显变化。</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（2）物理性能检测：台面依据GB/T 17657-2022 《人造板及饰面人造板理化性能试验方法》标准，满足： 含水率：≤0.9%；吸水厚度膨胀率≤0.1%；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18584-2001《室内装饰装修材料木家具中有害物质限量》标准，满足4种重金属含量mg/kg（可溶性铅≤2.8、镉：≤0.1、铬≤0.2、汞：未检出）。</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4）抗菌性能检测：台面依据JC/T2039-2010标准，满足：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（5）防霉性能检测：台面依据JC/T2039-2010标准，满足：黑曲霉、土曲霉、球毛壳霉、宛氏拟青霉、绳状青霉、出芽短梗霉等不少于6种的霉菌检测，且防霉等级为0级。</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（6）燃烧性能检测：台面依据GB/T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（7）烟气毒性检测：台面依据GB 8624-2012《建筑材料及制品燃烧性能分级》标准，烟气毒性等级 t1 级：ZA3（达到准安全三级ZA3）。</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（8）抗老化性检测：台面依据GB/T24508-2020标准：48小时无开裂、无鼓泡、无粉化。</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投标人需出具国家认可的2021年或以后版本且带CMA或CNAS标志的检测告复印件，且需加盖投标人公章。</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000000"/>
                <w:kern w:val="0"/>
                <w:sz w:val="20"/>
                <w:szCs w:val="20"/>
                <w:lang w:bidi="ar"/>
              </w:rPr>
              <w:t>3、台身结构：新型塑铝结构，学生位镂空式，符合人体工程学设计，美观大方。</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4、桌身：由桌腿、立柱、支撑柱、上拉管、 挡水条组成。</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5、桌腿：采用工字型压铸铝一次成型，底部贴有防滑垫60*40mm、底部卡槽内镶嵌注塑升降脚，直径40mm10mm内自由升降。</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8、下脚正反面设有塑料卡盖。</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9、立柱：立柱采用椭圆型铝镁合金材质 ，尺寸50mmX110mm，采用丝杆上下联通连接。</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10、上拉管：29*29扇形钢管经高温粉体烤漆处理。后横梁上侧设有15X55mm挡水条</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11、下横梁固定拉杆:15*95mm，壁厚1.2mm。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12、材料采用优质铝镁合金材料，材料表面经高压静电喷涂环氧树脂防护层，耐酸碱，耐腐蚀处理。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13、书包斗:尺寸430X270X160mm采用环保型ABS工程塑料一次性注塑成型。  两个书包斗中间设有学生电源盒260X185X140mm，方便学生使用。</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张</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实验凳</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规格:φ300*高440-500mm;2.凳脚材质:4个凳脚采用34*16*1.1MM椭圆形钢管一次性折弯成型,全圆满焊完成,结构牢固,经高温粉体烤漆处理,长时间使用也不会产生表面烤漆剥落现象,整体美观大方.4脚垫:采用PP加耐磨纤维质塑料,5.凳子可螺旋升降。</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51</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全智能系统控制箱</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整体尺寸不大于：长450mm×宽200mm×高900㎜(±5㎜)；箱体厚度为1.2㎜SPCC冷轧钢板，表面光滑，不易变形，强度高等特点，钣金折弯成型，表面经酸洗磷化处理，静电喷涂环保粉末高温处理工艺，无有害物质，具有防腐性高。</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2、控制箱体内分二段式结构设计，柜上端为电气设备安装层，下端为控制操作屏系统</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3、2P电源总开关一组，学生总控2P漏电保护器一组，220V电源插座三组，</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4、摇臂控制系统：教师通过控制箱或移动设备对全室摇臂进行单独或分组控制（上升、下降或暂停，上升或下降到底后摇臂会自动停止）。</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5、电源控制系统：教师通过控制箱或移动设备对全室220V高压及0-30V低压进行单独或分组控制。</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6、照明控制系统：教师通过控制箱或移动设备对全室照明进行单独或分组控制。</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52</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智能控制屏</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规格：10寸高分辨率工业安卓屏，集中控制系统，可执行各选项控制（配一启动按钮开关和一急停开关）1、摇臂控制：对全室摇臂进行单独或分组控制（上升、下降或暂停，上升或下降到底后摇臂会自动停止），具有防卡，防夹功能2、电源控制：对全室220V进行单独或分组控制；3、照明控制：对全室照明进行单独或分组控制</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53</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app吊装控制系统</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微信小程序APP集中控制系统，可执行各选项控制1、摇臂控制：对全室摇臂进行单独或分组控制（上升、下降或暂停，上升或下降到底后摇臂会自动停止），具有防卡，防夹功能2、电源控制：对全室220V进行单独或分组控制；3、照明控制：对全室照明进行单独或分组控制；</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项</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54</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温湿度探测系统</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 xml:space="preserve">系统控制箱内配置精密温湿度传感器，实时监测室内的温度和湿度，实时显示当前环境的温度和湿度，为舒适的室内环境提供实时数据参考 </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项</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55</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吊装主体框架</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采用标准模块化组成；外形及材质：主框架采用航空飞碟式设计1.8MM-3mm厚铝合金模具成型表面经环氧树脂粉末喷涂高温固化处理，舱体下部采用镀锌钢板配色成型，左右装饰条采用实验室专用铝合金模具型材，表面经环氧树脂粉末喷涂高温固化处理。具有阻燃性强和耐酸碱、耐腐蚀，光泽度好，美观大方。</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智能摇臂升降系统</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动力采用为直流24V减速低压电机，连接杆采用专用铝合金模具一体成型，功能模块采用模具一体成型，形状为椭圆形设计，功能模块可安装高低压电源（低压电源为交直流，可以显示交直流电压）、急停开关，可配网络同时可以扩展多媒体控制。系统自带障碍物保护功能，当摇臂在运动的过程中遇到障碍物时会自动复位；摇臂在运动的过程中供应模块的电源处于断电状态</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57</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电源操作系统供应模块</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接收智能化控制系统控制，内含新国标5孔插座。可以分组或独立控制电源供给。</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教师主控型，学生低压电源都可接收主控电源发送的锁定信号，在锁定指示灯点亮后，学生接收老师输送的设定电源电压，教师锁定时,学生自己无法操作，这样可避免学生的误操作。可以分组或独立控制；2、学生电源采用耐磨、耐腐蚀、耐高温的PC亮光薄膜面板，学生电源的控制采用按钮式按键，可以随意设置电压，贴片元件生产技术，微电脑控制，采用4寸液晶显示电源学生交直流电压 ；3、学生交流电源通过上下键0～24V电压，最小调节单元可达1V,额定电流2A； 4、学生直流电源也是通过上下键选取，调节范围为1.5～24V，分辨率可达0.1V,额定电流2A。当学生按举手按钮时，教师控制端语音播报定位学生位置序号 ，采用485网络模块接口。</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组</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58</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供电线路</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2.5mm²，模块化设计，每组模块间采用活接式连接，方便安装、检修。采用2.5mm²电线进行系统布线。</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项</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59</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●智能照明</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接收智能化控制系统控制，采用LED灯珠，设计安装磨砂透明均光板，不仅能使光线扩散均匀更能起到安全防护</w:t>
            </w:r>
            <w:r>
              <w:rPr>
                <w:rFonts w:hint="eastAsia" w:ascii="新宋体" w:hAnsi="新宋体" w:eastAsia="新宋体" w:cs="新宋体"/>
                <w:color w:val="auto"/>
                <w:kern w:val="0"/>
                <w:sz w:val="20"/>
                <w:szCs w:val="20"/>
                <w:lang w:bidi="ar"/>
              </w:rPr>
              <w:t>作用。</w:t>
            </w:r>
            <w:r>
              <w:rPr>
                <w:rFonts w:hint="eastAsia" w:ascii="新宋体" w:hAnsi="新宋体" w:eastAsia="新宋体" w:cs="新宋体"/>
                <w:color w:val="auto"/>
                <w:kern w:val="0"/>
                <w:sz w:val="20"/>
                <w:szCs w:val="20"/>
                <w:lang w:val="en-US" w:eastAsia="zh-CN" w:bidi="ar"/>
              </w:rPr>
              <w:t>需提供国家强性产品CCC证书。</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26</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吊装端头</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整体采用ABS材料，抗老化、易清洁；模具一体成型。</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61</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系统调试</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新宋体" w:hAnsi="新宋体" w:eastAsia="新宋体" w:cs="新宋体"/>
                <w:color w:val="000000"/>
                <w:sz w:val="20"/>
                <w:szCs w:val="20"/>
                <w:lang w:eastAsia="zh-CN"/>
              </w:rPr>
            </w:pPr>
            <w:r>
              <w:rPr>
                <w:rFonts w:hint="eastAsia" w:ascii="新宋体" w:hAnsi="新宋体" w:eastAsia="新宋体" w:cs="新宋体"/>
                <w:color w:val="000000"/>
                <w:kern w:val="0"/>
                <w:sz w:val="20"/>
                <w:szCs w:val="20"/>
                <w:lang w:eastAsia="zh-CN" w:bidi="ar"/>
              </w:rPr>
              <w:t>此项不填写中小企业声明函</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1、吊顶式安装系统采用模块化结构设计，采用吊装安装方式；</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2、系统结构调试；</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3、系统控制调试；</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4、供电系统调试；</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5、照明系统调试。</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62</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系统安装辅件</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新宋体" w:hAnsi="新宋体" w:eastAsia="新宋体" w:cs="新宋体"/>
                <w:color w:val="000000"/>
                <w:sz w:val="20"/>
                <w:szCs w:val="20"/>
                <w:lang w:eastAsia="zh-CN"/>
              </w:rPr>
            </w:pPr>
            <w:r>
              <w:rPr>
                <w:rFonts w:hint="eastAsia" w:ascii="新宋体" w:hAnsi="新宋体" w:eastAsia="新宋体" w:cs="新宋体"/>
                <w:color w:val="000000"/>
                <w:kern w:val="0"/>
                <w:sz w:val="20"/>
                <w:szCs w:val="20"/>
                <w:lang w:eastAsia="zh-CN" w:bidi="ar"/>
              </w:rPr>
              <w:t>此项不填写中小企业声明函</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采用双槽钢横梁吊装方式，减少楼板承重，防止左右晃动，可进行上下、左右的平衡调节。主要辅件有：三角构件、直角座、龙骨架连接件、吊装挂件、安装连接板等。</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项</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63</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吊顶</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吊顶形式:不上人型吊顶；吊筋Φ8，H＝750mm；50系列轻钢龙骨，间距:400*600。材料符合国家环保要求。</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项</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64</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●LED格栅灯</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sz w:val="20"/>
                <w:szCs w:val="20"/>
                <w:lang w:eastAsia="zh-CN"/>
              </w:rPr>
            </w:pPr>
            <w:r>
              <w:rPr>
                <w:rFonts w:hint="eastAsia" w:ascii="新宋体" w:hAnsi="新宋体" w:eastAsia="新宋体" w:cs="新宋体"/>
                <w:color w:val="000000"/>
                <w:kern w:val="0"/>
                <w:sz w:val="20"/>
                <w:szCs w:val="20"/>
                <w:lang w:bidi="ar"/>
              </w:rPr>
              <w:t>LED格栅灯功率：30W发光角度:120度外接电源：AC110-240V(已内置LED驱动电源)*铝合金外框，表面烤漆喷涂，LED专用扩散板，无眩光，透光率佳，安装简便</w:t>
            </w:r>
            <w:r>
              <w:rPr>
                <w:rFonts w:hint="eastAsia" w:ascii="新宋体" w:hAnsi="新宋体" w:eastAsia="新宋体" w:cs="新宋体"/>
                <w:color w:val="auto"/>
                <w:kern w:val="0"/>
                <w:sz w:val="20"/>
                <w:szCs w:val="20"/>
                <w:lang w:eastAsia="zh-CN" w:bidi="ar"/>
              </w:rPr>
              <w:t>。</w:t>
            </w:r>
            <w:r>
              <w:rPr>
                <w:rFonts w:hint="eastAsia" w:ascii="新宋体" w:hAnsi="新宋体" w:eastAsia="新宋体" w:cs="新宋体"/>
                <w:color w:val="auto"/>
                <w:kern w:val="0"/>
                <w:sz w:val="20"/>
                <w:szCs w:val="20"/>
                <w:lang w:val="en-US" w:eastAsia="zh-CN" w:bidi="ar"/>
              </w:rPr>
              <w:t>需提供国家强性产品CCC证书。</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盏</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12</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65</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highlight w:val="none"/>
                <w:lang w:eastAsia="zh-CN" w:bidi="ar"/>
              </w:rPr>
              <w:t>■</w:t>
            </w:r>
            <w:r>
              <w:rPr>
                <w:rFonts w:hint="eastAsia" w:ascii="新宋体" w:hAnsi="新宋体" w:eastAsia="新宋体" w:cs="新宋体"/>
                <w:color w:val="000000"/>
                <w:kern w:val="0"/>
                <w:sz w:val="20"/>
                <w:szCs w:val="20"/>
                <w:highlight w:val="none"/>
                <w:lang w:bidi="ar"/>
              </w:rPr>
              <w:t>●示教终端机</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新宋体" w:hAnsi="新宋体" w:eastAsia="新宋体" w:cs="新宋体"/>
                <w:color w:val="auto"/>
                <w:kern w:val="0"/>
                <w:sz w:val="20"/>
                <w:szCs w:val="20"/>
                <w:lang w:val="en-US" w:eastAsia="zh-CN" w:bidi="ar"/>
              </w:rPr>
            </w:pPr>
            <w:r>
              <w:rPr>
                <w:rFonts w:hint="eastAsia" w:ascii="新宋体" w:hAnsi="新宋体" w:eastAsia="新宋体" w:cs="新宋体"/>
                <w:color w:val="000000"/>
                <w:kern w:val="0"/>
                <w:sz w:val="20"/>
                <w:szCs w:val="20"/>
                <w:highlight w:val="none"/>
                <w:lang w:bidi="ar"/>
              </w:rPr>
              <w:t>1.</w:t>
            </w:r>
            <w:r>
              <w:rPr>
                <w:rFonts w:hint="eastAsia" w:ascii="新宋体" w:hAnsi="新宋体" w:eastAsia="新宋体" w:cs="新宋体"/>
                <w:color w:val="000000"/>
                <w:kern w:val="0"/>
                <w:sz w:val="20"/>
                <w:szCs w:val="20"/>
                <w:highlight w:val="none"/>
                <w:lang w:eastAsia="zh-CN" w:bidi="ar"/>
              </w:rPr>
              <w:t>显</w:t>
            </w:r>
            <w:r>
              <w:rPr>
                <w:rFonts w:hint="eastAsia" w:ascii="新宋体" w:hAnsi="新宋体" w:eastAsia="新宋体" w:cs="新宋体"/>
                <w:color w:val="000000"/>
                <w:kern w:val="0"/>
                <w:sz w:val="20"/>
                <w:szCs w:val="20"/>
                <w:lang w:eastAsia="zh-CN" w:bidi="ar"/>
              </w:rPr>
              <w:t>示器尺寸≥</w:t>
            </w:r>
            <w:r>
              <w:rPr>
                <w:rFonts w:hint="eastAsia" w:ascii="新宋体" w:hAnsi="新宋体" w:eastAsia="新宋体" w:cs="新宋体"/>
                <w:color w:val="000000"/>
                <w:kern w:val="0"/>
                <w:sz w:val="20"/>
                <w:szCs w:val="20"/>
                <w:lang w:val="en-US" w:eastAsia="zh-CN" w:bidi="ar"/>
              </w:rPr>
              <w:t>21.5寸</w:t>
            </w:r>
            <w:r>
              <w:rPr>
                <w:rFonts w:hint="eastAsia" w:ascii="新宋体" w:hAnsi="新宋体" w:eastAsia="新宋体" w:cs="新宋体"/>
                <w:color w:val="auto"/>
                <w:kern w:val="0"/>
                <w:sz w:val="20"/>
                <w:szCs w:val="20"/>
                <w:lang w:val="en-US" w:eastAsia="zh-CN" w:bidi="ar"/>
              </w:rPr>
              <w:t>。需提供国家强性产品CCC证书。</w:t>
            </w:r>
          </w:p>
          <w:p>
            <w:pPr>
              <w:widowControl/>
              <w:jc w:val="left"/>
              <w:textAlignment w:val="center"/>
              <w:rPr>
                <w:rFonts w:hint="eastAsia" w:ascii="新宋体" w:hAnsi="新宋体" w:eastAsia="新宋体" w:cs="新宋体"/>
                <w:color w:val="000000"/>
                <w:kern w:val="0"/>
                <w:sz w:val="20"/>
                <w:szCs w:val="20"/>
                <w:lang w:bidi="ar"/>
              </w:rPr>
            </w:pPr>
            <w:r>
              <w:rPr>
                <w:rFonts w:hint="eastAsia" w:ascii="新宋体" w:hAnsi="新宋体" w:eastAsia="新宋体" w:cs="新宋体"/>
                <w:color w:val="000000"/>
                <w:kern w:val="0"/>
                <w:sz w:val="20"/>
                <w:szCs w:val="20"/>
                <w:lang w:val="en-US" w:eastAsia="zh-CN" w:bidi="ar"/>
              </w:rPr>
              <w:t>2.</w:t>
            </w:r>
            <w:r>
              <w:rPr>
                <w:rFonts w:hint="eastAsia" w:ascii="新宋体" w:hAnsi="新宋体" w:eastAsia="新宋体" w:cs="新宋体"/>
                <w:color w:val="000000"/>
                <w:kern w:val="0"/>
                <w:sz w:val="20"/>
                <w:szCs w:val="20"/>
                <w:lang w:bidi="ar"/>
              </w:rPr>
              <w:t>CPU采用国产处理器，CPU配置性能≥8核心8线程，主频≥2.7GHz。</w:t>
            </w:r>
          </w:p>
          <w:p>
            <w:pPr>
              <w:widowControl/>
              <w:jc w:val="left"/>
              <w:textAlignment w:val="center"/>
              <w:rPr>
                <w:rFonts w:hint="eastAsia" w:ascii="新宋体" w:hAnsi="新宋体" w:eastAsia="新宋体" w:cs="新宋体"/>
                <w:color w:val="000000"/>
                <w:kern w:val="0"/>
                <w:sz w:val="20"/>
                <w:szCs w:val="20"/>
                <w:lang w:bidi="ar"/>
              </w:rPr>
            </w:pPr>
            <w:r>
              <w:rPr>
                <w:rFonts w:hint="eastAsia" w:ascii="新宋体" w:hAnsi="新宋体" w:eastAsia="新宋体" w:cs="新宋体"/>
                <w:color w:val="000000"/>
                <w:kern w:val="0"/>
                <w:sz w:val="20"/>
                <w:szCs w:val="20"/>
                <w:lang w:val="en-US" w:eastAsia="zh-CN" w:bidi="ar"/>
              </w:rPr>
              <w:t>3</w:t>
            </w:r>
            <w:r>
              <w:rPr>
                <w:rFonts w:hint="eastAsia" w:ascii="新宋体" w:hAnsi="新宋体" w:eastAsia="新宋体" w:cs="新宋体"/>
                <w:color w:val="000000"/>
                <w:kern w:val="0"/>
                <w:sz w:val="20"/>
                <w:szCs w:val="20"/>
                <w:lang w:bidi="ar"/>
              </w:rPr>
              <w:t>.内存：≥8GB DDR4内存，2个so-DIMM插槽，最大支持32GB。</w:t>
            </w:r>
          </w:p>
          <w:p>
            <w:pPr>
              <w:widowControl/>
              <w:jc w:val="left"/>
              <w:textAlignment w:val="center"/>
              <w:rPr>
                <w:rFonts w:hint="eastAsia" w:ascii="新宋体" w:hAnsi="新宋体" w:eastAsia="新宋体" w:cs="新宋体"/>
                <w:color w:val="000000"/>
                <w:kern w:val="0"/>
                <w:sz w:val="20"/>
                <w:szCs w:val="20"/>
                <w:lang w:bidi="ar"/>
              </w:rPr>
            </w:pPr>
            <w:r>
              <w:rPr>
                <w:rFonts w:hint="eastAsia" w:ascii="新宋体" w:hAnsi="新宋体" w:eastAsia="新宋体" w:cs="新宋体"/>
                <w:color w:val="000000"/>
                <w:kern w:val="0"/>
                <w:sz w:val="20"/>
                <w:szCs w:val="20"/>
                <w:lang w:val="en-US" w:eastAsia="zh-CN" w:bidi="ar"/>
              </w:rPr>
              <w:t>4</w:t>
            </w:r>
            <w:r>
              <w:rPr>
                <w:rFonts w:hint="eastAsia" w:ascii="新宋体" w:hAnsi="新宋体" w:eastAsia="新宋体" w:cs="新宋体"/>
                <w:color w:val="000000"/>
                <w:kern w:val="0"/>
                <w:sz w:val="20"/>
                <w:szCs w:val="20"/>
                <w:lang w:bidi="ar"/>
              </w:rPr>
              <w:t>.硬盘：≥256GB M.2 PCIe SSD，支持HDD+SSD双硬盘。</w:t>
            </w:r>
          </w:p>
          <w:p>
            <w:pPr>
              <w:widowControl/>
              <w:jc w:val="left"/>
              <w:textAlignment w:val="center"/>
              <w:rPr>
                <w:rFonts w:hint="eastAsia" w:ascii="新宋体" w:hAnsi="新宋体" w:eastAsia="新宋体" w:cs="新宋体"/>
                <w:color w:val="000000"/>
                <w:kern w:val="0"/>
                <w:sz w:val="20"/>
                <w:szCs w:val="20"/>
                <w:lang w:bidi="ar"/>
              </w:rPr>
            </w:pPr>
            <w:r>
              <w:rPr>
                <w:rFonts w:hint="eastAsia" w:ascii="新宋体" w:hAnsi="新宋体" w:eastAsia="新宋体" w:cs="新宋体"/>
                <w:color w:val="000000"/>
                <w:kern w:val="0"/>
                <w:sz w:val="20"/>
                <w:szCs w:val="20"/>
                <w:lang w:val="en-US" w:eastAsia="zh-CN" w:bidi="ar"/>
              </w:rPr>
              <w:t>5</w:t>
            </w:r>
            <w:r>
              <w:rPr>
                <w:rFonts w:hint="eastAsia" w:ascii="新宋体" w:hAnsi="新宋体" w:eastAsia="新宋体" w:cs="新宋体"/>
                <w:color w:val="000000"/>
                <w:kern w:val="0"/>
                <w:sz w:val="20"/>
                <w:szCs w:val="20"/>
                <w:lang w:bidi="ar"/>
              </w:rPr>
              <w:t>.显卡：集成显卡。</w:t>
            </w:r>
          </w:p>
          <w:p>
            <w:pPr>
              <w:widowControl/>
              <w:jc w:val="left"/>
              <w:textAlignment w:val="center"/>
              <w:rPr>
                <w:rFonts w:hint="eastAsia" w:ascii="新宋体" w:hAnsi="新宋体" w:eastAsia="新宋体" w:cs="新宋体"/>
                <w:color w:val="000000"/>
                <w:kern w:val="0"/>
                <w:sz w:val="20"/>
                <w:szCs w:val="20"/>
                <w:lang w:bidi="ar"/>
              </w:rPr>
            </w:pPr>
            <w:r>
              <w:rPr>
                <w:rFonts w:hint="eastAsia" w:ascii="新宋体" w:hAnsi="新宋体" w:eastAsia="新宋体" w:cs="新宋体"/>
                <w:color w:val="000000"/>
                <w:kern w:val="0"/>
                <w:sz w:val="20"/>
                <w:szCs w:val="20"/>
                <w:lang w:val="en-US" w:eastAsia="zh-CN" w:bidi="ar"/>
              </w:rPr>
              <w:t>6</w:t>
            </w:r>
            <w:r>
              <w:rPr>
                <w:rFonts w:hint="eastAsia" w:ascii="新宋体" w:hAnsi="新宋体" w:eastAsia="新宋体" w:cs="新宋体"/>
                <w:color w:val="000000"/>
                <w:kern w:val="0"/>
                <w:sz w:val="20"/>
                <w:szCs w:val="20"/>
                <w:lang w:bidi="ar"/>
              </w:rPr>
              <w:t>.网卡：集成千兆以太网卡。</w:t>
            </w:r>
          </w:p>
          <w:p>
            <w:pPr>
              <w:widowControl/>
              <w:jc w:val="left"/>
              <w:textAlignment w:val="center"/>
              <w:rPr>
                <w:rFonts w:hint="eastAsia" w:ascii="新宋体" w:hAnsi="新宋体" w:eastAsia="新宋体" w:cs="新宋体"/>
                <w:color w:val="000000"/>
                <w:kern w:val="0"/>
                <w:sz w:val="20"/>
                <w:szCs w:val="20"/>
                <w:lang w:bidi="ar"/>
              </w:rPr>
            </w:pPr>
            <w:r>
              <w:rPr>
                <w:rFonts w:hint="eastAsia" w:ascii="新宋体" w:hAnsi="新宋体" w:eastAsia="新宋体" w:cs="新宋体"/>
                <w:color w:val="auto"/>
                <w:kern w:val="0"/>
                <w:sz w:val="20"/>
                <w:szCs w:val="20"/>
                <w:lang w:val="en-US" w:eastAsia="zh-CN" w:bidi="ar"/>
              </w:rPr>
              <w:t>需提供国家强制节能产品认证证书。</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66</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互动示教系统软件</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软件和信息技术服务业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1、教学计划自动同步至教师授课端，支持选择教学计划进行授课；</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2、课堂座位管理:支持按照学生人数自动/手动分配实验室座位，支持查看全班座位分布图，并手动对学生座位进行调整；</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3、信息查看：支持查看班级每名学生的个人信息和签到状态；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4、锁屏控制：支持批量一键锁屏，支持对单独学生端进行锁屏；</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5、支持教师控制课堂开始签到、开始上课、开始/结束投屏、开始/结束练习、开始/结束测试、管理/教学模式切换等课堂环节控制；</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6、支持将教师的屏幕同步到实验学生学习端；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7、支持教师参看备课资源，支持在授课端进行播放并投屏，支持将备课资源下发到学生端；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8、支持投屏播放不同角度实验操作的直播画面；</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9、教师在进行实验操作授课时，支持实时显示AI步骤评分；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10、教师可以发起由学生进行实验操作的练习/测试模式，支持设置练习/测试次数；</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11、支持同时</w:t>
            </w:r>
            <w:r>
              <w:rPr>
                <w:rFonts w:hint="eastAsia" w:ascii="新宋体" w:hAnsi="新宋体" w:eastAsia="新宋体" w:cs="新宋体"/>
                <w:color w:val="auto"/>
                <w:kern w:val="0"/>
                <w:sz w:val="20"/>
                <w:szCs w:val="20"/>
                <w:lang w:bidi="ar"/>
              </w:rPr>
              <w:t>播放≥6个学生端的双路实验操</w:t>
            </w:r>
            <w:r>
              <w:rPr>
                <w:rFonts w:hint="eastAsia" w:ascii="新宋体" w:hAnsi="新宋体" w:eastAsia="新宋体" w:cs="新宋体"/>
                <w:color w:val="000000"/>
                <w:kern w:val="0"/>
                <w:sz w:val="20"/>
                <w:szCs w:val="20"/>
                <w:lang w:bidi="ar"/>
              </w:rPr>
              <w:t>作实时画面，并同时支持查看AI系统对学生每个操作步骤进行实时评分，支持查看每名学生的评分详情及视频截图。</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67</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监考平台管理终端</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auto"/>
                <w:kern w:val="0"/>
                <w:sz w:val="20"/>
                <w:szCs w:val="20"/>
                <w:lang w:bidi="ar"/>
              </w:rPr>
              <w:t>≥10.4英寸， 全面屏平板电脑，≥2K显示屏，分辨率为≥2000×1200，至少搭载7nm芯片麒麟810或同类性能芯片，内存≥4GB+64GB，前置≥800万像素，后置≥800万像素，电池容量为≥7250mAh，支持4096级压感手写笔。</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68</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实验教学测评监考软件</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软件和信息技术服务业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学生端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1、设备设置：支持与当前座位物理地址绑定，支持IP地址、摄像头设置；</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2、学生签到：在教师控制课堂开始签到后，学生可以在实验终端上输入自己的信息进行签到入座，支持多位学生共同签到入座同一台设备；</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3、实验内容展示：能够显示本堂实验课的实验内容，包括：实验封面（器材的照片）、器材清单、实验内容等知识信息，支持锁屏未投屏状态下默认显示；</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4、投屏播放：在教师进行演示授课时，学生端默认锁屏并同步显示教师的投屏内容；</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5、实验采集：支持多角度采集实验操作图像，并在学生终端同步播放，支持自动录制学生测试时的操作视频并保存在本地设备；</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6、练习/测试：支持练习/测试学生身份确认，支持调用AI阅卷系统自动根据学生的操作进行实时自动赋分，并实时给出扣分依据及截图；</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7、资源播放：学生可以放浏览播放教师授课端下发的备课资源；</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8、多人轮流练习/测试：系统对练习操作时间自动计时，系统将优先让还未进行过操作的同学进行实操演练；</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9、实验操作录制视频和评分结果支持自动上传服务器。</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教师端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【快速练习】</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1、支持老师在监考端启用快速练习模式，免考试计划创建，免学生和老师信息导入，支持多次练习；</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2、只需要选择对应考题和设置时长，在正式考试前带领考生模拟进行考试，学生在终端上的操作和实验流程应与正式考试一致；</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3、快速练习时，支持查看AI实时评分成绩，及时规范纠正考生实验操作过程问题；</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【考场准备】</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1、支持通过监考员身份证号码登陆系统，登陆后通过自动获取所参与的考试计划进入监考界面；</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2、监考页面可查看考试计划基础信息及当前考试状态，支持显示该考场及考务老师信息；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3、支持查看考场所有座位的各科目考题分布情况，支持通过座位分布图查看设备状态，支持上报多种设备异常情况，支持修改该座位考题或进行备用座位替换；</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4、可查看最近开始或当前场次考试时间、科目、实时状态（不同颜色），支持显示最近场次开始时间倒计时或本场结束倒计时；</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5、支持查看该考场所有场次列表，可查看各场次科目、时间、考生数量、实时状态，可查看本场考生清单及考试状态；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6、支持查看已完成场次的座位分布图，查看各考生信息及各科目考题完成情况，支持查看考试完成情况以及考生参加补考详情。</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【监考功能】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1、支持查看本场考生信息和场次学生状态，防止学生未进到考试界面，支持查看各个座位的考生信息和考生实时状态；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2、支持对该考位的考生进行验证，线下验证完考生后，支持在系统中一键验证本场次的所有考生，支持通过人脸对考生进行验证；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3、可通过座位监考和视频监考两种模</w:t>
            </w:r>
            <w:r>
              <w:rPr>
                <w:rFonts w:hint="eastAsia" w:ascii="新宋体" w:hAnsi="新宋体" w:eastAsia="新宋体" w:cs="新宋体"/>
                <w:color w:val="auto"/>
                <w:kern w:val="0"/>
                <w:sz w:val="20"/>
                <w:szCs w:val="20"/>
                <w:lang w:bidi="ar"/>
              </w:rPr>
              <w:t>式间切换，支持≥8个考位不少于3个视角实时画面同时播放，支</w:t>
            </w:r>
            <w:r>
              <w:rPr>
                <w:rFonts w:hint="eastAsia" w:ascii="新宋体" w:hAnsi="新宋体" w:eastAsia="新宋体" w:cs="新宋体"/>
                <w:color w:val="000000"/>
                <w:kern w:val="0"/>
                <w:sz w:val="20"/>
                <w:szCs w:val="20"/>
                <w:lang w:bidi="ar"/>
              </w:rPr>
              <w:t>持手动轮巡切换画面；（提供功能截图证明并加盖投标人公章）</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4、考生交卷后，支持查看该考生已上传的视频文件，支持审核考生提交的答卷及视频完整性。</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【异常处理】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1、支持对考生提交补考，补考同时支持系统自动当天安排和监考老师指定，允许一次性对整个场次提交补考，支持在考生考试过程中重发考题，可点击补考详情查看该考生的补考安排情况；</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2、考生考试过程中，实验器材不足或者设备出现异常时，支持将考生安排到备用考位继续考试，考生需在当前场次内完成考试；当前场次剩余时间不足以继续考试时，支持将考生安排到快速考试考位；</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3、考生缺考时，支持对考生进行提交缺考，当场次结束但考生未交卷时，系统应自动对考生提交缺考，支持对考生提交强制交卷；</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4、设备出现异常时，支持对设备提交异常，并记录异常原因；当提交设备异常时，如果有考生在考试，则自动提交补考，支持在系统中将备用考位替换正常考位；</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考试中可以取消该考生考试，并选择是否提供补考，支持选择取消原因，同时确认统一补考或选择补考时间，考试期间出现异常时，支持对该考位未交卷的科目进行重发考题；（提供系统功能截图并加盖投标人公章）</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6、学生在学生端点击呼叫老师按钮，支持在监考端收到提醒；</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【AI实时评分成绩查看】</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1、当考试计划启用AI实时评分时，支持在监考实时查看考生AI评分情况；</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2、支持点击某个考生的AI评分详情，实时查看考生各个步骤和评分点的分数和评分依据，评分依据包括关键帧、图片中的标注和评分描述。（提供系统功能截图及第三方检测报告证明并加盖投标人公章）</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69</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理化生考生终端机</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0"/>
                <w:szCs w:val="20"/>
                <w:lang w:bidi="ar"/>
              </w:rPr>
            </w:pPr>
            <w:r>
              <w:rPr>
                <w:rFonts w:hint="eastAsia" w:ascii="新宋体" w:hAnsi="新宋体" w:eastAsia="新宋体" w:cs="新宋体"/>
                <w:color w:val="000000"/>
                <w:kern w:val="0"/>
                <w:sz w:val="20"/>
                <w:szCs w:val="20"/>
                <w:lang w:bidi="ar"/>
              </w:rPr>
              <w:t>1、64位四核四线程处理器（主频≥2.0GHz），内存≥4GB DDR4，存储≥64GB SSD；；</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2、屏幕尺寸≥15英寸；支持多点触控，不低于10点；</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3、支持人脸识别功能，内置1个200万像素人脸识别摄像头（安装高度≥350mm），采用在线1：N方式验证，比对响应时间≤0.2s；</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4、采用嵌入式操作系统，需要满足断电系统保护功能，支持来电自启；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5、终端带有一个扬声器，支持外放语音操作指令，散热采用无风扇0噪音设计；</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6、底座采用金属合金和ABS材质制成，能够稳固在试验台上不能轻易被外力移动；</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7、摄像头数量</w:t>
            </w:r>
            <w:r>
              <w:rPr>
                <w:rFonts w:hint="eastAsia" w:ascii="新宋体" w:hAnsi="新宋体" w:eastAsia="新宋体" w:cs="新宋体"/>
                <w:color w:val="FF0000"/>
                <w:kern w:val="0"/>
                <w:sz w:val="20"/>
                <w:szCs w:val="20"/>
                <w:lang w:bidi="ar"/>
              </w:rPr>
              <w:t>≥</w:t>
            </w:r>
            <w:r>
              <w:rPr>
                <w:rFonts w:hint="eastAsia" w:ascii="新宋体" w:hAnsi="新宋体" w:eastAsia="新宋体" w:cs="新宋体"/>
                <w:color w:val="000000"/>
                <w:kern w:val="0"/>
                <w:sz w:val="20"/>
                <w:szCs w:val="20"/>
                <w:lang w:bidi="ar"/>
              </w:rPr>
              <w:t>3个，≥1个原生USB3.0，≥1个原生USB2.0，≥1个RJ45（100/1000M自适应），≥1个HDMI接口，≥1个DC 12V 电源接口；</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8、能稳定支持同时接入2个USB摄像头后不出现供电不足及卡顿，USB摄像头画面与终端自带摄像头画面无明显延迟；</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9、为保证不影响学生实验操作，俯视摄像头高度应≥630mm，侧视摄像头1和侧视摄像头2距离≥650mm；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10、摄像头采用≥400万像素高品质CMOS传感器，使用先进的ISP处理技术和算法；输出分辨率可达2K，输出帧率高达30帧/秒；</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11、最低照度0.1Lux；支持逆光对比开关；曝光参数可调节，支持自动曝光；亮度、清晰度、饱和度、对比度、白平衡、增益、抗闪烁、低亮度补偿等参数可调节；</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12、支持多种视频格式H.264、H.265、MJPEG、YUV；</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13、终端摄像头、显示屏、支架、底座须为一体化设计，不易拆卸，并且所有接口非转接，一体化封装于设备。</w:t>
            </w:r>
          </w:p>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13、终端采用DC12V 5A适配器供电，支持断电系统保护功能，具备来电自启功能（提供具有CNAS及CMA认证标志的第三方检测报告并加盖</w:t>
            </w:r>
            <w:r>
              <w:rPr>
                <w:rFonts w:hint="eastAsia" w:ascii="新宋体" w:hAnsi="新宋体" w:eastAsia="新宋体" w:cs="新宋体"/>
                <w:color w:val="000000"/>
                <w:kern w:val="0"/>
                <w:sz w:val="20"/>
                <w:szCs w:val="20"/>
                <w:lang w:bidi="ar"/>
              </w:rPr>
              <w:t>投标人</w:t>
            </w:r>
            <w:r>
              <w:rPr>
                <w:rFonts w:hint="eastAsia" w:ascii="新宋体" w:hAnsi="新宋体" w:eastAsia="新宋体" w:cs="新宋体"/>
                <w:i w:val="0"/>
                <w:iCs w:val="0"/>
                <w:color w:val="auto"/>
                <w:kern w:val="0"/>
                <w:sz w:val="20"/>
                <w:szCs w:val="20"/>
                <w:u w:val="none"/>
                <w:lang w:val="en-US" w:eastAsia="zh-CN" w:bidi="ar"/>
              </w:rPr>
              <w:t>公章）；</w:t>
            </w:r>
          </w:p>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14、终端内置扬声器，支持音源播放功能，扬声器输出功率≥2W，终端出现硬件问题时能够通过内置蜂鸣器报警提醒；</w:t>
            </w:r>
          </w:p>
          <w:p>
            <w:pPr>
              <w:widowControl/>
              <w:jc w:val="left"/>
              <w:textAlignment w:val="center"/>
              <w:rPr>
                <w:rFonts w:hint="eastAsia" w:ascii="新宋体" w:hAnsi="新宋体" w:eastAsia="新宋体" w:cs="新宋体"/>
                <w:color w:val="000000"/>
                <w:kern w:val="0"/>
                <w:sz w:val="20"/>
                <w:szCs w:val="20"/>
                <w:lang w:bidi="ar"/>
              </w:rPr>
            </w:pPr>
            <w:r>
              <w:rPr>
                <w:rFonts w:hint="eastAsia" w:ascii="新宋体" w:hAnsi="新宋体" w:eastAsia="新宋体" w:cs="新宋体"/>
                <w:i w:val="0"/>
                <w:iCs w:val="0"/>
                <w:color w:val="auto"/>
                <w:kern w:val="0"/>
                <w:sz w:val="20"/>
                <w:szCs w:val="20"/>
                <w:u w:val="none"/>
                <w:lang w:val="en-US" w:eastAsia="zh-CN" w:bidi="ar"/>
              </w:rPr>
              <w:t>15、终端能够在正常使用中接入USB图像后自动替换其中一路原有图像实现即插即用功能；</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70</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考生套件系统软件</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软件和信息技术服务业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1、支持将考试终端设置为：正常考位、备用考位和快速考试考位；</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设备绑定座位号后，首页显示该设备绑定的考场名称、座位号、考生个人信息和考题信息等，考生确认信息无误后，支持拍摄考生正面图像并自动发起人脸比对验证，验证结果自动推送到监考端；（提供系统功能截图并加盖投标人公章）</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3、支持考生考前确认考生信息和考题信息、摄像头画面视频正常显示、实验器材是否齐全，展示考题要求对应的实验器材信息，异常情况可在系统中呼叫监考老师；</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4、准备阶段后支持在考试开始前自动进入备考页面，支持根据选择的题目呈现实验器材清单，在同一个场次中多科目混考时，考生可根据自己实际情况选择各个科目的考试顺序；</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5、考试过程中完整录制考生实验操作视频，场次结束后将考生考试终端自动结束视频录制和交卷，支持考生在未提交答卷时，清空答题内容与操作视频进行重做；</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6、支持学生进行答题卡填写，支持普通填空题、单选题、多选题、拍照拖动题、拍照选择题、拍照填空题、看图作答题、专用填空题（数字+单位选择）；</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7、将备用考位替换绑定出问题的正常考位，场次时间不足或其它异常情况时，可使用快速考位考试，输入准考证号、身份证后六位和科目后，查询考生考试信息，监考老师确认后考生可快速开始考试；</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8、如考生考试出现异常，经监考老师许可后，考生可前往设置好的快速考试考位，输入考生信息快速开始考试；</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9、备用考位同场场次时间自动结束考试并交卷，快速考位按照设置场次时间完成考试；</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71</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阅卷客户端软件</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软件和信息技术服务业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【人工评卷配置】</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1、支持通过阅卷老师账号对自动分配的试卷（实验操作视频、答题卡）进行阅卷，可同时参与多个计划阅卷，支持通过阅卷详情查看待阅数量和已阅数量；</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2、支持基于每个操作步骤评分项进行单独评分，支持评分项分值快速判分为满分或零分；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3、支持考务人员登陆系统对考生进行现考现评，现场基于操作步骤评分项进行判分；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4、持单张试</w:t>
            </w:r>
            <w:r>
              <w:rPr>
                <w:rFonts w:hint="eastAsia" w:ascii="新宋体" w:hAnsi="新宋体" w:eastAsia="新宋体" w:cs="新宋体"/>
                <w:color w:val="auto"/>
                <w:kern w:val="0"/>
                <w:sz w:val="20"/>
                <w:szCs w:val="20"/>
                <w:lang w:bidi="ar"/>
              </w:rPr>
              <w:t>卷同时播放不少于3个不同角度视频画面，或阅读2张试卷同时播放不少于6个视频画面，支</w:t>
            </w:r>
            <w:r>
              <w:rPr>
                <w:rFonts w:hint="eastAsia" w:ascii="新宋体" w:hAnsi="新宋体" w:eastAsia="新宋体" w:cs="新宋体"/>
                <w:color w:val="000000"/>
                <w:kern w:val="0"/>
                <w:sz w:val="20"/>
                <w:szCs w:val="20"/>
                <w:lang w:bidi="ar"/>
              </w:rPr>
              <w:t>持AI辅助评分功能，能够查看各评分项AI评分及AI评分详情，包括AI评分分值，操作关键帧截图/关键操作视频片段，正确或错误操作说明。（提供系统功能截图并加盖投标人公章）</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【AI阅卷设置】</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1、支持查看各考试计划下系统推送给AI算法的试卷数量，AI算法已阅试卷和待阅试卷数量，支持以进度条和百分比方式查看算法阅卷进度，可手动对AI算法未接受试卷重新推送；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2、支持以考题维度查看AI算法阅卷进度，可查看每个考生在该考题下的AI评分详情，包括各操作步骤评分项的AI评分、实验操作视频、操作关键帧截图/关键操作视频片段、正确或错误操作说明；</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3、支持查询和抽检考生试卷的AI阅卷情况，查看考生视频、答题信息、各个实验步骤和原子点的得分情况和评分依据；</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【AI智能评分】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1、支持配合终端采集设备进行AI自动实时评分，考生在实验过程中，AI实时对考生终端的实时画面进行评分，实时返回AI评分点分数和评分依据，评分依据包括关键帧图片和文字描述；</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2、考生实验完成后，支持AI自动对考生终端录制的实验操作视频进行评分，返回AI评分点分数和评分依据，评分依据包括关键帧图片、步骤的视频段和文字描述；</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3、AI实时评分/考后评分模式均支持理化生3个学科实验，支持不少于9个实验同时并行阅卷；</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【分差仲裁功能】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1、进行双评或多评时，设置允许的分差；设置分差内计算最终成绩的标准：最高分、平均分和最低分；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2、当多个阅卷老师/人机之间对同一份试卷的评分超过设定的分差，自动进行仲裁阅卷并发送给仲裁老师评分。</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72</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交换机</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1、≥48个10/100/1000/BASE-T以太网端口，≥2个10G Base-XSFP+光口；</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2、交换容量≥136Gbps，包转发率≥ 100Mpps；</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 MAC 地址≥16K；</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4、支持 IGMP V1/V2/V3 Snooping；</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5、额定电压： 100-240V AC，50/60Hz。</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73</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网络巡考摄像头</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1、支持poe供电网络</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2、监控高清摄像机镜头焦距≥2.0mm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3、≥100M 以太网端口</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74</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无线路由器</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1、网络标准：IEEE802.11a,IEEE802.11Bb,IEEE802.11g,IEEE802.1n;</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2、传输速率：≥1800Mbps</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3、频率范围：支持2.4GHz,5GHz</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4、网络接口：≥5个自适应千兆网口，其中3个LAN/WAN复用接口</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5、天线：外置，≥4根</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75</w:t>
            </w:r>
          </w:p>
        </w:tc>
        <w:tc>
          <w:tcPr>
            <w:tcW w:w="1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机柜</w:t>
            </w:r>
          </w:p>
        </w:tc>
        <w:tc>
          <w:tcPr>
            <w:tcW w:w="1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≥18U机柜</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14163"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b/>
                <w:bCs/>
                <w:color w:val="000000"/>
                <w:sz w:val="20"/>
                <w:szCs w:val="20"/>
              </w:rPr>
            </w:pPr>
            <w:r>
              <w:rPr>
                <w:rFonts w:hint="eastAsia" w:ascii="新宋体" w:hAnsi="新宋体" w:eastAsia="新宋体" w:cs="新宋体"/>
                <w:b/>
                <w:bCs/>
                <w:color w:val="000000"/>
                <w:kern w:val="0"/>
                <w:sz w:val="20"/>
                <w:szCs w:val="20"/>
                <w:lang w:bidi="ar"/>
              </w:rPr>
              <w:t>校级服务器平台</w:t>
            </w:r>
          </w:p>
        </w:tc>
      </w:tr>
      <w:tr>
        <w:tblPrEx>
          <w:tblLayout w:type="fixed"/>
          <w:tblCellMar>
            <w:top w:w="0" w:type="dxa"/>
            <w:left w:w="108" w:type="dxa"/>
            <w:bottom w:w="0" w:type="dxa"/>
            <w:right w:w="108" w:type="dxa"/>
          </w:tblCellMar>
        </w:tblPrEx>
        <w:trPr>
          <w:gridAfter w:val="1"/>
          <w:wAfter w:w="5" w:type="dxa"/>
          <w:trHeight w:val="600" w:hRule="atLeast"/>
        </w:trPr>
        <w:tc>
          <w:tcPr>
            <w:tcW w:w="8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76</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校级平台管理终端</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2U机架式服务器，CPU:1颗C5218R 20核 2.1G ，内存：64GB DDR4，硬盘：4块4TB硬盘Raid5，主板芯片组：IntelC622，800W电源，千兆网口，标配后置VGA接口，5个USB3.0接口；</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 考试支撑：支持对终端操作实时视频流或实验录制文件进行批量自动评分，支持自动汇总统计考生分数，并输出成绩报表；支持查看评分点的关键帧图片和正确或错误的文字描述；支持通过评分点快速跳转到视频文件中该步骤开始时间点，便于抽检及追溯；支持AI及人工评分相互仲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 教学支撑：支持教师在进行实验操作教学时，在老师端和学生终端显示实时视频流和AI实时评分信息进行分解教学；支持学生自行练习时，通过AI实时评分快速找到错误操作步骤并提示，提高自学效率；学生自动练习时，支持老师多路查看考生实时视频流和AI实时评分，及时纠正错误操作；支持自动评价学生实验题目掌握情况；</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 原子化组合：支持根据实验要求，自定义组合实验操作步骤，智算平台根据步骤组合符合要求的实验算法；</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 视频检测：识别双路或三路视频中出现的人和物，根据实验考试题目涉及的物品，识别出每个物体的位置和类型，识别出视频内人体行为动作，环境变化，或是物体位置/状态变化；识别出视频中的人脸并自动打码；支持对镜头移动、镜头遮挡、画面黑屏、画面模糊，画面静止等错误进行检测；</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 样本库构建：支持构建所有主流实验仪器设备的特征库，支持样本增量半监督训练，无需重新购买专用实验仪器；</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 评价规则匹配：支持根据实验题目及操作步骤，自动匹配对应AI算法，实现自动化评分，支持按照实验操作评分细则维护各题目的AI评分规则(关键实操步骤评分点)，支持步骤规则之间进行时序绑定；</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7. 并行运算：采用高阶神经网络，支持神经网络的训练、评估、预测、导出等操作，可以同时运行7种不同科目及实验算法模型，支持模型生命周期管理，算法实验，并可高效利用GPU资源。</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8. 处理能力：单个智算平台支持不少于24个终端实时评分，或支持150份操作视频/小时评分，支持多台终端堆叠及相互备份；实时视频流的渲染延迟低于200ms，不同视频流之间的同步延迟低于50ms；实时视频流的实时评分延迟小于2000ms；</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9. 数据返回：支持动态分配试卷并实时返回AI评分进度，支持返回AI评分点分数和评分依据，评分依据包括关键帧图片和文字描述，支持返回实验关键操作步骤视频文件时间点。</w:t>
            </w:r>
          </w:p>
        </w:tc>
        <w:tc>
          <w:tcPr>
            <w:tcW w:w="8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77</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实验教学测评管理系统（校级平台）</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软件和信息技术服务业</w:t>
            </w:r>
          </w:p>
        </w:tc>
        <w:tc>
          <w:tcPr>
            <w:tcW w:w="7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0"/>
                <w:szCs w:val="20"/>
                <w:lang w:bidi="ar"/>
              </w:rPr>
            </w:pPr>
            <w:r>
              <w:rPr>
                <w:rFonts w:hint="eastAsia" w:ascii="新宋体" w:hAnsi="新宋体" w:eastAsia="新宋体" w:cs="新宋体"/>
                <w:color w:val="000000"/>
                <w:kern w:val="0"/>
                <w:sz w:val="20"/>
                <w:szCs w:val="20"/>
                <w:lang w:bidi="ar"/>
              </w:rPr>
              <w:t>校级实验考试考务管理系统</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【基础信息管理】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1、系统管理：支持菜单管理、用户管理和权限管理功能，可根据不同的角色自定义配置相应的功能权限和数据权限；</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2、考场管理：查看编辑考场信息，支持设置是否混考、备用考位数量、快速考试考位数量等信息；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3、支持自定义侧边栏logo，支持更改系统主题色和侧边栏背景色，颜色支持连续渐变调整；</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4、考位管理：支持正常考位、备用考位和快速考试考位，支持同时设置备用考位和快速考试两种应急考位模式。（提供第三方检测报告证明并加盖投标人公章）</w:t>
            </w:r>
          </w:p>
          <w:p>
            <w:pPr>
              <w:keepNext w:val="0"/>
              <w:keepLines w:val="0"/>
              <w:widowControl/>
              <w:numPr>
                <w:ilvl w:val="0"/>
                <w:numId w:val="13"/>
              </w:numPr>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支持创建人脸采集任务，创建学校人脸库，用于考试及其它场景老师及学生身份确认，持创建任务名称及通过人脸比对的最低相似度，支持0~100%调整（提供系统功能截图复印件并加盖投标人公章）。</w:t>
            </w:r>
          </w:p>
          <w:p>
            <w:pPr>
              <w:widowControl/>
              <w:numPr>
                <w:ilvl w:val="0"/>
                <w:numId w:val="13"/>
              </w:numPr>
              <w:ind w:left="0" w:leftChars="0" w:firstLine="0" w:firstLineChars="0"/>
              <w:jc w:val="left"/>
              <w:textAlignment w:val="center"/>
              <w:rPr>
                <w:rFonts w:hint="eastAsia" w:ascii="新宋体" w:hAnsi="新宋体" w:eastAsia="新宋体" w:cs="新宋体"/>
                <w:color w:val="000000"/>
                <w:kern w:val="0"/>
                <w:sz w:val="20"/>
                <w:szCs w:val="20"/>
                <w:lang w:bidi="ar"/>
              </w:rPr>
            </w:pPr>
            <w:r>
              <w:rPr>
                <w:rFonts w:hint="eastAsia" w:ascii="新宋体" w:hAnsi="新宋体" w:eastAsia="新宋体" w:cs="新宋体"/>
                <w:i w:val="0"/>
                <w:iCs w:val="0"/>
                <w:color w:val="auto"/>
                <w:kern w:val="0"/>
                <w:sz w:val="20"/>
                <w:szCs w:val="20"/>
                <w:u w:val="none"/>
                <w:lang w:val="en-US" w:eastAsia="zh-CN" w:bidi="ar"/>
              </w:rPr>
              <w:t>系统已适配国产化操作系统，国产化AI框架，国产化推理服务器适配（提供第三方证明材料并加盖投标人公章）；</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【打印下载】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1、基于已发布的考试计划，可分别按照考点或学校下载考务信息用于打印；</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2、以考点为单位按照所选考试计划下载考题、场次、考生、考务老师、座位考题安排、</w:t>
            </w:r>
            <w:r>
              <w:rPr>
                <w:rFonts w:hint="eastAsia" w:ascii="新宋体" w:hAnsi="新宋体" w:eastAsia="新宋体" w:cs="新宋体"/>
                <w:color w:val="auto"/>
                <w:kern w:val="0"/>
                <w:sz w:val="20"/>
                <w:szCs w:val="20"/>
                <w:lang w:bidi="ar"/>
              </w:rPr>
              <w:t>考试情况等可供编辑的清单；</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3、支持以学校为单位下载考题、考生、考务老师、考试情况清单，支持准考证直接打印。</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【试题管理】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1、支持分别进行人工阅卷方式组题和AI自动评分方式命题；</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2、对理化生实验操作考试考题统一管理，支持新增、修改、删除、查询等功能，支持文件导入；</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3、支持配置考题的考题名称、科目、实验步骤和AI原子评分点、答题卡、考题相关的提纲、图片和实验器材清单等；</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4、可创建AI考题，选择物理、化学、生物科目对应实验后自动关联AI算法，系统可自动匹配该实验AI算法下的原子化评分步骤，支持启用AI原子化步骤并选择与、或、和的得分方式组成试卷；</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5、支持答题卡类型包括不限于：普通填空题、单选题、多选题、拍照拖动题、拍照选择题、拍照填空题、看图作答题、专用填空题（数字+单位选择）；</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【考试安全保障】</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1、支持创建人脸采集任务，用于考生身份确认，支持创建任务名称及通过人脸比对的最低相似度，支持0~100%调整</w:t>
            </w: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2、支持自动场次编排与抽签，支持机考操作视频录制采集。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校级考试计划及编排系统</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【考试计划】</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1、学校可查看所有参与的上级发起或本校创建的考试计划，支持复制历史考试计划并发起计划审核，创建考试计划支持步骤流程化指引；</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2、支持设置考试名称、开始日期、答题时间、考试间隔、是否混考、启用AI、AI评分类型、评阅方式、学科、上午考试时间、下午考试时间，支持文档工具编辑考试公告；</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可对监考和阅卷过程进行统一设置安排，及格分数系数支持从0.1~1设置，为每个考场设置监考老师数量，安排阅卷老师方式，阅卷模式，阅卷次数，选择抽签方式及是否启用人脸识别，支持设置人脸比对相似度最低阈值；</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4、支持设置考题分配模式按照“田”字形、“一”字形分布，支持随机分配考题或设置相邻考题不同；</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5、可设置考试计划需要启用的考题，根据是否启用AI以及科目自动匹配AI题库或传统题库，支持根据题目、出题人等信息进行列表筛选，能够全部选择或反向选择题目；</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6、支持按照模板统一选择文件或拖拽导入学生和考务老师信息，导入时能够设置账号/密码/角色/科目等信息，支持通过角色单独导入，支持按照姓名、角色等进行列表查询；</w:t>
            </w:r>
          </w:p>
          <w:p>
            <w:pPr>
              <w:widowControl/>
              <w:numPr>
                <w:ilvl w:val="0"/>
                <w:numId w:val="13"/>
              </w:numPr>
              <w:ind w:left="0" w:leftChars="0" w:firstLine="0" w:firstLineChars="0"/>
              <w:jc w:val="left"/>
              <w:textAlignment w:val="center"/>
              <w:rPr>
                <w:rFonts w:ascii="新宋体" w:hAnsi="新宋体" w:eastAsia="新宋体" w:cs="新宋体"/>
                <w:color w:val="000000"/>
                <w:sz w:val="20"/>
                <w:szCs w:val="20"/>
              </w:rPr>
            </w:pPr>
            <w:r>
              <w:rPr>
                <w:rFonts w:hint="eastAsia" w:ascii="新宋体" w:hAnsi="新宋体" w:eastAsia="新宋体" w:cs="新宋体"/>
                <w:i w:val="0"/>
                <w:iCs w:val="0"/>
                <w:color w:val="auto"/>
                <w:kern w:val="0"/>
                <w:sz w:val="20"/>
                <w:szCs w:val="20"/>
                <w:u w:val="none"/>
                <w:lang w:val="en-US" w:eastAsia="zh-CN" w:bidi="ar"/>
              </w:rPr>
              <w:t>支持考点自主编排数据：在考试管理菜单的考试计划详情的已编排数据模块中，下载场次模板和场次考生模板，在模板中填报自定义的编排考试数据后导入系统。</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【考试编排】</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1、具有数据检测功能，支持编排数据填写完毕后，自动检测通过才可以生成场次，支持以文字方式指出错误原因；</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2、可根据考生人数，考试科目，考场数量，选择考题，考试时间，监考人数，混考模式一键编排自动生成场次，考位自动分配考题，支持查看每场考试准确开始时间；</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3、支持从考务人员库分配监考老师、阅卷老师和巡考老师，支持组长自动分配或手动选择分配，支持按学校、老师、姓名、手机号快速查找和分配考务人员；</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4、支持查看补考考生信息，并统一编排补考场次，支持按场次及科目进行查询；</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5、可对考生库和考务人员库进行管理，支持分别通过上级或本校发起的考试计划单独添加或批量导入考生及考务人员信息。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中学理化生实验操作成绩分析管理系统</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【首页展示】</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1、支持首页展示当前发布的考试计划，显示考试名称，开始及结束时间，考点数量和考生数量，可展开查看该计划下人员、场所、进度、场次、AI评分类型等信息；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2、支持展示最近的考试计划，可点击快速切换该计划下的信息进行图形化展示，考试倒计时；</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3、支持在首页以柱状图、饼状图等形式展示考生分布、座位考题使用率、考务老师及考点情况。</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【阅卷分析】</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1、支持对AI阅卷过程中AI已阅完试卷数、AI未阅完试卷数、AI得分分布在各分数区间的试卷数、各科目\试题\评分点的AI平均得分率等指标进行统计分析；（提供第三方检测报告证明并加盖投标人公章）</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2、支持图形及文字方式概览考试总体情况，包括参考人数、补考人数、缺考人数等，支持直观呈现各科目的及格率情况以及各班级及格率的排名；</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3、支持直观呈现考试及格率，各科目成绩分段人数分布；</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4、支持以班级维度分析本校参考班级总人数，各科目缺考人数及补考人数，可分别查看班级整体及格率和各科目及格率，支持查看各科目交卷人数、及格人数、满分占比；</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支持以列表方式查看本次考试所应用的各个考题的交卷人数、及格人数、最高分、最低分、平均分、及格率及满分段占比，支持图形化和列表方式查看各操作步骤正确率，支持查看各考题在班级维度的及格率、平均分、满分段占比；（提供系统功能截图并加盖投标人公章）</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6、支持按照班级和考题导出成绩分析统计表，文件格式</w:t>
            </w:r>
            <w:r>
              <w:rPr>
                <w:rFonts w:hint="eastAsia" w:ascii="新宋体" w:hAnsi="新宋体" w:eastAsia="新宋体" w:cs="新宋体"/>
                <w:color w:val="auto"/>
                <w:kern w:val="0"/>
                <w:sz w:val="20"/>
                <w:szCs w:val="20"/>
                <w:lang w:bidi="ar"/>
              </w:rPr>
              <w:t>支持excel等</w:t>
            </w:r>
            <w:r>
              <w:rPr>
                <w:rFonts w:hint="eastAsia" w:ascii="新宋体" w:hAnsi="新宋体" w:eastAsia="新宋体" w:cs="新宋体"/>
                <w:color w:val="000000"/>
                <w:kern w:val="0"/>
                <w:sz w:val="20"/>
                <w:szCs w:val="20"/>
                <w:lang w:bidi="ar"/>
              </w:rPr>
              <w:t>。</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【成绩分析】</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1、图形化大屏展示各个分数段的人数，支持按科目维度、考题维度、考生学校维度和班级维度统计最高分、最低分、平均分、满分、零分和及格率等；</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2、支持按科目维度、考题维度、区县维度、考生学校维度和班级维度统计AI阅卷的最高分、最低分、平均分、满分、零分和及格率等；</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3、支持统计考生各个实验步骤的得分情况，包括实验步骤内容、分值和评分依据和得分率。</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中学理化生实验操作教学教务管理系统</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【基础信息管理】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1、组织管理：支持新建年级、班级组织结构，支持设置毕业界；</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2、人员管理：支持对教师、学生信息进行统一管理，支持人员信息统一导入；</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3、实验场所：支持设置实验场所名称、座位数、所属学科，支持查看实验场所实时状态，包括：实验室绑定设备情况、座位对应设备状态；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4、实验大纲：支持管理员管理实验教学大纲数据，包括：实验名称、所属科目、所属学段年级、该实验包含的知识结构，对应器材清单及照片；</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5、参数管理：支持统一分配账户信息，支持超管手动创建账户，支持角色管理和对应功能菜单管理。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【教学计划管理】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1、创建课表：支持录入场所、科目、授课教师、上课班级、起止时间创建实验教学课表；</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2、支持课表查询、实验课预约，调课及课程时间编辑等操作；</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3、批量导入课表：支持下载本地表格模板，将课表批量导入系统；</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4、支持和学校教务系统对接，获取教务系统实验教学课表信息；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5、支持按照全校、教师、场所、科目、年级、班级六个维度查看课表数据并支持课表导出。</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【备课管理】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1、支持选中实验资源，实验资源的内容自动关联到本堂课中；</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2、支持教师从个人云盘、我的收藏和我的优质录播列表中选择资源导入到本堂课的内容中；</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【课堂分析】</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1、支持老师在课后查看学生练习结果以及AI打分情况，支持查看每个操作步骤的掌握情况；</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2、支持查看每名学生AI评分错误关键帧截图和视频片段；</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3、支持教师课后查看课堂录制的视频资源，支持将优质的视频存入优质录播列表中。</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中学理化生实验操作教学资源管理系统</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【教学资源门户】</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1、支持用户通过实验教学大纲结构检索关联在结构中的校本资源；</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2、支持用户通过关键字检索校本资源，支持查看下载资源排名；</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3、支持按照科目、年级进行资源分类，支持查看文件来源及大小；</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4、支持用户下载和在线浏览资源内容，支持word、pdf、mp4、png等主流格式文档的在线浏览；</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5、支持用户一键收藏资源门户中任意的资源，收藏的资源展示在个人收藏列表中。</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【教学资源管理】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1、支持教师按照实验教学大纲目录上传资源到个人云盘中，支持拖动或文件选择方式上传；</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2、支持教师从个人云盘经过管理员审核后发布到校本资源库中；</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3、支持管理员直接上传、发布资源到校本资源库中；</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4、支持通过来源、上传时间范围、教材大纲、资源类型、资源名称等条件查找资源；</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5、管理员可对资源进行上架、下架、编辑、删除等操作；</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【实验资源管理】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创建实验资源，实验资源信息包括封面、科目、实验名称、适用年级、练习/测试时长、实验内容、评分说明、实验材料，支持编辑实验评分点类别、评分标准、分值、评分类型和对应大纲点；（提供第三方检测报告证明并加盖投标人公章）</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 xml:space="preserve">2、支持配置AI原子化评分点，支持根据评分点自由组合课堂练习/测试评分标准； </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3、支持配置单选题、多选题、填空题，支持拍照拖动题：能够对实验结果拍照后进行手动标记，支持根据标记结果由AI自动评分。</w:t>
            </w:r>
          </w:p>
        </w:tc>
        <w:tc>
          <w:tcPr>
            <w:tcW w:w="8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78</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highlight w:val="none"/>
                <w:lang w:eastAsia="zh-CN" w:bidi="ar"/>
              </w:rPr>
              <w:t>■</w:t>
            </w:r>
            <w:r>
              <w:rPr>
                <w:rFonts w:hint="eastAsia" w:ascii="新宋体" w:hAnsi="新宋体" w:eastAsia="新宋体" w:cs="新宋体"/>
                <w:color w:val="000000"/>
                <w:kern w:val="0"/>
                <w:sz w:val="20"/>
                <w:szCs w:val="20"/>
                <w:highlight w:val="none"/>
                <w:lang w:bidi="ar"/>
              </w:rPr>
              <w:t>●理化生智考一体机</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1.CPU采用国产处理器，CPU配置性能≥8核心8线程，主频≥2.7GHz。</w:t>
            </w:r>
          </w:p>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2.内存：≥8GB DDR4内存，2个so-DIMM插槽，最大支持32GB。</w:t>
            </w:r>
          </w:p>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3.硬盘：≥256GB M.2 PCIe SSD，支持HDD+SSD双硬盘。</w:t>
            </w:r>
          </w:p>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4.显卡：集成显卡。</w:t>
            </w:r>
          </w:p>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5.网卡：集成千兆以太网卡。</w:t>
            </w:r>
          </w:p>
          <w:p>
            <w:pPr>
              <w:widowControl/>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6.1080P显示，可配套打印机使用。</w:t>
            </w:r>
          </w:p>
          <w:p>
            <w:pPr>
              <w:widowControl/>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color w:val="auto"/>
                <w:kern w:val="0"/>
                <w:sz w:val="20"/>
                <w:szCs w:val="20"/>
                <w:lang w:val="en-US" w:eastAsia="zh-CN" w:bidi="ar"/>
              </w:rPr>
              <w:t>需提供国家强制节能产品认证证书。</w:t>
            </w:r>
          </w:p>
        </w:tc>
        <w:tc>
          <w:tcPr>
            <w:tcW w:w="8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79</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考试抽签软件</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软件和信息技术服务业</w:t>
            </w:r>
          </w:p>
        </w:tc>
        <w:tc>
          <w:tcPr>
            <w:tcW w:w="7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【抽签管理平台】</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1、支持“三固定、一抽签”:每个位置固定考题、固定实验器材、固定监考员，学生进场时抽签决定座位；</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2、支持一键随机抽签后能够图形化分布显示各个考位未抽签状态或已抽到的考题名称；</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3、支持选择下载该考试计划考点所有已抽签结果，显示各场次中考生对应的考试时间、考位、考生信息、考题信息；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4、支持根据每个场次抽签结果导出抽签统计列表，另外可以根据抽签结果打印该场次所有学生的抽签凭证，支持一键打印功能。</w:t>
            </w:r>
          </w:p>
        </w:tc>
        <w:tc>
          <w:tcPr>
            <w:tcW w:w="8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14163"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化学准备室</w:t>
            </w:r>
          </w:p>
        </w:tc>
      </w:tr>
      <w:tr>
        <w:tblPrEx>
          <w:tblLayout w:type="fixed"/>
          <w:tblCellMar>
            <w:top w:w="0" w:type="dxa"/>
            <w:left w:w="108" w:type="dxa"/>
            <w:bottom w:w="0" w:type="dxa"/>
            <w:right w:w="108" w:type="dxa"/>
          </w:tblCellMar>
        </w:tblPrEx>
        <w:trPr>
          <w:gridAfter w:val="1"/>
          <w:wAfter w:w="5" w:type="dxa"/>
          <w:trHeight w:val="600" w:hRule="atLeast"/>
        </w:trPr>
        <w:tc>
          <w:tcPr>
            <w:tcW w:w="8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80</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准备台</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规格：长2400×宽700×高780mm台面：采用≥12.7mm厚实芯理化板台面，台面板双层加厚至≥25.4mm。结构：全钢结构柜体,用于存放仪器、物品，方便实验准备。柜体：采用1.0优质一级冷轧钢板（SPCCT）经CNC机压成型，焊接制作，表面经磷化处理、环氧树脂静电粉末涂装处理。门板：采用1.0优质一级冷轧钢板，柜门中间带钢化透视窗。柜内层板：采用1.0优质一级冷轧钢板，层板可以上下调节。门铰：采用175度阻尼铰链，自闭式，与柜体面水平角度＜15度时，柜门即可自行关闭，弹性好，外形美观，使用过程中无噪音，可开关十万次，使用寿命长。滑轨：三节滑轨。使用寿命长。</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准备台产品需通过国家权威检测机构检测，各项性能满足或优于如下要求：</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w:t>
            </w:r>
            <w:r>
              <w:rPr>
                <w:rFonts w:hint="eastAsia" w:ascii="新宋体" w:hAnsi="新宋体" w:eastAsia="新宋体" w:cs="新宋体"/>
                <w:color w:val="FF0000"/>
                <w:kern w:val="0"/>
                <w:sz w:val="20"/>
                <w:szCs w:val="20"/>
                <w:lang w:bidi="ar"/>
              </w:rPr>
              <w:t>★所投产品需提供符合 GB28481-2012《塑料家具中有害物质限量》检验项目至少包含邻苯二甲酸酯6项、16种多环芳烃、苯并(a)芘、重金属4项、多溴联苯、多溴二苯醚的合格检测。</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val="en-US" w:eastAsia="zh-CN" w:bidi="ar"/>
              </w:rPr>
              <w:t>2</w:t>
            </w:r>
            <w:r>
              <w:rPr>
                <w:rFonts w:hint="eastAsia" w:ascii="新宋体" w:hAnsi="新宋体" w:eastAsia="新宋体" w:cs="新宋体"/>
                <w:color w:val="000000"/>
                <w:kern w:val="0"/>
                <w:sz w:val="20"/>
                <w:szCs w:val="20"/>
                <w:lang w:bidi="ar"/>
              </w:rPr>
              <w:t>、提供具有CMA、CNAS认证的检测机构出具的符合标准的准备台检测报告复印件。投标文件中提供加盖投标人鲜章的检测报告复印件。</w:t>
            </w:r>
          </w:p>
        </w:tc>
        <w:tc>
          <w:tcPr>
            <w:tcW w:w="8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81</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试剂架</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规格：≥长1100*宽300*高450mm铝合金结构，表面喷涂高温固化匀乳白环氧树脂喷涂理处理，具有较强的耐蚀性能。试剂架立柱截面尺寸：128*140*1.8mm,立柱中间卡钢制装饰件（采用1.0优质一级冷轧钢板（SPCCT）经CNC机压成型，焊接制作，表面经磷化处理、环氧树脂静电粉末涂装处理。）；试剂架立柱双面升降槽，层板采用10mm厚的玻璃，安装后用户可根据试剂大小上下高低无级调节。电源：装在试剂架立柱上，面板采用：250V。防护盖：透明。</w:t>
            </w:r>
          </w:p>
        </w:tc>
        <w:tc>
          <w:tcPr>
            <w:tcW w:w="8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组</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82</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教师椅</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规格：长500*宽500*高800mm靠背及下座采用高密度网布格，阻燃、舒适、回弹性好。面料为优质网布格.骨架钢管电镀，气动升降。</w:t>
            </w:r>
          </w:p>
        </w:tc>
        <w:tc>
          <w:tcPr>
            <w:tcW w:w="8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83</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易燃品储存柜</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尺寸：高1800*长900*宽450mm；门类型：双开门</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1、箱体经厚度≥1.0mm优质冷轧钢板经过完全焊接，构造结识牢固，延长使用寿命，并且由于减少了空隙，能够在火灾中提供更多的保护。</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2、箱体采用双层钢板结构，两层钢板之间相隔有38mm的绝缘层，可有效隔离热源，柜子内外经酸洗磷化后进行环氧树脂粉末静电喷涂，烘热固化处理。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3、箱中部配有3块独有的镀锌层板，可上下调节，四周折弯加强结构，承重性更佳。</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锁具：双人双锁管理，配备电子密码锁和二代防盗机械锁，机械锁符合公安部GA标准，机械锁放破坏及防技术开启标准达B级以上；密码锁具有开锁记录查询及隐码功能。锁舌选用坚韧且有弹性的高分子合成塑料制成，耐磨且抗腐蚀性能极强。</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5、铰链：铰链应为</w:t>
            </w:r>
            <w:r>
              <w:rPr>
                <w:rFonts w:hint="eastAsia" w:ascii="新宋体" w:hAnsi="新宋体" w:eastAsia="新宋体" w:cs="新宋体"/>
                <w:color w:val="000000"/>
                <w:kern w:val="0"/>
                <w:sz w:val="20"/>
                <w:szCs w:val="20"/>
                <w:lang w:eastAsia="zh-CN" w:bidi="ar"/>
              </w:rPr>
              <w:t>优质</w:t>
            </w:r>
            <w:r>
              <w:rPr>
                <w:rFonts w:hint="eastAsia" w:ascii="新宋体" w:hAnsi="新宋体" w:eastAsia="新宋体" w:cs="新宋体"/>
                <w:color w:val="000000"/>
                <w:kern w:val="0"/>
                <w:sz w:val="20"/>
                <w:szCs w:val="20"/>
                <w:lang w:bidi="ar"/>
              </w:rPr>
              <w:t>铰链，确保门能开180度。</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6、环保性能：国标规定，室内甲醛含量不得超过0.08mg.m3;苯含量不得超过0.09mg.m3甲醛及苯含量符合国家标准要求。</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7、箱体两侧一上一下装设有防闭火装置的双透气孔；方便空气排散，防止有害气体聚集，也可以选择由此连接抽风排风系统。</w:t>
            </w:r>
          </w:p>
        </w:tc>
        <w:tc>
          <w:tcPr>
            <w:tcW w:w="8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84</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毒害品储存柜</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尺寸：高1800*长900*宽450mm；门类型：双开门</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1、箱体经厚度≥1.0mm优质冷轧钢板经过完全焊接，构造结识牢固，延长使用寿命，并且由于减少了空隙，能够在火灾中提供更多的保护。</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2、箱体采用双层钢板结构，两层钢板之间相隔有38mm的绝缘层，可有效隔离热源，柜子内外经酸洗磷化后进行环氧树脂粉末静电喷涂，烘热固化处理。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3、箱中部配有3块独有的镀锌层板，可上下调节，四周折弯加强结构，承重性更佳。</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锁具：双人双锁管理，配备电子密码锁和二代防盗机械锁，机械锁符合公安部GA标准，机械锁放破坏及防技术开启标准达B级以上；密码锁具有开锁记录查询及隐码功能。锁舌选用坚韧且有弹性的高分子合成塑料制成，耐磨且抗腐蚀性能极强。</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5、铰链：铰链应</w:t>
            </w:r>
            <w:r>
              <w:rPr>
                <w:rFonts w:hint="eastAsia" w:ascii="新宋体" w:hAnsi="新宋体" w:eastAsia="新宋体" w:cs="新宋体"/>
                <w:color w:val="auto"/>
                <w:kern w:val="0"/>
                <w:sz w:val="20"/>
                <w:szCs w:val="20"/>
                <w:lang w:bidi="ar"/>
              </w:rPr>
              <w:t>为</w:t>
            </w:r>
            <w:r>
              <w:rPr>
                <w:rFonts w:hint="eastAsia" w:ascii="新宋体" w:hAnsi="新宋体" w:eastAsia="新宋体" w:cs="新宋体"/>
                <w:color w:val="auto"/>
                <w:kern w:val="0"/>
                <w:sz w:val="20"/>
                <w:szCs w:val="20"/>
                <w:lang w:eastAsia="zh-CN" w:bidi="ar"/>
              </w:rPr>
              <w:t>优质</w:t>
            </w:r>
            <w:r>
              <w:rPr>
                <w:rFonts w:hint="eastAsia" w:ascii="新宋体" w:hAnsi="新宋体" w:eastAsia="新宋体" w:cs="新宋体"/>
                <w:color w:val="auto"/>
                <w:kern w:val="0"/>
                <w:sz w:val="20"/>
                <w:szCs w:val="20"/>
                <w:lang w:bidi="ar"/>
              </w:rPr>
              <w:t>铰链，</w:t>
            </w:r>
            <w:r>
              <w:rPr>
                <w:rFonts w:hint="eastAsia" w:ascii="新宋体" w:hAnsi="新宋体" w:eastAsia="新宋体" w:cs="新宋体"/>
                <w:color w:val="000000"/>
                <w:kern w:val="0"/>
                <w:sz w:val="20"/>
                <w:szCs w:val="20"/>
                <w:lang w:bidi="ar"/>
              </w:rPr>
              <w:t>确保门能开180度。</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6、环保性能：国标规定，室内甲醛含量不得超过0.08mg.m3;苯含量不得超过0.09mg.m3,甲醛及苯含量符合国家标准要求。</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7、箱体两侧一上一下装设有防闭火装置的双透气孔；方便空气排散，防止有害气体聚集，也可以选择由此连接抽风排风系统。</w:t>
            </w:r>
          </w:p>
        </w:tc>
        <w:tc>
          <w:tcPr>
            <w:tcW w:w="8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85</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独立水槽实验台</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水槽台整体规格：长600*宽460*高820mm,滴水架、柜体和水槽底座三部分组成。水槽内规格≥</w:t>
            </w:r>
            <w:r>
              <w:rPr>
                <w:rFonts w:hint="eastAsia" w:ascii="新宋体" w:hAnsi="新宋体" w:eastAsia="新宋体" w:cs="新宋体"/>
                <w:color w:val="000000"/>
                <w:kern w:val="0"/>
                <w:sz w:val="20"/>
                <w:szCs w:val="20"/>
                <w:lang w:eastAsia="zh-CN" w:bidi="ar"/>
              </w:rPr>
              <w:t>长</w:t>
            </w:r>
            <w:r>
              <w:rPr>
                <w:rFonts w:hint="eastAsia" w:ascii="新宋体" w:hAnsi="新宋体" w:eastAsia="新宋体" w:cs="新宋体"/>
                <w:color w:val="000000"/>
                <w:kern w:val="0"/>
                <w:sz w:val="20"/>
                <w:szCs w:val="20"/>
                <w:lang w:bidi="ar"/>
              </w:rPr>
              <w:t>400×</w:t>
            </w:r>
            <w:r>
              <w:rPr>
                <w:rFonts w:hint="eastAsia" w:ascii="新宋体" w:hAnsi="新宋体" w:eastAsia="新宋体" w:cs="新宋体"/>
                <w:color w:val="000000"/>
                <w:kern w:val="0"/>
                <w:sz w:val="20"/>
                <w:szCs w:val="20"/>
                <w:lang w:eastAsia="zh-CN" w:bidi="ar"/>
              </w:rPr>
              <w:t>宽</w:t>
            </w:r>
            <w:r>
              <w:rPr>
                <w:rFonts w:hint="eastAsia" w:ascii="新宋体" w:hAnsi="新宋体" w:eastAsia="新宋体" w:cs="新宋体"/>
                <w:color w:val="000000"/>
                <w:kern w:val="0"/>
                <w:sz w:val="20"/>
                <w:szCs w:val="20"/>
                <w:lang w:bidi="ar"/>
              </w:rPr>
              <w:t>300×</w:t>
            </w:r>
            <w:r>
              <w:rPr>
                <w:rFonts w:hint="eastAsia" w:ascii="新宋体" w:hAnsi="新宋体" w:eastAsia="新宋体" w:cs="新宋体"/>
                <w:color w:val="000000"/>
                <w:kern w:val="0"/>
                <w:sz w:val="20"/>
                <w:szCs w:val="20"/>
                <w:lang w:eastAsia="zh-CN" w:bidi="ar"/>
              </w:rPr>
              <w:t>高</w:t>
            </w:r>
            <w:r>
              <w:rPr>
                <w:rFonts w:hint="eastAsia" w:ascii="新宋体" w:hAnsi="新宋体" w:eastAsia="新宋体" w:cs="新宋体"/>
                <w:color w:val="000000"/>
                <w:kern w:val="0"/>
                <w:sz w:val="20"/>
                <w:szCs w:val="20"/>
                <w:lang w:bidi="ar"/>
              </w:rPr>
              <w:t>240m。柜体底座采用ABS注塑成型，水槽采用PP塑料一次模具成型，确保柜体结构稳固；柜体前后带有磁吸检修门，方便日后维修，前沿带有围边挡水，带有防溢水孔，水槽预留安装水嘴孔，洗眼器孔，按压洗手液孔，柜体内设有隐藏式抽屉方便放置洗涤用品，水封式水塞可防止废水回流和堵塞。</w:t>
            </w:r>
          </w:p>
        </w:tc>
        <w:tc>
          <w:tcPr>
            <w:tcW w:w="8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86</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多功能平台架</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滴水架整体呈梯形，上部尺寸宽120*长400mm下部宽170*长440mm高280mm,滴水架正面设有十条试管位滴水架注塑模具一次成型无缝链接，采用优质ABS材料，无臭无毒、耐强酸碱，使废水无法沿着水槽台台面侵蚀柜体</w:t>
            </w:r>
          </w:p>
        </w:tc>
        <w:tc>
          <w:tcPr>
            <w:tcW w:w="8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87</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bidi="ar"/>
              </w:rPr>
              <w:t>三联水嘴</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采用一体式结构，上下水接头集于一体，上下水接口置于桌面以上便于和上方水源及排水装置连接，上下水接口均采用快速链接。鹅颈式实验室专用优质化验水嘴：要求防酸碱、防锈、防虹吸、防阻塞，表面环氧树脂喷涂。出水嘴为铜质瓷芯，高头，便于多用途使用，可拆卸清洗阻塞。出水嘴可拆卸，内有成型螺纹，可方便连接循环等特殊用水水管。</w:t>
            </w:r>
            <w:r>
              <w:rPr>
                <w:rFonts w:hint="eastAsia" w:ascii="新宋体" w:hAnsi="新宋体" w:eastAsia="新宋体" w:cs="新宋体"/>
                <w:color w:val="auto"/>
                <w:kern w:val="0"/>
                <w:sz w:val="20"/>
                <w:szCs w:val="20"/>
                <w:lang w:val="en-US" w:eastAsia="zh-CN" w:bidi="ar"/>
              </w:rPr>
              <w:t>需提供国家强制节能产品认证证书。</w:t>
            </w:r>
          </w:p>
        </w:tc>
        <w:tc>
          <w:tcPr>
            <w:tcW w:w="8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88</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仪器柜</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规格：长1000×宽500×高2000mm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柜体：侧板、顶底板采用改性PP材料模具一次成型，表面沙面和光面相结合处理，保证柜体之坚固及密封性，耐腐蚀性强，顶板、底板预留模具成型排风孔。底部镶嵌</w:t>
            </w:r>
            <w:r>
              <w:rPr>
                <w:rFonts w:hint="eastAsia" w:ascii="新宋体" w:hAnsi="新宋体" w:eastAsia="新宋体" w:cs="新宋体"/>
                <w:color w:val="000000"/>
                <w:kern w:val="0"/>
                <w:sz w:val="20"/>
                <w:szCs w:val="20"/>
                <w:lang w:eastAsia="zh-CN" w:bidi="ar"/>
              </w:rPr>
              <w:t>长长</w:t>
            </w:r>
            <w:r>
              <w:rPr>
                <w:rFonts w:hint="eastAsia" w:ascii="新宋体" w:hAnsi="新宋体" w:eastAsia="新宋体" w:cs="新宋体"/>
                <w:color w:val="000000"/>
                <w:kern w:val="0"/>
                <w:sz w:val="20"/>
                <w:szCs w:val="20"/>
                <w:lang w:bidi="ar"/>
              </w:rPr>
              <w:t>15mm*</w:t>
            </w:r>
            <w:r>
              <w:rPr>
                <w:rFonts w:hint="eastAsia" w:ascii="新宋体" w:hAnsi="新宋体" w:eastAsia="新宋体" w:cs="新宋体"/>
                <w:color w:val="000000"/>
                <w:kern w:val="0"/>
                <w:sz w:val="20"/>
                <w:szCs w:val="20"/>
                <w:lang w:eastAsia="zh-CN" w:bidi="ar"/>
              </w:rPr>
              <w:t>宽</w:t>
            </w:r>
            <w:r>
              <w:rPr>
                <w:rFonts w:hint="eastAsia" w:ascii="新宋体" w:hAnsi="新宋体" w:eastAsia="新宋体" w:cs="新宋体"/>
                <w:color w:val="000000"/>
                <w:kern w:val="0"/>
                <w:sz w:val="20"/>
                <w:szCs w:val="20"/>
                <w:lang w:bidi="ar"/>
              </w:rPr>
              <w:t>30*</w:t>
            </w:r>
            <w:r>
              <w:rPr>
                <w:rFonts w:hint="eastAsia" w:ascii="新宋体" w:hAnsi="新宋体" w:eastAsia="新宋体" w:cs="新宋体"/>
                <w:color w:val="000000"/>
                <w:kern w:val="0"/>
                <w:sz w:val="20"/>
                <w:szCs w:val="20"/>
                <w:lang w:eastAsia="zh-CN" w:bidi="ar"/>
              </w:rPr>
              <w:t>厚</w:t>
            </w:r>
            <w:r>
              <w:rPr>
                <w:rFonts w:hint="eastAsia" w:ascii="新宋体" w:hAnsi="新宋体" w:eastAsia="新宋体" w:cs="新宋体"/>
                <w:color w:val="000000"/>
                <w:kern w:val="0"/>
                <w:sz w:val="20"/>
                <w:szCs w:val="20"/>
                <w:lang w:bidi="ar"/>
              </w:rPr>
              <w:t>1.2mm钢制横梁，承重力强。</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下柜柜门：内框采用改性PP材质模具一次成型，外嵌5mm厚钢化烤漆玻璃。上下拉手及三角对称五点固定，防止玻璃的松动或开合。伸缩式PP旋转门轴，四角圆弧倒角，内侧弧形圆边，配锁。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层板：上柜配置两块活动层板，下柜配置一块活动层板，层板全部采用改性PP材料模具一次成型，表面沙面和光面相结合处理，四周有阻水边，底部镶嵌两根</w:t>
            </w:r>
            <w:r>
              <w:rPr>
                <w:rFonts w:hint="eastAsia" w:ascii="新宋体" w:hAnsi="新宋体" w:eastAsia="新宋体" w:cs="新宋体"/>
                <w:color w:val="000000"/>
                <w:kern w:val="0"/>
                <w:sz w:val="20"/>
                <w:szCs w:val="20"/>
                <w:lang w:eastAsia="zh-CN" w:bidi="ar"/>
              </w:rPr>
              <w:t>长</w:t>
            </w:r>
            <w:r>
              <w:rPr>
                <w:rFonts w:hint="eastAsia" w:ascii="新宋体" w:hAnsi="新宋体" w:eastAsia="新宋体" w:cs="新宋体"/>
                <w:color w:val="000000"/>
                <w:kern w:val="0"/>
                <w:sz w:val="20"/>
                <w:szCs w:val="20"/>
                <w:lang w:bidi="ar"/>
              </w:rPr>
              <w:t>15mm*</w:t>
            </w:r>
            <w:r>
              <w:rPr>
                <w:rFonts w:hint="eastAsia" w:ascii="新宋体" w:hAnsi="新宋体" w:eastAsia="新宋体" w:cs="新宋体"/>
                <w:color w:val="000000"/>
                <w:kern w:val="0"/>
                <w:sz w:val="20"/>
                <w:szCs w:val="20"/>
                <w:lang w:eastAsia="zh-CN" w:bidi="ar"/>
              </w:rPr>
              <w:t>宽</w:t>
            </w:r>
            <w:r>
              <w:rPr>
                <w:rFonts w:hint="eastAsia" w:ascii="新宋体" w:hAnsi="新宋体" w:eastAsia="新宋体" w:cs="新宋体"/>
                <w:color w:val="000000"/>
                <w:kern w:val="0"/>
                <w:sz w:val="20"/>
                <w:szCs w:val="20"/>
                <w:lang w:bidi="ar"/>
              </w:rPr>
              <w:t>30*</w:t>
            </w:r>
            <w:r>
              <w:rPr>
                <w:rFonts w:hint="eastAsia" w:ascii="新宋体" w:hAnsi="新宋体" w:eastAsia="新宋体" w:cs="新宋体"/>
                <w:color w:val="000000"/>
                <w:kern w:val="0"/>
                <w:sz w:val="20"/>
                <w:szCs w:val="20"/>
                <w:lang w:eastAsia="zh-CN" w:bidi="ar"/>
              </w:rPr>
              <w:t>厚</w:t>
            </w:r>
            <w:r>
              <w:rPr>
                <w:rFonts w:hint="eastAsia" w:ascii="新宋体" w:hAnsi="新宋体" w:eastAsia="新宋体" w:cs="新宋体"/>
                <w:color w:val="000000"/>
                <w:kern w:val="0"/>
                <w:sz w:val="20"/>
                <w:szCs w:val="20"/>
                <w:lang w:bidi="ar"/>
              </w:rPr>
              <w:t>1.2mm钢制横梁，承重力强。整体设计为活动式，可随意抽取放在合适的隔层，自由组合各层空间。</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拉手：采用改性PP材料模具一次成型，直角梯形四周倒圆与柜门平行，开启方便。</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门铰链：采用改性PP材料模具一次成型，伸缩式PP旋转门轴，永不生锈，耐腐蚀性好。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螺丝：不锈钢304材质。</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 xml:space="preserve">备注：可以用于各种腐蚀性化学品的储藏，如硫酸、盐酸、硝酸、乙酸、硫磺酸等。            </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技术要求：GB/T32487-2016《塑料家具通用技术条件》外观无裂纹、鼓泡、变色、起皱；塑料件邵氏D硬度≥HD63，搁板支承件强度试验1.7kg10次，结构和底架的强度试验加载300N10次；跌落试验6次，拉门垂直加载试验加载20KG10次；拉门水平加载试验加载60N10次（提供</w:t>
            </w:r>
            <w:r>
              <w:rPr>
                <w:rFonts w:hint="eastAsia" w:ascii="新宋体" w:hAnsi="新宋体" w:eastAsia="新宋体" w:cs="新宋体"/>
                <w:color w:val="000000"/>
                <w:kern w:val="0"/>
                <w:sz w:val="20"/>
                <w:szCs w:val="20"/>
                <w:lang w:eastAsia="zh-CN" w:bidi="ar"/>
              </w:rPr>
              <w:t>由第三方</w:t>
            </w:r>
            <w:r>
              <w:rPr>
                <w:rFonts w:hint="eastAsia" w:ascii="新宋体" w:hAnsi="新宋体" w:eastAsia="新宋体" w:cs="新宋体"/>
                <w:color w:val="000000"/>
                <w:kern w:val="0"/>
                <w:sz w:val="20"/>
                <w:szCs w:val="20"/>
                <w:lang w:bidi="ar"/>
              </w:rPr>
              <w:t>检测机构出具满足以上技术要求，带CMA</w:t>
            </w:r>
            <w:r>
              <w:rPr>
                <w:rFonts w:hint="eastAsia" w:ascii="新宋体" w:hAnsi="新宋体" w:eastAsia="新宋体" w:cs="新宋体"/>
                <w:color w:val="000000"/>
                <w:kern w:val="0"/>
                <w:sz w:val="20"/>
                <w:szCs w:val="20"/>
                <w:lang w:eastAsia="zh-CN" w:bidi="ar"/>
              </w:rPr>
              <w:t>或</w:t>
            </w:r>
            <w:r>
              <w:rPr>
                <w:rFonts w:hint="eastAsia" w:ascii="新宋体" w:hAnsi="新宋体" w:eastAsia="新宋体" w:cs="新宋体"/>
                <w:color w:val="000000"/>
                <w:kern w:val="0"/>
                <w:sz w:val="20"/>
                <w:szCs w:val="20"/>
                <w:lang w:bidi="ar"/>
              </w:rPr>
              <w:t>CAL、ilac-MRA、CNAS标志；带二维码防伪识别真假，加盖投标人鲜章检测报告复印件）</w:t>
            </w:r>
          </w:p>
        </w:tc>
        <w:tc>
          <w:tcPr>
            <w:tcW w:w="8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89</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药品柜</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规格：长1000×宽500×高2000mm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柜体：侧板、顶底板采用改性PP材料模具一次成型，表面沙面和光面相结合处理，保证柜体之坚固及密封性，耐腐蚀性强，顶板、底板预留模具成型排风孔。底部镶嵌</w:t>
            </w:r>
            <w:r>
              <w:rPr>
                <w:rFonts w:hint="eastAsia" w:ascii="新宋体" w:hAnsi="新宋体" w:eastAsia="新宋体" w:cs="新宋体"/>
                <w:color w:val="000000"/>
                <w:kern w:val="0"/>
                <w:sz w:val="20"/>
                <w:szCs w:val="20"/>
                <w:lang w:eastAsia="zh-CN" w:bidi="ar"/>
              </w:rPr>
              <w:t>长</w:t>
            </w:r>
            <w:r>
              <w:rPr>
                <w:rFonts w:hint="eastAsia" w:ascii="新宋体" w:hAnsi="新宋体" w:eastAsia="新宋体" w:cs="新宋体"/>
                <w:color w:val="000000"/>
                <w:kern w:val="0"/>
                <w:sz w:val="20"/>
                <w:szCs w:val="20"/>
                <w:lang w:bidi="ar"/>
              </w:rPr>
              <w:t>15mm*</w:t>
            </w:r>
            <w:r>
              <w:rPr>
                <w:rFonts w:hint="eastAsia" w:ascii="新宋体" w:hAnsi="新宋体" w:eastAsia="新宋体" w:cs="新宋体"/>
                <w:color w:val="000000"/>
                <w:kern w:val="0"/>
                <w:sz w:val="20"/>
                <w:szCs w:val="20"/>
                <w:lang w:eastAsia="zh-CN" w:bidi="ar"/>
              </w:rPr>
              <w:t>宽</w:t>
            </w:r>
            <w:r>
              <w:rPr>
                <w:rFonts w:hint="eastAsia" w:ascii="新宋体" w:hAnsi="新宋体" w:eastAsia="新宋体" w:cs="新宋体"/>
                <w:color w:val="000000"/>
                <w:kern w:val="0"/>
                <w:sz w:val="20"/>
                <w:szCs w:val="20"/>
                <w:lang w:bidi="ar"/>
              </w:rPr>
              <w:t>30*</w:t>
            </w:r>
            <w:r>
              <w:rPr>
                <w:rFonts w:hint="eastAsia" w:ascii="新宋体" w:hAnsi="新宋体" w:eastAsia="新宋体" w:cs="新宋体"/>
                <w:color w:val="000000"/>
                <w:kern w:val="0"/>
                <w:sz w:val="20"/>
                <w:szCs w:val="20"/>
                <w:lang w:eastAsia="zh-CN" w:bidi="ar"/>
              </w:rPr>
              <w:t>厚</w:t>
            </w:r>
            <w:r>
              <w:rPr>
                <w:rFonts w:hint="eastAsia" w:ascii="新宋体" w:hAnsi="新宋体" w:eastAsia="新宋体" w:cs="新宋体"/>
                <w:color w:val="000000"/>
                <w:kern w:val="0"/>
                <w:sz w:val="20"/>
                <w:szCs w:val="20"/>
                <w:lang w:bidi="ar"/>
              </w:rPr>
              <w:t>1.2mm钢制横梁，承重力强。</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下柜柜门：内框采用改性PP材质模具一次成型，外嵌5mm厚钢化烤漆玻璃。上下拉手及三角对称五点固定，防止玻璃的松动或开合。伸缩式PP旋转门轴，四角圆弧倒角，内侧弧形圆边，配锁。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层板：上柜配置两块活动层板，下柜配置一块活动层板，层板全部采用改性PP材料模具一次成型，表面沙面和光面相结合处理，四周有阻水边，底部镶嵌两根</w:t>
            </w:r>
            <w:r>
              <w:rPr>
                <w:rFonts w:hint="eastAsia" w:ascii="新宋体" w:hAnsi="新宋体" w:eastAsia="新宋体" w:cs="新宋体"/>
                <w:color w:val="000000"/>
                <w:kern w:val="0"/>
                <w:sz w:val="20"/>
                <w:szCs w:val="20"/>
                <w:lang w:eastAsia="zh-CN" w:bidi="ar"/>
              </w:rPr>
              <w:t>长</w:t>
            </w:r>
            <w:r>
              <w:rPr>
                <w:rFonts w:hint="eastAsia" w:ascii="新宋体" w:hAnsi="新宋体" w:eastAsia="新宋体" w:cs="新宋体"/>
                <w:color w:val="000000"/>
                <w:kern w:val="0"/>
                <w:sz w:val="20"/>
                <w:szCs w:val="20"/>
                <w:lang w:bidi="ar"/>
              </w:rPr>
              <w:t>15mm*</w:t>
            </w:r>
            <w:r>
              <w:rPr>
                <w:rFonts w:hint="eastAsia" w:ascii="新宋体" w:hAnsi="新宋体" w:eastAsia="新宋体" w:cs="新宋体"/>
                <w:color w:val="000000"/>
                <w:kern w:val="0"/>
                <w:sz w:val="20"/>
                <w:szCs w:val="20"/>
                <w:lang w:eastAsia="zh-CN" w:bidi="ar"/>
              </w:rPr>
              <w:t>宽</w:t>
            </w:r>
            <w:r>
              <w:rPr>
                <w:rFonts w:hint="eastAsia" w:ascii="新宋体" w:hAnsi="新宋体" w:eastAsia="新宋体" w:cs="新宋体"/>
                <w:color w:val="000000"/>
                <w:kern w:val="0"/>
                <w:sz w:val="20"/>
                <w:szCs w:val="20"/>
                <w:lang w:bidi="ar"/>
              </w:rPr>
              <w:t>30*</w:t>
            </w:r>
            <w:r>
              <w:rPr>
                <w:rFonts w:hint="eastAsia" w:ascii="新宋体" w:hAnsi="新宋体" w:eastAsia="新宋体" w:cs="新宋体"/>
                <w:color w:val="000000"/>
                <w:kern w:val="0"/>
                <w:sz w:val="20"/>
                <w:szCs w:val="20"/>
                <w:lang w:eastAsia="zh-CN" w:bidi="ar"/>
              </w:rPr>
              <w:t>厚</w:t>
            </w:r>
            <w:r>
              <w:rPr>
                <w:rFonts w:hint="eastAsia" w:ascii="新宋体" w:hAnsi="新宋体" w:eastAsia="新宋体" w:cs="新宋体"/>
                <w:color w:val="000000"/>
                <w:kern w:val="0"/>
                <w:sz w:val="20"/>
                <w:szCs w:val="20"/>
                <w:lang w:bidi="ar"/>
              </w:rPr>
              <w:t>1.2mm钢制横梁，承重力强。整体设计为活动式，可随意抽取放在合适的隔层，自由组合各层空间。</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拉手：采用改性PP材料模具一次成型，直角梯形四周倒圆与柜门平行，开启方便。</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门铰链：采用改性PP材料模具一次成型，伸缩式PP旋转门轴，永不生锈，耐腐蚀性好。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螺丝：不锈钢304材质。PP台阶一个，方便药品和药剂的摆放。</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 xml:space="preserve">备注：可以用于各种腐蚀性化学品的储藏，如硫酸、盐酸、硝酸、乙酸、硫磺酸等。            </w:t>
            </w:r>
            <w:r>
              <w:rPr>
                <w:rFonts w:hint="eastAsia" w:ascii="新宋体" w:hAnsi="新宋体" w:eastAsia="新宋体" w:cs="新宋体"/>
                <w:color w:val="000000"/>
                <w:kern w:val="0"/>
                <w:sz w:val="20"/>
                <w:szCs w:val="20"/>
                <w:lang w:bidi="ar"/>
              </w:rPr>
              <w:br w:type="textWrapping"/>
            </w:r>
          </w:p>
        </w:tc>
        <w:tc>
          <w:tcPr>
            <w:tcW w:w="8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14163"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b/>
                <w:bCs/>
                <w:color w:val="000000"/>
                <w:sz w:val="20"/>
                <w:szCs w:val="20"/>
              </w:rPr>
            </w:pPr>
            <w:r>
              <w:rPr>
                <w:rFonts w:hint="eastAsia" w:ascii="新宋体" w:hAnsi="新宋体" w:eastAsia="新宋体" w:cs="新宋体"/>
                <w:b/>
                <w:bCs/>
                <w:color w:val="000000"/>
                <w:kern w:val="0"/>
                <w:sz w:val="20"/>
                <w:szCs w:val="20"/>
                <w:lang w:bidi="ar"/>
              </w:rPr>
              <w:t>生物准备室</w:t>
            </w:r>
          </w:p>
        </w:tc>
      </w:tr>
      <w:tr>
        <w:tblPrEx>
          <w:tblLayout w:type="fixed"/>
          <w:tblCellMar>
            <w:top w:w="0" w:type="dxa"/>
            <w:left w:w="108" w:type="dxa"/>
            <w:bottom w:w="0" w:type="dxa"/>
            <w:right w:w="108" w:type="dxa"/>
          </w:tblCellMar>
        </w:tblPrEx>
        <w:trPr>
          <w:gridAfter w:val="1"/>
          <w:wAfter w:w="5" w:type="dxa"/>
          <w:trHeight w:val="600" w:hRule="atLeast"/>
        </w:trPr>
        <w:tc>
          <w:tcPr>
            <w:tcW w:w="8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90</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准备台</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规格：长2400×宽700×高780mm台面：采用采用国内知名品牌≥12.7mm厚实芯理化板台面，台面板双层加厚至≥25.4mm。结构：全钢结构柜体,用于存放仪器、物品，方便实验准备。柜体：采用1.0优质一级冷轧钢板（SPCCT）经CNC机压成型，焊接制作，表面经磷化处理、环氧树脂静电粉末涂装处理。门板：采用1.0优质一级冷轧钢板，柜门中间带钢化透视窗。柜内层板：采用1.0优质一级冷轧钢板，层板可以上下调节。门铰：采用175度阻尼铰链，自闭式，与柜体面水平角度＜15度时，柜门即可自行关闭，弹性好，外形美观，使用过程中无噪音，可开关十万次，达到国际五金行业标准，使用寿命长。滑轨：三节滑轨。达到国际五金行业标准，使用寿命长。</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准备台产品需通过国家权威检测机构检测，各项性能满足或优于如下要求：</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w:t>
            </w:r>
            <w:r>
              <w:rPr>
                <w:rFonts w:hint="eastAsia" w:ascii="新宋体" w:hAnsi="新宋体" w:eastAsia="新宋体" w:cs="新宋体"/>
                <w:color w:val="FF0000"/>
                <w:kern w:val="0"/>
                <w:sz w:val="20"/>
                <w:szCs w:val="20"/>
                <w:lang w:bidi="ar"/>
              </w:rPr>
              <w:t>★所投产品需提供符合GB28481-2012《塑料家具中有害物质限量》检验项目至少包含邻苯二甲酸酯6项、16种多环芳烃、苯并(a)芘、重金属4项、多溴联苯、多澳二苯醚的合格检测。</w:t>
            </w:r>
          </w:p>
        </w:tc>
        <w:tc>
          <w:tcPr>
            <w:tcW w:w="8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91</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试剂架</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规格：≥长1100*宽300*高450mm铝合金结构，表面喷涂高温固化匀乳白环氧树脂喷涂理处理，具有较强的耐蚀性能。试剂架立柱截面尺寸：</w:t>
            </w:r>
            <w:r>
              <w:rPr>
                <w:rFonts w:hint="eastAsia" w:ascii="新宋体" w:hAnsi="新宋体" w:eastAsia="新宋体" w:cs="新宋体"/>
                <w:color w:val="000000"/>
                <w:kern w:val="0"/>
                <w:sz w:val="20"/>
                <w:szCs w:val="20"/>
                <w:lang w:eastAsia="zh-CN" w:bidi="ar"/>
              </w:rPr>
              <w:t>长</w:t>
            </w:r>
            <w:r>
              <w:rPr>
                <w:rFonts w:hint="eastAsia" w:ascii="新宋体" w:hAnsi="新宋体" w:eastAsia="新宋体" w:cs="新宋体"/>
                <w:color w:val="000000"/>
                <w:kern w:val="0"/>
                <w:sz w:val="20"/>
                <w:szCs w:val="20"/>
                <w:lang w:bidi="ar"/>
              </w:rPr>
              <w:t>128*</w:t>
            </w:r>
            <w:r>
              <w:rPr>
                <w:rFonts w:hint="eastAsia" w:ascii="新宋体" w:hAnsi="新宋体" w:eastAsia="新宋体" w:cs="新宋体"/>
                <w:color w:val="000000"/>
                <w:kern w:val="0"/>
                <w:sz w:val="20"/>
                <w:szCs w:val="20"/>
                <w:lang w:eastAsia="zh-CN" w:bidi="ar"/>
              </w:rPr>
              <w:t>宽</w:t>
            </w:r>
            <w:r>
              <w:rPr>
                <w:rFonts w:hint="eastAsia" w:ascii="新宋体" w:hAnsi="新宋体" w:eastAsia="新宋体" w:cs="新宋体"/>
                <w:color w:val="000000"/>
                <w:kern w:val="0"/>
                <w:sz w:val="20"/>
                <w:szCs w:val="20"/>
                <w:lang w:bidi="ar"/>
              </w:rPr>
              <w:t>140*</w:t>
            </w:r>
            <w:r>
              <w:rPr>
                <w:rFonts w:hint="eastAsia" w:ascii="新宋体" w:hAnsi="新宋体" w:eastAsia="新宋体" w:cs="新宋体"/>
                <w:color w:val="000000"/>
                <w:kern w:val="0"/>
                <w:sz w:val="20"/>
                <w:szCs w:val="20"/>
                <w:lang w:eastAsia="zh-CN" w:bidi="ar"/>
              </w:rPr>
              <w:t>厚</w:t>
            </w:r>
            <w:r>
              <w:rPr>
                <w:rFonts w:hint="eastAsia" w:ascii="新宋体" w:hAnsi="新宋体" w:eastAsia="新宋体" w:cs="新宋体"/>
                <w:color w:val="000000"/>
                <w:kern w:val="0"/>
                <w:sz w:val="20"/>
                <w:szCs w:val="20"/>
                <w:lang w:bidi="ar"/>
              </w:rPr>
              <w:t>1.8mm,立柱中间卡钢制装饰件（采用1.0优质一级冷轧钢板（SPCCT）经CNC机压成型，焊接制作，表面经磷化处理、环氧树脂静电粉末涂装处理。）；试剂架立柱双面升降槽，层板采用10mm厚的玻璃，安装后用户可根据试剂大小上下高低无级调节。电源：装在试剂架立柱上，面板采用：250V。防护盖：透明。</w:t>
            </w:r>
          </w:p>
        </w:tc>
        <w:tc>
          <w:tcPr>
            <w:tcW w:w="8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组</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92</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教师椅</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1、规格:≥500㎜（L）×500㎜（W）×800㎜㎜（H）                                                                                                                                                                                          2、靠背及下座采用高密度网布格，阻燃、舒适、回弹性好。                                                                                                                                                                                                                                                                                                                                               3、骨架钢管电镀，气动升降。</w:t>
            </w:r>
          </w:p>
        </w:tc>
        <w:tc>
          <w:tcPr>
            <w:tcW w:w="8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93</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独立水槽实验台</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水槽台整体规格：长600*宽460*高820mm,滴水架、柜体和水槽底座三部分组成。水槽内规格≥</w:t>
            </w:r>
            <w:r>
              <w:rPr>
                <w:rFonts w:hint="eastAsia" w:ascii="新宋体" w:hAnsi="新宋体" w:eastAsia="新宋体" w:cs="新宋体"/>
                <w:color w:val="000000"/>
                <w:kern w:val="0"/>
                <w:sz w:val="20"/>
                <w:szCs w:val="20"/>
                <w:lang w:eastAsia="zh-CN" w:bidi="ar"/>
              </w:rPr>
              <w:t>长</w:t>
            </w:r>
            <w:r>
              <w:rPr>
                <w:rFonts w:hint="eastAsia" w:ascii="新宋体" w:hAnsi="新宋体" w:eastAsia="新宋体" w:cs="新宋体"/>
                <w:color w:val="000000"/>
                <w:kern w:val="0"/>
                <w:sz w:val="20"/>
                <w:szCs w:val="20"/>
                <w:lang w:bidi="ar"/>
              </w:rPr>
              <w:t>400×</w:t>
            </w:r>
            <w:r>
              <w:rPr>
                <w:rFonts w:hint="eastAsia" w:ascii="新宋体" w:hAnsi="新宋体" w:eastAsia="新宋体" w:cs="新宋体"/>
                <w:color w:val="000000"/>
                <w:kern w:val="0"/>
                <w:sz w:val="20"/>
                <w:szCs w:val="20"/>
                <w:lang w:eastAsia="zh-CN" w:bidi="ar"/>
              </w:rPr>
              <w:t>宽</w:t>
            </w:r>
            <w:r>
              <w:rPr>
                <w:rFonts w:hint="eastAsia" w:ascii="新宋体" w:hAnsi="新宋体" w:eastAsia="新宋体" w:cs="新宋体"/>
                <w:color w:val="000000"/>
                <w:kern w:val="0"/>
                <w:sz w:val="20"/>
                <w:szCs w:val="20"/>
                <w:lang w:bidi="ar"/>
              </w:rPr>
              <w:t>300×</w:t>
            </w:r>
            <w:r>
              <w:rPr>
                <w:rFonts w:hint="eastAsia" w:ascii="新宋体" w:hAnsi="新宋体" w:eastAsia="新宋体" w:cs="新宋体"/>
                <w:color w:val="000000"/>
                <w:kern w:val="0"/>
                <w:sz w:val="20"/>
                <w:szCs w:val="20"/>
                <w:lang w:eastAsia="zh-CN" w:bidi="ar"/>
              </w:rPr>
              <w:t>高</w:t>
            </w:r>
            <w:r>
              <w:rPr>
                <w:rFonts w:hint="eastAsia" w:ascii="新宋体" w:hAnsi="新宋体" w:eastAsia="新宋体" w:cs="新宋体"/>
                <w:color w:val="000000"/>
                <w:kern w:val="0"/>
                <w:sz w:val="20"/>
                <w:szCs w:val="20"/>
                <w:lang w:bidi="ar"/>
              </w:rPr>
              <w:t>240m。柜体底座采用ABS注塑成型，水槽采用PP塑料一次模具成型，确保柜体结构稳固；柜体前后带有磁吸检修门，方便日后维修，前沿带有围边挡水，带有防溢水孔，水槽预留安装水嘴孔，洗眼器孔，按压洗手液孔，柜体内设有隐藏式抽屉方便放置洗涤用品，水封式水塞可防止废水回流和堵塞。</w:t>
            </w:r>
          </w:p>
        </w:tc>
        <w:tc>
          <w:tcPr>
            <w:tcW w:w="8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94</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多功能平台架</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滴水架整体呈梯形，上部尺寸120*400mm下部170*440mm高280mm,滴水架正面设有十条试管位滴水架注塑模具一次成型无缝链接，采用优质ABS材料，无臭无毒、耐强酸碱，使废水无法沿着水槽台台面侵蚀柜体</w:t>
            </w:r>
          </w:p>
        </w:tc>
        <w:tc>
          <w:tcPr>
            <w:tcW w:w="8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95</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bidi="ar"/>
              </w:rPr>
              <w:t>三联水嘴</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采用一体式结构，上下水接头集于一体，上下水接口置于桌面以上便于和上方水源及排水装置连接，上下水接口均采用快速链接。鹅颈式实验室专用优质化验水嘴：要求防酸碱、防锈、防虹吸、防阻塞，表面环氧树脂喷涂。出水嘴为铜质瓷芯，高头，便于多用途使用，可拆卸清洗阻塞。出水嘴可拆卸，内有成型螺纹，可方便连接循环等特殊用水水</w:t>
            </w:r>
            <w:r>
              <w:rPr>
                <w:rFonts w:hint="eastAsia" w:ascii="新宋体" w:hAnsi="新宋体" w:eastAsia="新宋体" w:cs="新宋体"/>
                <w:color w:val="auto"/>
                <w:kern w:val="0"/>
                <w:sz w:val="20"/>
                <w:szCs w:val="20"/>
                <w:lang w:bidi="ar"/>
              </w:rPr>
              <w:t>管。</w:t>
            </w:r>
            <w:r>
              <w:rPr>
                <w:rFonts w:hint="eastAsia" w:ascii="新宋体" w:hAnsi="新宋体" w:eastAsia="新宋体" w:cs="新宋体"/>
                <w:color w:val="auto"/>
                <w:kern w:val="0"/>
                <w:sz w:val="20"/>
                <w:szCs w:val="20"/>
                <w:lang w:val="en-US" w:eastAsia="zh-CN" w:bidi="ar"/>
              </w:rPr>
              <w:t>需提供国家强制节能产品认证证书。</w:t>
            </w:r>
          </w:p>
        </w:tc>
        <w:tc>
          <w:tcPr>
            <w:tcW w:w="8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96</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仪器柜</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sz w:val="20"/>
                <w:szCs w:val="20"/>
                <w:lang w:eastAsia="zh-CN"/>
              </w:rPr>
            </w:pPr>
            <w:r>
              <w:rPr>
                <w:rFonts w:hint="eastAsia" w:ascii="新宋体" w:hAnsi="新宋体" w:eastAsia="新宋体" w:cs="新宋体"/>
                <w:color w:val="000000"/>
                <w:kern w:val="0"/>
                <w:sz w:val="20"/>
                <w:szCs w:val="20"/>
                <w:lang w:bidi="ar"/>
              </w:rPr>
              <w:t>规格：长1000×宽500×高2000mm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柜体：侧板、顶底板采用改性PP材料模具一次成型，表面沙面和光面相结合处理，保证柜体之坚固及密封性，耐腐蚀性强，顶板、底板预留模具成型排风孔。底部镶嵌</w:t>
            </w:r>
            <w:r>
              <w:rPr>
                <w:rFonts w:hint="eastAsia" w:ascii="新宋体" w:hAnsi="新宋体" w:eastAsia="新宋体" w:cs="新宋体"/>
                <w:color w:val="000000"/>
                <w:kern w:val="0"/>
                <w:sz w:val="20"/>
                <w:szCs w:val="20"/>
                <w:lang w:eastAsia="zh-CN" w:bidi="ar"/>
              </w:rPr>
              <w:t>长</w:t>
            </w:r>
            <w:r>
              <w:rPr>
                <w:rFonts w:hint="eastAsia" w:ascii="新宋体" w:hAnsi="新宋体" w:eastAsia="新宋体" w:cs="新宋体"/>
                <w:color w:val="000000"/>
                <w:kern w:val="0"/>
                <w:sz w:val="20"/>
                <w:szCs w:val="20"/>
                <w:lang w:bidi="ar"/>
              </w:rPr>
              <w:t>15mm*</w:t>
            </w:r>
            <w:r>
              <w:rPr>
                <w:rFonts w:hint="eastAsia" w:ascii="新宋体" w:hAnsi="新宋体" w:eastAsia="新宋体" w:cs="新宋体"/>
                <w:color w:val="000000"/>
                <w:kern w:val="0"/>
                <w:sz w:val="20"/>
                <w:szCs w:val="20"/>
                <w:lang w:eastAsia="zh-CN" w:bidi="ar"/>
              </w:rPr>
              <w:t>宽</w:t>
            </w:r>
            <w:r>
              <w:rPr>
                <w:rFonts w:hint="eastAsia" w:ascii="新宋体" w:hAnsi="新宋体" w:eastAsia="新宋体" w:cs="新宋体"/>
                <w:color w:val="000000"/>
                <w:kern w:val="0"/>
                <w:sz w:val="20"/>
                <w:szCs w:val="20"/>
                <w:lang w:bidi="ar"/>
              </w:rPr>
              <w:t>30*</w:t>
            </w:r>
            <w:r>
              <w:rPr>
                <w:rFonts w:hint="eastAsia" w:ascii="新宋体" w:hAnsi="新宋体" w:eastAsia="新宋体" w:cs="新宋体"/>
                <w:color w:val="000000"/>
                <w:kern w:val="0"/>
                <w:sz w:val="20"/>
                <w:szCs w:val="20"/>
                <w:lang w:eastAsia="zh-CN" w:bidi="ar"/>
              </w:rPr>
              <w:t>厚</w:t>
            </w:r>
            <w:r>
              <w:rPr>
                <w:rFonts w:hint="eastAsia" w:ascii="新宋体" w:hAnsi="新宋体" w:eastAsia="新宋体" w:cs="新宋体"/>
                <w:color w:val="000000"/>
                <w:kern w:val="0"/>
                <w:sz w:val="20"/>
                <w:szCs w:val="20"/>
                <w:lang w:bidi="ar"/>
              </w:rPr>
              <w:t>1.2mm钢制横梁，承重力强。</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下柜柜门：内框采用改性PP材质模具一次成型，外嵌5mm厚钢化烤漆玻璃。上下拉手及三角对称五点固定，防止玻璃的松动或开合。伸缩式PP旋转门轴，四角圆弧倒角，内侧弧形圆边，配锁。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层板：上柜配置两块活动层板，下柜配置一块活动层板，层板全部采用改性PP材料模具一次成型，表面沙面和光面相结合处理，四周有阻水边，底部镶嵌两根</w:t>
            </w:r>
            <w:r>
              <w:rPr>
                <w:rFonts w:hint="eastAsia" w:ascii="新宋体" w:hAnsi="新宋体" w:eastAsia="新宋体" w:cs="新宋体"/>
                <w:color w:val="000000"/>
                <w:kern w:val="0"/>
                <w:sz w:val="20"/>
                <w:szCs w:val="20"/>
                <w:lang w:eastAsia="zh-CN" w:bidi="ar"/>
              </w:rPr>
              <w:t>长</w:t>
            </w:r>
            <w:r>
              <w:rPr>
                <w:rFonts w:hint="eastAsia" w:ascii="新宋体" w:hAnsi="新宋体" w:eastAsia="新宋体" w:cs="新宋体"/>
                <w:color w:val="000000"/>
                <w:kern w:val="0"/>
                <w:sz w:val="20"/>
                <w:szCs w:val="20"/>
                <w:lang w:bidi="ar"/>
              </w:rPr>
              <w:t>15mm*</w:t>
            </w:r>
            <w:r>
              <w:rPr>
                <w:rFonts w:hint="eastAsia" w:ascii="新宋体" w:hAnsi="新宋体" w:eastAsia="新宋体" w:cs="新宋体"/>
                <w:color w:val="000000"/>
                <w:kern w:val="0"/>
                <w:sz w:val="20"/>
                <w:szCs w:val="20"/>
                <w:lang w:eastAsia="zh-CN" w:bidi="ar"/>
              </w:rPr>
              <w:t>宽</w:t>
            </w:r>
            <w:r>
              <w:rPr>
                <w:rFonts w:hint="eastAsia" w:ascii="新宋体" w:hAnsi="新宋体" w:eastAsia="新宋体" w:cs="新宋体"/>
                <w:color w:val="000000"/>
                <w:kern w:val="0"/>
                <w:sz w:val="20"/>
                <w:szCs w:val="20"/>
                <w:lang w:bidi="ar"/>
              </w:rPr>
              <w:t>30*</w:t>
            </w:r>
            <w:r>
              <w:rPr>
                <w:rFonts w:hint="eastAsia" w:ascii="新宋体" w:hAnsi="新宋体" w:eastAsia="新宋体" w:cs="新宋体"/>
                <w:color w:val="000000"/>
                <w:kern w:val="0"/>
                <w:sz w:val="20"/>
                <w:szCs w:val="20"/>
                <w:lang w:eastAsia="zh-CN" w:bidi="ar"/>
              </w:rPr>
              <w:t>厚</w:t>
            </w:r>
            <w:r>
              <w:rPr>
                <w:rFonts w:hint="eastAsia" w:ascii="新宋体" w:hAnsi="新宋体" w:eastAsia="新宋体" w:cs="新宋体"/>
                <w:color w:val="000000"/>
                <w:kern w:val="0"/>
                <w:sz w:val="20"/>
                <w:szCs w:val="20"/>
                <w:lang w:bidi="ar"/>
              </w:rPr>
              <w:t>1.2mm钢制横梁，承重力强。整体设计为活动式，可随意抽取放在合适的隔层，自由组合各层空间。</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拉手：采用改性PP材料模具一次成型，直角梯形四周倒圆与柜门平行，开启方便。</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门铰链：采用改性PP材料模具一次成型，伸缩式PP旋转门轴，永不生锈，耐腐蚀性好。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螺丝：不锈钢304材质。</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 xml:space="preserve">备注：可以用于各种腐蚀性化学品的储藏，如硫酸、盐酸、硝酸、乙酸、硫磺酸等。            </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技术要求：GB/T32487-2016《塑料家具通用技术条件》外观无裂纹、鼓泡、变色、起皱；塑料件邵氏D硬度≥HD63，搁板支承件强度试验1.7kg10次，结构和底架的强度试验加载300N10次；跌落试验6次，拉门垂直加载试验加载20KG10次；拉门水平加载试验加载60N10次</w:t>
            </w:r>
            <w:r>
              <w:rPr>
                <w:rFonts w:hint="eastAsia" w:ascii="新宋体" w:hAnsi="新宋体" w:eastAsia="新宋体" w:cs="新宋体"/>
                <w:color w:val="000000"/>
                <w:kern w:val="0"/>
                <w:sz w:val="20"/>
                <w:szCs w:val="20"/>
                <w:lang w:eastAsia="zh-CN" w:bidi="ar"/>
              </w:rPr>
              <w:t>。</w:t>
            </w:r>
          </w:p>
        </w:tc>
        <w:tc>
          <w:tcPr>
            <w:tcW w:w="8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97</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标本柜</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规格：长1000*宽500*高2000mm。2、结构：上部铝合金玻璃结构（1000×500×1200mm）内分为三层，采用玻璃推拉门，钢化玻璃层板，可上下活动调节；下部全木结构（1000×500×800mm）采用18mm三聚氰胺板对开门。3、材质：上部用铝合金型材及5mm钢化玻璃制作；柜身材料采用16mm厚E1级双贴面三聚氰胺板；板材所有截面均经全自动封边机封边处理，所用封边条分别为优质（0.8-1）mm（内嵌）、（1.5-2）mm（外露）厚PVC封边条,热熔胶一次成型。4、配件：1）优质桥式拉手；2）柜门采用高档优质合页；3）采用φ35mmABS耐蚀注塑专用垫；4）内部层板两侧装有专用升降条，可以方便用户上下移动层板。5）选用优质ABS工程注塑加固角连接。5、性能：绿色环保、美观大方、安全实用、便于观察。</w:t>
            </w:r>
          </w:p>
        </w:tc>
        <w:tc>
          <w:tcPr>
            <w:tcW w:w="8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14163"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b/>
                <w:bCs/>
                <w:color w:val="000000"/>
                <w:sz w:val="20"/>
                <w:szCs w:val="20"/>
              </w:rPr>
            </w:pPr>
            <w:r>
              <w:rPr>
                <w:rFonts w:hint="eastAsia" w:ascii="新宋体" w:hAnsi="新宋体" w:eastAsia="新宋体" w:cs="新宋体"/>
                <w:b/>
                <w:bCs/>
                <w:color w:val="000000"/>
                <w:kern w:val="0"/>
                <w:sz w:val="20"/>
                <w:szCs w:val="20"/>
                <w:lang w:bidi="ar"/>
              </w:rPr>
              <w:t>物理准备室</w:t>
            </w:r>
          </w:p>
        </w:tc>
      </w:tr>
      <w:tr>
        <w:tblPrEx>
          <w:tblLayout w:type="fixed"/>
          <w:tblCellMar>
            <w:top w:w="0" w:type="dxa"/>
            <w:left w:w="108" w:type="dxa"/>
            <w:bottom w:w="0" w:type="dxa"/>
            <w:right w:w="108" w:type="dxa"/>
          </w:tblCellMar>
        </w:tblPrEx>
        <w:trPr>
          <w:gridAfter w:val="1"/>
          <w:wAfter w:w="5" w:type="dxa"/>
          <w:trHeight w:val="600" w:hRule="atLeast"/>
        </w:trPr>
        <w:tc>
          <w:tcPr>
            <w:tcW w:w="8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98</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准备台</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规格：长2400×宽700×高780mm台面：采用采用国内知名品牌≥12.7mm厚实芯理化板台面，台面板双层加厚至≥25.4mm。结构：全钢结构柜体,用于存放仪器、物品，方便实验准备。柜体：采用1.0优质一级冷轧钢板（SPCCT）经CNC机压成型，焊接制作，表面经磷化处理、环氧树脂静电粉末涂装处理。门板：采用1.0优质一级冷轧钢板，柜门中间带钢化透视窗。柜内层板：采用1.0优质一级冷轧钢板，层板可以上下调节。门铰：采用175度阻尼铰链，自闭式，与柜体面水平角度＜15度时，柜门即可自行关闭，弹性好，外形美观，使用过程中无噪音，可开关十万次，达到国际五金行业标准，使用寿命长。滑轨：三节滑轨。达到国际五金行业标准，使用寿命长。</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准备台产品需通过国家权威检测机构检测，各项性能满足或优于如下要求：</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w:t>
            </w:r>
            <w:r>
              <w:rPr>
                <w:rFonts w:hint="eastAsia" w:ascii="新宋体" w:hAnsi="新宋体" w:eastAsia="新宋体" w:cs="新宋体"/>
                <w:color w:val="FF0000"/>
                <w:kern w:val="0"/>
                <w:sz w:val="20"/>
                <w:szCs w:val="20"/>
                <w:lang w:bidi="ar"/>
              </w:rPr>
              <w:t>★所投产品需提供符合GB28481-2012《塑料家具中有害物质限量》检验项目至少包含邻苯二甲酸酯6项、16种多环芳烃、苯并(a)芘、重金属4项、多溴联苯、多溴二苯醚的合格检测。</w:t>
            </w:r>
          </w:p>
        </w:tc>
        <w:tc>
          <w:tcPr>
            <w:tcW w:w="8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99</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教师椅</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规格：长500*宽500*高800mm靠背及下座采用高密度网布格，阻燃、舒适、回弹性好。面料为优质网布格</w:t>
            </w: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bidi="ar"/>
              </w:rPr>
              <w:t>骨架钢管电镀，气动升降。</w:t>
            </w:r>
          </w:p>
        </w:tc>
        <w:tc>
          <w:tcPr>
            <w:tcW w:w="8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100</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仪器柜</w:t>
            </w:r>
          </w:p>
        </w:tc>
        <w:tc>
          <w:tcPr>
            <w:tcW w:w="1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sz w:val="20"/>
                <w:szCs w:val="20"/>
                <w:lang w:eastAsia="zh-CN"/>
              </w:rPr>
            </w:pPr>
            <w:r>
              <w:rPr>
                <w:rFonts w:hint="eastAsia" w:ascii="新宋体" w:hAnsi="新宋体" w:eastAsia="新宋体" w:cs="新宋体"/>
                <w:color w:val="000000"/>
                <w:kern w:val="0"/>
                <w:sz w:val="20"/>
                <w:szCs w:val="20"/>
                <w:lang w:bidi="ar"/>
              </w:rPr>
              <w:t>规格：长1000×宽500×高2000mm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柜体：侧板、顶底板采用改性PP材料模具一次成型，表面沙面和光面相结合处理，保证柜体之坚固及密封性，耐腐蚀性强，顶板、底板预留模具成型排风孔。底部镶嵌</w:t>
            </w:r>
            <w:r>
              <w:rPr>
                <w:rFonts w:hint="eastAsia" w:ascii="新宋体" w:hAnsi="新宋体" w:eastAsia="新宋体" w:cs="新宋体"/>
                <w:color w:val="000000"/>
                <w:kern w:val="0"/>
                <w:sz w:val="20"/>
                <w:szCs w:val="20"/>
                <w:lang w:eastAsia="zh-CN" w:bidi="ar"/>
              </w:rPr>
              <w:t>长</w:t>
            </w:r>
            <w:r>
              <w:rPr>
                <w:rFonts w:hint="eastAsia" w:ascii="新宋体" w:hAnsi="新宋体" w:eastAsia="新宋体" w:cs="新宋体"/>
                <w:color w:val="000000"/>
                <w:kern w:val="0"/>
                <w:sz w:val="20"/>
                <w:szCs w:val="20"/>
                <w:lang w:bidi="ar"/>
              </w:rPr>
              <w:t>15mm*</w:t>
            </w:r>
            <w:r>
              <w:rPr>
                <w:rFonts w:hint="eastAsia" w:ascii="新宋体" w:hAnsi="新宋体" w:eastAsia="新宋体" w:cs="新宋体"/>
                <w:color w:val="000000"/>
                <w:kern w:val="0"/>
                <w:sz w:val="20"/>
                <w:szCs w:val="20"/>
                <w:lang w:eastAsia="zh-CN" w:bidi="ar"/>
              </w:rPr>
              <w:t>宽</w:t>
            </w:r>
            <w:r>
              <w:rPr>
                <w:rFonts w:hint="eastAsia" w:ascii="新宋体" w:hAnsi="新宋体" w:eastAsia="新宋体" w:cs="新宋体"/>
                <w:color w:val="000000"/>
                <w:kern w:val="0"/>
                <w:sz w:val="20"/>
                <w:szCs w:val="20"/>
                <w:lang w:bidi="ar"/>
              </w:rPr>
              <w:t>30*</w:t>
            </w:r>
            <w:r>
              <w:rPr>
                <w:rFonts w:hint="eastAsia" w:ascii="新宋体" w:hAnsi="新宋体" w:eastAsia="新宋体" w:cs="新宋体"/>
                <w:color w:val="000000"/>
                <w:kern w:val="0"/>
                <w:sz w:val="20"/>
                <w:szCs w:val="20"/>
                <w:lang w:eastAsia="zh-CN" w:bidi="ar"/>
              </w:rPr>
              <w:t>厚</w:t>
            </w:r>
            <w:r>
              <w:rPr>
                <w:rFonts w:hint="eastAsia" w:ascii="新宋体" w:hAnsi="新宋体" w:eastAsia="新宋体" w:cs="新宋体"/>
                <w:color w:val="000000"/>
                <w:kern w:val="0"/>
                <w:sz w:val="20"/>
                <w:szCs w:val="20"/>
                <w:lang w:bidi="ar"/>
              </w:rPr>
              <w:t>1.2mm钢制横梁，承重力强。</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下柜柜门：内框采用改性PP材质模具一次成型，外嵌5mm厚钢化烤漆玻璃。上下拉手及三角对称五点固定，防止玻璃的松动或开合。伸缩式PP旋转门轴，四角圆弧倒角，内侧弧形圆边，配锁。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层板：上柜配置两块活动层板，下柜配置一块活动层板，层板全部采用改性PP材料模具一次成型，表面沙面和光面相结合处理，四周有阻水边，底部镶嵌</w:t>
            </w:r>
            <w:r>
              <w:rPr>
                <w:rFonts w:hint="eastAsia" w:ascii="新宋体" w:hAnsi="新宋体" w:eastAsia="新宋体" w:cs="新宋体"/>
                <w:color w:val="auto"/>
                <w:kern w:val="0"/>
                <w:sz w:val="20"/>
                <w:szCs w:val="20"/>
                <w:lang w:bidi="ar"/>
              </w:rPr>
              <w:t>两根</w:t>
            </w:r>
            <w:r>
              <w:rPr>
                <w:rFonts w:hint="eastAsia" w:ascii="新宋体" w:hAnsi="新宋体" w:eastAsia="新宋体" w:cs="新宋体"/>
                <w:color w:val="auto"/>
                <w:kern w:val="0"/>
                <w:sz w:val="20"/>
                <w:szCs w:val="20"/>
                <w:lang w:eastAsia="zh-CN" w:bidi="ar"/>
              </w:rPr>
              <w:t>长</w:t>
            </w:r>
            <w:r>
              <w:rPr>
                <w:rFonts w:hint="eastAsia" w:ascii="新宋体" w:hAnsi="新宋体" w:eastAsia="新宋体" w:cs="新宋体"/>
                <w:color w:val="auto"/>
                <w:kern w:val="0"/>
                <w:sz w:val="20"/>
                <w:szCs w:val="20"/>
                <w:lang w:bidi="ar"/>
              </w:rPr>
              <w:t>15mm*</w:t>
            </w:r>
            <w:r>
              <w:rPr>
                <w:rFonts w:hint="eastAsia" w:ascii="新宋体" w:hAnsi="新宋体" w:eastAsia="新宋体" w:cs="新宋体"/>
                <w:color w:val="auto"/>
                <w:kern w:val="0"/>
                <w:sz w:val="20"/>
                <w:szCs w:val="20"/>
                <w:lang w:eastAsia="zh-CN" w:bidi="ar"/>
              </w:rPr>
              <w:t>宽</w:t>
            </w:r>
            <w:r>
              <w:rPr>
                <w:rFonts w:hint="eastAsia" w:ascii="新宋体" w:hAnsi="新宋体" w:eastAsia="新宋体" w:cs="新宋体"/>
                <w:color w:val="auto"/>
                <w:kern w:val="0"/>
                <w:sz w:val="20"/>
                <w:szCs w:val="20"/>
                <w:lang w:bidi="ar"/>
              </w:rPr>
              <w:t>30*</w:t>
            </w:r>
            <w:r>
              <w:rPr>
                <w:rFonts w:hint="eastAsia" w:ascii="新宋体" w:hAnsi="新宋体" w:eastAsia="新宋体" w:cs="新宋体"/>
                <w:color w:val="auto"/>
                <w:kern w:val="0"/>
                <w:sz w:val="20"/>
                <w:szCs w:val="20"/>
                <w:lang w:eastAsia="zh-CN" w:bidi="ar"/>
              </w:rPr>
              <w:t>厚</w:t>
            </w:r>
            <w:r>
              <w:rPr>
                <w:rFonts w:hint="eastAsia" w:ascii="新宋体" w:hAnsi="新宋体" w:eastAsia="新宋体" w:cs="新宋体"/>
                <w:color w:val="auto"/>
                <w:kern w:val="0"/>
                <w:sz w:val="20"/>
                <w:szCs w:val="20"/>
                <w:lang w:bidi="ar"/>
              </w:rPr>
              <w:t>1.2mm</w:t>
            </w:r>
            <w:r>
              <w:rPr>
                <w:rFonts w:hint="eastAsia" w:ascii="新宋体" w:hAnsi="新宋体" w:eastAsia="新宋体" w:cs="新宋体"/>
                <w:color w:val="000000"/>
                <w:kern w:val="0"/>
                <w:sz w:val="20"/>
                <w:szCs w:val="20"/>
                <w:lang w:bidi="ar"/>
              </w:rPr>
              <w:t>钢制横梁，承重力强。整体设计为活动式，可随意抽取放在合适的隔层，自由组合各层空间。</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拉手：采用改性PP材料模具一次成型，直角梯形四周倒圆与柜门平行，开启方便。</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门铰链：采用改性PP材料模具一次成型，伸缩式PP旋转门轴，永不生锈，耐腐蚀性好。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螺丝：不锈钢304材质。</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 xml:space="preserve">备注：可以用于各种腐蚀性化学品的储藏，如硫酸、盐酸、硝酸、乙酸、硫磺酸等。            </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技术要求：GB/T32487-2016《塑料家具通用技术条件》外观无裂纹、鼓泡、变色、起皱；塑料件邵氏D硬度≥HD63，搁板支承件强度试验1.7kg10次，结构和底架的强度试验加载300N10次；跌落试验6次，拉门垂直加载试验加载20KG10次；拉门水平加载试验加载60N10次</w:t>
            </w:r>
            <w:r>
              <w:rPr>
                <w:rFonts w:hint="eastAsia" w:ascii="新宋体" w:hAnsi="新宋体" w:eastAsia="新宋体" w:cs="新宋体"/>
                <w:color w:val="000000"/>
                <w:kern w:val="0"/>
                <w:sz w:val="20"/>
                <w:szCs w:val="20"/>
                <w:lang w:eastAsia="zh-CN" w:bidi="ar"/>
              </w:rPr>
              <w:t>。</w:t>
            </w:r>
          </w:p>
        </w:tc>
        <w:tc>
          <w:tcPr>
            <w:tcW w:w="8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14163"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b/>
                <w:bCs/>
                <w:color w:val="000000"/>
                <w:sz w:val="20"/>
                <w:szCs w:val="20"/>
              </w:rPr>
            </w:pPr>
            <w:r>
              <w:rPr>
                <w:rFonts w:hint="eastAsia" w:ascii="新宋体" w:hAnsi="新宋体" w:eastAsia="新宋体" w:cs="新宋体"/>
                <w:b/>
                <w:bCs/>
                <w:color w:val="000000"/>
                <w:kern w:val="0"/>
                <w:sz w:val="20"/>
                <w:szCs w:val="20"/>
                <w:lang w:bidi="ar"/>
              </w:rPr>
              <w:t>初中化学仪器</w:t>
            </w: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危险化学品试剂柜</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≥长900 mm×宽510 mm×高1200 mm，防爆、防盗、阻燃、耐腐蚀，带双锁。</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灭火毯</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玻璃纤维材质，长1200 mm×宽1800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简易急救箱</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箱内包括：烧伤药膏，医用酒精，碘伏，创可贴，环保胶水，绷带，卫生棉签，剪刀，镊子，止血带（长度≥30 cm）等</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实验服</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可分为大中小号</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护目镜</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侧面完全遮挡，耐酸碱，抗冲击，耐磨，便于清洗</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防护面罩</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防冲击面屏，聚碳酸酯材质，耐 45 m/s 粒子冲击，通过弹簧箍与安全帽相连，面屏可更换，起到头部与面部双重保护作用，光洁，透明度高</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防毒口罩</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E型（标色：黄），防止吸入酸性气体或蒸气</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耐酸手套</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机械性能不低于3级，无破损，手套应有长度≥15cm的套袖</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双</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化学实验废水处理装置</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主体透明，能进行pH测试、酸碱废液中和、重金属凝聚和过滤，兼作教学使用，能处理中学常见无机化学废液，同时可以通过仪器内的活性炭吸附少量混入的有机物。应配备适量的凝聚剂和助凝剂，至少应配备更换用活性炭包1个。处理量≥6L/次</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110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废液分类回收桶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塑料制，25L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111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教学电源</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交流2V～12V，5A，每2V一档；直流1.5V～12V，2A，分为1.5V、3V、4.5V、6V、9V、12V，共6档</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112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仪器车</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长600 mm×宽400 mm×高800 mm，车轮Φ75 mm，厚25 mm；一轮带刹车，车轮固定，车架扭动量（上部）≤20 mm；钢材制作，载重≥60 kg</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表面涂装：钢架焊接完成后，平整光滑，并全部进行喷淋除油、除锈、陶化喷淋处理，静电喷塑，表面光滑平整无气泡，经高温环保喷塑，抗菌耐霉、耐刮耐磨；</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辆</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113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试剂瓶托盘</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搪瓷材质，内沿≥长220mm×宽160mm×高30mm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120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114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实验用品提篮</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产品为全木质、带提手。上部可放试管、试剂瓶等仪器、底部有抽屉。1.提篮外形尺寸约（不带提手）：长480mm×宽280mm×高170mm，底部抽屉尺寸约35cm×25mm。2.提手部位为圆柱形，高约240mm（装好后的高度）。3.整体表面刷清漆。</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115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一字螺丝刀</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Ф6mm，长150mm，工作端带磁性</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116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十字螺丝刀</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Ф6mm，长150mm，工作端带磁性</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117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钢丝钳</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长160mm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118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钢锤</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0.25 kg，羊角锤</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119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三角锉</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长250mm，带柄</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120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民用剪刀</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3号，长150mm，A型</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121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打孔器</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刀口式，材质为不锈钢管、钢管或黄铜管，每组不少于 4 支，外径分别为 9 mm、8 mm、7 mm、6 mm，并配一支带柄金属通扦</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122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打孔夹板</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硬木或硬塑料制</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123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打孔器刮刀</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刮刀宜用 65 M 板制成，表面热处理，55 HRC ～ 60 HRC，总长为 70 mm±0.5 mm，宽 14.5 mm ±0.1 mm，厚 1.8 mm±0.5 mm；刀口角度宜为 60°±5°，锋刃＜0.1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124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电动钻孔器</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钻头可拆卸，应配有 2 个以上不同孔径的钻头</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125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托盘天平</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100g，0.1g</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126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托盘天平</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0"/>
                <w:szCs w:val="20"/>
                <w:lang w:bidi="ar"/>
              </w:rPr>
            </w:pPr>
            <w:r>
              <w:rPr>
                <w:rFonts w:hint="eastAsia" w:ascii="新宋体" w:hAnsi="新宋体" w:eastAsia="新宋体" w:cs="新宋体"/>
                <w:color w:val="000000"/>
                <w:kern w:val="0"/>
                <w:sz w:val="20"/>
                <w:szCs w:val="20"/>
                <w:lang w:bidi="ar"/>
              </w:rPr>
              <w:t>500 g，0.5 g</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127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电子天平</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0"/>
                <w:szCs w:val="20"/>
                <w:lang w:bidi="ar"/>
              </w:rPr>
            </w:pPr>
            <w:r>
              <w:rPr>
                <w:rFonts w:hint="eastAsia" w:ascii="新宋体" w:hAnsi="新宋体" w:eastAsia="新宋体" w:cs="新宋体"/>
                <w:color w:val="000000"/>
                <w:kern w:val="0"/>
                <w:sz w:val="20"/>
                <w:szCs w:val="20"/>
                <w:lang w:bidi="ar"/>
              </w:rPr>
              <w:t>量程 0 g</w:t>
            </w:r>
            <w:r>
              <w:rPr>
                <w:rFonts w:hint="default" w:ascii="新宋体" w:hAnsi="新宋体" w:eastAsia="新宋体" w:cs="新宋体"/>
                <w:color w:val="000000"/>
                <w:kern w:val="0"/>
                <w:sz w:val="20"/>
                <w:szCs w:val="20"/>
                <w:lang w:bidi="ar"/>
              </w:rPr>
              <w:t>〜1 kg，分辨力 0.1 g，带标准砝码</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128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红液温度计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0 ℃～ 100 ℃，分度值 1 ℃，示值误差＜1.5 ℃</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129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水银温度计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0 ℃～ 200 ℃，分度值 1 ℃， 示值误差＜0.5 ℃，有保护套</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多用电表</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直流电流、电压、电阻2.5级，交流电压5级</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酸度计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笔式，pH 测量范围 0～14，分辨力 0.1，读数清晰，有自动关机节电模式，配校准试剂</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教学支架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方形座，含铁夹、复夹、铁圈，重心稳定不晃动，夹持器内侧应有垫衬</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三脚架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铁制，环内径75mm，高150mm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木质或塑料质，8 孔，孔径 21 mm，立柱黏结牢固</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漏斗架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木制或塑料制</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滴定台</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人造石或大理石白色台面，重心稳定不晃动，底部有四个橡胶垫脚</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滴定夹</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铝制，加持部位有防滑脱凹槽</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多用滴管架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塑料制，底部有圆形凹槽</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量筒</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量筒</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量筒</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50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量筒</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100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量筒</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500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容量瓶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容量瓶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500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12 mm×70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15 mm×150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Φ18mm×180mm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75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Φ20mm×200mm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75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150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Φ32mm×200mm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151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口部具支试管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Φ20mm×200mm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152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硬质玻璃管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Φ15mm×150mm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153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硬质玻璃管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Φ20mm×250mm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154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烧杯</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10mL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155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烧杯</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75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156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烧杯</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50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75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157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烧杯</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100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75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158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烧杯</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159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烧杯</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500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160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烧杯</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1000mL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161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250mL，圆底</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162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新宋体" w:hAnsi="新宋体" w:eastAsia="新宋体" w:cs="新宋体"/>
                <w:color w:val="000000"/>
                <w:sz w:val="20"/>
                <w:szCs w:val="20"/>
                <w:lang w:val="en-US" w:eastAsia="zh-CN"/>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 mL</w:t>
            </w: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val="en-US" w:eastAsia="zh-CN" w:bidi="ar"/>
              </w:rPr>
              <w:t>平底</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163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锥形瓶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100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164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锥形瓶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165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蒸馏烧瓶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166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集气瓶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125mL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150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167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集气瓶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168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广口瓶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60mL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170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169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广口瓶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125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170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广口瓶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171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广口瓶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500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172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茶色广口瓶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60mL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173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茶色广口瓶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125mL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174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茶色广口瓶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175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细口瓶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60mL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176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细口瓶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125mL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177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细口瓶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178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细口瓶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500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179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细口瓶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1000mL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180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细口瓶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3000mL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181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茶色细口瓶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60mL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182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茶色细口瓶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125mL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183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茶色细口瓶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184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茶色细口瓶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500mL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185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茶色细口瓶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1000mL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186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滴瓶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30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150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187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滴瓶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60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75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188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茶色滴瓶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30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189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茶色滴瓶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60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190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酒精灯</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150 mL，透明钠钙玻璃制，无明显黄绿色；灯口应平整，瓷灯头与灯口平面间隙不应超过1.5 mm；玻璃灯罩应磨口；瓷灯头应为白色，完全覆盖灯口，表面无缺陷，配置与灯口孔径相适应的整齐完整的棉线灯芯</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191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冷凝器</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300mm±10mm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192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牛角管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Φ18mm×150mm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193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漏斗</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φ60 mm，直径准确，锥度适中</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194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漏斗</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漏斗口径 90 mm，斗颈长 90 mm，下口磨成 45º角，斜口边口倒角或熔光，耐水性 HGB3级</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195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安全漏斗</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直形，径长300mm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196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安全漏斗</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双球</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197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分液漏斗</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50mL，锥型</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198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分液漏斗</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50mL，球型</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199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三通连接管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T形</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三通连接管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Y 形，Φ 7 mm～Φ 8 mm，连接完好，管口应作打磨或烧结处理</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滴管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100 mm，直形，滴管尖嘴口径 1 mm，上端有防滑脱翻口，翻口处直径比滴管直径略多 1 mm～2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滴管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150mm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干燥管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145mm，单球</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干燥管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U 型，Φ 15 mm×150 mm，硼硅酸盐玻璃制，玻璃壁厚度适中，球体圆润，导气管长度≥2 cm，最好有防滑脱沟槽</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玻璃活塞</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直形</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圆水槽</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Φ210mm×110mm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圆水槽</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Φ270mm×140mm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坩埚</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瓷制，</w:t>
            </w: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30mL，耐热≥1200℃，内外壁光滑，外壁涂釉，配有坩埚盖</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坩埚钳</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长</w:t>
            </w:r>
            <w:r>
              <w:rPr>
                <w:rFonts w:hint="eastAsia" w:ascii="新宋体" w:hAnsi="新宋体" w:eastAsia="新宋体" w:cs="新宋体"/>
                <w:color w:val="000000"/>
                <w:kern w:val="0"/>
                <w:sz w:val="20"/>
                <w:szCs w:val="20"/>
                <w:lang w:bidi="ar"/>
              </w:rPr>
              <w:t>200mm，钢制，中间弯曲部分内径应在2cm～3cm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210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烧杯夹</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钢制或不锈钢制，夹持部位应有橡胶保护套，避免与玻璃烧杯直接接触</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211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镊子</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304 不锈钢，平头，长 125 mm，钢板厚 1.2 mm，镊子前部应有防滑脱锯齿状</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212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试管夹</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木制或竹制，长度≥200 mm，宽度 20 mm，厚度 20 mm；试管夹闭口缝≤1 mm，开口距≥25 mm；毡块黏结牢固，试管夹弹簧作防锈处理，试管夹持部位圆弧内径≤15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213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止水皮管夹</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3 mm 钢丝制成，作防锈处理，夹持角度≥60º，弹性好，不漏液</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214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石棉网</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金属网尺寸≥125mm×125mm，0.8mm钢丝制成，石棉材料不易脱落，石棉网边缘钢丝应作简单处理</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215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陶土网</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功能等同于石棉网，尺寸≥125 mm×125 mm，耐火材料为陶土</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216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燃烧匙</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铜勺，勺Φ 18 mm，深 10 mm，铁柄，柄长 300 mm，长柄和铜勺连接稳定结实</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217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药匙</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长度≥13 cm，带小勺，材质可选金属、牛角、塑料</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218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玻璃管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5 mm～Φ 6 mm，中性料，管口应打磨或烧结，避免划伤事故</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千克</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219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玻璃管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Φ7 mm～Φ8 mm，长 600 mm，壁厚＞0.8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千克</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220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玻璃弯管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7 mm～Φ 8 mm，一端长度为 6 cm～7 cm，一端长度约 20 cm，形状为直角和钝角两种，管口应打磨或烧结，避免划伤事故</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千克</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221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玻璃棒</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Φ5mm～6mm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千克</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222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玻璃棒</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Φ7mm～8mm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千克</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223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橡胶塞</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000、00、0～10 号，白色，质地均匀</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千克</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224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橡胶管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外径 9 mm，内径 6 mm，乳白色，具有耐油、耐酸碱、耐压等特性</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千克</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225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乳胶管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外径 6 mm、内径 4 mm，拉伸强度≥21 MPa，扯断伸长率≥700％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米</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226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乳胶管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外径7mm，内径5mm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米</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227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乳胶管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外径 9 mm、内径 6 mm，拉伸强度≥21 MPa，扯断伸长率≥700％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米</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228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试管刷</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12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229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试管刷</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18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230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试管刷</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Φ32mm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231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烧瓶刷</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250mL烧瓶用</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232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结晶皿</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80mm，平底</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233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表面皿</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Φ60mm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234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表面皿</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Φ100mm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235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研钵</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Φ60mm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236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研钵</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Φ100 mm，瓷或玻璃制，配有研杵，内部粗糙便于研磨，外部光滑</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237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蒸发皿</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瓷，Φ60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238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蒸发皿</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Φ120mm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239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反应板</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白色陶瓷，6孔，表面有釉层，不会发生溶液渗透</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240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井穴板</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透明塑料，9孔，每孔0.7mL，可以重复使用</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241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井穴板</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透明塑料，6孔，每孔5mL，配6个双导气管的井穴塞，可以重复使用</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242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塑料多用滴管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弹性圆筒形吸泡和一根Φ1mm×120mm的径管连接而成，容积4mL，环保材料，弹性好</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243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塑料洗瓶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250mL或500mL，水嘴略向下倾斜，口径1mm～2mm，瓶口紧实不漏气</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244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塑料水槽</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长</w:t>
            </w:r>
            <w:r>
              <w:rPr>
                <w:rFonts w:hint="eastAsia" w:ascii="新宋体" w:hAnsi="新宋体" w:eastAsia="新宋体" w:cs="新宋体"/>
                <w:color w:val="000000"/>
                <w:kern w:val="0"/>
                <w:sz w:val="20"/>
                <w:szCs w:val="20"/>
                <w:lang w:bidi="ar"/>
              </w:rPr>
              <w:t>250mm×</w:t>
            </w:r>
            <w:r>
              <w:rPr>
                <w:rFonts w:hint="eastAsia" w:ascii="新宋体" w:hAnsi="新宋体" w:eastAsia="新宋体" w:cs="新宋体"/>
                <w:color w:val="000000"/>
                <w:kern w:val="0"/>
                <w:sz w:val="20"/>
                <w:szCs w:val="20"/>
                <w:lang w:val="en-US" w:eastAsia="zh-CN" w:bidi="ar"/>
              </w:rPr>
              <w:t>宽</w:t>
            </w:r>
            <w:r>
              <w:rPr>
                <w:rFonts w:hint="eastAsia" w:ascii="新宋体" w:hAnsi="新宋体" w:eastAsia="新宋体" w:cs="新宋体"/>
                <w:color w:val="000000"/>
                <w:kern w:val="0"/>
                <w:sz w:val="20"/>
                <w:szCs w:val="20"/>
                <w:lang w:bidi="ar"/>
              </w:rPr>
              <w:t>180mm×</w:t>
            </w:r>
            <w:r>
              <w:rPr>
                <w:rFonts w:hint="eastAsia" w:ascii="新宋体" w:hAnsi="新宋体" w:eastAsia="新宋体" w:cs="新宋体"/>
                <w:color w:val="000000"/>
                <w:kern w:val="0"/>
                <w:sz w:val="20"/>
                <w:szCs w:val="20"/>
                <w:lang w:val="en-US" w:eastAsia="zh-CN" w:bidi="ar"/>
              </w:rPr>
              <w:t>高</w:t>
            </w:r>
            <w:r>
              <w:rPr>
                <w:rFonts w:hint="eastAsia" w:ascii="新宋体" w:hAnsi="新宋体" w:eastAsia="新宋体" w:cs="新宋体"/>
                <w:color w:val="000000"/>
                <w:kern w:val="0"/>
                <w:sz w:val="20"/>
                <w:szCs w:val="20"/>
                <w:lang w:bidi="ar"/>
              </w:rPr>
              <w:t>100mm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245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集气瓶挂扣器</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125mL，塑料制</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246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集气瓶挂扣器</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250mL，塑料制</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247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升降台</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上下台面为不锈钢材质，100mm×100mm，台面升降范围50mm～150mm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248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注射器</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10mL，塑料制，符合医用器具卫生标准</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249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酒精喷灯</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坐式，铜制，壶体容积≥300 mL，火焰高度为 150 mm～180 mm，火焰温度为 960 ℃±60 ℃</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初中化学实验材料</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黄铜片、硬铝片、火柴、蜡烛、木板、电池、电珠、砂纸、面粉、凡士林等</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份</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金属矿物、金属及合金标本</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标本盒≥长180mm×宽150mm×高50mm，每种类型不少于5种，耐用，不易损坏，便于保存，适合观察</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盒</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溶液导电演示器</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电表式，10mA，DC6V，串联电位器1kΩ，电阻560Ω。五组溶液同时比较，1×7开关（其中一档校准），采用不锈钢或石墨电极</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微型溶液导电实验器</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所需每种溶液≤3mL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水电解演示器</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解液为10％NaOH或者5％H2SO4溶液，碱式或酸式。实验时间：制取30mL氢气，使用电压9V，时间约5min。制取氢气一端的气体出口应采用尖嘴导管。制取氧气一端的气体出口应采用贮气漏斗。贮气漏斗的容积应为10mL。加液漏斗容积≥80mL。电极材料应使电解水时产生的氢气与氧气的体积之比为2:1，误差≤5％玻璃仪器无明显外观缺陷，便于操作、耐用，电极不易损坏；刻度清晰耐磨，示数易于读取</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金刚石结构模型</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碳原子：Φ30mm的4孔黑色塑料球30个；化学键：Φ3mm×35mm镀镍金属杆40根</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石墨结构模型</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碳原子：Φ30mm的5孔黑色塑料球39个；化学键：Φ3mm×50mm镀镍金属杆45根，Φ3mm×90mm镀镍金属杆14根</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碳-60结构模型</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碳原子：Φ30mm的3孔黑色塑料球60个；化学键：Φ6mm×25mm的镀镍金属杆90根</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碘升华凝华管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34mm×28mm，应采用无色透明硼硅酸盐玻璃制造，手柄与主管应连接平滑牢固，不应偏歪；主管应加碘后密封，两端面呈球面凹形，手柄靠近主管处应密封；玻璃仪器均匀透明无气泡，耐用，不易碎，采用酒精灯加热不易变形</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分子结构模型</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球棍式或比例式；Φ40mm塑料球：碳原子（黑色）4个，氧原子（红色）13个，氮原子（深蓝色）2个，硫原子（黄色）2个；Φ30mm塑料球：氢原子（白色）12个能够完成水、氢气、氧气、二氧化碳等分子模型的搭建</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260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氯化钠晶体结构模型</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球棍式，氯原子Φ30mm的6孔绿色塑料球13个；钠原子Φ30mm的6孔银灰色塑料球14个；化学键：Φ3mm×60mm的镀镍金属杆54根</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261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元素周期表</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带轴，≥150cm×110cm，字迹信息清晰，易于观看</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262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原油常见馏分标本</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不少于8种，耐用，易于储存，便于观察，密封完好，固定牢固</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盒</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263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炼铁高炉模型</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模型高度≥650mm。主要结构应用标签注明，标注应准确、清晰、牢固。各部件位置正确、连接牢固，不得因正常震动、碰触而开裂、松脱</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264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合成有机高分子材料标本</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不少于10种，材料新颖，标识清楚，固定结实，不易脱落</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盒</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265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新型无机非金属材料标本</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标本盒体积≥180mm×150mm×50mm，包括氧化铝陶瓷、氮化硅陶瓷、光导纤维等，材料新颖，标识清楚，固定结实，不易脱落。陶瓷和玻璃切割整齐，美观</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盒</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14163"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b/>
                <w:bCs/>
                <w:color w:val="000000"/>
                <w:sz w:val="20"/>
                <w:szCs w:val="20"/>
              </w:rPr>
            </w:pPr>
            <w:r>
              <w:rPr>
                <w:rFonts w:hint="eastAsia" w:ascii="新宋体" w:hAnsi="新宋体" w:eastAsia="新宋体" w:cs="新宋体"/>
                <w:b/>
                <w:bCs/>
                <w:color w:val="000000"/>
                <w:kern w:val="0"/>
                <w:sz w:val="20"/>
                <w:szCs w:val="20"/>
                <w:lang w:bidi="ar"/>
              </w:rPr>
              <w:t>初中生物仪器</w:t>
            </w: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266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灭火毯</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玻璃纤维材质，长1200 mm×宽1800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267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简易急救箱</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箱内包括：烧伤药膏，医用酒精，碘伏，创可贴，环保胶水，绷带，卫生棉签，剪刀，镊子，止血带（长度≥30 cm）等</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268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实验服</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可分为大中小号</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269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护目镜</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侧面完全遮挡，耐酸碱，抗冲击，耐磨，便于清洗</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270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乳胶手套</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耐酸碱</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副</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271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一次性PE手套</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塑料材质</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272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电磁炉</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功率可调，额定功率≥1600 W</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273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榨汁机</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≥18000 r/min，≥1.0 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274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烘干箱</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电热鼓风型，功率≥600 W，1.5 级（温度均匀性为±0.03 ℃，温度波动性为 1.5 ℃），烘干温度 250 ℃以下，箱体内有隔板，内部容积≥350 mm×350 mm×350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275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高压灭菌器</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 L，立式，全自动，有超高温、超高压自动保护设置</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276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恒温培养箱</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控温范围：室温+5 ℃～65 ℃，±1 ℃</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277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仪器车</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长600 mm×宽400 mm×高800 mm，车轮Φ75 mm，厚25 mm；一轮带刹车，车轮固定，车架扭动量（上部）≤20 mm；钢材制作，载重≥60 kg</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表面涂装：钢架焊接完成后，平整光滑，并全部进行喷淋除油、除锈、陶化喷淋处理，静电喷塑，表面光滑平整无气泡，经高温环保喷塑，抗菌耐霉、耐刮耐磨；</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辆</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278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整理箱</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环保ABS材质，储存及分发试剂用</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279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大托盘</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搪瓷材质，长400 mm×宽300 mm×高30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小托盘</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搪瓷材质，长220 mm×宽160 mm×高30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实验用品提篮</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产品为全木质、带提手。上部可放试管、试剂瓶等仪器、底部有抽屉。1.提篮外形尺寸约（不带提手）：长480mm×宽280mm×高170mm，底部抽屉尺寸约35cm×25mm。2.提手部位为圆柱形，高约240mm（装好后的高度）。3.整体表面刷清漆。</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打孔器</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刀口式，材质为不锈钢管、钢管或黄铜管，每组不少于 4 支，外径分别为 9 mm、8 mm、7 mm、6 mm，并配一支带柄金属通扦</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打孔夹板</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硬木或硬塑料制</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打孔器刮刀</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刮刀宜用 65 M 板制成，表面热处理，55 HRC ～ 60 HRC，总长为 70 mm±0.5 mm，宽 14.5 mm ±0.1 mm，厚 1.8 mm±0.5 mm；刀口角度宜为 60°±5°，锋刃＜0.1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低压测电器</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笔式，氖泡式，测电极长≤10 mm，测量范围 100 V～500 V，辉光应稳定不闪烁</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一字螺丝刀</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6 mm，长 150 mm；Φ 3 mm，长 75 mm，工作部带磁性，硬度≥48 HRC；旋杆采用铬钒钢，旋杆长度≥100 mm，应经镀铬防锈处理；手柄采用高强度 PP+高强性 TPR 注塑成型</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十字螺丝刀</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6 mm，长 150 mm；Φ 3 mm，长 75 mm，工作部带磁性，硬度≥48 HRC；旋杆采用铬钒钢，旋杆长度≥100 mm，应经镀铬防锈处理；手柄采用高强度 PP+高强性 TPR 注塑成型</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钢手锯</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A 型（单面）长300 mm，齿数：18（每 25 mm）；可调钢锯架，前后固定销与相应孔的配合间隙≤0.3 mm；安装锯条后，锯条中心平面与锯架中心平面的平行度≤2 mm；钢锯在达到 99 N拉力后经 1 min，不应有永久变形，拉钉不得松动脱落。钢板制锯架在达到 900 N 张力时，侧弯不得超过 1.8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剥线钳</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自动剥线钳，Φ 0.5 mm～Φ 2.5 mm；刃口在闭合状态，刃口间隙应≤0.3 mm；刃口错位应≤0.2 mm；钳口硬度应≥65 HRA 或 30 HRC</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290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钢丝钳</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长160 mm，抗弯强度：1120 N；扭力：15 N·m，15°；嘴顶缝隙：0.4 mm；剪切性能：Φ 16 mm 钢丝， 580 N；夹持面硬度≥44 HRC，PVC 全新料环保手柄，在≤18 N 的力作用下撑开角度≥22°</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291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钢锤</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0.25 kg，羊角锤</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292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活扳手</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长200 mm，活动扳口和扳体头部以及蜗杆的硬度 ≥40 HRC</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293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砂轮片</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20 mm～Φ 30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294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软尺</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长1500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295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托盘天平</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200 g，0.2 g</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296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电子天平</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500 g, 0.01 g</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297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数字秒表</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专用型，全时段分辨力 0.01 s；有防震、防水功能，电池更换周期≥1.5 年</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298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红液温度计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0 ℃～ 100 ℃，分度值 1 ℃，示值误差＜1.5 ℃</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299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水银温度计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0 ℃～ 200 ℃，分度值 1 ℃， 示值误差＜0.5 ℃，有保护套</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干湿球温度计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 ℃～50 ℃，分度值 0.2 ℃；测量湿度0%～100%</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计数器</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手持式</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解剖器</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不锈钢材料，7 件，包括：2 把解剖剪（直剪、弯剪各 1）、2 个镊子（直头、弯头各 1）、2个解剖刀（圆头、尖头各 1）、1 个解剖针</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解剖盘</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长260 mm×宽200 mm×高30 mm，蜡盘</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骨剪</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不锈钢材料，长130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普通手术剪</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尖头，长140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眼用手术剪</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尖头，长100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手术刀柄</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刀柄外形轮廓应清晰，刀柄与手术刀片配合时，插卸应轻松</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手术刀片</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刀片应平整，刃口应锋利</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双面刀片</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长43 mm×宽22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310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镊子</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尖头，长140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311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镊子</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弯头，长140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312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眼科镊</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直，长100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313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解剖针</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六菱医用全钢</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314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教学支架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方形座，含铁夹、复夹、铁圈，重心稳定不晃动，夹持器内侧应有垫衬</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315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三脚架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铁质，环内径 75 mm，高 150 mm，配有防滑脚套：采用环保PP塑料一体射出成型，抗冲击、耐磨损不易脱落。</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316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木质，8 孔，孔径 21 mm，立柱黏结牢固，木质部分表面处理为环保油漆，采用无毒无害净味清漆，无强烈气味、易降解、可回收。工艺方面为三底三面，大面部分采用整体喷涂漆面，细节部分采用手工刷漆。</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317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量筒</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318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量筒</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50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319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量筒</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100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320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量筒</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500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321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容量瓶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500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322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12 mm×70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323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15 mm×150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324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烧杯</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50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325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烧杯</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100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326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烧杯</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327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烧杯</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500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328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锥形瓶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100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329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锥形瓶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330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广口瓶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125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331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广口瓶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500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332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细口瓶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333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细口瓶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500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334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滴瓶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30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335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滴瓶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60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336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茶色滴瓶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30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337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茶色滴瓶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60 mL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338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培养皿</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60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339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培养皿</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90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340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干燥器</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磨口平整，密封严实，隔板大小合适，不少于 5 个圆孔</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341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干燥管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U 型，Φ 15 mm×150 mm，硼硅酸盐玻璃制，玻璃壁厚度适中，球体圆润，导气管长度≥2 cm，最好有防滑脱沟槽</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342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漏斗</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 mm，直径准确，锥度适中</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343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三通连接管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Y 形，Φ 7 mm～Φ 8 mm，连接完好，管口应作打磨或烧结处理</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344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滴管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100 mm，直形，滴管尖嘴口径 1 mm，上端有防滑脱翻口，翻口处直径比滴管直径略多 1 mm～2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345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玻璃钟罩</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150 mm×高280 mm，玻璃壁厚度＞3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346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载玻片</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无色透明，平整</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盒</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347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盖玻片</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无色透明，平整</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348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酒精灯</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150 mL，透明钠钙玻璃制，无明显黄绿色；灯口应平整，瓷灯头与灯口平面间隙不应超过1.5 mm；玻璃灯罩应磨口；瓷灯头应为白色，完全覆盖灯口，表面无缺陷，配置与灯口孔径相适应的整齐完整的棉线灯芯</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349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玻璃管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5 mm～Φ 6 mm，中性料，管口应打磨或烧结，避免划伤事故</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千克</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玻璃弯管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7 mm～Φ 8 mm，一端长度为 6 cm～7 cm，一端长度约 20 cm，形状为直角和钝角两种，管口应打磨或烧结，避免划伤事故</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千克</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0.5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玻璃棒</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3 mm～Φ 4 mm，粗细均匀</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千克</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试管夹</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木制或竹制，长度≥200 mm，宽度 20 mm，厚度 20 mm；试管夹闭口缝≤1 mm，开口距≥25 mm；毡块黏结牢固，试管夹弹簧作防锈处理，试管夹持部位圆弧内径≤15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止水皮管夹</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3 mm 钢丝制成，作防锈处理，夹持角度≥60º，弹性好，不漏液</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陶土网</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功能等同于石棉网，尺寸≥125 mm×125 mm，耐火材料为陶土</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燃烧匙</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铜勺，勺Φ 18 mm，深 10 mm，铁柄，柄长 300 mm，长柄和铜勺连接稳定结实</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匙子</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长度≥13 cm，带小勺，材质塑料</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橡胶塞</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000、00、0～10 号，白色，质地均匀</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千克</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橡胶管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外径 9 mm，内径 6 mm，乳白色，具有耐油、耐酸碱、耐压等特性</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千克</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试管刷</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12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360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试管刷</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18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361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研钵</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Φ100 mm，瓷或玻璃制，配有研杵，内部粗糙便于研磨，外部光滑</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362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记数载玻片（计数板）</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计数区边长为 1 mm，由 400 个小方格组成</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363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枝剪</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高碳钢</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364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水网</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网口内径 50 cm，网身长 145 cm，网目孔径≤1 mm</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365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保温桶</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 L～2 L</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366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标记笔</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双头，油性墨水</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367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字母装片</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“e”或“b”，多重染色</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368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放大镜</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手持式，有效通光孔径≥40 mm，5 倍</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369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洋葱鳞片叶表皮装片</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细胞质着色均匀，细胞核明显，细胞界限清晰</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370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植物细胞模型</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以洋葱表皮细胞为参考材料，示细胞壁、细胞膜、细胞质、细胞核、核仁和液泡等结构</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371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动物细胞模型</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示细胞膜、细胞质、细胞核、核仁等结构</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372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草履虫模型</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草履虫纵剖模型，各部着色应协调，并能相互区分</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373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植物细胞有丝分裂切片</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洋葱根尖纵切，应显示处于分裂前期、中期、后期、末期的细胞，分裂各期染色体的形态特征典型，分裂中期和后期纺锤丝隐约可见，细胞核、核仁、染色体应着色明显，细胞质色淡</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374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单层扁平上皮装片</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取材于动物的肠系膜等，应能看清由边缘不规则而呈锯齿状的扁平细胞组成的单层上皮</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375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纤维结缔组织切片</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腱纵切，取材于哺乳动物或两栖动物的跟腱或尾腱，应能看清平行排列的胶原纤维束和呈不规则四边形的腱细胞</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376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疏松结缔组织装片</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取材于哺乳细胞的皮下结缔组织，应能看清纵横交错的胶原纤维和弹力纤维以及大量的成纤维细胞</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377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骨骼肌纵横切</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取材于哺乳动物的膈肌，应能看清肌外膜、肌束膜、肌纤维膜、肌纤维及其细胞核和小血管等</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378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平滑肌分离装片</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取材于两栖动物或哺乳动物消化管的基层，应能看清大部分被分离成单个的长梭形平滑肌细胞</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379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心肌切片</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取材于哺乳动物的心脏，应能看清柱状并具有分枝的肌纤维（肌细胞）</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380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运动神经元装片</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应能看清运动神经元的细胞体和突起、细胞核以及少量的神经纤维</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381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玉米种子纵切</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应显示子叶、胚芽、胚芽鞘、胚轴、胚根和胚根鞘</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382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根纵剖模型</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应以单子叶植物玉米的根尖为参考材料，示根尖的解剖结构，根尖中部做不同方向的纵剖面，突出维管柱，示根冠、分生区、伸长区、成熟区和原形成层等</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383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植物根尖纵切</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应取材于玉米根，取材部位为根冠至根毛区，应明显显示根冠、分生区、伸长区、根毛区和原形成层等</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384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顶芽纵切</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应取材于黑藻顶芽，应能看清生长锥、叶原基、幼叶、腋芽原基和芽轴，生长锥及幼叶处细胞不应有明显的“质壁分离”现象</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385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桃花模型</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放大的盛开状态的桃花模型，花冠的直径330 mm±15 mm，示花柄、花托、花萼、花冠、雄蕊和雌蕊，花瓣、雌蕊可拆装，子房做纵剖</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386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单子叶植物茎模型</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应明显显示表皮、机械组织、薄壁细胞、维管束、维管束鞘、环纹导管、螺纹导管、孔纹导管、筛管和伴胞、气道，各结构应位置准确，修饰自然、正确</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387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双子叶草本植物茎模型</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应以向日葵茎为参考材料，示双子叶草本植物茎纵、横切面的结构，应示角质层、表皮、厚角组织、薄壁组织、维管束、髓、髓射线、环纹导管、螺纹导管、孔纹导管、筛管和伴胞、形成层各部位</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388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导管、筛管结构模型</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显微结构的立体放大模型，包括环纹导管、螺纹导管、网纹导管、孔纹导管及筛管，形态结构应正确、自然</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389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木本双子叶植物茎横切</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取材于三年生椴木枝，应能看清表皮、木栓层、厚角组织、皮层、韧皮部、形成层、木质部、髓部和髓射线</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390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南瓜茎纵切</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应能看清皮层、机械组织、薄壁组织、双韧维管束和髓腔，在双韧维管束的纵断面上应能看清网纹导管或环纹导管或螺纹导管中的两种和筛管、筛板等结构</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391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叶构造模型</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以蚕豆叶为参考材料，示双子叶植物叶的构造，示上表皮、下表皮、栅栏组织、海绵组织、主脉、侧脉、木质部、韧皮部、形成层、气孔等部位</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392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迎春叶横切</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应显示叶片横断面的上下表皮、栅栏组织、海绵组织及叶脉等</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393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人体半身模型</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自然大，橡胶制，示消化系统、呼吸系统、泌尿系统</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394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小肠切片</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应能看清粘膜，包括绒毛、粘膜肌层和肠腺，粘膜下层、肌层和浆膜等</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395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喉解剖模型</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应正确显示喉软骨、喉肌、喉腔、喉口等结构特征</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396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肺泡模型</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应正确显示细支气管、呼吸性细支气管、肺泡管、肺泡囊、肺泡、肺泡隔、肺动脉、肺静脉、肺泡毛细血管网、支气管动脉、支气管静脉、平滑肌、弹性纤维等结构特征</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397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膈肌运动模拟器</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高度 250 mm±15 mm，宽度或直径 220 mm±15 mm，膈的直径（或长径）≥170 mm；应模拟显示胸腔、膈、气管、支气管、肺（或肺泡）等结构</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398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人血涂片</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染色均匀，能看清红血细胞和白血细胞，细胞不重叠、无变形和自溶现象</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399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动静脉血管横切</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取材于哺乳动物的腹主动脉和下腔静脉，内皮应 90%以上完整</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400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心脏解剖模型</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三倍自然大，示上腔静脉、下腔静脉、主动脉、肺动脉、动脉韧带、左冠状动脉、右冠状动脉、冠状窦，左心房、右心房、左心室、右心室、二尖瓣、三尖瓣、主动脉瓣、肺动脉瓣、卵圆窝、冠状窦口</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401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心脏解剖模型</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自然大，示上腔静脉、下腔静脉、主动脉、肺动脉、左心房、右心房、左心室、右心室</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402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血压计</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汞柱式，带听诊器</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403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男性泌尿生殖系统模型</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自然大，结构清晰，位置精准，比例适宜</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404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女性泌尿生殖系统模型</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自然大，结构清晰，位置精准，比例适宜</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405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肾单位、肾小体模型</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肾单位模型≥400 mm×240 mm，示肾小体、肾小管和集合管等；肾小体模型直径≥100 mm，半剖，示肾小球、肾小囊、入球小动脉和出球小动脉等</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406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眼球解剖模型</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 倍自然大，应采用硬质热塑性塑料制作，角膜、虹膜应完整显示，两者和眼球内的晶状体、玻璃体分别可拆下，各部的肌肉、膜壁、血管和神经等的形态结构、位置、比例、颜色均应正确自然</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407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眼球仪</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由放大的成人眼球模型、晶状体曲度调节器、光源、矫正镜盘、视网膜成像显示屏及手持式显示屏等组成</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408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耳解剖模型</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 倍自然大，应完整显示外耳道、鼓膜、听小骨、鼓室、咽鼓管、鼓膜张肌、乳突窦、前庭、骨半规管、耳蜗、前庭窗、蜗窗、前庭蜗神经等结构</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409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脑解剖模型</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自然大，大脑做正中矢状切面，左侧脑半球经外侧沟向枕部再做水平切面，并保留完整的脑干形态，应示大脑、小脑、延髓、脑桥、上下丘、胼胝体、透明隔、嗅球、视神经、动眼神经等部位</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410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脊髓横切</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应能看清被膜、灰质和白质</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411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橡皮锤</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膝跳反射用</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412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人体骨骼模型</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高850 mm，各部分骨的形态特征，应正确清晰，富有真实感，骨缝应清楚，骨性鼻腔，眶及所有孔，管、沟、裂显示应正确自然</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413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人体肌肉模型</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高850 mm 全身，示浅层肌及部分深层肌</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414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家蚕生活史标本</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干制或包埋</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盒/块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415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蝗虫生活史标本</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干制或包埋</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盒/块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416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蜜蜂生活史标本</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干制或包埋</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盒/块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417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菜粉蝶生活史标本</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干制或包埋</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盒/块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418</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蛙发育顺序标本</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浸制或包埋</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瓶/块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419</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正常人染色体装片</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正常人染色体装片</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420</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苔藓类植物标本</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浸制或包埋</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瓶/块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421</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节肢动物标本</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常见六种以上，干制或包埋</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盒/块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422</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昆虫标本</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常见六种以上，干制或包埋</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盒/块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423</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细菌三型涂片</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示球菌、杆菌、螺旋菌三种形态</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424</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酵母菌装片</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应能看清细胞壁、细胞核、细胞质、液泡和细胞膜等结构，可见芽体</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425</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青霉装片</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应能看清分生孢子梗和顶端的扫帚枝，菌丝、孢子梗、孢子应无收缩</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426</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曲霉装片</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应能看清营养菌丝及其上的分生孢子梗、顶囊和顶端的分生孢子</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gridAfter w:val="1"/>
          <w:wAfter w:w="5" w:type="dxa"/>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427</w:t>
            </w:r>
          </w:p>
        </w:tc>
        <w:tc>
          <w:tcPr>
            <w:tcW w:w="1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生物显微镜</w:t>
            </w:r>
          </w:p>
        </w:tc>
        <w:tc>
          <w:tcPr>
            <w:tcW w:w="1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1．显微镜总放大倍率40X-640X，机械筒长160mm. 机身总质量不低于2150 克</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2．目镜：目镜10X、16X各一只，外壳材质为铝合金，镜片为纯光学镜片。</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3．目镜筒材质为铝合金制造。</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4．三孔转换器，定位准确，无位移现象。</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5．物镜为消色差4X、10X、40X、各一只，外壳材质为铜制镀锌，镜片为纯光学镜片，外壳附橡皮（防滑落）。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6．齿条为铜制，具有良好的传动性能。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7．有随机可调下限位功能，防止物镜碰坏切片。</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8．平台为铝合金铸造，面积120 mmX120 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9．弯背为实心铸铝制造。</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11．双光源</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金属支架反光镜直径50mm，一面为平面，一面为凹面。</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12．粗调范围≥50 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13．微调范围1.8—2.2 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14．微调格值0.002 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15．防震环保塑料箱包装（可选配木箱）</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14168"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新宋体" w:hAnsi="新宋体" w:eastAsia="新宋体" w:cs="新宋体"/>
                <w:b/>
                <w:bCs/>
                <w:color w:val="000000"/>
                <w:kern w:val="0"/>
                <w:sz w:val="20"/>
                <w:szCs w:val="20"/>
                <w:lang w:bidi="ar"/>
              </w:rPr>
            </w:pPr>
          </w:p>
          <w:p>
            <w:pPr>
              <w:widowControl/>
              <w:jc w:val="center"/>
              <w:textAlignment w:val="center"/>
              <w:rPr>
                <w:rFonts w:ascii="新宋体" w:hAnsi="新宋体" w:eastAsia="新宋体" w:cs="新宋体"/>
                <w:b/>
                <w:bCs/>
                <w:color w:val="000000"/>
                <w:sz w:val="20"/>
                <w:szCs w:val="20"/>
              </w:rPr>
            </w:pPr>
            <w:r>
              <w:rPr>
                <w:rFonts w:hint="eastAsia" w:ascii="新宋体" w:hAnsi="新宋体" w:eastAsia="新宋体" w:cs="新宋体"/>
                <w:b/>
                <w:bCs/>
                <w:color w:val="000000"/>
                <w:kern w:val="0"/>
                <w:sz w:val="20"/>
                <w:szCs w:val="20"/>
                <w:lang w:bidi="ar"/>
              </w:rPr>
              <w:t>初中物理仪器</w:t>
            </w: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428</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工作服</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棉</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429</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机械危害防护手套</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 级</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双</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430</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套袖</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棉</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431</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激光防护镜</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激光类实验用</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432</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护目镜</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防机械冲击</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433</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简易急救箱</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箱内包括：烧伤药膏，医用酒精，碘伏，创可贴，环保胶水，绷带，卫生棉签，剪刀，镊子，止血带（长度≥30 cm）等</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434</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吹风机</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功率≥1000 W</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435</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仪器车</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长600 mm×宽400 mm×高800 mm，车轮Φ75 mm，厚25 mm；一轮带刹车，车轮固定，车架扭动量（上部）≤20 mm；钢材制作，载重≥60 kg</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表面涂装：钢架焊接完成后，平整光滑，并全部进行喷淋除油、除锈、陶化喷淋处理，静电喷塑，表面光滑平整无气泡，经高温环保喷塑，抗菌耐霉、耐刮耐磨；</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辆</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436</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小托盘</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搪瓷材质，内沿≥长220mm×宽160mm×高30mm</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437</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大托盘</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搪瓷材质，内沿≥长400mm×宽300mm×高30mm</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438</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提盒</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产品为全木质、带提手。上部可放试管、试剂瓶等仪器、底部有抽屉。1.提篮外形尺寸约（不带提手）：长480mm×宽280mm×高170mm，底部抽屉尺寸约35cm×25mm。2.提手部位为圆柱形，高约240mm（装好后的高度）。3.整体表面刷清漆。</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439</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一字螺丝刀</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Φ 6 mm，长 150 mm；Φ 3 mm，长 75 mm，工作部带磁性，硬度≥48 HRC；旋杆采用铬钒钢，旋杆长度≥100 mm，应经镀铬防锈处理；手柄采用高强度 PP+高强性 TPR 注塑成型</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440</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十字螺丝刀</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6 mm，长 150 mm；Φ 3 mm，长 75 mm，工作部带磁性，硬度≥48 HRC；旋杆采用铬钒钢，旋杆长度≥100 mm，应经镀铬防锈处理；手柄采用高强度 PP+高强性 TPR 注塑成型</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441</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剥线钳</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Φ0.5 mm～2.5 mm；刃口闭合状态间隙应不大于 0.3 mm，刃口错位应不大于 0.2 mm；钳口硬度不低于 HRA65 或 HRC30</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442</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钢丝钳</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长160 mm，抗弯强度 1120 N，扭力矩 15 N·m，15°；剪切性能Φ16 mm 钢丝，580 N；夹持面硬度不低于 44HRC；PVC 环保手柄，在不大于 18 N 的力作用下撑开角度不小于 22°</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443</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尖嘴钳</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长160 mm，抗弯强度 710 N，剪切性能Φ1.6 mm钢丝，570 N；在不大于 18 N 的力作用下撑开角度不小于 22°，硬度不低于 44HRC，PVC手柄</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444</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平口钳</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普通机用平口钳；钳口宽度 100 mm，最大张开度 100 mm</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445</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斜口钳</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长125 mm，双刃刀</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446</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砂纸</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干磨砂纸，P36～P50、P150～P220、P1000～P2000</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张</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447</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民用剪刀</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 170 mm，用于剪布</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448</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电烙铁套装</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80 W</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449</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焊锡膏</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中性</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盒</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450</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焊锡丝</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无铅</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卷</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9</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451</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松香</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助焊</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盒</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452</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打孔器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齿口式，不锈钢材质，每组 4 支，外径分别为 5.0 mm、6.5 mm、8 mm、9.5 mm；附通棒</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453</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打孔夹板</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硬木或硬塑料制</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454</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锥子</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锥头长 77 mm，锥杆直径渐变</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455</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镊子</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304 不锈钢，平头，长 125 mm，钢板厚 1.2 mm，镊子前部应有防滑脱锯齿状</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456</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水准器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气泡水准器</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457</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红液温度计</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量程-20 ℃～100 ℃，分度值 1 ℃，示值误差&lt;±1.5 ℃</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458</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数字温度计</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量程-30 ℃～200 ℃，分辨力 0.1 ℃，误差 &lt;±1.5 ℃；不接电脑，可独立运行，自带显示屏，表盘尺寸≥180 mm×90 mm</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459</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湿度计</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指针式</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460</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蒸发皿</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瓷，Φ60 mm</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461</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橡胶塞</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0～4 号，应选用白色胶塞，质地均匀</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462</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15 mm×150 mm</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463</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Φ30 mm×200 mm</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464</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烧瓶</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sz w:val="20"/>
                <w:szCs w:val="20"/>
                <w:lang w:eastAsia="zh-CN"/>
              </w:rPr>
            </w:pPr>
            <w:r>
              <w:rPr>
                <w:rFonts w:hint="eastAsia" w:ascii="新宋体" w:hAnsi="新宋体" w:eastAsia="新宋体" w:cs="新宋体"/>
                <w:color w:val="000000"/>
                <w:kern w:val="0"/>
                <w:sz w:val="20"/>
                <w:szCs w:val="20"/>
                <w:lang w:bidi="ar"/>
              </w:rPr>
              <w:t>500 mL</w:t>
            </w: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val="en-US" w:eastAsia="zh-CN" w:bidi="ar"/>
              </w:rPr>
              <w:t>容量</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465</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烧瓶</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sz w:val="20"/>
                <w:szCs w:val="20"/>
                <w:lang w:eastAsia="zh-CN"/>
              </w:rPr>
            </w:pPr>
            <w:r>
              <w:rPr>
                <w:rFonts w:hint="eastAsia" w:ascii="新宋体" w:hAnsi="新宋体" w:eastAsia="新宋体" w:cs="新宋体"/>
                <w:color w:val="000000"/>
                <w:kern w:val="0"/>
                <w:sz w:val="20"/>
                <w:szCs w:val="20"/>
                <w:lang w:bidi="ar"/>
              </w:rPr>
              <w:t>250 mL</w:t>
            </w: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val="en-US" w:eastAsia="zh-CN" w:bidi="ar"/>
              </w:rPr>
              <w:t>容量</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466</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烧杯</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100 mL</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467</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酒精灯</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150 mL，透明钠钙玻璃制，无明显黄绿色；灯口应平整，瓷灯头与灯口平面间隙不应超过1.5 mm；玻璃灯罩应磨口；瓷灯头应为白色，完全覆盖灯口，表面无缺陷，配置与灯口孔径相适应的整齐完整的棉线灯芯</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468</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漏斗</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漏斗口径 90 mm，斗颈长 90 mm，下口磨成 45º角，斜口边口倒角或熔光，耐水性 HGB3级</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469</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烧杯用电加热器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0 W～250 W，可调；密封式</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470</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注射器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100 mL，分度值 10 mL，刻度清晰。加帽或塞，密闭性好，防止液体泄漏，清晰度高</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471</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三通连接管</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T 形</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472</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陶土网</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功能等同于石棉网，尺寸≥125 mm×125 mm，耐火材料为陶土</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473</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两用气筒</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活塞胶垫，气嘴外径 8 mm±0.1 mm，长度15 mm，台阶口；抽气压强达到 6.7 kPa 时，放置30 s，漏气引起的压强变化应≤2.6 kPa；充气压强达到 290 kPa 时，放置 30 s，漏气引起的压强变化应≤9.8 kPa</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474</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方座支架</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由方形座、立杆、烧瓶夹、大小铁环、垂直夹（2 只）、平行夹、吊杆等组成；立杆长 600 mm，方形座长 210 mm，宽 135 mm，烧瓶夹夹口内壁有耐热不低于 120 ℃的缓压层</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475</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多功能实验支架</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组合试验钢架 1 个，最小组合支承面积应不小于560 mm×10 mm；滑块式垂直夹 5 个、烧瓶夹1 个、万向夹 1 个、大铁环 1 个、方托盘 1个、绝缘环 2 个、吊钩 4 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476</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升降台</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不锈钢台面，上台面有效面积不小于 140 mm×140 mm，下台面有效面积不小于 160 mm×160 mm，厚度不低于 1 mm；升降范围 85 mm～235 mm，连续可调；上下台面的平面度误差应≤2 mm，升降过程中任一位置的平行度误差≤3 mm；额定载重量≥10 kg</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477</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碘升华凝华管</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碘密封于碘锤内，无色透明硼硅酸盐玻璃制管Φ28 mm×34 mm，两端面应为凹面，热冲击应不低于 200 ℃</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478</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磁悬浮原理实验器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包括 2 个小圆柱形磁体、配套试管等</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479</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托盘天平</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200 g，0.2 g</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480</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电子天平</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量程 0 g</w:t>
            </w:r>
            <w:r>
              <w:rPr>
                <w:rFonts w:hint="default" w:ascii="新宋体" w:hAnsi="新宋体" w:eastAsia="新宋体" w:cs="新宋体"/>
                <w:color w:val="000000"/>
                <w:kern w:val="0"/>
                <w:sz w:val="20"/>
                <w:szCs w:val="20"/>
                <w:lang w:bidi="ar"/>
              </w:rPr>
              <w:t>〜1 kg，分辨力 0.1 g，带标准砝码</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481</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圆柱体组</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包括纯铜、铝（或铝合金）和铁（钢）等 3种材质圆柱体；圆柱体直径 20 mm，高 32 mm；每个圆柱体配网兜（质量小于 0.01 g）</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482</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立方体组</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包括黄铜、铁、铝、木 4 种材料的 5 个立方体，其中铝材 2 个，黄铜（边长 20 mm）、铁（边长 20 mm）、铝（边长 25 mm）、铝（边长 30 mm）、木材（边长 50 mm）各 1 个，带不锈钢挂钩</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483</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量筒</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100 mL</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484</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放大镜</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手持式，有效通光孔径≥40 mm，5 倍</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485</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望远镜</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双筒，7×35</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486</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内聚力演示器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 2 个铅圆柱体、旋转式刮削器、挤压器和 2 根扳杆组成；圆柱体尺寸约Φ20 mm×50 mm，铅柱镶铁部分长度约为铅圆柱长度的 1/2，挤压架应采用铁质结构，2 个铅圆柱体应能装入挤压器中，通过螺旋实现挤压；挤压器螺旋挤压的最大和最小距离差应≥35 mm，挤压器装入铅圆柱挤压至人力不能继续挤压时，在挤压方向的形变应≤0.25 mm；刮削器由转柄、刀片和刀轴组成，削平的两铅圆柱体端面压在一起后，</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487</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食用色素</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红色</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瓶</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488</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钢直尺</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长1000 mm，1 mm</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489</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机械秒表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分度值 0.1 s，一等</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490</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数字秒表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专用型，全时段分辨力 0.01 s；有防震、防水功能，电池更换周期≥1.5 年</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491</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斜面小车</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包括斜面、小车、摩擦块、支撑杆、砝码桶和摩擦材料等，与教学支架配套使用；斜面板≥915 mm×100 mm×20 mm，一端应有滑轮、缓冲或捕获小车的装置；斜面板工作面平面度误差应小于 2 mm；附摩擦材料丁晴橡胶、砂纸、棉布等，有摩擦材料的固定夹</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492</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螺旋弹簧组</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由拉力极限分别为 4.9 N、2.94 N、1.96 N、0.98 N 和 0.49 N 的 5 种弹簧构成；各弹簧带长 50 mm 挂钩（有指针），两端应为圆拉环，附标度板</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组</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493</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演示测力计</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0"/>
                <w:szCs w:val="20"/>
                <w:lang w:bidi="ar"/>
              </w:rPr>
            </w:pPr>
            <w:r>
              <w:rPr>
                <w:rFonts w:hint="eastAsia" w:ascii="新宋体" w:hAnsi="新宋体" w:eastAsia="新宋体" w:cs="新宋体"/>
                <w:color w:val="000000"/>
                <w:kern w:val="0"/>
                <w:sz w:val="20"/>
                <w:szCs w:val="20"/>
                <w:lang w:bidi="ar"/>
              </w:rPr>
              <w:t>平板式；量程 0 N</w:t>
            </w:r>
            <w:r>
              <w:rPr>
                <w:rFonts w:hint="default" w:ascii="新宋体" w:hAnsi="新宋体" w:eastAsia="新宋体" w:cs="新宋体"/>
                <w:color w:val="000000"/>
                <w:kern w:val="0"/>
                <w:sz w:val="20"/>
                <w:szCs w:val="20"/>
                <w:lang w:bidi="ar"/>
              </w:rPr>
              <w:t>〜2 N，分度值 0.1 N；示值误差≤1/4 分度，升降示差≤1/2 分度，重复性偏差≤1/4 分度</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494</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条形盒测力计</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0"/>
                <w:szCs w:val="20"/>
                <w:lang w:bidi="ar"/>
              </w:rPr>
            </w:pPr>
            <w:r>
              <w:rPr>
                <w:rFonts w:hint="eastAsia" w:ascii="新宋体" w:hAnsi="新宋体" w:eastAsia="新宋体" w:cs="新宋体"/>
                <w:color w:val="000000"/>
                <w:kern w:val="0"/>
                <w:sz w:val="20"/>
                <w:szCs w:val="20"/>
                <w:lang w:bidi="ar"/>
              </w:rPr>
              <w:t>量程 0 N</w:t>
            </w:r>
            <w:r>
              <w:rPr>
                <w:rFonts w:hint="default" w:ascii="新宋体" w:hAnsi="新宋体" w:eastAsia="新宋体" w:cs="新宋体"/>
                <w:color w:val="000000"/>
                <w:kern w:val="0"/>
                <w:sz w:val="20"/>
                <w:szCs w:val="20"/>
                <w:lang w:bidi="ar"/>
              </w:rPr>
              <w:t>〜1 N，分度值 0.02 N；示值误差≤1/2 分度，升降示差≤1/2 分度，重复性偏差≤1/4 分度</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495</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条形盒测力计</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0"/>
                <w:szCs w:val="20"/>
                <w:lang w:bidi="ar"/>
              </w:rPr>
            </w:pPr>
            <w:r>
              <w:rPr>
                <w:rFonts w:hint="eastAsia" w:ascii="新宋体" w:hAnsi="新宋体" w:eastAsia="新宋体" w:cs="新宋体"/>
                <w:color w:val="000000"/>
                <w:kern w:val="0"/>
                <w:sz w:val="20"/>
                <w:szCs w:val="20"/>
                <w:lang w:bidi="ar"/>
              </w:rPr>
              <w:t>量程 0 N</w:t>
            </w:r>
            <w:r>
              <w:rPr>
                <w:rFonts w:hint="default" w:ascii="新宋体" w:hAnsi="新宋体" w:eastAsia="新宋体" w:cs="新宋体"/>
                <w:color w:val="000000"/>
                <w:kern w:val="0"/>
                <w:sz w:val="20"/>
                <w:szCs w:val="20"/>
                <w:lang w:bidi="ar"/>
              </w:rPr>
              <w:t>〜2.5 N，分度值 0.05 N；示值误差≤1/4 分度，升降示差≤1/2 分度，重复性偏差≤1/4 分度</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496</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条形盒测力计</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0"/>
                <w:szCs w:val="20"/>
                <w:lang w:bidi="ar"/>
              </w:rPr>
            </w:pPr>
            <w:r>
              <w:rPr>
                <w:rFonts w:hint="eastAsia" w:ascii="新宋体" w:hAnsi="新宋体" w:eastAsia="新宋体" w:cs="新宋体"/>
                <w:color w:val="000000"/>
                <w:kern w:val="0"/>
                <w:sz w:val="20"/>
                <w:szCs w:val="20"/>
                <w:lang w:bidi="ar"/>
              </w:rPr>
              <w:t>量程 0 N</w:t>
            </w:r>
            <w:r>
              <w:rPr>
                <w:rFonts w:hint="default" w:ascii="新宋体" w:hAnsi="新宋体" w:eastAsia="新宋体" w:cs="新宋体"/>
                <w:color w:val="000000"/>
                <w:kern w:val="0"/>
                <w:sz w:val="20"/>
                <w:szCs w:val="20"/>
                <w:lang w:bidi="ar"/>
              </w:rPr>
              <w:t>〜5 N，分度值 0.1 N；示值误差≤1/4 分度，升降示差≤1/2 分度，重复性偏差≤1/4 分度</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497</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条形盒测力计</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0"/>
                <w:szCs w:val="20"/>
                <w:lang w:bidi="ar"/>
              </w:rPr>
            </w:pPr>
            <w:r>
              <w:rPr>
                <w:rFonts w:hint="eastAsia" w:ascii="新宋体" w:hAnsi="新宋体" w:eastAsia="新宋体" w:cs="新宋体"/>
                <w:color w:val="000000"/>
                <w:kern w:val="0"/>
                <w:sz w:val="20"/>
                <w:szCs w:val="20"/>
                <w:lang w:bidi="ar"/>
              </w:rPr>
              <w:t>量程 0 N</w:t>
            </w:r>
            <w:r>
              <w:rPr>
                <w:rFonts w:hint="default" w:ascii="新宋体" w:hAnsi="新宋体" w:eastAsia="新宋体" w:cs="新宋体"/>
                <w:color w:val="000000"/>
                <w:kern w:val="0"/>
                <w:sz w:val="20"/>
                <w:szCs w:val="20"/>
                <w:lang w:bidi="ar"/>
              </w:rPr>
              <w:t>〜10 N，分度值 0.2 N；示值误差≤1/4 分度，升降示差≤1/2 分度，重复性偏差≤1/4 分度"</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498</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数字测力计</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量程 0 N～20 N，误差≤±1.0%FS±1 字，采样频率应不低于 100 次/秒，可测拉力和压力，不接电脑能独立运行，显示屏尺寸不小于 30 mm×40 mm</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499</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重锤</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300 g</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500</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金属钩码</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 g（Φ22 mm）×l，20 g（Φ26 mm）×2，50 g（Φ30 mm）×2，200 g（Φ48 mm）×1，允许误差：10 g±0.1 g，20 g±0.2 g，50 g±0.5 g，200 g±2.0 g"</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501</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摩擦力实验器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由摩擦板、摩擦块、摩擦材料、匀速电机、定滑轮、测力计、测力计支架、细绳、钩码等组成。提供同一种材料 3 种不同粗糙程度的摩擦面，同种材料、相同粗糙程度的不同面积的摩擦面。摩擦板不小于800 mm×100 mm×10 mm，平面度误差不大于 0.6 mm，质地坚硬，表面均匀。摩擦块尺寸不小于 110 mm×50 mm×35 mm，两摩擦面平面度误差应不大于 0.1 mm，侧面有挂钩。电机拉动速度</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502</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长方体组</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含铜、铁、铝、木材 4 种材质，包括 6 cm3、 8 cm3、10 cm3、12 cm3、14 cm3、20 cm3 等 6种不同体积</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503</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惯性演示器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观察的物体应能收回，成功率不小于 98%</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504</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阿基米德原理实验器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包括筒、圆柱体、溢液杯、低重心浮筒、低重心浮筒配重等</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505</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浮力原理演示器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由透明的大水箱、小水箱、排气管、浮体、连通管（A、B）、控制阀和支架组成。连通管 A 中部装有阀门，浮体放在小水箱上口，从周围缓缓加入水，浮体不浮起；打开阀门，使水面从小水箱中向浮体底部缓缓上升，当接触浮体底部时浮体上浮</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506</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气体浮力演示器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抽气式</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507</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物体浮沉条件演示器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由透明盛液筒（内径≥95 mm，深度≥285 mm）、浮体及附件（U 形杯、叉子、注射器、密度计）组成；悬浮应有微调，浮体可处于漂浮、悬浮、下沉三种状态</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508</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潜水艇浮沉演示器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由潜水艇模型、注射器、软乳胶管组成；潜水艇模型中间为透明气室，顶部有吸排气孔，下端有进水孔，用注射器控制沉浮；能连续完成下沉、上浮交替动作不小于 2 次，悬浮时倾斜不超过 10°"</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509</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压力和压强演示器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压强小桌，尺寸≥200 mm×100 mm×100 mm；配套多孔弹性材料，尺寸≥220 mm×120 mm×50 mm</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510</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压力作用效果演示器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 3 组规格相同的长方体金属块、带刻度的透明长方体容器、硬海绵块组成；跟金属块的3 个面积对应的3 块海绵应受力形变均匀；透明塑料盒带刻度，金属块和海绵方便取出</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511</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液体内部压强实验器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由承压盒、支杆、过渡接头、硅橡胶管、硅橡胶膜组成；承压盒内径Φ36 mm～Φ38 mm，硅橡胶膜厚 0.5 mm，支杆长度不小于 300 mm，有手动转动机构，有标尺</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512</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微小压强计</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 U 形管、标度板、三通连接管、硅橡胶管、弹簧止水夹和连有塑料管的注射器组成；U形管外径 6 mm，高不小于 380 mm，能沿标度方向移动不小于 10 mm，能固定；标尺长 300 mm，0 分度在中间，最小分度线为 5 mm；系统气密性好"</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513</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透明盛液筒</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高 300 mm±5 mm，筒底外径≥110 mm，壁厚≥1.5 mm。筒身有深度标尺，标尺长≥250 mm，分度值 1 mm，透光率应≥90％"</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514</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液体对器壁压强演示器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透明圆筒壁同一直线上不同高度处应有 3 个喷嘴，对面应有 1 个喷嘴；配 4 个喷嘴塞或盖，有表示深度的标尺"</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515</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连通器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由粗直管、细直管、细弯折管、细带球管等组成，尺寸 210 mm×210 mm×120 mm，底座应平稳；粗管外径 30 mm，细管外径 12 mm，无色透明材料透光率≥90％</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516</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乳胶管</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外径 9 mm、内径 6 mm，拉伸强度≥21 MPa，扯断伸长率≥700％</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米</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517</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乳胶管</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外径 6 mm、内径 4 mm，拉伸强度≥21 MPa，扯断伸长率≥700％</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米</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518</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马德堡半球</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由半球、拉手、气嘴、阀门、橡胶管 2 根以及底座等组成；球体外径应≥80 mm，气嘴外径 8 mm</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519</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空盒气压计</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DYM3 型，量程 870 hPa～1050 hPa，整 10 hPa点示值误差不应超过±0.7 hPa</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520</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流体压强与流速关系演示器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气体式，由气体流动管道、气体接入部件、压强观测部件组成，应带气源</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521</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飞机升力原理演示器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由机翼模型（或飞机模型，硬质塑料制成）、平行风源风机、底座、滑杆等组成，机翼下表面水平；若有调速电位器的Ⅱ类电器，金属外壳（以及与金属外壳相连的螺母）不应露在外</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522</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杠杆</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由杠杆、轴、调平装置和 6 个挂钩组成，挂钩在标尺上能连续移动，杠杆长≥500 mm，木杠杆尺端需包头加固</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523</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演示滑轮组</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由单滑轮 2 件、三并滑轮 2 件、三串滑轮 2件、支杆滑轮 2 件组成，附滑轮绳；额定负荷：单滑轮 9.8 N，串及并滑轮为 19.6 N，支杆滑轮为 9.8 N；满负荷时，单、支杆滑轮的效率不应低于 90％，并、串滑轮的效率不应低于 75％</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组</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524</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滑轮组</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由单滑轮 4 件、二并滑轮 2 件、二串滑轮 2件、支杆滑轮 2 件构成，每个滑轮组中至少有 1 个可止动滑轮，附滑轮绳；额定负荷：单滑轮 9.8 N，串及并滑轮为 19.6 N，支杆滑轮为 9.8 N；满负荷时，单、支杆滑轮的效率不应低于 90％，并、串滑轮的效率不应低于 75％</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组</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525</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音叉</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256 Hz±0.3 Hz；由音叉、共鸣箱、音叉槌等组成；樟子松共鸣箱，尺寸 300 mm×80 mm×40 mm；在环境噪声不大于 30 dB 的室内，用音叉槌敲击音叉，距音叉 1000 mm 处声强应不小于 90 dB</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526</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音叉</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512 Hz±0.4 Hz；由音叉、共鸣箱、音叉槌等组成；樟子松共鸣箱，尺寸 140 mm×80 mm×40 mm；在环境噪声不大于 30 dB 的室内，用音叉槌敲击音叉，距音叉 1000 mm 处声强应不小于 90 dB</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527</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电铃</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在 15 m 范围内铃声清晰</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528</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声传播演示器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由透明可密封容器、音频发生器、扬声器（含放大器）、传声棒、连接皮管等组成；可密封容器密封性好，能将容器内气压抽到低于-0.085 MPa ， 并在 10 s 内保持气压低于-0.080 MPa；可演示声音在气体、液体、固体中的传播以及真空不能传声等实验</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529</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旋片真空泵</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单相，油封旋片式直联泵 2XZ-0.5 型，底座采用 2.5 mm 厚的钢板，铝合金机壳；进气口应为台阶口，外径 8 mm，配有内径 6.3 mm±0.75 mm、长 2.0 m 的压缩空气用橡胶管。电气安全要求：Ⅰ类电器必须使用三极插头，外壳接保护接地线，电源与外壳抗电强度 1500 V；Ⅱ类电器必须使用二极插头，电源与外壳抗电强度 3000 V</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530</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抽气盘</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由底盘、橡胶管接口、阀门、橡胶密封圈、钟罩、发声装置和橡胶管等构成；抽气口接口外径 8 mm，钟罩内配有可悬挂的发声装置。密封性能：当压强达到－9.8×10－2  MPa 后停止抽气，关闭阀门，保持 10 min 后钟罩内气压应不高于－9.0×10－2 MPa。实验效果：未装入钟罩的发声装置发出的声强，在距发声装置 0.5 m 处应不低于 90 dB，装入钟罩后抽气前的声强应不低于 75 dB，</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531</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发音齿轮</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包括 3 片齿板、转轴、振动片等；齿板齿数分别为 80、40、20，半圆形齿；齿板为金属材质，转动轴应采用碳钢或不锈钢材料，振动片应采用聚苯乙烯塑料</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532</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手摇离心转台</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由机座、主动轮（带手柄）、从动轮、支杆等组成；从动轮与主动轮的转速比不低于 6的整数倍，支杆直径 10 mm，全长 140 mm，支杆装配中心与从动轮轴的距离为 140 mm±1 mm；从动轮轴孔上段为圆柱孔，下段为圆锥孔，锥度为 1:20，大端直径 10 mm，上偏差允许＋0.15 mm；深度不小于 45 mm</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533</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电动离心转台</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180 r/min～720 r/min 转速连续可调；支杆直径 10 mm，全长 140 mm，支杆装配中心与从动轮轴的距离为 140 mm±1 mm；从动轮轴孔上段为圆柱孔，下段为圆锥孔，锥度为 1:20，大端直径10 mm，上偏差允许＋0.15 mm；深度不小于 45 mm</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534</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凹面镜</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直径 100 mm，焦距 65 mm，镜片为玻璃基质镀反射膜，配支架和镜座</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535</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凸面镜</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直径 100 mm，焦距-65 mm，镜片为玻璃基质镀反射膜，配支架和镜座</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536</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光的传播、反射、折射实验器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包括能显示光路的透明材料制成的半圆玻砖、角度板、2 个条形玻砖、2 个半导体激光光源（不加扩束镜，1 个为入射光源，1 个提供法线）等，表盘直径≥300 mm</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537</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平面镜成像实验器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由水平底座、镀半透膜的超薄塑料平面镜（厚度≤1 mm）等组成；平面镜镀膜面有标志，倾角宜能连续微调；宜采用黑色物体，印有白色左右对称标志 F；角度不可调平面镜固定后与水平面的角度为 90°±1´，成像清晰无叠影</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538</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透明水槽</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250 mm×180 mm×100 mm，透明塑料件制，透光率≥85％，壁厚≥2 mm</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539</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透镜及其应用实验器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简单测量凸透镜的焦距，用凸透镜和凹透镜做望远镜，用凸透镜做投影、照相的原理等</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盒</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540</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白光的色散与合成演示器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由光源、三棱镜、三棱镜台、光屏、支承系统等组成；两块棱镜应配对，用 ZF3 玻璃制，其折射率之差不大于 0.003，中部色散之差不大于 0.0004。实验效果：做白光的色散实验时，可见光区域内光谱连续清晰；能把白光色散后的七色光谱带还原成白光</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541</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光的三原色合成实验器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可单独显示红、绿、蓝三原色，也可显示双色光混合色和三色光混合色</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542</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光具盘</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分离型、磁吸附式。矩形光盘长≥650 mm，宽≥240 mm；圆形光盘直径≥250 mm。盘面分四个象限，以一条直径为始边，分别刻有 0°～90°刻度。半导体激光光源，可显示 5条平行光。光学零件：梯形玻砖 1 件，等腰直角棱镜 1 件，半圆柱透镜 1 件，小双凹柱透镜 1 件，小双凸柱透镜 1 件，双凸透镜 1件，大双凸柱透镜 1 件，平面镜 1 件，凹凸柱面镜 1 件，正三棱镜 2 件</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543</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激光光学演示仪</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含演示屏、圆形光盘、光源、分束器、光学零部件（扩束透镜、双凸柱面透镜、半圆柱面透镜、平凸柱面透镜、平凹柱面透镜、凹凸柱面反光镜、平面镜、漫反射镜、等边棱镜、等腰直角棱镜、光纤、光具架、移动尺）等。演示屏长度≥350 mm，宽度≥280 mm；圆形光盘直径≥160 mm。光盘面分为四个象限，分别刻有 0°～90°刻度。激光束经分束器在演示屏上呈现的三条光束基本相同</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544</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光具座</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导轨长 1000 mm，导轨和滑块均为金属件，滑块在导轨上应滑行自如，无阻滞现象。金属标尺刻度 900 mm，分度值 l mm。光源出口处照度应≥500 1x，500 mm 处照度≥300 1x。附件包括双凸透镜 2 件，平凸透镜 1 件，双凹透镜 1 件，“1”字屏 1 件，白屏 1 件，插杆 5 根，带支架毛玻璃屏 1 件，烛台 1 件。各器件易于装配、固定及拆卸</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545</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光具组</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包括双凸透镜 2 件，平凸透镜 1 件，双凹透镜 1 件，“l”字屏 1 件，白光屏 1 件，毛玻璃光屏 1 件，烛台 1 件（能调节焰心的高度）。光源出口照度≥500 lx，0.5 m 处照度不小于出口照度的 3／5。支承机构应能使光路上元件的光心基本等高</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546</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擦镜纸</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 cm×15 cm，纸纹细密</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张</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547</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玻棒(附丝绸)</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或有机玻棒(附丝绸)，丝绸面积≥350 mm×350 mm。在规定工作条件下，用丝绸裹住玻棒（或有机玻棒），做一次快速拉出，棒上所带的电荷用 D－YDQ－Z－100 型指针验电器检验张角≥30°（≥50°）</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对</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548</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胶棒(附毛皮)</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或聚碳酸酯棒(附毛皮)，毛皮面积≥150 mm×150 mm。在规定工作条件下，用毛皮裹胶棒（或聚碳酸脂棒），做一次快速拉出，棒上所带的电荷用 D－YDQ－Z－100 型指针验电器检验张角≥30°（≥45°）</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对</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549</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电磁实验用旋转架</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由底座、转轴和转台等组成。转台应采用静电绝缘材料制成，转台内应有一凹槽；凹槽宽度应≥15 mm，凹槽深度应≥8 mm，凹槽长度应≥35 mm；转台应能作 360°旋转</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对</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550</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验电器连接杆</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含导电杆、绝缘手柄等。导电杆直径≥2 mm，长度≥250 mm；绝缘柄直径≥10 mm，长度≥150 mm</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551</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箔片验电器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由外壳、圆盘、导电杆、绝缘子、箔片、中位卡、接线柱和底座等组成。外壳应由不能带静电的材料制成，观察面应采用透明材料，透明材料透光率≥90%；箔片长度≥25 mm。性能要求：相对湿度≤65%环境，圆盘上面加 8 kV直流高压，箔片张开与中位片角度应≥45°；移去高压后，箔片张开角度保持30°以上的时间≥10 min</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对</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552</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指针验电器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由外壳、圆球、法拉第圆筒、导电杆、绝缘子、指针、指针架、接地线柱等构成。外壳应由不能带静电的材料制成，外壳上观察面应采用透明材料（透光率≥90%）；指针用非磁性材料，长度≥100 mm。性能要求：相对湿度≤65%环境，圆球加 9 kV 直流高压，指针张开角度在 45°～50°；移去高压后，指针保持 30°以上的时间≥20 min</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对</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553</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感应起电机</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由起电盘、底座、莱顿瓶、集电杆、放电杆、电刷、电刷杆、皮带轮、连接片等组成。起电盘上导电膜应采用铝箔和纸箔交替分布；莱顿瓶应采用塑料制成，电容量应≥30 pF，击穿电压应≥42 kV；集电杆采用直径不低于 4 mm 的冷拉圆钢制成，电梳应由针状金属杆或束状裸铜线制成，与起电盘距离不应小于 6 mm；放电杆采用直径为 3 mm 的冷拉圆钢制成，表面镀铬，绝缘手柄长度应≥80 mm，体积电阻率≥10</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554</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条形磁铁</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D-CG-LT-180，表面磁感应强度≥0.07 T</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对</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555</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蹄形磁铁</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D-CG-LU-100，表面磁感应强度≥0.055 T</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556</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翼形磁针</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 支，针体 140 mm×8 mm，座Φ71 mm×112 mm，磁针体中间铆接铜轴承套，内嵌玻璃轴承，平均磁感应强度≥9 mT</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组</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557</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菱形小磁针</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16 支，磁针 28 mm×8 mm，座Φ25 mm×25 mm，磁针体中间铆接铜轴承套，内嵌玻璃轴承，平均磁感应强度≥5 mT</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组</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558</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磁感线演示器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无色透明塑料外壳，油封铁粉式，仪器尺寸不小于 200 mm×120 mm；环境温度大于 10 ℃时，摇匀铁粉时间每次≤20 s</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559</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立体磁感线演示器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永磁、电磁场</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560</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磁感线演示板</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每块板上有 130 以上个空穴，内含自由活动小铁棒</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561</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学生电源</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直流稳压输出 1.5 V～9 V，每 1.5 V 为一档，共 6 档；额定电流 1.5 A；电压偏调≤±（2％ U标＋0.1 V），电压稳定度≤2％U标＋0.1 V，负载稳定度≤2％U标＋0.1 V，满载时纹波电压≤0.1％U标；过载保护 1.05～1.5 倍，延时 1 s；电源输入与低压输出端子间抗电强度 3000 V；电源输入与外壳间抗电强度Ⅰ类电器 1500 V，Ⅱ类电器 3000 V</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562</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教学电源</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交流 2 V～12 V，5 A，每 2 V 为一档；直流1.5 V～12 V，2 A，分为 1.5 V、3 V、4.5 V、6 V、9 V、12 V，共 6 档；40 A、8 s 自动关断，延时 1 s；各档空载电压应≤1.05U标＋0.3 V，各档满载电压应≥0.95U标-0.3 V，直流输出时电压偏调±（2％U标＋0.1 V）</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563</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电流磁场演示器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直流导线、圆线圈、螺线管的磁场分布</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564</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蹄形电磁铁</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磁路总长度不小于 220 mm，两磁极面中心距离不小于 40 mm，线圈骨架两端有接线柱、焊片及垫圈，工作电流≤1 A，工作电压≤6 V，连续工作 20 min 后线圈温升应不大于 75℃，吸力≥49 N，剩余磁力≤5.88 N</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565</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原副线圈</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原线圈：0.56 mmQZ 型漆包线 310～330 匝，线圈架内径 11 mm，绕线宽度 57 mm；副线圈：0.25 mmQZ 型漆包线 670～680 匝，线圈架内径 24 mm，绕线宽度 52 mm</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566</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充磁器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有充磁时间自动控制功能，外壳为非铁磁性材料，线圈轴向长度不小于 80 mm，能充两极间距大于 28 mm、磁极截面积小于 42 mm×24 mm 的 U 形磁铁以及截面积小于 42 mm×24 mm 的条形磁铁，电源与线圈骨架以及外壳金属件之间抗电强度 3000 V</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567</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演示电磁继电器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包括电磁线圈、铁芯、轭铁、衔铁、常开触点、常闭触点、弹簧、底座等。电磁铁额定工作电压直流 9 V，工作电流 100 mA±15 mA，吸合电流≤70 mA，释放电流 20 mA～40 mA。触点常闭电阻≤1 Ω，常开电阻≤0.5 Ω，开距≥2 mm</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568</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方形线圈</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非金属材料正方形框架；线圈应由直径Φ0.41 mmQZ 型漆包线绕 150 匝以上制成，线圈边长为 63 mm±3 mm；线圈引线为截面积为 0.20 mm2～0.25 mm2、长 320 mm 的多股软线，线端接线叉；接线棒由绝缘材料制成，长度 150 mm～160 mm，安装红、黑接插两用接线柱，两接线柱的间距等于线圈宽度；接线棒固定端外径 10 mm，能固定在方座支架的垂直夹上</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569</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手摇交直流发电机</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括定子、转子、整流器、集流环、电刷、灯座（带灯泡）、手摇驱动机构和底板等部分。定子应由永磁体和极靴组成，转子应由转轴、两极电枢铁芯、电枢线圈以及整流器和集流环组成。整流器在任何位置不应将两电刷短路，电刷与整流器和集流环应使用弹性接触，转动灵活。转子转速为 1600 r/min空载时，输出端交流和直流电压均应≥8 V；接 16 Ω电阻负载时，输出端交流和直流电压均应≥5 V；不带皮带轮用作电动机使</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570</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滚摆</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包括摆体（摆轮和摆轴）、悬线和支架等。摆轮采用金属材质，直径 125 mm；摆轴采用 钢材制作，直径 8 mm，长 160 mm；支架高 460 mm，横梁长 300 mm；摆体质量为 0.6 kg～ 0.8 kg。摆体前 10 次的回升累计递减量应 ≤65 mm</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571</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气体做功内能减少演示器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由气体做功部分和温度测量部分组成，做功部分应由贮气筒、安全阀、压力表、活塞及活塞筒、进气阀、出气阀等组成，固定在底座上。测量部分应由温度传感器、数显温度表等组成。电压 6 V，电流≤50 mA</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572</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空气压缩引火仪</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由气缸、底座、端盖、活塞等部分组成。气缸用透明有机玻璃制作，内径Φ10 mm，外径 Φ25 mm，长 130 mm，底座Φ65 mm，手柄Φ 40 mm，活塞杆Φ8 mm。活塞体应使用弹性材料制成，活塞与气缸气密性应良好，连续压缩引火 100 次后密封圈性能不变。应能引燃脱脂棉，不应使用硝化棉</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573</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汽油机模型</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四冲程，单缸，示结构原理。由进气管、进气阀、排气管、排气阀、气缸、活塞、连杆、曲轴、火花塞、齿轮凸轮总成、飞轮、挺杆等组成。手动转动，活塞运动压缩比 6:1～8:1，整体高不小于 300 mm</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574</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柴油机模型</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四冲程，单缸，示结构原理。由进气管、进气阀、排气管、排气阀、气缸、活塞、连杆、曲轴、喷油嘴、齿轮凸轮总成、飞轮、挺杆组成。手动转动，活塞运动压缩比 14∶1～16∶1，整体高不小于 300 mm</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575</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演示电表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 级，直流电流：200 μA、0.5 A、2.5 A，直流电压：2.5 V、10 V，检流：－100 μA～100 μA，电压灵敏度：5 kΩ/V</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576</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数字演示电表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4-1/2 位，双面显示，同一物理量能自动转换量程。直流电流：200 μA、2 mA、20 mA、 200 mA、2 A、20 A，不确定度 0.2％；直流电压：2 V、20 V、200 V，不确定度 0.1％；电阻：200 Ω、2 kΩ、20 kΩ、200 kΩ、 2 MΩ、20 MΩ，不确定度 0.2％；交流电压：2 V、20 V、200 V、700 V，不确定度 0.5％；交流电流：2 m</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577</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直流电流表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0.6 A、3 A 双量程，2.5 级，基本误差、升降变差、平衡误差不超过量程上限的 2.5％</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578</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直流电压表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 V、15 V 双量程，2.5 级，基本误差、升降变差、平衡误差不超过量程上限的 2.5％</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579</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多用电表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指针式，不低于 2.5 级</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580</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多用电表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数字式，4-1/2 位，电压、电流、电阻、电容、二极管、温度、频率测试</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581</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灵敏电流计</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300 μA，G0 档表头内阻 80 Ω～125 Ω，G1档表头内阻 2400 Ω～3000 Ω</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582</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教学用E10螺口灯座</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由底座、接线柱和灯座等组成。底座应采用硬质绝缘材料制成，最高工作电压应为 36 V，最大工作电流应为 2.5 A。灯座口圈应采用厚 0.4 mm～0.5 mm 的黄铜材料制作，中心触点应采用厚 0.3 mm～0.4 mm 的磷铜材料制作。两接线柱之间绝缘电阻应≥2 MΩ</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583</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电珠(小灯泡)</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1.5 V、0.3 A</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112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584</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电珠(小灯泡)</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 V、0.3 A</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112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585</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电珠(小灯泡)</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3.8 V、0.3 A</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112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586</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电珠(小灯泡)</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 V、0.15 A</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112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587</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单刀开关</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最高工作电压 36 V，额定工作电流 6 A。开关闸刀、接线柱、垫片均为铜质。闸刀宽度≥7 mm，闸刀厚度≥0.7 mm。接线柱直径为4 mm，有效行程≥4 mm。通额定电流，导电部分允许温升≤35 ℃，操作手柄允许温升≤25 ℃。开关的绝缘强度应能承受 1200 V。在额定直流电流工作条件下，接线两端直流电压降≤100 mV</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112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588</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滑动变阻器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 Ω，3 A</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589</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滑动变阻器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 Ω，2 A</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590</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滑动变阻器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 Ω，1.5 A</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591</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电阻圈</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包括 5Ω、1.5 A，10 Ω、1.0 A，15 Ω、0.6 A 共 3 种规格，阻值误差≤±1%；电阻丝应采用锰铜线或康铜线绕制；按额定电流连续工作 15 min 后，5Ω、1.5 A，10 Ω、1.0 A，15 Ω、0.6 A 电阻圈外壳两侧温升分别不应高于 60 K、60 K 和 45 K；按额定电流连续工作 2 h 后外壳不应出现焦灼、熔化变形、冒烟现象；加热后电阻值变化应在1%以内</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组</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592</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电阻定律演示器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由底板、2 种金属导线（康铜、镍铬）、接线柱、连接片、支撑架等组成；康铜导线 2根（长均为 1000 mm，直径分别为 0.5 mm、0.3 mm）；镍铬线 2 根（长分别为 1000 mm、500 mm，直径均为 0.3 mm）</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593</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插头导线</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长度分别为 200 mm、300 mm、400 mm；单芯 4 mm 纯铜插头，纯铜导线；宜用不同线色</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168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594</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接线夹导线</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长度分别为 200 mm、300 mm、400 mm；单芯 4 mm 纯铜接线夹，纯铜导线；宜用不同线色</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168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595</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接线叉导线</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长度分别为 200 mm、300 mm、400 mm；单芯 4 mm 纯铜接线叉，接线叉开口 5.9 mm，纯铜导线；宜用不同线色</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168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596</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组合接头导线</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长度分别为 200 mm、300 mm、400 mm；一头为单芯 4 mm 纯铜接线叉，一头为接线夹，接线叉开口 5.9 mm，纯铜导线；宜用不同线色</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168</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597</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焦耳定律演示器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液体式，同一产品上数字温度计误差不大于±0.5 ℃，透明贮液筒不少于 3 个，底座不少于 3 个，电阻圈不少于 3 个</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598</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低压测电器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笔式，氖泡式，测电极长≤10 mm，测量范围 100 V～500 V，辉光应稳定不闪烁</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599</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家庭电路示教板</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配电部分：三线 10 A 插头与电网连接，开启式闸刀开关、铅熔断器（保险丝）盒、单相机械式有功电能表（2.0 级，5 A）。负荷部分：三极和二极插座、三极和二极插头、螺口灯座（E27）1 个、插口灯座（E27）1 个、倒扳开关、拉线开关、白炽灯泡（E27 卡口或 E27LED 螺口灯泡）、卡口－螺口转换器（有卡口灯座时配）。插座、开关均为明装式，软导线（截面积 0.5 mm2）。火线用红色，零线</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600</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安全用电示教板</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12 V 供电，能演示以下模式：一手接触火线，经脚和大地触电；一手接触火线，不经脚和大地安全（脚下绝缘）；二手分别接触火线和零线触电（脚站在地面或绝缘）；一手接触漏电（连接火线）的设备（例如电动机），经脚和大地触电；跨步电压触电</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601</w:t>
            </w:r>
          </w:p>
        </w:tc>
        <w:tc>
          <w:tcPr>
            <w:tcW w:w="1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保险丝作用演示器</w:t>
            </w:r>
          </w:p>
        </w:tc>
        <w:tc>
          <w:tcPr>
            <w:tcW w:w="1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保险丝：1 A、2 A、3 A、5 A；单芯铜导线 Φ≥0.5 mm，长度≥80 mm，10 根以上；绝缘实验导线 3 A，长度≥290 mm，30 根以上；单芯裸实验导线Φ≥0.7 mm，长度≥285 mm， 10 根以上；多芯短路导线长度≥150 mm，两端有接线夹；灯泡：12 V、50 W 不少于 4 个，12 V、10 W 不少于 2 个；指示电表：交流，2.5 级；在保险丝接线柱上接铜</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bl>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rPr>
          <w:rFonts w:ascii="宋体" w:hAnsi="宋体"/>
          <w:b/>
          <w:color w:val="FF0000"/>
          <w:szCs w:val="21"/>
        </w:rPr>
      </w:pPr>
      <w:r>
        <w:rPr>
          <w:rFonts w:hint="eastAsia" w:ascii="宋体" w:hAnsi="宋体"/>
          <w:b/>
          <w:color w:val="FF0000"/>
          <w:szCs w:val="21"/>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0"/>
        <w:rPr>
          <w:rFonts w:ascii="宋体" w:hAnsi="宋体"/>
          <w:b/>
          <w:bCs/>
          <w:sz w:val="24"/>
          <w:highlight w:val="yellow"/>
        </w:rPr>
      </w:pPr>
      <w:r>
        <w:rPr>
          <w:rFonts w:hint="eastAsia" w:ascii="宋体" w:hAnsi="宋体"/>
          <w:b/>
          <w:sz w:val="24"/>
        </w:rPr>
        <w:t>（1）</w:t>
      </w:r>
      <w:r>
        <w:rPr>
          <w:rFonts w:hint="eastAsia" w:ascii="宋体" w:hAnsi="宋体"/>
          <w:b w:val="0"/>
          <w:bCs/>
          <w:sz w:val="24"/>
        </w:rPr>
        <w:t>加注“★”号且标红条款为实质条款，</w:t>
      </w:r>
      <w:r>
        <w:rPr>
          <w:rFonts w:hint="eastAsia" w:ascii="宋体" w:hAnsi="宋体"/>
          <w:b w:val="0"/>
          <w:bCs/>
          <w:sz w:val="24"/>
          <w:lang w:eastAsia="zh-CN"/>
        </w:rPr>
        <w:t>投标参数不符合招标文件要求</w:t>
      </w:r>
      <w:r>
        <w:rPr>
          <w:rFonts w:hint="eastAsia" w:ascii="宋体" w:hAnsi="宋体"/>
          <w:b w:val="0"/>
          <w:bCs/>
          <w:sz w:val="24"/>
        </w:rPr>
        <w:t>视同为无效投标；</w:t>
      </w:r>
    </w:p>
    <w:p>
      <w:pPr>
        <w:spacing w:line="360" w:lineRule="auto"/>
        <w:ind w:firstLine="480" w:firstLineChars="200"/>
        <w:outlineLvl w:val="0"/>
        <w:rPr>
          <w:rFonts w:ascii="宋体" w:hAnsi="宋体"/>
          <w:sz w:val="24"/>
        </w:rPr>
      </w:pPr>
      <w:r>
        <w:rPr>
          <w:rFonts w:hint="eastAsia" w:ascii="宋体" w:hAnsi="宋体"/>
          <w:sz w:val="24"/>
        </w:rPr>
        <w:t>（2）加注“▲”号的产品为核心产品，任意一种核心产品为同一品牌时，按照87号令第三十一条执行。</w:t>
      </w:r>
    </w:p>
    <w:p>
      <w:pPr>
        <w:spacing w:line="360" w:lineRule="auto"/>
        <w:ind w:firstLine="480" w:firstLineChars="200"/>
        <w:outlineLvl w:val="0"/>
        <w:rPr>
          <w:rFonts w:ascii="宋体" w:hAnsi="宋体"/>
          <w:sz w:val="24"/>
        </w:rPr>
      </w:pPr>
      <w:r>
        <w:rPr>
          <w:rFonts w:hint="eastAsia" w:hAnsi="宋体"/>
          <w:sz w:val="24"/>
        </w:rPr>
        <w:t>（3）加注“■”产品依照《关于印发节能产品政府采购品目清单的通知》（财库〔</w:t>
      </w:r>
      <w:r>
        <w:rPr>
          <w:rFonts w:hint="eastAsia"/>
          <w:sz w:val="24"/>
        </w:rPr>
        <w:t>2019</w:t>
      </w:r>
      <w:r>
        <w:rPr>
          <w:rFonts w:hint="eastAsia" w:hAnsi="宋体"/>
          <w:sz w:val="24"/>
        </w:rPr>
        <w:t>〕</w:t>
      </w:r>
      <w:r>
        <w:rPr>
          <w:rFonts w:hint="eastAsia"/>
          <w:sz w:val="24"/>
        </w:rPr>
        <w:t>19</w:t>
      </w:r>
      <w:r>
        <w:rPr>
          <w:rFonts w:hint="eastAsia" w:hAnsi="宋体"/>
          <w:sz w:val="24"/>
        </w:rPr>
        <w:t>号）文件要求属于现行节能产品政府采购强制采购的产品，投标人只能选择符合按照《关于调整优化节能产品、环境标志产品政府采购执行机制的通知》（财库〔</w:t>
      </w:r>
      <w:r>
        <w:rPr>
          <w:rFonts w:hint="eastAsia"/>
          <w:sz w:val="24"/>
        </w:rPr>
        <w:t>2019</w:t>
      </w:r>
      <w:r>
        <w:rPr>
          <w:rFonts w:hint="eastAsia" w:hAnsi="宋体"/>
          <w:sz w:val="24"/>
        </w:rPr>
        <w:t>〕</w:t>
      </w:r>
      <w:r>
        <w:rPr>
          <w:rFonts w:hint="eastAsia"/>
          <w:sz w:val="24"/>
        </w:rPr>
        <w:t>9</w:t>
      </w:r>
      <w:r>
        <w:rPr>
          <w:rFonts w:hint="eastAsia" w:hAnsi="宋体"/>
          <w:sz w:val="24"/>
        </w:rPr>
        <w:t>号）、《关于印发节能产品政府采购品目清单的通知》（财库〔</w:t>
      </w:r>
      <w:r>
        <w:rPr>
          <w:rFonts w:hint="eastAsia"/>
          <w:sz w:val="24"/>
        </w:rPr>
        <w:t>2019</w:t>
      </w:r>
      <w:r>
        <w:rPr>
          <w:rFonts w:hint="eastAsia" w:hAnsi="宋体"/>
          <w:sz w:val="24"/>
        </w:rPr>
        <w:t>〕</w:t>
      </w:r>
      <w:r>
        <w:rPr>
          <w:rFonts w:hint="eastAsia"/>
          <w:sz w:val="24"/>
        </w:rPr>
        <w:t>19</w:t>
      </w:r>
      <w:r>
        <w:rPr>
          <w:rFonts w:hint="eastAsia" w:hAnsi="宋体"/>
          <w:sz w:val="24"/>
        </w:rPr>
        <w:t>号）、《市场监管总局关于发布参与实施政府采购节能产品、环境标志产品认证机构名录的公告》（</w:t>
      </w:r>
      <w:r>
        <w:rPr>
          <w:rFonts w:hint="eastAsia"/>
          <w:sz w:val="24"/>
        </w:rPr>
        <w:t>2019</w:t>
      </w:r>
      <w:r>
        <w:rPr>
          <w:rFonts w:hint="eastAsia" w:hAnsi="宋体"/>
          <w:sz w:val="24"/>
        </w:rPr>
        <w:t>年第</w:t>
      </w:r>
      <w:r>
        <w:rPr>
          <w:rFonts w:hint="eastAsia"/>
          <w:sz w:val="24"/>
        </w:rPr>
        <w:t>16</w:t>
      </w:r>
      <w:r>
        <w:rPr>
          <w:rFonts w:hint="eastAsia" w:hAnsi="宋体"/>
          <w:sz w:val="24"/>
        </w:rPr>
        <w:t>号）等文件要求的强制采购的节能产品进行投标，并提供相关认证证书扫描件，否则不予认定，将视同为无效投标。</w:t>
      </w:r>
    </w:p>
    <w:p>
      <w:pPr>
        <w:spacing w:line="360" w:lineRule="auto"/>
        <w:ind w:firstLine="480" w:firstLineChars="200"/>
        <w:outlineLvl w:val="0"/>
        <w:rPr>
          <w:rFonts w:hint="eastAsia" w:ascii="宋体" w:hAnsi="宋体"/>
          <w:sz w:val="24"/>
        </w:rPr>
      </w:pPr>
      <w:r>
        <w:rPr>
          <w:rFonts w:hint="eastAsia" w:ascii="宋体" w:hAnsi="宋体"/>
          <w:sz w:val="24"/>
        </w:rPr>
        <w:t>（4）标注“●”为强制性产品，依照《强制性产品认证管理规定》（2009年7月3日国家质量监督检验检疫总局令第117号公布 根据2022年9月29日国家市场监督管理总局令第61号修订）、《市场监管总局关于发布强制性产品认证目录描述与界定表的公告》（2023年第36号)文件要求属于现行强制CCC认证的产品，投标人只能选择有</w:t>
      </w:r>
      <w:r>
        <w:rPr>
          <w:rFonts w:hint="eastAsia" w:ascii="宋体" w:hAnsi="宋体"/>
          <w:sz w:val="24"/>
          <w:lang w:eastAsia="zh-CN"/>
        </w:rPr>
        <w:t>符合强制</w:t>
      </w:r>
      <w:r>
        <w:rPr>
          <w:rFonts w:hint="eastAsia" w:ascii="宋体" w:hAnsi="宋体"/>
          <w:sz w:val="24"/>
        </w:rPr>
        <w:t>认证</w:t>
      </w:r>
      <w:r>
        <w:rPr>
          <w:rFonts w:hint="eastAsia" w:ascii="宋体" w:hAnsi="宋体"/>
          <w:sz w:val="24"/>
          <w:lang w:eastAsia="zh-CN"/>
        </w:rPr>
        <w:t>要求</w:t>
      </w:r>
      <w:r>
        <w:rPr>
          <w:rFonts w:hint="eastAsia" w:ascii="宋体" w:hAnsi="宋体"/>
          <w:sz w:val="24"/>
        </w:rPr>
        <w:t>的产品进行投标，并提供相关认证</w:t>
      </w:r>
      <w:r>
        <w:rPr>
          <w:rFonts w:hint="eastAsia" w:ascii="宋体" w:hAnsi="宋体"/>
          <w:sz w:val="24"/>
          <w:lang w:eastAsia="zh-CN"/>
        </w:rPr>
        <w:t>证书或证明材料</w:t>
      </w:r>
      <w:r>
        <w:rPr>
          <w:rFonts w:hint="eastAsia" w:ascii="宋体" w:hAnsi="宋体"/>
          <w:sz w:val="24"/>
        </w:rPr>
        <w:t>扫描件，否则不予认定，并视同为无效投标。</w:t>
      </w:r>
    </w:p>
    <w:p>
      <w:pPr>
        <w:spacing w:line="360" w:lineRule="auto"/>
        <w:ind w:firstLine="480" w:firstLineChars="200"/>
        <w:outlineLvl w:val="0"/>
        <w:rPr>
          <w:rFonts w:hint="default" w:ascii="宋体" w:hAnsi="宋体"/>
          <w:sz w:val="24"/>
          <w:lang w:val="en-US" w:eastAsia="zh-CN"/>
        </w:rPr>
        <w:sectPr>
          <w:footerReference r:id="rId12" w:type="default"/>
          <w:pgSz w:w="16838" w:h="11906" w:orient="landscape"/>
          <w:pgMar w:top="1800" w:right="1440" w:bottom="1800" w:left="1440" w:header="851" w:footer="992" w:gutter="0"/>
          <w:cols w:space="720" w:num="1"/>
          <w:docGrid w:type="lines" w:linePitch="312" w:charSpace="0"/>
        </w:sectPr>
      </w:pP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rPr>
        <w:t>标书中需附所投产品的品牌、规格、参数和清晰图例</w:t>
      </w:r>
      <w:r>
        <w:rPr>
          <w:rFonts w:hint="eastAsia" w:ascii="宋体" w:hAnsi="宋体"/>
          <w:sz w:val="24"/>
          <w:lang w:eastAsia="zh-CN"/>
        </w:rPr>
        <w:t>，并结合“附件1:化学实验室、仪器准备室平面草图附件及附件2:物理实验室、仪器室、准备室平面草图”做好布局设计及效果图以供评审小组审核，不提供不得分</w:t>
      </w:r>
      <w:r>
        <w:rPr>
          <w:rFonts w:hint="eastAsia" w:ascii="宋体" w:hAnsi="宋体"/>
          <w:sz w:val="24"/>
        </w:rPr>
        <w:t>。</w:t>
      </w:r>
    </w:p>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第六章 投标文件格式</w:t>
      </w:r>
      <w:bookmarkEnd w:id="39"/>
    </w:p>
    <w:p>
      <w:pPr>
        <w:adjustRightInd w:val="0"/>
        <w:snapToGrid w:val="0"/>
        <w:spacing w:line="400" w:lineRule="atLeast"/>
        <w:jc w:val="center"/>
        <w:rPr>
          <w:rFonts w:ascii="宋体" w:hAnsi="宋体"/>
          <w:b/>
          <w:color w:val="000000" w:themeColor="text1"/>
          <w:szCs w:val="21"/>
          <w14:textFill>
            <w14:solidFill>
              <w14:schemeClr w14:val="tx1"/>
            </w14:solidFill>
          </w14:textFill>
        </w:rPr>
      </w:pPr>
    </w:p>
    <w:p>
      <w:pPr>
        <w:adjustRightInd w:val="0"/>
        <w:snapToGrid w:val="0"/>
        <w:spacing w:line="400" w:lineRule="atLeast"/>
        <w:jc w:val="center"/>
        <w:rPr>
          <w:rFonts w:ascii="宋体" w:hAnsi="宋体"/>
          <w:b/>
          <w:color w:val="000000" w:themeColor="text1"/>
          <w:szCs w:val="21"/>
          <w14:textFill>
            <w14:solidFill>
              <w14:schemeClr w14:val="tx1"/>
            </w14:solidFill>
          </w14:textFill>
        </w:rPr>
      </w:pPr>
    </w:p>
    <w:p>
      <w:pPr>
        <w:adjustRightInd w:val="0"/>
        <w:snapToGrid w:val="0"/>
        <w:spacing w:line="400" w:lineRule="atLeast"/>
        <w:jc w:val="center"/>
        <w:rPr>
          <w:rFonts w:ascii="宋体" w:hAnsi="宋体"/>
          <w:bCs/>
          <w:color w:val="000000" w:themeColor="text1"/>
          <w:sz w:val="52"/>
          <w:szCs w:val="52"/>
          <w14:textFill>
            <w14:solidFill>
              <w14:schemeClr w14:val="tx1"/>
            </w14:solidFill>
          </w14:textFill>
        </w:rPr>
      </w:pPr>
    </w:p>
    <w:p>
      <w:pPr>
        <w:adjustRightInd w:val="0"/>
        <w:snapToGrid w:val="0"/>
        <w:spacing w:line="400" w:lineRule="atLeast"/>
        <w:jc w:val="center"/>
        <w:rPr>
          <w:rFonts w:ascii="宋体" w:hAnsi="宋体"/>
          <w:bCs/>
          <w:color w:val="000000" w:themeColor="text1"/>
          <w:sz w:val="52"/>
          <w:szCs w:val="52"/>
          <w14:textFill>
            <w14:solidFill>
              <w14:schemeClr w14:val="tx1"/>
            </w14:solidFill>
          </w14:textFill>
        </w:rPr>
      </w:pPr>
      <w:r>
        <w:rPr>
          <w:rFonts w:hint="eastAsia" w:ascii="宋体" w:hAnsi="宋体"/>
          <w:bCs/>
          <w:color w:val="000000" w:themeColor="text1"/>
          <w:sz w:val="52"/>
          <w:szCs w:val="52"/>
          <w14:textFill>
            <w14:solidFill>
              <w14:schemeClr w14:val="tx1"/>
            </w14:solidFill>
          </w14:textFill>
        </w:rPr>
        <w:t>投 标 文 件</w:t>
      </w:r>
    </w:p>
    <w:p>
      <w:pPr>
        <w:spacing w:before="312" w:beforeLines="100"/>
        <w:jc w:val="center"/>
        <w:rPr>
          <w:rFonts w:ascii="宋体" w:hAnsi="宋体"/>
          <w:b/>
          <w:bCs/>
          <w:color w:val="000000" w:themeColor="text1"/>
          <w:sz w:val="28"/>
          <w:szCs w:val="28"/>
          <w14:textFill>
            <w14:solidFill>
              <w14:schemeClr w14:val="tx1"/>
            </w14:solidFill>
          </w14:textFill>
        </w:rPr>
      </w:pPr>
    </w:p>
    <w:p>
      <w:pPr>
        <w:spacing w:before="312" w:beforeLines="100"/>
        <w:jc w:val="center"/>
        <w:rPr>
          <w:rFonts w:ascii="宋体" w:hAnsi="宋体"/>
          <w:b/>
          <w:color w:val="000000" w:themeColor="text1"/>
          <w:sz w:val="44"/>
          <w:szCs w:val="44"/>
          <w14:textFill>
            <w14:solidFill>
              <w14:schemeClr w14:val="tx1"/>
            </w14:solidFill>
          </w14:textFill>
        </w:rPr>
      </w:pPr>
    </w:p>
    <w:p>
      <w:pPr>
        <w:snapToGrid w:val="0"/>
        <w:spacing w:before="312" w:beforeLines="100" w:after="312" w:afterLines="100" w:line="360" w:lineRule="auto"/>
        <w:ind w:firstLine="993" w:firstLineChars="412"/>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项目名称：</w:t>
      </w:r>
      <w:r>
        <w:rPr>
          <w:rFonts w:hint="eastAsia" w:ascii="宋体" w:hAnsi="宋体"/>
          <w:b/>
          <w:bCs/>
          <w:color w:val="000000" w:themeColor="text1"/>
          <w:sz w:val="24"/>
          <w:u w:val="single"/>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 xml:space="preserve"> </w:t>
      </w:r>
    </w:p>
    <w:p>
      <w:pPr>
        <w:snapToGrid w:val="0"/>
        <w:spacing w:before="312" w:beforeLines="100" w:after="312" w:afterLines="100" w:line="360" w:lineRule="auto"/>
        <w:ind w:firstLine="985" w:firstLineChars="409"/>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项目编号（标项号）：</w:t>
      </w:r>
      <w:r>
        <w:rPr>
          <w:rFonts w:hint="eastAsia" w:ascii="宋体" w:hAnsi="宋体"/>
          <w:b/>
          <w:bCs/>
          <w:color w:val="000000" w:themeColor="text1"/>
          <w:sz w:val="24"/>
          <w:u w:val="single"/>
          <w14:textFill>
            <w14:solidFill>
              <w14:schemeClr w14:val="tx1"/>
            </w14:solidFill>
          </w14:textFill>
        </w:rPr>
        <w:t xml:space="preserve">                         </w:t>
      </w:r>
      <w:r>
        <w:rPr>
          <w:rFonts w:ascii="宋体" w:hAnsi="宋体"/>
          <w:b/>
          <w:bCs/>
          <w:color w:val="000000" w:themeColor="text1"/>
          <w:sz w:val="24"/>
          <w14:textFill>
            <w14:solidFill>
              <w14:schemeClr w14:val="tx1"/>
            </w14:solidFill>
          </w14:textFill>
        </w:rPr>
        <w:t xml:space="preserve"> </w:t>
      </w:r>
    </w:p>
    <w:p>
      <w:pPr>
        <w:pStyle w:val="15"/>
        <w:snapToGrid w:val="0"/>
        <w:spacing w:before="312" w:beforeLines="100" w:after="312" w:afterLines="100" w:line="360" w:lineRule="auto"/>
        <w:ind w:firstLine="981" w:firstLineChars="407"/>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投标人名称：</w:t>
      </w:r>
      <w:r>
        <w:rPr>
          <w:rFonts w:hint="eastAsia" w:ascii="宋体" w:hAnsi="宋体"/>
          <w:b/>
          <w:bCs/>
          <w:color w:val="000000" w:themeColor="text1"/>
          <w:sz w:val="24"/>
          <w:szCs w:val="24"/>
          <w:u w:val="single"/>
          <w14:textFill>
            <w14:solidFill>
              <w14:schemeClr w14:val="tx1"/>
            </w14:solidFill>
          </w14:textFill>
        </w:rPr>
        <w:t xml:space="preserve">                      （</w:t>
      </w:r>
      <w:r>
        <w:rPr>
          <w:rFonts w:hint="eastAsia" w:ascii="宋体" w:hAnsi="宋体"/>
          <w:b/>
          <w:bCs/>
          <w:color w:val="000000" w:themeColor="text1"/>
          <w:sz w:val="24"/>
          <w:szCs w:val="24"/>
          <w14:textFill>
            <w14:solidFill>
              <w14:schemeClr w14:val="tx1"/>
            </w14:solidFill>
          </w14:textFill>
        </w:rPr>
        <w:t>加盖签章）</w:t>
      </w:r>
    </w:p>
    <w:p>
      <w:pPr>
        <w:pStyle w:val="15"/>
        <w:snapToGrid w:val="0"/>
        <w:spacing w:before="312" w:beforeLines="100" w:after="312" w:afterLines="100" w:line="360" w:lineRule="auto"/>
        <w:ind w:firstLine="985" w:firstLineChars="409"/>
        <w:rPr>
          <w:rFonts w:ascii="宋体" w:hAnsi="宋体"/>
          <w:b/>
          <w:bCs/>
          <w:color w:val="000000" w:themeColor="text1"/>
          <w:sz w:val="24"/>
          <w:szCs w:val="24"/>
          <w:u w:val="single"/>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投标人地址：</w:t>
      </w:r>
      <w:r>
        <w:rPr>
          <w:rFonts w:hint="eastAsia" w:ascii="宋体" w:hAnsi="宋体"/>
          <w:b/>
          <w:bCs/>
          <w:color w:val="000000" w:themeColor="text1"/>
          <w:sz w:val="24"/>
          <w:szCs w:val="24"/>
          <w:u w:val="single"/>
          <w14:textFill>
            <w14:solidFill>
              <w14:schemeClr w14:val="tx1"/>
            </w14:solidFill>
          </w14:textFill>
        </w:rPr>
        <w:t xml:space="preserve">                                 </w:t>
      </w:r>
    </w:p>
    <w:p>
      <w:pPr>
        <w:pStyle w:val="15"/>
        <w:snapToGrid w:val="0"/>
        <w:spacing w:before="312" w:beforeLines="100" w:after="312" w:afterLines="100" w:line="360" w:lineRule="auto"/>
        <w:ind w:firstLine="985" w:firstLineChars="409"/>
        <w:rPr>
          <w:rFonts w:ascii="宋体" w:hAnsi="宋体"/>
          <w:b/>
          <w:bCs/>
          <w:color w:val="000000" w:themeColor="text1"/>
          <w:sz w:val="24"/>
          <w:szCs w:val="24"/>
          <w:u w:val="single"/>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投标联系人：</w:t>
      </w:r>
      <w:r>
        <w:rPr>
          <w:rFonts w:hint="eastAsia" w:ascii="宋体" w:hAnsi="宋体"/>
          <w:b/>
          <w:bCs/>
          <w:color w:val="000000" w:themeColor="text1"/>
          <w:sz w:val="24"/>
          <w:szCs w:val="24"/>
          <w:u w:val="single"/>
          <w14:textFill>
            <w14:solidFill>
              <w14:schemeClr w14:val="tx1"/>
            </w14:solidFill>
          </w14:textFill>
        </w:rPr>
        <w:t xml:space="preserve">                                 </w:t>
      </w:r>
    </w:p>
    <w:p>
      <w:pPr>
        <w:pStyle w:val="15"/>
        <w:snapToGrid w:val="0"/>
        <w:spacing w:before="312" w:beforeLines="100" w:after="312" w:afterLines="100" w:line="360" w:lineRule="auto"/>
        <w:ind w:firstLine="985" w:firstLineChars="409"/>
        <w:rPr>
          <w:rFonts w:ascii="宋体" w:hAnsi="宋体"/>
          <w:b/>
          <w:bCs/>
          <w:color w:val="000000" w:themeColor="text1"/>
          <w:sz w:val="24"/>
          <w:szCs w:val="24"/>
          <w:u w:val="single"/>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联系电话/传真:</w:t>
      </w:r>
      <w:r>
        <w:rPr>
          <w:rFonts w:hint="eastAsia" w:ascii="宋体" w:hAnsi="宋体"/>
          <w:b/>
          <w:bCs/>
          <w:color w:val="000000" w:themeColor="text1"/>
          <w:sz w:val="24"/>
          <w:szCs w:val="24"/>
          <w:u w:val="single"/>
          <w14:textFill>
            <w14:solidFill>
              <w14:schemeClr w14:val="tx1"/>
            </w14:solidFill>
          </w14:textFill>
        </w:rPr>
        <w:t xml:space="preserve">                               </w:t>
      </w:r>
    </w:p>
    <w:p>
      <w:pPr>
        <w:autoSpaceDE w:val="0"/>
        <w:autoSpaceDN w:val="0"/>
        <w:adjustRightInd w:val="0"/>
        <w:snapToGrid w:val="0"/>
        <w:spacing w:before="156" w:beforeLines="50" w:after="156" w:afterLines="50" w:line="360" w:lineRule="auto"/>
        <w:jc w:val="right"/>
        <w:rPr>
          <w:rFonts w:ascii="宋体" w:hAnsi="宋体"/>
          <w:b/>
          <w:color w:val="000000" w:themeColor="text1"/>
          <w:sz w:val="32"/>
          <w:szCs w:val="32"/>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电子版投标文件编制顺序</w:t>
      </w:r>
    </w:p>
    <w:tbl>
      <w:tblPr>
        <w:tblStyle w:val="47"/>
        <w:tblW w:w="8318"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70"/>
        <w:gridCol w:w="2660"/>
        <w:gridCol w:w="292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34" w:type="dxa"/>
            <w:gridSpan w:val="2"/>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名称</w:t>
            </w:r>
          </w:p>
        </w:tc>
        <w:tc>
          <w:tcPr>
            <w:tcW w:w="2660"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编制内容</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说明</w:t>
            </w:r>
          </w:p>
        </w:tc>
        <w:tc>
          <w:tcPr>
            <w:tcW w:w="1499"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0" w:hRule="atLeast"/>
        </w:trPr>
        <w:tc>
          <w:tcPr>
            <w:tcW w:w="1234" w:type="dxa"/>
            <w:gridSpan w:val="2"/>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w:t>
            </w:r>
            <w:r>
              <w:rPr>
                <w:rFonts w:ascii="宋体" w:hAnsi="宋体"/>
                <w:b/>
                <w:color w:val="000000" w:themeColor="text1"/>
                <w:szCs w:val="21"/>
                <w14:textFill>
                  <w14:solidFill>
                    <w14:schemeClr w14:val="tx1"/>
                  </w14:solidFill>
                </w14:textFill>
              </w:rPr>
              <w:t>一</w:t>
            </w:r>
            <w:r>
              <w:rPr>
                <w:rFonts w:hint="eastAsia" w:ascii="宋体" w:hAnsi="宋体"/>
                <w:b/>
                <w:color w:val="000000" w:themeColor="text1"/>
                <w:szCs w:val="21"/>
                <w14:textFill>
                  <w14:solidFill>
                    <w14:schemeClr w14:val="tx1"/>
                  </w14:solidFill>
                </w14:textFill>
              </w:rPr>
              <w:t>部分：</w:t>
            </w:r>
          </w:p>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开标一览表</w:t>
            </w:r>
          </w:p>
        </w:tc>
        <w:tc>
          <w:tcPr>
            <w:tcW w:w="2660" w:type="dxa"/>
            <w:vAlign w:val="center"/>
          </w:tcPr>
          <w:p>
            <w:pPr>
              <w:adjustRightInd w:val="0"/>
              <w:snapToGrid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投标人于电子交易平台填写</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需与报价文件中价格一致，电子交易平台生成的开标一览表内容与报价文件中相应内容不一致的，以电子交易平台生成的开标一览表为准。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gridSpan w:val="2"/>
            <w:vMerge w:val="restart"/>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第二部分：</w:t>
            </w:r>
          </w:p>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资格响应文件</w:t>
            </w:r>
          </w:p>
        </w:tc>
        <w:tc>
          <w:tcPr>
            <w:tcW w:w="2660" w:type="dxa"/>
            <w:vAlign w:val="center"/>
          </w:tcPr>
          <w:p>
            <w:pPr>
              <w:adjustRightInd w:val="0"/>
              <w:snapToGrid w:val="0"/>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有效的营业执照</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val="0"/>
                <w:bCs/>
                <w:color w:val="auto"/>
                <w:sz w:val="18"/>
                <w:szCs w:val="18"/>
                <w:vertAlign w:val="baseline"/>
                <w:lang w:val="en-US" w:eastAsia="zh-CN"/>
              </w:rPr>
              <w:t>投标单位是事业单位的，应提供其有效的“事业单位法人证书”；投标单位是非企业专业服务机构的，应提供其有效的执业许可证；投标单位是个体工商户的，应提供其有效的“个体工商户营业执照”</w:t>
            </w:r>
          </w:p>
        </w:tc>
        <w:tc>
          <w:tcPr>
            <w:tcW w:w="1499" w:type="dxa"/>
            <w:vMerge w:val="restart"/>
            <w:vAlign w:val="center"/>
          </w:tcPr>
          <w:p>
            <w:pPr>
              <w:jc w:val="cente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具体要求查看投标人的资格证明材料说明</w:t>
            </w:r>
          </w:p>
          <w:p>
            <w:pPr>
              <w:pStyle w:val="5"/>
              <w:rPr>
                <w:rFonts w:hint="eastAsia"/>
              </w:rPr>
            </w:pPr>
          </w:p>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shd w:val="clear" w:color="auto" w:fill="auto"/>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附件1：</w:t>
            </w:r>
            <w:r>
              <w:rPr>
                <w:rFonts w:hint="eastAsia" w:ascii="宋体" w:hAnsi="宋体"/>
                <w:color w:val="000000" w:themeColor="text1"/>
                <w:szCs w:val="21"/>
                <w14:textFill>
                  <w14:solidFill>
                    <w14:schemeClr w14:val="tx1"/>
                  </w14:solidFill>
                </w14:textFill>
              </w:rPr>
              <w:t>法定代表人身份证明(法定代表人参加招标)</w:t>
            </w:r>
          </w:p>
          <w:p>
            <w:pPr>
              <w:adjustRightInd w:val="0"/>
              <w:snapToGrid w:val="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或</w:t>
            </w:r>
          </w:p>
          <w:p>
            <w:pPr>
              <w:adjustRightInd w:val="0"/>
              <w:snapToGrid w:val="0"/>
              <w:rPr>
                <w:rFonts w:ascii="宋体" w:hAnsi="宋体"/>
                <w:b/>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附件2：</w:t>
            </w:r>
            <w:r>
              <w:rPr>
                <w:rFonts w:hint="eastAsia" w:ascii="宋体" w:hAnsi="宋体"/>
                <w:color w:val="000000" w:themeColor="text1"/>
                <w:szCs w:val="21"/>
                <w14:textFill>
                  <w14:solidFill>
                    <w14:schemeClr w14:val="tx1"/>
                  </w14:solidFill>
                </w14:textFill>
              </w:rPr>
              <w:t>法定代表人授权书(委托代理人参加招标)</w:t>
            </w:r>
          </w:p>
        </w:tc>
        <w:tc>
          <w:tcPr>
            <w:tcW w:w="2925" w:type="dxa"/>
            <w:shd w:val="clear" w:color="auto" w:fill="auto"/>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仅需提供任意一项即可。</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color w:val="000000" w:themeColor="text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附件3：</w:t>
            </w:r>
            <w:r>
              <w:rPr>
                <w:rFonts w:hint="eastAsia" w:ascii="宋体" w:hAnsi="宋体"/>
                <w:color w:val="000000" w:themeColor="text1"/>
                <w:szCs w:val="21"/>
                <w14:textFill>
                  <w14:solidFill>
                    <w14:schemeClr w14:val="tx1"/>
                  </w14:solidFill>
                </w14:textFill>
              </w:rPr>
              <w:t>政府采购供应商信用承诺函</w:t>
            </w:r>
          </w:p>
        </w:tc>
        <w:tc>
          <w:tcPr>
            <w:tcW w:w="2925" w:type="dxa"/>
            <w:vAlign w:val="center"/>
          </w:tcPr>
          <w:p>
            <w:pPr>
              <w:adjustRightInd w:val="0"/>
              <w:snapToGrid w:val="0"/>
              <w:spacing w:line="240" w:lineRule="auto"/>
              <w:jc w:val="center"/>
              <w:rPr>
                <w:rFonts w:hint="eastAsia"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1.投标供应商可自行选择是否提供本承诺函，若不提供本承诺函，应按备注要求提供相应的证明材料。</w:t>
            </w:r>
          </w:p>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val="0"/>
                <w:bCs/>
                <w:color w:val="auto"/>
                <w:sz w:val="18"/>
                <w:szCs w:val="18"/>
                <w:vertAlign w:val="baseline"/>
                <w:lang w:val="en-US" w:eastAsia="zh-CN"/>
              </w:rPr>
              <w:t>2.提供承诺函投标人须在投标文件中按模板提供承诺函，未按照此模版承诺内容提供视为不提供承诺函。</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ascii="宋体" w:hAnsi="宋体"/>
                <w:color w:val="000000" w:themeColor="text1"/>
                <w:szCs w:val="21"/>
                <w:highlight w:val="green"/>
                <w14:textFill>
                  <w14:solidFill>
                    <w14:schemeClr w14:val="tx1"/>
                  </w14:solidFill>
                </w14:textFill>
              </w:rPr>
            </w:pPr>
            <w:r>
              <w:rPr>
                <w:rFonts w:hint="eastAsia" w:ascii="黑体" w:hAnsi="黑体" w:eastAsia="黑体" w:cs="黑体"/>
                <w:color w:val="000000" w:themeColor="text1"/>
                <w:sz w:val="20"/>
                <w:szCs w:val="20"/>
                <w:highlight w:val="none"/>
                <w14:textFill>
                  <w14:solidFill>
                    <w14:schemeClr w14:val="tx1"/>
                  </w14:solidFill>
                </w14:textFill>
              </w:rPr>
              <w:t>附件5：</w:t>
            </w:r>
            <w:r>
              <w:rPr>
                <w:rFonts w:hint="eastAsia" w:ascii="宋体" w:hAnsi="宋体"/>
                <w:color w:val="000000" w:themeColor="text1"/>
                <w:szCs w:val="21"/>
                <w:highlight w:val="none"/>
                <w14:textFill>
                  <w14:solidFill>
                    <w14:schemeClr w14:val="tx1"/>
                  </w14:solidFill>
                </w14:textFill>
              </w:rPr>
              <w:t>投标保证金缴纳证明</w:t>
            </w:r>
          </w:p>
        </w:tc>
        <w:tc>
          <w:tcPr>
            <w:tcW w:w="2925" w:type="dxa"/>
            <w:vAlign w:val="center"/>
          </w:tcPr>
          <w:p>
            <w:pPr>
              <w:adjustRightInd w:val="0"/>
              <w:snapToGrid w:val="0"/>
              <w:jc w:val="center"/>
              <w:rPr>
                <w:rFonts w:hint="default" w:ascii="宋体" w:hAnsi="宋体" w:eastAsia="宋体"/>
                <w:b/>
                <w:color w:val="000000" w:themeColor="text1"/>
                <w:szCs w:val="21"/>
                <w:lang w:val="en-US" w:eastAsia="zh-CN"/>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本项目无需提供</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宋体" w:hAnsi="宋体"/>
                <w:szCs w:val="21"/>
              </w:rPr>
              <w:t>针对本项目的其他相关资质</w:t>
            </w:r>
          </w:p>
        </w:tc>
        <w:tc>
          <w:tcPr>
            <w:tcW w:w="2925" w:type="dxa"/>
            <w:vAlign w:val="center"/>
          </w:tcPr>
          <w:p>
            <w:pPr>
              <w:adjustRightInd w:val="0"/>
              <w:snapToGrid w:val="0"/>
              <w:jc w:val="center"/>
              <w:rPr>
                <w:rFonts w:ascii="宋体" w:hAnsi="宋体"/>
                <w:bCs/>
                <w:color w:val="000000" w:themeColor="text1"/>
                <w:szCs w:val="21"/>
                <w:highlight w:val="yellow"/>
                <w14:textFill>
                  <w14:solidFill>
                    <w14:schemeClr w14:val="tx1"/>
                  </w14:solidFill>
                </w14:textFill>
              </w:rPr>
            </w:pP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4" w:type="dxa"/>
            <w:vMerge w:val="restart"/>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第三部分：</w:t>
            </w:r>
          </w:p>
          <w:p>
            <w:pPr>
              <w:adjustRightInd w:val="0"/>
              <w:snapToGrid w:val="0"/>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商务技术文件</w:t>
            </w:r>
          </w:p>
        </w:tc>
        <w:tc>
          <w:tcPr>
            <w:tcW w:w="770" w:type="dxa"/>
            <w:vMerge w:val="restart"/>
            <w:vAlign w:val="center"/>
          </w:tcPr>
          <w:p>
            <w:pPr>
              <w:adjustRightInd w:val="0"/>
              <w:snapToGrid w:val="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符合性审查文件</w:t>
            </w:r>
          </w:p>
        </w:tc>
        <w:tc>
          <w:tcPr>
            <w:tcW w:w="2660" w:type="dxa"/>
            <w:vAlign w:val="center"/>
          </w:tcPr>
          <w:p>
            <w:pPr>
              <w:adjustRightInd w:val="0"/>
              <w:snapToGrid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附件6：开标一览表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val="0"/>
                <w:bCs/>
                <w:color w:val="auto"/>
                <w:sz w:val="18"/>
                <w:szCs w:val="18"/>
                <w:vertAlign w:val="baseline"/>
                <w:lang w:val="en-US" w:eastAsia="zh-CN"/>
              </w:rPr>
              <w:t>报价具有唯一性；报价金额不超过项目预算价；核心产品品牌具有唯一性，服务期限及质保期符合招标文件要求。</w:t>
            </w:r>
          </w:p>
        </w:tc>
        <w:tc>
          <w:tcPr>
            <w:tcW w:w="1499" w:type="dxa"/>
            <w:vMerge w:val="restart"/>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4" w:type="dxa"/>
            <w:vMerge w:val="continue"/>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Cs/>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附件7：投标函</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val="0"/>
                <w:bCs/>
                <w:color w:val="auto"/>
                <w:sz w:val="18"/>
                <w:szCs w:val="18"/>
                <w:vertAlign w:val="baseline"/>
                <w:lang w:val="en-US" w:eastAsia="zh-CN"/>
              </w:rPr>
              <w:t>有效期满足文件要求，盖章及签字（如有）齐全</w:t>
            </w:r>
          </w:p>
        </w:tc>
        <w:tc>
          <w:tcPr>
            <w:tcW w:w="1499" w:type="dxa"/>
            <w:vMerge w:val="continue"/>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4" w:type="dxa"/>
            <w:vMerge w:val="continue"/>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Cs/>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附件10：参数偏离表</w:t>
            </w:r>
          </w:p>
        </w:tc>
        <w:tc>
          <w:tcPr>
            <w:tcW w:w="2925" w:type="dxa"/>
            <w:vAlign w:val="center"/>
          </w:tcPr>
          <w:p>
            <w:pPr>
              <w:adjustRightInd w:val="0"/>
              <w:snapToGrid w:val="0"/>
              <w:jc w:val="center"/>
              <w:rPr>
                <w:rFonts w:hint="eastAsia"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(1)《参数偏离表》与《投标报价明细表》参数一致； （2）加注“★”号且标红条款为实质条款，投标参数不符合招标文件要求视同为无效投标 （3）盖章及签字（如有）齐全。</w:t>
            </w:r>
          </w:p>
        </w:tc>
        <w:tc>
          <w:tcPr>
            <w:tcW w:w="1499" w:type="dxa"/>
            <w:vMerge w:val="continue"/>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4" w:type="dxa"/>
            <w:vMerge w:val="continue"/>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Cs/>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附件14：</w:t>
            </w:r>
            <w:r>
              <w:rPr>
                <w:rFonts w:hint="eastAsia" w:ascii="宋体" w:hAnsi="宋体" w:eastAsia="宋体" w:cs="Times New Roman"/>
                <w:color w:val="000000" w:themeColor="text1"/>
                <w:szCs w:val="21"/>
                <w:lang w:val="en-US" w:eastAsia="zh-CN"/>
                <w14:textFill>
                  <w14:solidFill>
                    <w14:schemeClr w14:val="tx1"/>
                  </w14:solidFill>
                </w14:textFill>
              </w:rPr>
              <w:t>投标</w:t>
            </w:r>
            <w:r>
              <w:rPr>
                <w:rFonts w:hint="eastAsia" w:ascii="宋体" w:hAnsi="宋体" w:eastAsia="宋体" w:cs="Times New Roman"/>
                <w:color w:val="000000" w:themeColor="text1"/>
                <w:szCs w:val="21"/>
                <w14:textFill>
                  <w14:solidFill>
                    <w14:schemeClr w14:val="tx1"/>
                  </w14:solidFill>
                </w14:textFill>
              </w:rPr>
              <w:t>报价明细表</w:t>
            </w:r>
          </w:p>
        </w:tc>
        <w:tc>
          <w:tcPr>
            <w:tcW w:w="2925" w:type="dxa"/>
            <w:vAlign w:val="center"/>
          </w:tcPr>
          <w:p>
            <w:pPr>
              <w:adjustRightInd w:val="0"/>
              <w:snapToGrid w:val="0"/>
              <w:jc w:val="center"/>
              <w:rPr>
                <w:rFonts w:hint="eastAsia"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(1)《参数偏离表》与《投标报价明细表》参数一致； （2）《投标报价明细表》中品牌、型号填写完整，符合实际要求。（3）盖章及签字（如有）齐全。</w:t>
            </w:r>
          </w:p>
        </w:tc>
        <w:tc>
          <w:tcPr>
            <w:tcW w:w="1499" w:type="dxa"/>
            <w:vMerge w:val="continue"/>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4" w:type="dxa"/>
            <w:vMerge w:val="continue"/>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Cs/>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highlight w:val="none"/>
                <w:lang w:eastAsia="zh-CN"/>
                <w14:textFill>
                  <w14:solidFill>
                    <w14:schemeClr w14:val="tx1"/>
                  </w14:solidFill>
                </w14:textFill>
              </w:rPr>
              <w:t>附件16</w:t>
            </w:r>
            <w:r>
              <w:rPr>
                <w:rFonts w:hint="eastAsia" w:ascii="宋体" w:hAnsi="宋体" w:eastAsia="宋体" w:cs="Times New Roman"/>
                <w:color w:val="000000" w:themeColor="text1"/>
                <w:szCs w:val="21"/>
                <w:highlight w:val="none"/>
                <w14:textFill>
                  <w14:solidFill>
                    <w14:schemeClr w14:val="tx1"/>
                  </w14:solidFill>
                </w14:textFill>
              </w:rPr>
              <w:t xml:space="preserve"> 投标及履约承诺函</w:t>
            </w:r>
          </w:p>
        </w:tc>
        <w:tc>
          <w:tcPr>
            <w:tcW w:w="2925" w:type="dxa"/>
            <w:vAlign w:val="center"/>
          </w:tcPr>
          <w:p>
            <w:pPr>
              <w:adjustRightInd w:val="0"/>
              <w:snapToGrid w:val="0"/>
              <w:jc w:val="center"/>
              <w:rPr>
                <w:rFonts w:hint="eastAsia" w:ascii="宋体" w:hAnsi="宋体"/>
                <w:b w:val="0"/>
                <w:bCs/>
                <w:color w:val="auto"/>
                <w:sz w:val="18"/>
                <w:szCs w:val="18"/>
                <w:vertAlign w:val="baseline"/>
                <w:lang w:val="en-US" w:eastAsia="zh-CN"/>
              </w:rPr>
            </w:pPr>
            <w:r>
              <w:rPr>
                <w:rFonts w:hint="eastAsia" w:ascii="宋体" w:hAnsi="宋体" w:eastAsia="宋体" w:cs="Times New Roman"/>
                <w:b w:val="0"/>
                <w:bCs/>
                <w:color w:val="auto"/>
                <w:sz w:val="18"/>
                <w:szCs w:val="18"/>
                <w:vertAlign w:val="baseline"/>
                <w:lang w:val="en-US" w:eastAsia="zh-CN"/>
              </w:rPr>
              <w:t>承诺内容满足招标文件要求，</w:t>
            </w:r>
            <w:r>
              <w:rPr>
                <w:rFonts w:hint="eastAsia" w:ascii="宋体" w:hAnsi="宋体" w:cs="Times New Roman"/>
                <w:b w:val="0"/>
                <w:bCs/>
                <w:color w:val="auto"/>
                <w:sz w:val="18"/>
                <w:szCs w:val="18"/>
                <w:vertAlign w:val="baseline"/>
                <w:lang w:val="en-US" w:eastAsia="zh-CN"/>
              </w:rPr>
              <w:t>盖章及签字（如有）齐全。</w:t>
            </w:r>
          </w:p>
        </w:tc>
        <w:tc>
          <w:tcPr>
            <w:tcW w:w="1499" w:type="dxa"/>
            <w:vMerge w:val="continue"/>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4" w:type="dxa"/>
            <w:vMerge w:val="continue"/>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Cs/>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附件17 强制节能产品情况表</w:t>
            </w:r>
          </w:p>
        </w:tc>
        <w:tc>
          <w:tcPr>
            <w:tcW w:w="2925" w:type="dxa"/>
            <w:vAlign w:val="center"/>
          </w:tcPr>
          <w:p>
            <w:pPr>
              <w:adjustRightInd w:val="0"/>
              <w:snapToGrid w:val="0"/>
              <w:jc w:val="center"/>
              <w:rPr>
                <w:rFonts w:hint="eastAsia" w:ascii="宋体" w:hAnsi="宋体"/>
                <w:b w:val="0"/>
                <w:bCs/>
                <w:color w:val="auto"/>
                <w:sz w:val="18"/>
                <w:szCs w:val="18"/>
                <w:vertAlign w:val="baseline"/>
                <w:lang w:val="en-US" w:eastAsia="zh-CN"/>
              </w:rPr>
            </w:pPr>
            <w:r>
              <w:rPr>
                <w:rFonts w:hint="eastAsia" w:ascii="宋体" w:hAnsi="宋体" w:eastAsia="宋体" w:cs="Times New Roman"/>
                <w:b w:val="0"/>
                <w:bCs/>
                <w:color w:val="auto"/>
                <w:sz w:val="18"/>
                <w:szCs w:val="18"/>
                <w:vertAlign w:val="baseline"/>
                <w:lang w:val="en-US" w:eastAsia="zh-CN"/>
              </w:rPr>
              <w:t>1、符合政府采购强制节能采购的产品要求。认证机构符合《市场监管总局关于发布参与实施政府采购节能产品、环境标志产品认证机构名录的公告》（2019年第16号）中认证机构名录要求。 2、</w:t>
            </w:r>
            <w:r>
              <w:rPr>
                <w:rFonts w:hint="eastAsia" w:ascii="宋体" w:hAnsi="宋体" w:cs="Times New Roman"/>
                <w:b w:val="0"/>
                <w:bCs/>
                <w:color w:val="auto"/>
                <w:sz w:val="18"/>
                <w:szCs w:val="18"/>
                <w:vertAlign w:val="baseline"/>
                <w:lang w:val="en-US" w:eastAsia="zh-CN"/>
              </w:rPr>
              <w:t>盖章及签字（如有）齐全</w:t>
            </w:r>
          </w:p>
        </w:tc>
        <w:tc>
          <w:tcPr>
            <w:tcW w:w="1499" w:type="dxa"/>
            <w:vMerge w:val="continue"/>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4" w:type="dxa"/>
            <w:vMerge w:val="continue"/>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Cs/>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color w:val="auto"/>
                <w:szCs w:val="21"/>
                <w:highlight w:val="none"/>
                <w:lang w:val="en-US" w:eastAsia="zh-CN"/>
              </w:rPr>
              <w:t>附件18：强制认证产品情况表</w:t>
            </w:r>
          </w:p>
        </w:tc>
        <w:tc>
          <w:tcPr>
            <w:tcW w:w="2925" w:type="dxa"/>
            <w:vAlign w:val="center"/>
          </w:tcPr>
          <w:p>
            <w:pPr>
              <w:adjustRightInd w:val="0"/>
              <w:snapToGrid w:val="0"/>
              <w:jc w:val="center"/>
              <w:rPr>
                <w:rFonts w:hint="eastAsia" w:ascii="宋体" w:hAnsi="宋体" w:eastAsia="宋体" w:cs="Times New Roman"/>
                <w:b w:val="0"/>
                <w:bCs/>
                <w:color w:val="auto"/>
                <w:sz w:val="18"/>
                <w:szCs w:val="18"/>
                <w:vertAlign w:val="baseline"/>
                <w:lang w:val="en-US" w:eastAsia="zh-CN"/>
              </w:rPr>
            </w:pPr>
            <w:r>
              <w:rPr>
                <w:rFonts w:hint="eastAsia" w:ascii="宋体" w:hAnsi="宋体" w:eastAsia="宋体" w:cs="Times New Roman"/>
                <w:b w:val="0"/>
                <w:bCs/>
                <w:color w:val="auto"/>
                <w:sz w:val="18"/>
                <w:szCs w:val="18"/>
                <w:vertAlign w:val="baseline"/>
                <w:lang w:val="en-US" w:eastAsia="zh-CN"/>
              </w:rPr>
              <w:t>1、强制认证产品符合要求。认证机构应属于满足条件的强制性产品认证指定认证机构。 2、</w:t>
            </w:r>
            <w:r>
              <w:rPr>
                <w:rFonts w:hint="eastAsia" w:ascii="宋体" w:hAnsi="宋体" w:cs="Times New Roman"/>
                <w:b w:val="0"/>
                <w:bCs/>
                <w:color w:val="auto"/>
                <w:sz w:val="18"/>
                <w:szCs w:val="18"/>
                <w:vertAlign w:val="baseline"/>
                <w:lang w:val="en-US" w:eastAsia="zh-CN"/>
              </w:rPr>
              <w:t>盖章及签字（如有）齐全</w:t>
            </w:r>
          </w:p>
        </w:tc>
        <w:tc>
          <w:tcPr>
            <w:tcW w:w="1499" w:type="dxa"/>
            <w:vMerge w:val="continue"/>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4" w:type="dxa"/>
            <w:vMerge w:val="continue"/>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770" w:type="dxa"/>
            <w:vMerge w:val="restart"/>
            <w:vAlign w:val="center"/>
          </w:tcPr>
          <w:p>
            <w:pPr>
              <w:adjustRightInd w:val="0"/>
              <w:snapToGrid w:val="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商务技术响应文件</w:t>
            </w:r>
          </w:p>
        </w:tc>
        <w:tc>
          <w:tcPr>
            <w:tcW w:w="2660" w:type="dxa"/>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附件8：</w:t>
            </w:r>
            <w:r>
              <w:rPr>
                <w:rFonts w:hint="eastAsia" w:ascii="宋体" w:hAnsi="宋体"/>
                <w:color w:val="000000" w:themeColor="text1"/>
                <w:szCs w:val="21"/>
                <w14:textFill>
                  <w14:solidFill>
                    <w14:schemeClr w14:val="tx1"/>
                  </w14:solidFill>
                </w14:textFill>
              </w:rPr>
              <w:t>投标人基本情况表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Merge w:val="restart"/>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附件9：</w:t>
            </w:r>
            <w:r>
              <w:rPr>
                <w:rFonts w:hint="eastAsia" w:ascii="宋体" w:hAnsi="宋体"/>
                <w:color w:val="000000" w:themeColor="text1"/>
                <w:szCs w:val="21"/>
                <w14:textFill>
                  <w14:solidFill>
                    <w14:schemeClr w14:val="tx1"/>
                  </w14:solidFill>
                </w14:textFill>
              </w:rPr>
              <w:t>具备履行合同所必需的设备和专业技术能力的承诺</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ascii="宋体" w:hAnsi="宋体" w:cs="宋体"/>
                <w:color w:val="000000" w:themeColor="text1"/>
                <w:szCs w:val="21"/>
                <w:highlight w:val="yellow"/>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附件11：</w:t>
            </w:r>
            <w:r>
              <w:rPr>
                <w:rFonts w:hint="eastAsia" w:ascii="宋体" w:hAnsi="宋体"/>
                <w:color w:val="000000" w:themeColor="text1"/>
                <w:szCs w:val="21"/>
                <w14:textFill>
                  <w14:solidFill>
                    <w14:schemeClr w14:val="tx1"/>
                  </w14:solidFill>
                </w14:textFill>
              </w:rPr>
              <w:t>近</w:t>
            </w:r>
            <w:r>
              <w:rPr>
                <w:rFonts w:hint="eastAsia" w:ascii="宋体" w:hAnsi="宋体"/>
                <w:color w:val="000000" w:themeColor="text1"/>
                <w:szCs w:val="21"/>
                <w:lang w:eastAsia="zh-CN"/>
                <w14:textFill>
                  <w14:solidFill>
                    <w14:schemeClr w14:val="tx1"/>
                  </w14:solidFill>
                </w14:textFill>
              </w:rPr>
              <w:t>三年</w:t>
            </w:r>
            <w:r>
              <w:rPr>
                <w:rFonts w:hint="eastAsia" w:ascii="宋体" w:hAnsi="宋体"/>
                <w:color w:val="000000" w:themeColor="text1"/>
                <w:szCs w:val="21"/>
                <w14:textFill>
                  <w14:solidFill>
                    <w14:schemeClr w14:val="tx1"/>
                  </w14:solidFill>
                </w14:textFill>
              </w:rPr>
              <w:t>同类项目业绩表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topLinePunct/>
              <w:rPr>
                <w:rFonts w:ascii="宋体" w:hAnsi="宋体" w:cs="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附件12：</w:t>
            </w:r>
            <w:r>
              <w:rPr>
                <w:rFonts w:hint="eastAsia" w:ascii="宋体" w:hAnsi="宋体"/>
                <w:color w:val="000000" w:themeColor="text1"/>
                <w:szCs w:val="21"/>
                <w14:textFill>
                  <w14:solidFill>
                    <w14:schemeClr w14:val="tx1"/>
                  </w14:solidFill>
                </w14:textFill>
              </w:rPr>
              <w:t>拟投入本项目的服务人员及设备一览表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附件13：</w:t>
            </w:r>
            <w:r>
              <w:rPr>
                <w:rFonts w:hint="eastAsia" w:ascii="宋体" w:hAnsi="宋体"/>
                <w:color w:val="000000" w:themeColor="text1"/>
                <w:szCs w:val="21"/>
                <w14:textFill>
                  <w14:solidFill>
                    <w14:schemeClr w14:val="tx1"/>
                  </w14:solidFill>
                </w14:textFill>
              </w:rPr>
              <w:t>服务附表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附件14-1</w:t>
            </w:r>
            <w:r>
              <w:rPr>
                <w:rFonts w:hint="eastAsia" w:ascii="宋体" w:hAnsi="宋体" w:cs="Times New Roman"/>
                <w:b/>
                <w:bCs/>
                <w:color w:val="000000" w:themeColor="text1"/>
                <w:szCs w:val="21"/>
                <w:lang w:eastAsia="zh-CN"/>
                <w14:textFill>
                  <w14:solidFill>
                    <w14:schemeClr w14:val="tx1"/>
                  </w14:solidFill>
                </w14:textFill>
              </w:rPr>
              <w:t>：</w:t>
            </w:r>
            <w:r>
              <w:rPr>
                <w:rFonts w:hint="eastAsia" w:ascii="宋体" w:hAnsi="宋体" w:eastAsia="宋体" w:cs="Times New Roman"/>
                <w:b/>
                <w:bCs/>
                <w:color w:val="000000" w:themeColor="text1"/>
                <w:szCs w:val="21"/>
                <w14:textFill>
                  <w14:solidFill>
                    <w14:schemeClr w14:val="tx1"/>
                  </w14:solidFill>
                </w14:textFill>
              </w:rPr>
              <w:t>标的物公示信息一览表</w:t>
            </w:r>
          </w:p>
        </w:tc>
        <w:tc>
          <w:tcPr>
            <w:tcW w:w="2925" w:type="dxa"/>
            <w:vAlign w:val="center"/>
          </w:tcPr>
          <w:p>
            <w:pPr>
              <w:adjustRightInd w:val="0"/>
              <w:snapToGrid w:val="0"/>
              <w:jc w:val="center"/>
              <w:rPr>
                <w:rFonts w:hint="default" w:ascii="宋体" w:hAnsi="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（1）相应内容与《投标报价明细表》内容一致；（2）盖章及签字（如有）齐全</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color w:val="auto"/>
                <w:szCs w:val="21"/>
                <w:highlight w:val="none"/>
                <w:lang w:val="en-US" w:eastAsia="zh-CN"/>
              </w:rPr>
              <w:t>附件19：</w:t>
            </w:r>
            <w:r>
              <w:rPr>
                <w:rFonts w:hint="eastAsia" w:ascii="宋体" w:hAnsi="宋体"/>
                <w:color w:val="000000" w:themeColor="text1"/>
                <w:szCs w:val="21"/>
                <w14:textFill>
                  <w14:solidFill>
                    <w14:schemeClr w14:val="tx1"/>
                  </w14:solidFill>
                </w14:textFill>
              </w:rPr>
              <w:t>政府采购政策情况表</w:t>
            </w:r>
          </w:p>
        </w:tc>
        <w:tc>
          <w:tcPr>
            <w:tcW w:w="2925" w:type="dxa"/>
            <w:vAlign w:val="center"/>
          </w:tcPr>
          <w:p>
            <w:pPr>
              <w:adjustRightInd w:val="0"/>
              <w:snapToGrid w:val="0"/>
              <w:jc w:val="center"/>
              <w:rPr>
                <w:rFonts w:hint="eastAsia"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内容填写真实有效、金额及权重计算无误，</w:t>
            </w:r>
            <w:r>
              <w:rPr>
                <w:rFonts w:hint="eastAsia" w:ascii="宋体" w:hAnsi="宋体" w:cs="Times New Roman"/>
                <w:b w:val="0"/>
                <w:bCs/>
                <w:color w:val="auto"/>
                <w:sz w:val="18"/>
                <w:szCs w:val="18"/>
                <w:vertAlign w:val="baseline"/>
                <w:lang w:val="en-US" w:eastAsia="zh-CN"/>
              </w:rPr>
              <w:t>盖章及签字（如有）齐全</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有利于评分的其他相关资料</w:t>
            </w:r>
          </w:p>
        </w:tc>
        <w:tc>
          <w:tcPr>
            <w:tcW w:w="2925" w:type="dxa"/>
            <w:vAlign w:val="center"/>
          </w:tcPr>
          <w:p>
            <w:pPr>
              <w:adjustRightInd w:val="0"/>
              <w:snapToGrid w:val="0"/>
              <w:jc w:val="center"/>
              <w:rPr>
                <w:color w:val="000000" w:themeColor="text1"/>
                <w14:textFill>
                  <w14:solidFill>
                    <w14:schemeClr w14:val="tx1"/>
                  </w14:solidFill>
                </w14:textFill>
              </w:rPr>
            </w:pPr>
            <w:r>
              <w:rPr>
                <w:rFonts w:hint="eastAsia" w:ascii="宋体" w:hAnsi="宋体"/>
                <w:b w:val="0"/>
                <w:bCs/>
                <w:color w:val="auto"/>
                <w:sz w:val="18"/>
                <w:szCs w:val="18"/>
                <w:vertAlign w:val="baseline"/>
                <w:lang w:val="en-US" w:eastAsia="zh-CN"/>
              </w:rPr>
              <w:t>投标人可根据项目具体情况提供其他有利于评审的资料</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gridSpan w:val="2"/>
            <w:vMerge w:val="restart"/>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第四部分：</w:t>
            </w:r>
          </w:p>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报价文件</w:t>
            </w:r>
          </w:p>
        </w:tc>
        <w:tc>
          <w:tcPr>
            <w:tcW w:w="2660" w:type="dxa"/>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附件6：</w:t>
            </w:r>
            <w:r>
              <w:rPr>
                <w:rFonts w:hint="eastAsia" w:ascii="宋体" w:hAnsi="宋体"/>
                <w:color w:val="000000" w:themeColor="text1"/>
                <w:szCs w:val="21"/>
                <w14:textFill>
                  <w14:solidFill>
                    <w14:schemeClr w14:val="tx1"/>
                  </w14:solidFill>
                </w14:textFill>
              </w:rPr>
              <w:t>开标一览表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hint="eastAsia" w:ascii="黑体" w:hAnsi="黑体" w:eastAsia="黑体" w:cs="黑体"/>
                <w:color w:val="000000" w:themeColor="text1"/>
                <w:sz w:val="20"/>
                <w:szCs w:val="20"/>
                <w14:textFill>
                  <w14:solidFill>
                    <w14:schemeClr w14:val="tx1"/>
                  </w14:solidFill>
                </w14:textFill>
              </w:rPr>
            </w:pPr>
            <w:r>
              <w:rPr>
                <w:rFonts w:hint="eastAsia" w:ascii="宋体" w:hAnsi="宋体"/>
                <w:szCs w:val="21"/>
              </w:rPr>
              <w:t>附件1</w:t>
            </w:r>
            <w:r>
              <w:rPr>
                <w:rFonts w:hint="eastAsia" w:ascii="宋体" w:hAnsi="宋体"/>
                <w:szCs w:val="21"/>
                <w:lang w:val="en-US" w:eastAsia="zh-CN"/>
              </w:rPr>
              <w:t>5</w:t>
            </w:r>
            <w:r>
              <w:rPr>
                <w:rFonts w:hint="eastAsia" w:ascii="宋体" w:hAnsi="宋体"/>
                <w:szCs w:val="21"/>
              </w:rPr>
              <w:t>：中小企业声明函（监狱企业、残疾人福利性单位证明）</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val="0"/>
                <w:bCs/>
                <w:color w:val="auto"/>
                <w:sz w:val="18"/>
                <w:szCs w:val="18"/>
                <w:vertAlign w:val="baseline"/>
                <w:lang w:val="en-US" w:eastAsia="zh-CN"/>
              </w:rPr>
              <w:t>如不符合可不提供</w:t>
            </w:r>
          </w:p>
        </w:tc>
        <w:tc>
          <w:tcPr>
            <w:tcW w:w="1499"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bookmarkStart w:id="40" w:name="_Toc466288481"/>
            <w:bookmarkStart w:id="41" w:name="_Toc474235956"/>
          </w:p>
        </w:tc>
        <w:tc>
          <w:tcPr>
            <w:tcW w:w="2660" w:type="dxa"/>
            <w:vAlign w:val="center"/>
          </w:tcPr>
          <w:p>
            <w:pPr>
              <w:adjustRightInd w:val="0"/>
              <w:snapToGrid w:val="0"/>
              <w:rPr>
                <w:rFonts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附件14：</w:t>
            </w:r>
            <w:r>
              <w:rPr>
                <w:rFonts w:hint="eastAsia" w:ascii="宋体" w:hAnsi="宋体" w:eastAsia="宋体" w:cs="Times New Roman"/>
                <w:color w:val="000000" w:themeColor="text1"/>
                <w:szCs w:val="21"/>
                <w:lang w:val="en-US" w:eastAsia="zh-CN"/>
                <w14:textFill>
                  <w14:solidFill>
                    <w14:schemeClr w14:val="tx1"/>
                  </w14:solidFill>
                </w14:textFill>
              </w:rPr>
              <w:t>投标</w:t>
            </w:r>
            <w:r>
              <w:rPr>
                <w:rFonts w:hint="eastAsia" w:ascii="宋体" w:hAnsi="宋体"/>
                <w:color w:val="000000" w:themeColor="text1"/>
                <w:szCs w:val="21"/>
                <w14:textFill>
                  <w14:solidFill>
                    <w14:schemeClr w14:val="tx1"/>
                  </w14:solidFill>
                </w14:textFill>
              </w:rPr>
              <w:t>报价明细表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r>
    </w:tbl>
    <w:p>
      <w:pPr>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br w:type="page"/>
      </w: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附件1</w:t>
      </w:r>
    </w:p>
    <w:p>
      <w:pPr>
        <w:adjustRightInd w:val="0"/>
        <w:snapToGrid w:val="0"/>
        <w:spacing w:line="360" w:lineRule="auto"/>
        <w:ind w:right="24"/>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法定代表人身份证明(法定代表人参加招标)</w:t>
      </w:r>
    </w:p>
    <w:p>
      <w:pPr>
        <w:snapToGrid w:val="0"/>
        <w:spacing w:line="480" w:lineRule="auto"/>
        <w:rPr>
          <w:rFonts w:ascii="宋体" w:hAnsi="宋体" w:cs="宋体"/>
          <w:color w:val="000000" w:themeColor="text1"/>
          <w:szCs w:val="21"/>
          <w14:textFill>
            <w14:solidFill>
              <w14:schemeClr w14:val="tx1"/>
            </w14:solidFill>
          </w14:textFill>
        </w:rPr>
      </w:pP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kern w:val="0"/>
          <w:szCs w:val="21"/>
          <w14:textFill>
            <w14:solidFill>
              <w14:schemeClr w14:val="tx1"/>
            </w14:solidFill>
          </w14:textFill>
        </w:rPr>
        <w:t>名称：</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w:t>
      </w: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注册号：</w:t>
      </w:r>
      <w:r>
        <w:rPr>
          <w:rFonts w:hint="eastAsia" w:ascii="宋体" w:hAnsi="宋体" w:cs="宋体"/>
          <w:color w:val="000000" w:themeColor="text1"/>
          <w:kern w:val="0"/>
          <w:szCs w:val="21"/>
          <w:u w:val="single"/>
          <w14:textFill>
            <w14:solidFill>
              <w14:schemeClr w14:val="tx1"/>
            </w14:solidFill>
          </w14:textFill>
        </w:rPr>
        <w:t xml:space="preserve">                  </w:t>
      </w: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注册地址：</w:t>
      </w:r>
      <w:r>
        <w:rPr>
          <w:rFonts w:hint="eastAsia" w:ascii="宋体" w:hAnsi="宋体" w:cs="宋体"/>
          <w:color w:val="000000" w:themeColor="text1"/>
          <w:kern w:val="0"/>
          <w:szCs w:val="21"/>
          <w:u w:val="single"/>
          <w14:textFill>
            <w14:solidFill>
              <w14:schemeClr w14:val="tx1"/>
            </w14:solidFill>
          </w14:textFill>
        </w:rPr>
        <w:t xml:space="preserve">                                    </w:t>
      </w: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成立时间：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年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日</w:t>
      </w:r>
    </w:p>
    <w:p>
      <w:pPr>
        <w:autoSpaceDE w:val="0"/>
        <w:autoSpaceDN w:val="0"/>
        <w:adjustRightInd w:val="0"/>
        <w:snapToGrid w:val="0"/>
        <w:spacing w:before="156" w:beforeLines="50" w:line="360" w:lineRule="auto"/>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经营期限：</w:t>
      </w:r>
      <w:r>
        <w:rPr>
          <w:rFonts w:hint="eastAsia" w:ascii="宋体" w:hAnsi="宋体" w:cs="宋体"/>
          <w:color w:val="000000" w:themeColor="text1"/>
          <w:kern w:val="0"/>
          <w:szCs w:val="21"/>
          <w:u w:val="single"/>
          <w14:textFill>
            <w14:solidFill>
              <w14:schemeClr w14:val="tx1"/>
            </w14:solidFill>
          </w14:textFill>
        </w:rPr>
        <w:t xml:space="preserve">                  </w:t>
      </w:r>
    </w:p>
    <w:p>
      <w:pPr>
        <w:autoSpaceDE w:val="0"/>
        <w:autoSpaceDN w:val="0"/>
        <w:adjustRightInd w:val="0"/>
        <w:snapToGrid w:val="0"/>
        <w:spacing w:before="156" w:beforeLines="50" w:line="360" w:lineRule="auto"/>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经营范围：主营：</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；兼营：</w:t>
      </w:r>
      <w:r>
        <w:rPr>
          <w:rFonts w:hint="eastAsia" w:ascii="宋体" w:hAnsi="宋体" w:cs="宋体"/>
          <w:color w:val="000000" w:themeColor="text1"/>
          <w:kern w:val="0"/>
          <w:szCs w:val="21"/>
          <w:u w:val="single"/>
          <w14:textFill>
            <w14:solidFill>
              <w14:schemeClr w14:val="tx1"/>
            </w14:solidFill>
          </w14:textFill>
        </w:rPr>
        <w:t xml:space="preserve">              </w:t>
      </w: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姓名：</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性别：</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年龄：</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系</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kern w:val="0"/>
          <w:szCs w:val="21"/>
          <w14:textFill>
            <w14:solidFill>
              <w14:schemeClr w14:val="tx1"/>
            </w14:solidFill>
          </w14:textFill>
        </w:rPr>
        <w:t>名称）的法定代表人。</w:t>
      </w: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特此证明。</w:t>
      </w:r>
    </w:p>
    <w:p>
      <w:pPr>
        <w:autoSpaceDE w:val="0"/>
        <w:autoSpaceDN w:val="0"/>
        <w:adjustRightInd w:val="0"/>
        <w:snapToGrid w:val="0"/>
        <w:spacing w:before="156" w:beforeLines="50" w:line="360" w:lineRule="auto"/>
        <w:jc w:val="left"/>
        <w:rPr>
          <w:rFonts w:ascii="宋体" w:hAnsi="宋体" w:cs="宋体"/>
          <w:color w:val="000000" w:themeColor="text1"/>
          <w:szCs w:val="21"/>
          <w14:textFill>
            <w14:solidFill>
              <w14:schemeClr w14:val="tx1"/>
            </w14:solidFill>
          </w14:textFill>
        </w:rPr>
      </w:pP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附：法定代表人身份证复印件</w:t>
      </w:r>
    </w:p>
    <w:p>
      <w:pPr>
        <w:snapToGrid w:val="0"/>
        <w:spacing w:line="480" w:lineRule="auto"/>
        <w:rPr>
          <w:rFonts w:ascii="宋体" w:hAnsi="宋体" w:cs="宋体"/>
          <w:color w:val="000000" w:themeColor="text1"/>
          <w:szCs w:val="21"/>
          <w14:textFill>
            <w14:solidFill>
              <w14:schemeClr w14:val="tx1"/>
            </w14:solidFill>
          </w14:textFill>
        </w:rPr>
      </w:pPr>
    </w:p>
    <w:p>
      <w:pPr>
        <w:snapToGrid w:val="0"/>
        <w:rPr>
          <w:rFonts w:ascii="宋体" w:hAnsi="宋体" w:cs="宋体"/>
          <w:color w:val="000000" w:themeColor="text1"/>
          <w:szCs w:val="21"/>
          <w14:textFill>
            <w14:solidFill>
              <w14:schemeClr w14:val="tx1"/>
            </w14:solidFill>
          </w14:textFill>
        </w:rPr>
      </w:pPr>
    </w:p>
    <w:p>
      <w:pPr>
        <w:snapToGrid w:val="0"/>
        <w:rPr>
          <w:rFonts w:ascii="宋体" w:hAnsi="宋体" w:cs="宋体"/>
          <w:color w:val="000000" w:themeColor="text1"/>
          <w:szCs w:val="21"/>
          <w14:textFill>
            <w14:solidFill>
              <w14:schemeClr w14:val="tx1"/>
            </w14:solidFill>
          </w14:textFill>
        </w:rPr>
      </w:pPr>
    </w:p>
    <w:p>
      <w:pPr>
        <w:snapToGrid w:val="0"/>
        <w:rPr>
          <w:rFonts w:ascii="宋体" w:hAnsi="宋体" w:cs="宋体"/>
          <w:color w:val="000000" w:themeColor="text1"/>
          <w:szCs w:val="21"/>
          <w14:textFill>
            <w14:solidFill>
              <w14:schemeClr w14:val="tx1"/>
            </w14:solidFill>
          </w14:textFill>
        </w:rPr>
      </w:pPr>
    </w:p>
    <w:p>
      <w:pPr>
        <w:snapToGrid w:val="0"/>
        <w:rPr>
          <w:rFonts w:ascii="宋体" w:hAnsi="宋体" w:cs="宋体"/>
          <w:color w:val="000000" w:themeColor="text1"/>
          <w:szCs w:val="21"/>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p>
    <w:p>
      <w:pPr>
        <w:adjustRightInd w:val="0"/>
        <w:snapToGrid w:val="0"/>
        <w:spacing w:line="360" w:lineRule="auto"/>
        <w:ind w:righ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名称（盖单位章）：</w:t>
      </w:r>
    </w:p>
    <w:p>
      <w:pPr>
        <w:adjustRightInd w:val="0"/>
        <w:snapToGrid w:val="0"/>
        <w:spacing w:line="360" w:lineRule="auto"/>
        <w:ind w:righ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日      </w:t>
      </w:r>
    </w:p>
    <w:p>
      <w:pPr>
        <w:adjustRightInd w:val="0"/>
        <w:snapToGrid w:val="0"/>
        <w:spacing w:before="156" w:beforeLines="50" w:line="360" w:lineRule="auto"/>
        <w:rPr>
          <w:rFonts w:ascii="宋体" w:hAnsi="宋体" w:cs="宋体"/>
          <w:color w:val="000000" w:themeColor="text1"/>
          <w:szCs w:val="21"/>
          <w14:textFill>
            <w14:solidFill>
              <w14:schemeClr w14:val="tx1"/>
            </w14:solidFill>
          </w14:textFill>
        </w:rPr>
      </w:pPr>
    </w:p>
    <w:p>
      <w:pPr>
        <w:adjustRightInd w:val="0"/>
        <w:snapToGrid w:val="0"/>
        <w:spacing w:before="156" w:beforeLines="50" w:line="360" w:lineRule="auto"/>
        <w:rPr>
          <w:rFonts w:ascii="宋体" w:hAnsi="宋体" w:cs="宋体"/>
          <w:color w:val="000000" w:themeColor="text1"/>
          <w:szCs w:val="21"/>
          <w14:textFill>
            <w14:solidFill>
              <w14:schemeClr w14:val="tx1"/>
            </w14:solidFill>
          </w14:textFill>
        </w:rPr>
      </w:pPr>
    </w:p>
    <w:p>
      <w:pPr>
        <w:adjustRightInd w:val="0"/>
        <w:snapToGrid w:val="0"/>
        <w:spacing w:line="360" w:lineRule="auto"/>
        <w:ind w:right="24"/>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r>
        <w:rPr>
          <w:rFonts w:hint="eastAsia" w:ascii="宋体" w:hAnsi="宋体" w:cs="宋体"/>
          <w:bCs/>
          <w:color w:val="000000" w:themeColor="text1"/>
          <w:sz w:val="28"/>
          <w:szCs w:val="28"/>
          <w14:textFill>
            <w14:solidFill>
              <w14:schemeClr w14:val="tx1"/>
            </w14:solidFill>
          </w14:textFill>
        </w:rPr>
        <w:t>附件2</w:t>
      </w:r>
    </w:p>
    <w:p>
      <w:pPr>
        <w:adjustRightInd w:val="0"/>
        <w:snapToGrid w:val="0"/>
        <w:spacing w:line="360" w:lineRule="auto"/>
        <w:ind w:right="24"/>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法定代表人授权书(委托代理人参加招标)</w:t>
      </w:r>
    </w:p>
    <w:p>
      <w:pPr>
        <w:adjustRightInd w:val="0"/>
        <w:snapToGrid w:val="0"/>
        <w:spacing w:line="360" w:lineRule="auto"/>
        <w:jc w:val="center"/>
        <w:rPr>
          <w:rFonts w:ascii="宋体" w:hAnsi="宋体" w:cs="宋体"/>
          <w:b/>
          <w:color w:val="000000" w:themeColor="text1"/>
          <w:sz w:val="28"/>
          <w:szCs w:val="28"/>
          <w14:textFill>
            <w14:solidFill>
              <w14:schemeClr w14:val="tx1"/>
            </w14:solidFill>
          </w14:textFill>
        </w:rPr>
      </w:pPr>
    </w:p>
    <w:p>
      <w:pPr>
        <w:spacing w:line="560" w:lineRule="exact"/>
        <w:ind w:firstLine="57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本人</w:t>
      </w:r>
      <w:r>
        <w:rPr>
          <w:rFonts w:hint="eastAsia" w:ascii="宋体" w:hAnsi="宋体" w:cs="宋体"/>
          <w:color w:val="000000" w:themeColor="text1"/>
          <w:szCs w:val="21"/>
          <w:u w:val="single"/>
          <w14:textFill>
            <w14:solidFill>
              <w14:schemeClr w14:val="tx1"/>
            </w14:solidFill>
          </w14:textFill>
        </w:rPr>
        <w:t xml:space="preserve"> （姓名）</w:t>
      </w:r>
      <w:r>
        <w:rPr>
          <w:rFonts w:hint="eastAsia" w:ascii="宋体" w:hAnsi="宋体" w:cs="宋体"/>
          <w:color w:val="000000" w:themeColor="text1"/>
          <w:szCs w:val="21"/>
          <w14:textFill>
            <w14:solidFill>
              <w14:schemeClr w14:val="tx1"/>
            </w14:solidFill>
          </w14:textFill>
        </w:rPr>
        <w:t>系</w:t>
      </w:r>
      <w:r>
        <w:rPr>
          <w:rFonts w:hint="eastAsia" w:ascii="宋体" w:hAnsi="宋体" w:cs="宋体"/>
          <w:color w:val="000000" w:themeColor="text1"/>
          <w:szCs w:val="21"/>
          <w:u w:val="single"/>
          <w14:textFill>
            <w14:solidFill>
              <w14:schemeClr w14:val="tx1"/>
            </w14:solidFill>
          </w14:textFill>
        </w:rPr>
        <w:t>（授权单位名称）</w:t>
      </w:r>
      <w:r>
        <w:rPr>
          <w:rFonts w:hint="eastAsia" w:ascii="宋体" w:hAnsi="宋体" w:cs="宋体"/>
          <w:color w:val="000000" w:themeColor="text1"/>
          <w:szCs w:val="21"/>
          <w14:textFill>
            <w14:solidFill>
              <w14:schemeClr w14:val="tx1"/>
            </w14:solidFill>
          </w14:textFill>
        </w:rPr>
        <w:t>的法定代表人，现委托</w:t>
      </w:r>
      <w:r>
        <w:rPr>
          <w:rFonts w:hint="eastAsia" w:ascii="宋体" w:hAnsi="宋体" w:cs="宋体"/>
          <w:color w:val="000000" w:themeColor="text1"/>
          <w:szCs w:val="21"/>
          <w:u w:val="single"/>
          <w14:textFill>
            <w14:solidFill>
              <w14:schemeClr w14:val="tx1"/>
            </w14:solidFill>
          </w14:textFill>
        </w:rPr>
        <w:t>（姓名）</w:t>
      </w:r>
      <w:r>
        <w:rPr>
          <w:rFonts w:hint="eastAsia" w:ascii="宋体" w:hAnsi="宋体" w:cs="宋体"/>
          <w:color w:val="000000" w:themeColor="text1"/>
          <w:szCs w:val="21"/>
          <w14:textFill>
            <w14:solidFill>
              <w14:schemeClr w14:val="tx1"/>
            </w14:solidFill>
          </w14:textFill>
        </w:rPr>
        <w:t>为我方代理人。代理人根据授权，以我的名义签署、澄清、说明、补正、递交、撤回、修改</w:t>
      </w:r>
      <w:r>
        <w:rPr>
          <w:rFonts w:hint="eastAsia" w:ascii="宋体" w:hAnsi="宋体" w:cs="宋体"/>
          <w:color w:val="000000" w:themeColor="text1"/>
          <w:szCs w:val="21"/>
          <w:u w:val="single"/>
          <w14:textFill>
            <w14:solidFill>
              <w14:schemeClr w14:val="tx1"/>
            </w14:solidFill>
          </w14:textFill>
        </w:rPr>
        <w:t xml:space="preserve">（项目名称）    </w:t>
      </w:r>
      <w:r>
        <w:rPr>
          <w:rFonts w:hint="eastAsia" w:ascii="宋体" w:hAnsi="宋体" w:cs="宋体"/>
          <w:color w:val="000000" w:themeColor="text1"/>
          <w:szCs w:val="21"/>
          <w14:textFill>
            <w14:solidFill>
              <w14:schemeClr w14:val="tx1"/>
            </w14:solidFill>
          </w14:textFill>
        </w:rPr>
        <w:t>标段投标文件、鉴定合同和处理有关事宜，其法律后果由我方承担。</w:t>
      </w:r>
    </w:p>
    <w:p>
      <w:pPr>
        <w:spacing w:line="560" w:lineRule="exact"/>
        <w:ind w:firstLine="57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委托期限：</w:t>
      </w:r>
      <w:r>
        <w:rPr>
          <w:rFonts w:hint="eastAsia" w:ascii="宋体" w:hAnsi="宋体" w:cs="宋体"/>
          <w:color w:val="000000" w:themeColor="text1"/>
          <w:szCs w:val="21"/>
          <w:u w:val="single"/>
          <w14:textFill>
            <w14:solidFill>
              <w14:schemeClr w14:val="tx1"/>
            </w14:solidFill>
          </w14:textFill>
        </w:rPr>
        <w:t xml:space="preserve">                                 。</w:t>
      </w:r>
    </w:p>
    <w:p>
      <w:pPr>
        <w:spacing w:line="560" w:lineRule="exact"/>
        <w:ind w:firstLine="57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代理人无转委托权。</w:t>
      </w:r>
    </w:p>
    <w:p>
      <w:pPr>
        <w:pStyle w:val="26"/>
        <w:spacing w:line="560" w:lineRule="exact"/>
        <w:ind w:right="-553" w:firstLine="570"/>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代理人:</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。性别:</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。年龄:</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w:t>
      </w:r>
    </w:p>
    <w:p>
      <w:pPr>
        <w:pStyle w:val="26"/>
        <w:spacing w:line="560" w:lineRule="exact"/>
        <w:ind w:right="-553" w:firstLine="570"/>
        <w:rPr>
          <w:rFonts w:ascii="宋体" w:hAnsi="宋体" w:cs="宋体"/>
          <w:b/>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部门:</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。职务:</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u w:val="none"/>
          <w:lang w:val="en-US" w:eastAsia="zh-CN"/>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w:t>
      </w:r>
    </w:p>
    <w:tbl>
      <w:tblPr>
        <w:tblStyle w:val="46"/>
        <w:tblW w:w="932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3"/>
        <w:gridCol w:w="4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8" w:hRule="atLeast"/>
        </w:trPr>
        <w:tc>
          <w:tcPr>
            <w:tcW w:w="4873" w:type="dxa"/>
          </w:tcPr>
          <w:p>
            <w:pPr>
              <w:tabs>
                <w:tab w:val="left" w:pos="0"/>
              </w:tabs>
              <w:spacing w:line="560" w:lineRule="exact"/>
              <w:rPr>
                <w:rFonts w:ascii="宋体" w:hAnsi="宋体" w:cs="宋体"/>
                <w:color w:val="000000" w:themeColor="text1"/>
                <w:szCs w:val="21"/>
                <w14:textFill>
                  <w14:solidFill>
                    <w14:schemeClr w14:val="tx1"/>
                  </w14:solidFill>
                </w14:textFill>
              </w:rPr>
            </w:pPr>
          </w:p>
          <w:p>
            <w:pPr>
              <w:tabs>
                <w:tab w:val="left" w:pos="0"/>
              </w:tabs>
              <w:spacing w:line="5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法定代表人</w:t>
            </w:r>
            <w:r>
              <w:rPr>
                <w:rFonts w:hint="eastAsia" w:ascii="宋体" w:hAnsi="宋体" w:cs="宋体"/>
                <w:color w:val="000000" w:themeColor="text1"/>
                <w:szCs w:val="21"/>
                <w14:textFill>
                  <w14:solidFill>
                    <w14:schemeClr w14:val="tx1"/>
                  </w14:solidFill>
                </w14:textFill>
              </w:rPr>
              <w:t>身份证复印件（人像面）</w:t>
            </w:r>
          </w:p>
        </w:tc>
        <w:tc>
          <w:tcPr>
            <w:tcW w:w="4453" w:type="dxa"/>
          </w:tcPr>
          <w:p>
            <w:pPr>
              <w:tabs>
                <w:tab w:val="left" w:pos="0"/>
              </w:tabs>
              <w:spacing w:line="560" w:lineRule="exact"/>
              <w:rPr>
                <w:rFonts w:ascii="宋体" w:hAnsi="宋体" w:cs="宋体"/>
                <w:color w:val="000000" w:themeColor="text1"/>
                <w:szCs w:val="21"/>
                <w14:textFill>
                  <w14:solidFill>
                    <w14:schemeClr w14:val="tx1"/>
                  </w14:solidFill>
                </w14:textFill>
              </w:rPr>
            </w:pPr>
          </w:p>
          <w:p>
            <w:pPr>
              <w:tabs>
                <w:tab w:val="left" w:pos="0"/>
              </w:tabs>
              <w:spacing w:line="5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代理人</w:t>
            </w:r>
            <w:r>
              <w:rPr>
                <w:rFonts w:hint="eastAsia" w:ascii="宋体" w:hAnsi="宋体" w:cs="宋体"/>
                <w:color w:val="000000" w:themeColor="text1"/>
                <w:szCs w:val="21"/>
                <w14:textFill>
                  <w14:solidFill>
                    <w14:schemeClr w14:val="tx1"/>
                  </w14:solidFill>
                </w14:textFill>
              </w:rPr>
              <w:t>身份证复印件（人像面）</w:t>
            </w:r>
          </w:p>
        </w:tc>
      </w:tr>
    </w:tbl>
    <w:p>
      <w:pPr>
        <w:tabs>
          <w:tab w:val="left" w:pos="0"/>
        </w:tabs>
        <w:spacing w:line="5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投标单位：（盖企业公章）</w:t>
      </w:r>
    </w:p>
    <w:p>
      <w:pPr>
        <w:tabs>
          <w:tab w:val="left" w:pos="0"/>
        </w:tabs>
        <w:spacing w:line="5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法定代表人：（签字）</w:t>
      </w:r>
    </w:p>
    <w:p>
      <w:pPr>
        <w:tabs>
          <w:tab w:val="left" w:pos="0"/>
        </w:tabs>
        <w:spacing w:line="560" w:lineRule="exact"/>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委托代理人：（签字）</w:t>
      </w:r>
    </w:p>
    <w:p>
      <w:pPr>
        <w:tabs>
          <w:tab w:val="left" w:pos="0"/>
        </w:tabs>
        <w:spacing w:line="560" w:lineRule="exact"/>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单位地址：</w:t>
      </w:r>
    </w:p>
    <w:p>
      <w:pPr>
        <w:tabs>
          <w:tab w:val="left" w:pos="0"/>
        </w:tabs>
        <w:spacing w:line="5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电话：</w:t>
      </w:r>
    </w:p>
    <w:p>
      <w:pPr>
        <w:tabs>
          <w:tab w:val="left" w:pos="0"/>
        </w:tabs>
        <w:spacing w:line="5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传真：</w:t>
      </w:r>
    </w:p>
    <w:p>
      <w:pPr>
        <w:tabs>
          <w:tab w:val="left" w:pos="0"/>
        </w:tabs>
        <w:spacing w:line="5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邮政编号：</w:t>
      </w:r>
    </w:p>
    <w:p>
      <w:pPr>
        <w:tabs>
          <w:tab w:val="left" w:pos="0"/>
        </w:tabs>
        <w:spacing w:line="560" w:lineRule="exact"/>
        <w:ind w:firstLine="3465" w:firstLineChars="16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二0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adjustRightInd w:val="0"/>
        <w:snapToGrid w:val="0"/>
        <w:spacing w:before="156" w:beforeLines="50"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kern w:val="0"/>
          <w:sz w:val="28"/>
          <w:szCs w:val="28"/>
          <w14:textFill>
            <w14:solidFill>
              <w14:schemeClr w14:val="tx1"/>
            </w14:solidFill>
          </w14:textFill>
        </w:rPr>
        <w:t>附件3</w:t>
      </w:r>
    </w:p>
    <w:p>
      <w:pPr>
        <w:adjustRightInd w:val="0"/>
        <w:snapToGrid w:val="0"/>
        <w:spacing w:line="360" w:lineRule="auto"/>
        <w:ind w:firstLine="562" w:firstLineChars="200"/>
        <w:jc w:val="center"/>
        <w:rPr>
          <w:rFonts w:hint="eastAsia" w:ascii="宋体" w:hAnsi="宋体"/>
          <w:b/>
          <w:sz w:val="28"/>
          <w:szCs w:val="28"/>
          <w:highlight w:val="none"/>
          <w:lang w:eastAsia="zh-CN"/>
        </w:rPr>
      </w:pPr>
      <w:r>
        <w:rPr>
          <w:rFonts w:hint="eastAsia" w:ascii="宋体" w:hAnsi="宋体"/>
          <w:b/>
          <w:sz w:val="28"/>
          <w:szCs w:val="28"/>
          <w:highlight w:val="none"/>
          <w:lang w:eastAsia="zh-CN"/>
        </w:rPr>
        <w:t>政府采购供应商信用承诺函</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rPr>
      </w:pPr>
      <w:r>
        <w:rPr>
          <w:rFonts w:hint="eastAsia"/>
        </w:rPr>
        <w:t>致_</w:t>
      </w:r>
      <w:r>
        <w:rPr>
          <w:rFonts w:hint="eastAsia"/>
          <w:u w:val="single"/>
          <w:lang w:val="en-US" w:eastAsia="zh-CN"/>
        </w:rPr>
        <w:t xml:space="preserve">                </w:t>
      </w:r>
      <w:r>
        <w:rPr>
          <w:rFonts w:hint="eastAsia"/>
        </w:rPr>
        <w:t>(采购人或采购代理机构)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单位名称(自然人姓名):</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统一社会信用代码( 身份证号码):</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法定代表人(负责人):</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联系地址和电话:</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为维护公平、公正、公开的政府采购市场秩序,树立诚实守信的政府采购供应商形象，我单位(本人)自愿作出以下承诺: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一、我单位(本人)自愿参加</w:t>
      </w:r>
      <w:r>
        <w:rPr>
          <w:rFonts w:hint="eastAsia"/>
          <w:u w:val="single"/>
          <w:lang w:val="en-US" w:eastAsia="zh-CN"/>
        </w:rPr>
        <w:t xml:space="preserve">   （项目名称、项目编号、标段）   </w:t>
      </w:r>
      <w:r>
        <w:rPr>
          <w:rFonts w:hint="eastAsia"/>
        </w:rPr>
        <w:t>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(一)具有独立承担民事责任的能力;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(五)参加政府采购活动前三年内，在经营活动中没有重大违法记录;成立不足三年的，为实际时间</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(六)未被列入经营异常名录或者严重违法失信名单、失信被执行人、重大税收违法案件当事人名单、政府采购严重违法失信行为记录名单;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(七)未被相关监管部门作出行政处罚且尚在处罚有效期内;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(八)未曾作出虚假采购承诺;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(九)符合法律、行政法规规定的其他条件。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二、我单位(本人)保证上述承诺事项的真实性。如有弄虚作假或其他违法违规行为，自愿按照规定将违背承诺行为作为失信行为记录到社会信用信息平台，并视同为“提供虚假材料谋取中标、成交”按照法律规定承担</w:t>
      </w:r>
      <w:r>
        <w:rPr>
          <w:rFonts w:hint="eastAsia"/>
          <w:lang w:eastAsia="zh-CN"/>
        </w:rPr>
        <w:t>相应法律</w:t>
      </w:r>
      <w:r>
        <w:rPr>
          <w:rFonts w:hint="eastAsia"/>
        </w:rPr>
        <w:t>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right"/>
        <w:textAlignment w:val="auto"/>
        <w:rPr>
          <w:rFonts w:hint="eastAsia"/>
        </w:rPr>
      </w:pPr>
    </w:p>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default" w:eastAsia="宋体"/>
          <w:lang w:val="en-US" w:eastAsia="zh-CN"/>
        </w:rPr>
      </w:pPr>
      <w:r>
        <w:rPr>
          <w:rFonts w:hint="eastAsia"/>
        </w:rPr>
        <w:t>供应商(印章):</w:t>
      </w:r>
      <w:r>
        <w:rPr>
          <w:rFonts w:hint="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default" w:eastAsia="宋体"/>
          <w:lang w:val="en-US" w:eastAsia="zh-CN"/>
        </w:rPr>
      </w:pPr>
      <w:r>
        <w:rPr>
          <w:rFonts w:hint="eastAsia"/>
        </w:rPr>
        <w:t>法定代表人、负责人、本人、或授权代表(签字):</w:t>
      </w:r>
      <w:r>
        <w:rPr>
          <w:rFonts w:hint="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default" w:eastAsia="宋体"/>
          <w:lang w:val="en-US" w:eastAsia="zh-CN"/>
        </w:rPr>
      </w:pPr>
      <w:r>
        <w:rPr>
          <w:rFonts w:hint="eastAsia"/>
        </w:rPr>
        <w:t>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rPr>
      </w:pPr>
    </w:p>
    <w:p>
      <w:pPr>
        <w:ind w:firstLine="420" w:firstLineChars="200"/>
      </w:pPr>
      <w:r>
        <w:rPr>
          <w:rFonts w:hint="eastAsia"/>
        </w:rPr>
        <w:t xml:space="preserve">注: </w:t>
      </w:r>
      <w:r>
        <w:rPr>
          <w:rFonts w:hint="eastAsia"/>
          <w:b/>
          <w:bCs/>
        </w:rPr>
        <w:t>1.条款投标供应商可自行选择是否提供本承诺函，若不提供本承诺函，应按《中华人民共和国政府采购法》《中华人民共和国政府采购法实施条例》及采购文件资格要求提供相应的证明材料。（①</w:t>
      </w:r>
      <w:r>
        <w:rPr>
          <w:rFonts w:hint="eastAsia" w:ascii="宋体" w:hAnsi="宋体"/>
          <w:b/>
          <w:bCs/>
          <w:color w:val="000000" w:themeColor="text1"/>
          <w:szCs w:val="21"/>
          <w14:textFill>
            <w14:solidFill>
              <w14:schemeClr w14:val="tx1"/>
            </w14:solidFill>
          </w14:textFill>
        </w:rPr>
        <w:t>无重大违法记录声明书、</w:t>
      </w:r>
      <w:r>
        <w:rPr>
          <w:rFonts w:hint="eastAsia" w:ascii="宋体" w:hAnsi="宋体" w:cs="宋体"/>
          <w:b/>
          <w:bCs/>
          <w:szCs w:val="21"/>
        </w:rPr>
        <w:t>②</w:t>
      </w:r>
      <w:r>
        <w:rPr>
          <w:rFonts w:hint="eastAsia" w:ascii="宋体" w:hAnsi="宋体" w:cs="宋体"/>
          <w:b/>
          <w:bCs/>
          <w:szCs w:val="21"/>
          <w:lang w:eastAsia="zh-CN"/>
        </w:rPr>
        <w:t>2023年</w:t>
      </w:r>
      <w:r>
        <w:rPr>
          <w:rFonts w:hint="eastAsia" w:ascii="宋体" w:hAnsi="宋体" w:cs="宋体"/>
          <w:b/>
          <w:bCs/>
          <w:szCs w:val="21"/>
        </w:rPr>
        <w:t>度财务审计报告或近六个月内银行出具的资信证明、③</w:t>
      </w:r>
      <w:r>
        <w:rPr>
          <w:rFonts w:hint="eastAsia" w:ascii="宋体" w:hAnsi="宋体" w:cs="宋体"/>
          <w:b/>
          <w:bCs/>
          <w:color w:val="000000" w:themeColor="text1"/>
          <w:szCs w:val="21"/>
          <w14:textFill>
            <w14:solidFill>
              <w14:schemeClr w14:val="tx1"/>
            </w14:solidFill>
          </w14:textFill>
        </w:rPr>
        <w:t>税务部门出具的</w:t>
      </w:r>
      <w:r>
        <w:rPr>
          <w:rFonts w:hint="eastAsia" w:ascii="宋体" w:hAnsi="宋体" w:cs="宋体"/>
          <w:b/>
          <w:bCs/>
          <w:color w:val="000000" w:themeColor="text1"/>
          <w:szCs w:val="21"/>
          <w:lang w:val="en-US" w:eastAsia="zh-CN"/>
          <w14:textFill>
            <w14:solidFill>
              <w14:schemeClr w14:val="tx1"/>
            </w14:solidFill>
          </w14:textFill>
        </w:rPr>
        <w:t>2024</w:t>
      </w:r>
      <w:r>
        <w:rPr>
          <w:rFonts w:hint="eastAsia" w:ascii="宋体" w:hAnsi="宋体" w:cs="宋体"/>
          <w:b/>
          <w:bCs/>
          <w:color w:val="000000" w:themeColor="text1"/>
          <w:szCs w:val="21"/>
          <w14:textFill>
            <w14:solidFill>
              <w14:schemeClr w14:val="tx1"/>
            </w14:solidFill>
          </w14:textFill>
        </w:rPr>
        <w:t>年任一个月完税证明、④</w:t>
      </w:r>
      <w:r>
        <w:rPr>
          <w:rFonts w:hint="eastAsia"/>
          <w:b/>
          <w:bCs/>
        </w:rPr>
        <w:t>社保机构出具的投标单位给员工近三个月社保缴纳证明、</w:t>
      </w:r>
      <w:r>
        <w:rPr>
          <w:rFonts w:hint="eastAsia" w:ascii="宋体" w:hAnsi="宋体" w:cs="宋体"/>
          <w:b/>
          <w:bCs/>
          <w:color w:val="000000" w:themeColor="text1"/>
          <w:szCs w:val="21"/>
          <w14:textFill>
            <w14:solidFill>
              <w14:schemeClr w14:val="tx1"/>
            </w14:solidFill>
          </w14:textFill>
        </w:rPr>
        <w:t>⑤具备履行合同所必需的设备和专业技术能力的承诺</w:t>
      </w:r>
      <w:r>
        <w:rPr>
          <w:rFonts w:hint="eastAsia" w:ascii="宋体" w:hAnsi="宋体" w:cs="宋体"/>
          <w:b/>
          <w:bCs/>
          <w:color w:val="000000" w:themeColor="text1"/>
          <w:szCs w:val="21"/>
          <w:lang w:eastAsia="zh-CN"/>
          <w14:textFill>
            <w14:solidFill>
              <w14:schemeClr w14:val="tx1"/>
            </w14:solidFill>
          </w14:textFill>
        </w:rPr>
        <w:t>、</w:t>
      </w:r>
      <w:r>
        <w:rPr>
          <w:rFonts w:hint="eastAsia" w:ascii="宋体" w:hAnsi="宋体" w:eastAsia="宋体" w:cs="宋体"/>
          <w:b/>
          <w:bCs/>
          <w:color w:val="000000" w:themeColor="text1"/>
          <w:szCs w:val="21"/>
          <w:lang w:eastAsia="zh-CN"/>
          <w14:textFill>
            <w14:solidFill>
              <w14:schemeClr w14:val="tx1"/>
            </w14:solidFill>
          </w14:textFill>
        </w:rPr>
        <w:t>⑥在“信用中国”（www.creditchina.gov.cn）和中国政府采购网（www.ccgp.gov.cn）网站上未被列入失信被执行人、重大税收违法案件当事人名单以及政府采购严重违法失信行为记录名单的网页打印件（网页打印件须自招标文件发布之日</w:t>
      </w:r>
      <w:r>
        <w:rPr>
          <w:rFonts w:hint="eastAsia" w:ascii="宋体" w:hAnsi="宋体" w:cs="宋体"/>
          <w:b/>
          <w:bCs/>
          <w:color w:val="000000" w:themeColor="text1"/>
          <w:szCs w:val="21"/>
          <w:lang w:eastAsia="zh-CN"/>
          <w14:textFill>
            <w14:solidFill>
              <w14:schemeClr w14:val="tx1"/>
            </w14:solidFill>
          </w14:textFill>
        </w:rPr>
        <w:t>起至投标截止时间从上述网站中打印提交打印扫描件</w:t>
      </w:r>
      <w:r>
        <w:rPr>
          <w:rFonts w:hint="eastAsia" w:ascii="宋体" w:hAnsi="宋体" w:eastAsia="宋体" w:cs="宋体"/>
          <w:b/>
          <w:bCs/>
          <w:color w:val="000000" w:themeColor="text1"/>
          <w:szCs w:val="21"/>
          <w:lang w:eastAsia="zh-CN"/>
          <w14:textFill>
            <w14:solidFill>
              <w14:schemeClr w14:val="tx1"/>
            </w14:solidFill>
          </w14:textFill>
        </w:rPr>
        <w:t>）</w:t>
      </w:r>
      <w:r>
        <w:rPr>
          <w:rFonts w:hint="eastAsia"/>
          <w:b/>
          <w:bCs/>
        </w:rPr>
        <w:t>）</w:t>
      </w:r>
    </w:p>
    <w:p>
      <w:pPr>
        <w:ind w:firstLine="420" w:firstLineChars="200"/>
        <w:rPr>
          <w:highlight w:val="none"/>
        </w:rPr>
      </w:pPr>
      <w:r>
        <w:rPr>
          <w:rFonts w:hint="eastAsia"/>
        </w:rPr>
        <w:t>2.提供本承诺函投标人须在投标文件中按此模板提供承诺函，</w:t>
      </w:r>
      <w:r>
        <w:rPr>
          <w:rFonts w:hint="eastAsia"/>
          <w:b/>
          <w:bCs/>
          <w:highlight w:val="none"/>
        </w:rPr>
        <w:t>未按照此模版承诺内容提供视为</w:t>
      </w:r>
      <w:r>
        <w:rPr>
          <w:rFonts w:hint="eastAsia"/>
          <w:b/>
          <w:bCs/>
          <w:highlight w:val="none"/>
          <w:lang w:eastAsia="zh-CN"/>
        </w:rPr>
        <w:t>选择不提供承诺函</w:t>
      </w:r>
      <w:r>
        <w:rPr>
          <w:rFonts w:hint="eastAsia"/>
          <w:highlight w:val="none"/>
        </w:rPr>
        <w:t>。</w:t>
      </w:r>
    </w:p>
    <w:p>
      <w:pPr>
        <w:ind w:firstLine="420" w:firstLineChars="200"/>
      </w:pPr>
      <w:r>
        <w:rPr>
          <w:rFonts w:hint="eastAsia"/>
        </w:rPr>
        <w:t>3.投标人的法定代表人或者授权代表的签字应真实、有效，如由授权代表签字的，应提供“法定代表人授权书”。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p>
    <w:p>
      <w:pPr>
        <w:spacing w:line="360" w:lineRule="auto"/>
      </w:pPr>
    </w:p>
    <w:p>
      <w:pPr>
        <w:adjustRightInd w:val="0"/>
        <w:snapToGrid w:val="0"/>
        <w:spacing w:line="360" w:lineRule="auto"/>
        <w:ind w:right="24"/>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br w:type="page"/>
      </w:r>
      <w:r>
        <w:rPr>
          <w:rFonts w:hint="eastAsia" w:ascii="宋体" w:hAnsi="宋体" w:cs="宋体"/>
          <w:bCs/>
          <w:color w:val="000000" w:themeColor="text1"/>
          <w:sz w:val="28"/>
          <w:szCs w:val="28"/>
          <w14:textFill>
            <w14:solidFill>
              <w14:schemeClr w14:val="tx1"/>
            </w14:solidFill>
          </w14:textFill>
        </w:rPr>
        <w:t>附件4</w:t>
      </w:r>
    </w:p>
    <w:p>
      <w:pPr>
        <w:autoSpaceDE w:val="0"/>
        <w:autoSpaceDN w:val="0"/>
        <w:adjustRightInd w:val="0"/>
        <w:jc w:val="left"/>
        <w:rPr>
          <w:rFonts w:ascii="宋体" w:hAnsi="宋体" w:cs="宋体"/>
          <w:b/>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                 </w:t>
      </w:r>
      <w:r>
        <w:rPr>
          <w:rFonts w:hint="eastAsia" w:ascii="宋体" w:hAnsi="宋体" w:cs="宋体"/>
          <w:b/>
          <w:color w:val="000000" w:themeColor="text1"/>
          <w:kern w:val="0"/>
          <w:sz w:val="28"/>
          <w:szCs w:val="28"/>
          <w14:textFill>
            <w14:solidFill>
              <w14:schemeClr w14:val="tx1"/>
            </w14:solidFill>
          </w14:textFill>
        </w:rPr>
        <w:t xml:space="preserve">         信用记录</w:t>
      </w:r>
    </w:p>
    <w:p>
      <w:pPr>
        <w:widowControl/>
        <w:adjustRightInd w:val="0"/>
        <w:snapToGrid w:val="0"/>
        <w:spacing w:line="360" w:lineRule="auto"/>
        <w:ind w:firstLine="444" w:firstLineChars="200"/>
        <w:jc w:val="center"/>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（复印件并加盖投标单位公章）</w:t>
      </w:r>
    </w:p>
    <w:p>
      <w:pPr>
        <w:widowControl/>
        <w:adjustRightInd w:val="0"/>
        <w:snapToGrid w:val="0"/>
        <w:spacing w:line="360" w:lineRule="auto"/>
        <w:ind w:firstLine="444" w:firstLineChars="200"/>
        <w:jc w:val="left"/>
        <w:rPr>
          <w:rFonts w:ascii="宋体" w:hAnsi="宋体" w:cs="宋体"/>
          <w:color w:val="000000" w:themeColor="text1"/>
          <w:spacing w:val="6"/>
          <w:kern w:val="0"/>
          <w:szCs w:val="21"/>
          <w14:textFill>
            <w14:solidFill>
              <w14:schemeClr w14:val="tx1"/>
            </w14:solidFill>
          </w14:textFill>
        </w:rPr>
      </w:pPr>
    </w:p>
    <w:p>
      <w:pPr>
        <w:widowControl/>
        <w:adjustRightInd w:val="0"/>
        <w:snapToGrid w:val="0"/>
        <w:spacing w:line="360" w:lineRule="auto"/>
        <w:ind w:firstLine="444" w:firstLineChars="200"/>
        <w:jc w:val="left"/>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依据财库[2016]125号文件规定，投标单位须符合《关于在政府采购活动中查询及使用信用记录有关问题的通知》的相关要求，即具有良好的信用记录。</w:t>
      </w:r>
    </w:p>
    <w:p>
      <w:pPr>
        <w:widowControl/>
        <w:adjustRightInd w:val="0"/>
        <w:snapToGrid w:val="0"/>
        <w:spacing w:line="360" w:lineRule="auto"/>
        <w:ind w:firstLine="444" w:firstLineChars="200"/>
        <w:jc w:val="left"/>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投标单位须提供本单位近3年（本项目至递交投标文件截止日前）“信用中国”网站（www.creditchina.gov.cn）及中国政府采购网（www.ccgp.gov.cn）已公布的信用记录查询</w:t>
      </w:r>
      <w:r>
        <w:rPr>
          <w:rFonts w:hint="eastAsia" w:ascii="宋体" w:hAnsi="宋体" w:cs="宋体"/>
          <w:color w:val="000000" w:themeColor="text1"/>
          <w:spacing w:val="6"/>
          <w:kern w:val="0"/>
          <w:szCs w:val="21"/>
          <w:lang w:eastAsia="zh-CN"/>
          <w14:textFill>
            <w14:solidFill>
              <w14:schemeClr w14:val="tx1"/>
            </w14:solidFill>
          </w14:textFill>
        </w:rPr>
        <w:t>记录</w:t>
      </w:r>
      <w:r>
        <w:rPr>
          <w:rFonts w:hint="eastAsia" w:ascii="宋体" w:hAnsi="宋体" w:cs="宋体"/>
          <w:color w:val="000000" w:themeColor="text1"/>
          <w:spacing w:val="6"/>
          <w:kern w:val="0"/>
          <w:szCs w:val="21"/>
          <w14:textFill>
            <w14:solidFill>
              <w14:schemeClr w14:val="tx1"/>
            </w14:solidFill>
          </w14:textFill>
        </w:rPr>
        <w:t>。</w:t>
      </w:r>
      <w:r>
        <w:rPr>
          <w:rFonts w:hint="eastAsia"/>
          <w:b/>
          <w:bCs/>
        </w:rPr>
        <w:t>（网页打印件须自招标文件发布之日起至投标截止时间从上述网站中</w:t>
      </w:r>
      <w:r>
        <w:rPr>
          <w:rFonts w:hint="eastAsia"/>
          <w:b/>
          <w:bCs/>
          <w:lang w:eastAsia="zh-CN"/>
        </w:rPr>
        <w:t>通过浏览器打印</w:t>
      </w:r>
      <w:r>
        <w:rPr>
          <w:rFonts w:hint="eastAsia"/>
          <w:b/>
          <w:bCs/>
        </w:rPr>
        <w:t>）</w:t>
      </w:r>
    </w:p>
    <w:p>
      <w:pPr>
        <w:widowControl/>
        <w:adjustRightInd w:val="0"/>
        <w:snapToGrid w:val="0"/>
        <w:spacing w:line="360" w:lineRule="auto"/>
        <w:ind w:firstLine="444" w:firstLineChars="200"/>
        <w:jc w:val="left"/>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lang w:eastAsia="zh-CN"/>
          <w14:textFill>
            <w14:solidFill>
              <w14:schemeClr w14:val="tx1"/>
            </w14:solidFill>
          </w14:textFill>
        </w:rPr>
        <w:t>记录</w:t>
      </w:r>
      <w:r>
        <w:rPr>
          <w:rFonts w:hint="eastAsia" w:ascii="宋体" w:hAnsi="宋体" w:cs="宋体"/>
          <w:color w:val="000000" w:themeColor="text1"/>
          <w:spacing w:val="6"/>
          <w:kern w:val="0"/>
          <w:szCs w:val="21"/>
          <w14:textFill>
            <w14:solidFill>
              <w14:schemeClr w14:val="tx1"/>
            </w14:solidFill>
          </w14:textFill>
        </w:rPr>
        <w:t>含1）被列入失信被执行人</w:t>
      </w:r>
    </w:p>
    <w:p>
      <w:pPr>
        <w:widowControl/>
        <w:adjustRightInd w:val="0"/>
        <w:snapToGrid w:val="0"/>
        <w:spacing w:line="360" w:lineRule="auto"/>
        <w:ind w:firstLine="1221" w:firstLineChars="550"/>
        <w:jc w:val="left"/>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2）重大税收违法案件当事人名单的投标单位</w:t>
      </w:r>
    </w:p>
    <w:p>
      <w:pPr>
        <w:widowControl/>
        <w:adjustRightInd w:val="0"/>
        <w:snapToGrid w:val="0"/>
        <w:spacing w:line="360" w:lineRule="auto"/>
        <w:ind w:firstLine="1221" w:firstLineChars="550"/>
        <w:jc w:val="left"/>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3）列入政府采购严重违法失信行为记录名单</w:t>
      </w:r>
    </w:p>
    <w:p>
      <w:pPr>
        <w:widowControl/>
        <w:adjustRightInd w:val="0"/>
        <w:snapToGrid w:val="0"/>
        <w:spacing w:line="360" w:lineRule="auto"/>
        <w:ind w:firstLine="444" w:firstLineChars="200"/>
        <w:jc w:val="left"/>
        <w:rPr>
          <w:rFonts w:ascii="宋体" w:hAnsi="宋体" w:cs="宋体"/>
          <w:color w:val="000000" w:themeColor="text1"/>
          <w:spacing w:val="6"/>
          <w:kern w:val="0"/>
          <w:szCs w:val="21"/>
          <w14:textFill>
            <w14:solidFill>
              <w14:schemeClr w14:val="tx1"/>
            </w14:solidFill>
          </w14:textFill>
        </w:rPr>
      </w:pPr>
    </w:p>
    <w:p>
      <w:pPr>
        <w:adjustRightInd w:val="0"/>
        <w:snapToGrid w:val="0"/>
        <w:ind w:left="-88" w:leftChars="-42" w:firstLine="222" w:firstLineChars="100"/>
        <w:jc w:val="center"/>
        <w:rPr>
          <w:rFonts w:ascii="宋体" w:hAnsi="宋体" w:cs="宋体"/>
          <w:bCs/>
          <w:color w:val="000000" w:themeColor="text1"/>
          <w:sz w:val="28"/>
          <w:szCs w:val="28"/>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例如：网站搜索页输入投标单位名称，</w:t>
      </w:r>
      <w:r>
        <w:rPr>
          <w:rFonts w:hint="eastAsia" w:ascii="宋体" w:hAnsi="宋体" w:cs="宋体"/>
          <w:color w:val="000000" w:themeColor="text1"/>
          <w:spacing w:val="6"/>
          <w:kern w:val="0"/>
          <w:szCs w:val="21"/>
          <w:lang w:eastAsia="zh-CN"/>
          <w14:textFill>
            <w14:solidFill>
              <w14:schemeClr w14:val="tx1"/>
            </w14:solidFill>
          </w14:textFill>
        </w:rPr>
        <w:t>通过浏览器</w:t>
      </w:r>
      <w:r>
        <w:rPr>
          <w:rFonts w:hint="eastAsia" w:ascii="宋体" w:hAnsi="宋体" w:cs="宋体"/>
          <w:color w:val="000000" w:themeColor="text1"/>
          <w:spacing w:val="6"/>
          <w:kern w:val="0"/>
          <w:szCs w:val="21"/>
          <w14:textFill>
            <w14:solidFill>
              <w14:schemeClr w14:val="tx1"/>
            </w14:solidFill>
          </w14:textFill>
        </w:rPr>
        <w:t>查询结果</w:t>
      </w: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sectPr>
          <w:headerReference r:id="rId13" w:type="default"/>
          <w:footerReference r:id="rId14" w:type="default"/>
          <w:pgSz w:w="11906" w:h="16838"/>
          <w:pgMar w:top="1440" w:right="1800" w:bottom="1440" w:left="1800" w:header="851" w:footer="992" w:gutter="0"/>
          <w:cols w:space="720" w:num="1"/>
          <w:docGrid w:type="lines" w:linePitch="312" w:charSpace="0"/>
        </w:sectPr>
      </w:pPr>
    </w:p>
    <w:p>
      <w:pPr>
        <w:adjustRightInd w:val="0"/>
        <w:snapToGrid w:val="0"/>
        <w:spacing w:line="360" w:lineRule="auto"/>
        <w:ind w:right="24"/>
        <w:rPr>
          <w:rFonts w:ascii="宋体" w:hAnsi="宋体"/>
          <w:bCs/>
          <w:sz w:val="28"/>
          <w:szCs w:val="28"/>
        </w:rPr>
      </w:pPr>
      <w:r>
        <w:rPr>
          <w:rFonts w:hint="eastAsia" w:ascii="宋体" w:hAnsi="宋体" w:cs="宋体"/>
          <w:bCs/>
          <w:sz w:val="28"/>
          <w:szCs w:val="28"/>
        </w:rPr>
        <w:t>附件5：</w:t>
      </w:r>
      <w:r>
        <w:rPr>
          <w:rFonts w:hint="eastAsia" w:ascii="宋体" w:hAnsi="宋体"/>
          <w:bCs/>
          <w:sz w:val="28"/>
          <w:szCs w:val="28"/>
        </w:rPr>
        <w:t>保证金缴纳证明</w:t>
      </w:r>
    </w:p>
    <w:p>
      <w:pPr>
        <w:pStyle w:val="25"/>
        <w:tabs>
          <w:tab w:val="left" w:pos="1470"/>
          <w:tab w:val="right" w:leader="dot" w:pos="8296"/>
        </w:tabs>
        <w:jc w:val="center"/>
        <w:rPr>
          <w:rFonts w:ascii="宋体" w:hAnsi="宋体"/>
          <w:b/>
          <w:bCs/>
          <w:i w:val="0"/>
          <w:iCs w:val="0"/>
          <w:sz w:val="28"/>
          <w:szCs w:val="28"/>
        </w:rPr>
      </w:pPr>
    </w:p>
    <w:p>
      <w:pPr>
        <w:pStyle w:val="25"/>
        <w:tabs>
          <w:tab w:val="left" w:pos="1470"/>
          <w:tab w:val="right" w:leader="dot" w:pos="8296"/>
        </w:tabs>
        <w:jc w:val="center"/>
        <w:rPr>
          <w:rFonts w:ascii="宋体" w:hAnsi="宋体"/>
          <w:b/>
          <w:bCs/>
          <w:i w:val="0"/>
          <w:iCs w:val="0"/>
          <w:sz w:val="28"/>
          <w:szCs w:val="28"/>
        </w:rPr>
      </w:pPr>
      <w:r>
        <w:rPr>
          <w:rFonts w:hint="eastAsia" w:ascii="宋体" w:hAnsi="宋体"/>
          <w:b/>
          <w:bCs/>
          <w:i w:val="0"/>
          <w:iCs w:val="0"/>
          <w:sz w:val="28"/>
          <w:szCs w:val="28"/>
        </w:rPr>
        <w:t>本页附自行打印的银行流水单复印件/支票复印件/保函复印件等。</w:t>
      </w:r>
    </w:p>
    <w:p>
      <w:pPr>
        <w:autoSpaceDE w:val="0"/>
        <w:autoSpaceDN w:val="0"/>
        <w:adjustRightInd w:val="0"/>
        <w:jc w:val="both"/>
        <w:rPr>
          <w:rFonts w:hint="eastAsia"/>
          <w:lang w:val="en-US" w:eastAsia="zh-CN"/>
        </w:rPr>
      </w:pPr>
      <w:r>
        <w:rPr>
          <w:rFonts w:hint="eastAsia" w:ascii="宋体" w:hAnsi="宋体" w:eastAsia="宋体"/>
          <w:b w:val="0"/>
          <w:bCs w:val="0"/>
        </w:rPr>
        <w:t>注：</w:t>
      </w:r>
      <w:r>
        <w:rPr>
          <w:rFonts w:hint="eastAsia" w:ascii="宋体" w:hAnsi="宋体"/>
          <w:b w:val="0"/>
          <w:bCs w:val="0"/>
          <w:lang w:val="en-US" w:eastAsia="zh-CN"/>
        </w:rPr>
        <w:t>如</w:t>
      </w:r>
      <w:r>
        <w:rPr>
          <w:rFonts w:hint="eastAsia"/>
        </w:rPr>
        <w:t>通过以支票、汇票、本票、保函等非现金形式缴纳或提交保证金</w:t>
      </w:r>
      <w:r>
        <w:rPr>
          <w:rFonts w:hint="eastAsia"/>
          <w:lang w:val="en-US" w:eastAsia="zh-CN"/>
        </w:rPr>
        <w:t>，请附相关证明于此页。</w:t>
      </w: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jc w:val="center"/>
        <w:rPr>
          <w:rFonts w:hint="default" w:ascii="宋体" w:hAnsi="宋体" w:eastAsia="宋体" w:cs="Times New Roman"/>
          <w:b/>
          <w:bCs/>
          <w:i w:val="0"/>
          <w:iCs w:val="0"/>
          <w:kern w:val="2"/>
          <w:sz w:val="28"/>
          <w:szCs w:val="28"/>
          <w:lang w:val="en-US" w:eastAsia="zh-CN" w:bidi="ar-SA"/>
        </w:rPr>
        <w:sectPr>
          <w:pgSz w:w="11906" w:h="16838"/>
          <w:pgMar w:top="1440" w:right="1800" w:bottom="1440" w:left="1800" w:header="851" w:footer="992" w:gutter="0"/>
          <w:cols w:space="720" w:num="1"/>
          <w:docGrid w:type="lines" w:linePitch="312" w:charSpace="0"/>
        </w:sectPr>
      </w:pPr>
      <w:r>
        <w:rPr>
          <w:rFonts w:hint="eastAsia" w:ascii="宋体" w:hAnsi="宋体" w:eastAsia="宋体" w:cs="Times New Roman"/>
          <w:b/>
          <w:bCs/>
          <w:i w:val="0"/>
          <w:iCs w:val="0"/>
          <w:kern w:val="2"/>
          <w:sz w:val="28"/>
          <w:szCs w:val="28"/>
          <w:highlight w:val="yellow"/>
          <w:lang w:val="en-US" w:eastAsia="zh-CN" w:bidi="ar-SA"/>
        </w:rPr>
        <w:t>本项目无需提供</w:t>
      </w:r>
    </w:p>
    <w:p>
      <w:pPr>
        <w:adjustRightInd w:val="0"/>
        <w:snapToGrid w:val="0"/>
        <w:spacing w:line="360" w:lineRule="auto"/>
        <w:ind w:right="24"/>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附件6</w:t>
      </w:r>
    </w:p>
    <w:p>
      <w:pPr>
        <w:adjustRightInd w:val="0"/>
        <w:snapToGrid w:val="0"/>
        <w:spacing w:line="36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 xml:space="preserve">开标一览表 </w:t>
      </w:r>
    </w:p>
    <w:p>
      <w:pPr>
        <w:pStyle w:val="25"/>
        <w:tabs>
          <w:tab w:val="left" w:pos="1470"/>
          <w:tab w:val="right" w:leader="dot" w:pos="8296"/>
        </w:tabs>
        <w:rPr>
          <w:rFonts w:ascii="宋体" w:hAnsi="宋体" w:cs="宋体"/>
          <w:color w:val="000000" w:themeColor="text1"/>
          <w14:textFill>
            <w14:solidFill>
              <w14:schemeClr w14:val="tx1"/>
            </w14:solidFill>
          </w14:textFill>
        </w:rPr>
      </w:pPr>
    </w:p>
    <w:p>
      <w:pPr>
        <w:adjustRightInd w:val="0"/>
        <w:snapToGrid w:val="0"/>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项目名称：</w:t>
      </w:r>
    </w:p>
    <w:p>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项目编号：</w:t>
      </w:r>
    </w:p>
    <w:tbl>
      <w:tblPr>
        <w:tblStyle w:val="46"/>
        <w:tblW w:w="848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2127"/>
        <w:gridCol w:w="4012"/>
        <w:gridCol w:w="1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6139" w:type="dxa"/>
            <w:gridSpan w:val="2"/>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内容</w:t>
            </w:r>
          </w:p>
        </w:tc>
        <w:tc>
          <w:tcPr>
            <w:tcW w:w="1655"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127" w:type="dxa"/>
            <w:tcBorders>
              <w:top w:val="single" w:color="auto" w:sz="4" w:space="0"/>
              <w:left w:val="single" w:color="auto" w:sz="4" w:space="0"/>
              <w:right w:val="single" w:color="auto" w:sz="4" w:space="0"/>
            </w:tcBorders>
            <w:vAlign w:val="center"/>
          </w:tcPr>
          <w:p>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投标人名称</w:t>
            </w:r>
          </w:p>
        </w:tc>
        <w:tc>
          <w:tcPr>
            <w:tcW w:w="4012" w:type="dxa"/>
            <w:tcBorders>
              <w:top w:val="single" w:color="auto" w:sz="4" w:space="0"/>
              <w:left w:val="single" w:color="auto" w:sz="4" w:space="0"/>
              <w:right w:val="single" w:color="auto" w:sz="4" w:space="0"/>
            </w:tcBorders>
            <w:vAlign w:val="center"/>
          </w:tcPr>
          <w:p>
            <w:pPr>
              <w:snapToGrid w:val="0"/>
              <w:spacing w:line="400" w:lineRule="exact"/>
              <w:rPr>
                <w:rFonts w:ascii="宋体" w:hAnsi="宋体" w:cs="宋体"/>
                <w:color w:val="000000" w:themeColor="text1"/>
                <w:szCs w:val="21"/>
                <w14:textFill>
                  <w14:solidFill>
                    <w14:schemeClr w14:val="tx1"/>
                  </w14:solidFill>
                </w14:textFill>
              </w:rPr>
            </w:pPr>
          </w:p>
        </w:tc>
        <w:tc>
          <w:tcPr>
            <w:tcW w:w="1655"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w:t>
            </w:r>
            <w:r>
              <w:rPr>
                <w:rFonts w:hint="eastAsia" w:ascii="宋体" w:hAnsi="宋体" w:cs="宋体"/>
                <w:color w:val="000000" w:themeColor="text1"/>
                <w:szCs w:val="21"/>
                <w:lang w:eastAsia="zh-CN"/>
                <w14:textFill>
                  <w14:solidFill>
                    <w14:schemeClr w14:val="tx1"/>
                  </w14:solidFill>
                </w14:textFill>
              </w:rPr>
              <w:t>元</w:t>
            </w:r>
            <w:r>
              <w:rPr>
                <w:rFonts w:hint="eastAsia" w:ascii="宋体" w:hAnsi="宋体" w:cs="宋体"/>
                <w:color w:val="000000" w:themeColor="text1"/>
                <w:szCs w:val="21"/>
                <w14:textFill>
                  <w14:solidFill>
                    <w14:schemeClr w14:val="tx1"/>
                  </w14:solidFill>
                </w14:textFill>
              </w:rPr>
              <w:t>）</w:t>
            </w:r>
          </w:p>
        </w:tc>
        <w:tc>
          <w:tcPr>
            <w:tcW w:w="40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tc>
        <w:tc>
          <w:tcPr>
            <w:tcW w:w="16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eastAsia="宋体" w:cs="宋体"/>
                <w:color w:val="000000" w:themeColor="text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eastAsia" w:ascii="宋体" w:hAnsi="宋体" w:eastAsia="宋体" w:cs="宋体"/>
                <w:color w:val="000000" w:themeColor="text1"/>
                <w:szCs w:val="21"/>
                <w:u w:val="single"/>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履约期限</w:t>
            </w:r>
          </w:p>
        </w:tc>
        <w:tc>
          <w:tcPr>
            <w:tcW w:w="40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u w:val="single"/>
                <w14:textFill>
                  <w14:solidFill>
                    <w14:schemeClr w14:val="tx1"/>
                  </w14:solidFill>
                </w14:textFill>
              </w:rPr>
            </w:pPr>
          </w:p>
        </w:tc>
        <w:tc>
          <w:tcPr>
            <w:tcW w:w="16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000000" w:themeColor="text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4</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szCs w:val="21"/>
              </w:rPr>
              <w:t>质保期</w:t>
            </w:r>
          </w:p>
        </w:tc>
        <w:tc>
          <w:tcPr>
            <w:tcW w:w="40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6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5</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核心产品品牌</w:t>
            </w:r>
          </w:p>
        </w:tc>
        <w:tc>
          <w:tcPr>
            <w:tcW w:w="4012"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宋体"/>
                <w:color w:val="000000" w:themeColor="text1"/>
                <w:szCs w:val="21"/>
                <w14:textFill>
                  <w14:solidFill>
                    <w14:schemeClr w14:val="tx1"/>
                  </w14:solidFill>
                </w14:textFill>
              </w:rPr>
            </w:pPr>
          </w:p>
        </w:tc>
        <w:tc>
          <w:tcPr>
            <w:tcW w:w="1655"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宋体"/>
                <w:color w:val="000000" w:themeColor="text1"/>
                <w:szCs w:val="21"/>
                <w14:textFill>
                  <w14:solidFill>
                    <w14:schemeClr w14:val="tx1"/>
                  </w14:solidFill>
                </w14:textFill>
              </w:rPr>
            </w:pPr>
          </w:p>
        </w:tc>
      </w:tr>
    </w:tbl>
    <w:p>
      <w:pPr>
        <w:adjustRightInd w:val="0"/>
        <w:snapToGrid w:val="0"/>
        <w:spacing w:line="360" w:lineRule="auto"/>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 1、报价一经涂改，应在涂改处加盖单位公章或者由法定代表人或授权委托人签字或盖章，否则其投标作无效标处理。</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2、报价包括完成本项目招标范围内所有其他平台数据对接费用、运输费、人工费、保险费、增值税、仓储费，操作方面的培训费、调试费、保修期内的维修所需的备件费以及上门服务等所有相关费用。</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项目须附详细的投标报价明细表，投标报价明细表中金额和开标一览表金额一致。</w:t>
      </w:r>
    </w:p>
    <w:p>
      <w:pPr>
        <w:adjustRightInd w:val="0"/>
        <w:snapToGrid w:val="0"/>
        <w:spacing w:line="360" w:lineRule="auto"/>
        <w:ind w:firstLine="420" w:firstLineChars="200"/>
        <w:rPr>
          <w:rFonts w:hint="eastAsia" w:ascii="宋体" w:hAnsi="宋体" w:eastAsia="黑体" w:cs="宋体"/>
          <w:color w:val="000000" w:themeColor="text1"/>
          <w:szCs w:val="21"/>
          <w:highlight w:val="none"/>
          <w:lang w:eastAsia="zh-CN"/>
          <w14:textFill>
            <w14:solidFill>
              <w14:schemeClr w14:val="tx1"/>
            </w14:solidFill>
          </w14:textFill>
        </w:rPr>
      </w:pPr>
      <w:r>
        <w:rPr>
          <w:rFonts w:hint="eastAsia" w:ascii="宋体" w:hAnsi="宋体" w:cs="宋体"/>
          <w:szCs w:val="21"/>
          <w:highlight w:val="none"/>
        </w:rPr>
        <w:t>4、第五章 采购需求 中加注“▲”号的产品为核心产品，任意一种核心产品为同一品牌时，按照87号令第三十一条执行。</w:t>
      </w:r>
    </w:p>
    <w:p>
      <w:pPr>
        <w:adjustRightInd w:val="0"/>
        <w:snapToGrid w:val="0"/>
        <w:spacing w:line="360" w:lineRule="auto"/>
        <w:rPr>
          <w:rFonts w:ascii="宋体" w:hAnsi="宋体" w:cs="宋体"/>
          <w:color w:val="000000" w:themeColor="text1"/>
          <w:szCs w:val="21"/>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（盖单位章）：</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360" w:lineRule="auto"/>
        <w:jc w:val="right"/>
        <w:rPr>
          <w:rFonts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adjustRightInd w:val="0"/>
        <w:snapToGrid w:val="0"/>
        <w:spacing w:line="360" w:lineRule="auto"/>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br w:type="page"/>
      </w:r>
    </w:p>
    <w:p>
      <w:pPr>
        <w:adjustRightInd w:val="0"/>
        <w:snapToGrid w:val="0"/>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附件7</w:t>
      </w:r>
    </w:p>
    <w:p>
      <w:pPr>
        <w:pStyle w:val="74"/>
        <w:numPr>
          <w:ilvl w:val="0"/>
          <w:numId w:val="0"/>
        </w:numPr>
        <w:rPr>
          <w:b/>
          <w:bCs/>
          <w:color w:val="000000" w:themeColor="text1"/>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投标函</w:t>
      </w:r>
    </w:p>
    <w:p>
      <w:pPr>
        <w:adjustRightInd w:val="0"/>
        <w:snapToGrid w:val="0"/>
        <w:spacing w:line="360" w:lineRule="auto"/>
        <w:rPr>
          <w:rFonts w:ascii="宋体" w:hAnsi="宋体" w:cs="宋体"/>
          <w:color w:val="000000" w:themeColor="text1"/>
          <w:szCs w:val="21"/>
          <w14:textFill>
            <w14:solidFill>
              <w14:schemeClr w14:val="tx1"/>
            </w14:solidFill>
          </w14:textFill>
        </w:rPr>
      </w:pPr>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(采购人或采购代理机构)：</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我方己仔细研究了</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(项目名称)的招标文件（项目编号：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）的全部内容，知悉参加投标的风险，我方承诺接受招标文件的全部条款且无任何异议。</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一、我方同意在招标文件中规定的提交投标文件截止时间起</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日</w:t>
      </w:r>
      <w:r>
        <w:rPr>
          <w:rFonts w:hint="eastAsia" w:ascii="宋体" w:hAnsi="宋体"/>
          <w:color w:val="000000" w:themeColor="text1"/>
          <w:sz w:val="21"/>
          <w:szCs w:val="21"/>
          <w:lang w:eastAsia="zh-CN"/>
          <w14:textFill>
            <w14:solidFill>
              <w14:schemeClr w14:val="tx1"/>
            </w14:solidFill>
          </w14:textFill>
        </w:rPr>
        <w:t>（含）</w:t>
      </w:r>
      <w:r>
        <w:rPr>
          <w:rFonts w:hint="eastAsia" w:ascii="宋体" w:hAnsi="宋体"/>
          <w:color w:val="000000" w:themeColor="text1"/>
          <w:sz w:val="21"/>
          <w:szCs w:val="21"/>
          <w14:textFill>
            <w14:solidFill>
              <w14:schemeClr w14:val="tx1"/>
            </w14:solidFill>
          </w14:textFill>
        </w:rPr>
        <w:t>内(投标文件有效期)遵守本投标文件中的承诺且在此期限期满之前均具有法律约束力。</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二、我方提交加密投标文件电子版</w:t>
      </w:r>
      <w:r>
        <w:rPr>
          <w:rFonts w:hint="eastAsia" w:ascii="宋体" w:hAnsi="宋体"/>
          <w:color w:val="000000" w:themeColor="text1"/>
          <w:sz w:val="21"/>
          <w:szCs w:val="21"/>
          <w:u w:val="single"/>
          <w14:textFill>
            <w14:solidFill>
              <w14:schemeClr w14:val="tx1"/>
            </w14:solidFill>
          </w14:textFill>
        </w:rPr>
        <w:t xml:space="preserve">   壹  </w:t>
      </w:r>
      <w:r>
        <w:rPr>
          <w:rFonts w:hint="eastAsia" w:ascii="宋体" w:hAnsi="宋体"/>
          <w:color w:val="000000" w:themeColor="text1"/>
          <w:sz w:val="21"/>
          <w:szCs w:val="21"/>
          <w14:textFill>
            <w14:solidFill>
              <w14:schemeClr w14:val="tx1"/>
            </w14:solidFill>
          </w14:textFill>
        </w:rPr>
        <w:t>份，并保证投标文件提供的数据和材料是真实、准确的。否则，愿承担《政府采购法》</w:t>
      </w:r>
      <w:r>
        <w:rPr>
          <w:rFonts w:hint="eastAsia" w:ascii="宋体" w:hAnsi="宋体"/>
          <w:bCs/>
          <w:color w:val="000000" w:themeColor="text1"/>
          <w:sz w:val="21"/>
          <w:szCs w:val="21"/>
          <w14:textFill>
            <w14:solidFill>
              <w14:schemeClr w14:val="tx1"/>
            </w14:solidFill>
          </w14:textFill>
        </w:rPr>
        <w:t>第七十七条规定的法律责任。</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三、我方愿意向贵方提供任何与本项采购有关的数据、情况和技术资料。若贵方需要，我方愿意提供我方作出的一切承诺的证明材料。</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四、我方承诺遵守《政府采购法》的有关规定，保证在获得中标资格后，按照招标文件确定的事项签订政府采购合同，履行双方所签订的合同，并承担合同规定的责任和义务。</w:t>
      </w:r>
    </w:p>
    <w:p>
      <w:pPr>
        <w:pStyle w:val="26"/>
        <w:adjustRightInd w:val="0"/>
        <w:snapToGrid w:val="0"/>
        <w:spacing w:line="360" w:lineRule="auto"/>
        <w:ind w:firstLine="480" w:firstLineChars="200"/>
        <w:rPr>
          <w:rFonts w:ascii="宋体" w:hAnsi="宋体" w:cs="宋体"/>
          <w:color w:val="000000" w:themeColor="text1"/>
          <w14:textFill>
            <w14:solidFill>
              <w14:schemeClr w14:val="tx1"/>
            </w14:solidFill>
          </w14:textFill>
        </w:rPr>
      </w:pPr>
    </w:p>
    <w:p>
      <w:pPr>
        <w:adjustRightInd w:val="0"/>
        <w:snapToGrid w:val="0"/>
        <w:spacing w:line="360" w:lineRule="auto"/>
        <w:ind w:right="24"/>
        <w:rPr>
          <w:rFonts w:ascii="宋体" w:hAnsi="宋体" w:cs="宋体"/>
          <w:bCs/>
          <w:color w:val="000000" w:themeColor="text1"/>
          <w:szCs w:val="21"/>
          <w14:textFill>
            <w14:solidFill>
              <w14:schemeClr w14:val="tx1"/>
            </w14:solidFill>
          </w14:textFill>
        </w:rPr>
      </w:pPr>
    </w:p>
    <w:p>
      <w:pPr>
        <w:adjustRightInd w:val="0"/>
        <w:snapToGrid w:val="0"/>
        <w:spacing w:line="360" w:lineRule="auto"/>
        <w:ind w:right="24"/>
        <w:rPr>
          <w:rFonts w:ascii="宋体" w:hAnsi="宋体" w:cs="宋体"/>
          <w:bCs/>
          <w:color w:val="000000" w:themeColor="text1"/>
          <w:szCs w:val="21"/>
          <w14:textFill>
            <w14:solidFill>
              <w14:schemeClr w14:val="tx1"/>
            </w14:solidFill>
          </w14:textFill>
        </w:rPr>
      </w:pPr>
    </w:p>
    <w:p>
      <w:pPr>
        <w:adjustRightInd w:val="0"/>
        <w:snapToGrid w:val="0"/>
        <w:spacing w:line="360" w:lineRule="auto"/>
        <w:ind w:right="24"/>
        <w:rPr>
          <w:rFonts w:ascii="宋体" w:hAnsi="宋体" w:cs="宋体"/>
          <w:bCs/>
          <w:color w:val="000000" w:themeColor="text1"/>
          <w:szCs w:val="21"/>
          <w14:textFill>
            <w14:solidFill>
              <w14:schemeClr w14:val="tx1"/>
            </w14:solidFill>
          </w14:textFill>
        </w:rPr>
      </w:pPr>
    </w:p>
    <w:p>
      <w:pPr>
        <w:adjustRightInd w:val="0"/>
        <w:snapToGrid w:val="0"/>
        <w:spacing w:line="360" w:lineRule="auto"/>
        <w:ind w:right="24"/>
        <w:rPr>
          <w:rFonts w:ascii="宋体" w:hAnsi="宋体" w:cs="宋体"/>
          <w:bCs/>
          <w:color w:val="000000" w:themeColor="text1"/>
          <w:szCs w:val="21"/>
          <w14:textFill>
            <w14:solidFill>
              <w14:schemeClr w14:val="tx1"/>
            </w14:solidFill>
          </w14:textFill>
        </w:rPr>
      </w:pPr>
    </w:p>
    <w:p>
      <w:pPr>
        <w:adjustRightInd w:val="0"/>
        <w:snapToGrid w:val="0"/>
        <w:spacing w:line="360" w:lineRule="auto"/>
        <w:ind w:right="24"/>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附件1：</w:t>
      </w:r>
      <w:r>
        <w:rPr>
          <w:rFonts w:hint="eastAsia" w:ascii="宋体" w:hAnsi="宋体" w:cs="宋体"/>
          <w:color w:val="000000" w:themeColor="text1"/>
          <w:szCs w:val="21"/>
          <w14:textFill>
            <w14:solidFill>
              <w14:schemeClr w14:val="tx1"/>
            </w14:solidFill>
          </w14:textFill>
        </w:rPr>
        <w:t>法定代表人身份证明(法定代表人参加招标)</w:t>
      </w:r>
    </w:p>
    <w:p>
      <w:pPr>
        <w:adjustRightInd w:val="0"/>
        <w:snapToGrid w:val="0"/>
        <w:spacing w:line="360" w:lineRule="auto"/>
        <w:ind w:right="24"/>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附件2</w:t>
      </w:r>
      <w:r>
        <w:rPr>
          <w:rFonts w:hint="eastAsia" w:ascii="宋体" w:hAnsi="宋体" w:cs="宋体"/>
          <w:color w:val="000000" w:themeColor="text1"/>
          <w:szCs w:val="21"/>
          <w14:textFill>
            <w14:solidFill>
              <w14:schemeClr w14:val="tx1"/>
            </w14:solidFill>
          </w14:textFill>
        </w:rPr>
        <w:t>：法定代表人授权书(委托代理人参加招标)</w:t>
      </w:r>
    </w:p>
    <w:p>
      <w:pPr>
        <w:pStyle w:val="26"/>
        <w:adjustRightInd w:val="0"/>
        <w:snapToGrid w:val="0"/>
        <w:spacing w:line="360" w:lineRule="auto"/>
        <w:rPr>
          <w:rFonts w:ascii="宋体" w:hAnsi="宋体" w:cs="宋体"/>
          <w:color w:val="000000" w:themeColor="text1"/>
          <w14:textFill>
            <w14:solidFill>
              <w14:schemeClr w14:val="tx1"/>
            </w14:solidFill>
          </w14:textFill>
        </w:rPr>
      </w:pPr>
    </w:p>
    <w:p>
      <w:pPr>
        <w:pStyle w:val="26"/>
        <w:adjustRightInd w:val="0"/>
        <w:snapToGrid w:val="0"/>
        <w:spacing w:line="360" w:lineRule="auto"/>
        <w:rPr>
          <w:rFonts w:ascii="宋体" w:hAnsi="宋体" w:cs="宋体"/>
          <w:color w:val="000000" w:themeColor="text1"/>
          <w14:textFill>
            <w14:solidFill>
              <w14:schemeClr w14:val="tx1"/>
            </w14:solidFill>
          </w14:textFill>
        </w:rPr>
      </w:pPr>
    </w:p>
    <w:p>
      <w:pPr>
        <w:pStyle w:val="26"/>
        <w:adjustRightInd w:val="0"/>
        <w:snapToGrid w:val="0"/>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投标人名称(盖单位章)：</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 (签字)：</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adjustRightInd w:val="0"/>
        <w:snapToGrid w:val="0"/>
        <w:spacing w:line="360" w:lineRule="auto"/>
        <w:ind w:right="24"/>
        <w:rPr>
          <w:rFonts w:ascii="宋体" w:hAnsi="宋体" w:cs="宋体"/>
          <w:bCs/>
          <w:color w:val="000000" w:themeColor="text1"/>
          <w:szCs w:val="2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spacing w:line="360" w:lineRule="auto"/>
        <w:rPr>
          <w:rFonts w:ascii="宋体" w:hAnsi="宋体" w:cs="宋体"/>
          <w:color w:val="000000" w:themeColor="text1"/>
          <w:sz w:val="32"/>
          <w:szCs w:val="32"/>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附件8</w:t>
      </w:r>
    </w:p>
    <w:p>
      <w:pPr>
        <w:adjustRightInd w:val="0"/>
        <w:snapToGrid w:val="0"/>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投标人基本情况表</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盖投标人单位章</w:t>
      </w:r>
    </w:p>
    <w:tbl>
      <w:tblPr>
        <w:tblStyle w:val="46"/>
        <w:tblW w:w="83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777"/>
        <w:gridCol w:w="1635"/>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620"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名称</w:t>
            </w:r>
          </w:p>
        </w:tc>
        <w:tc>
          <w:tcPr>
            <w:tcW w:w="3654"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635"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tc>
        <w:tc>
          <w:tcPr>
            <w:tcW w:w="1409"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1" w:hRule="atLeast"/>
        </w:trPr>
        <w:tc>
          <w:tcPr>
            <w:tcW w:w="1620"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组织机构代码</w:t>
            </w:r>
          </w:p>
        </w:tc>
        <w:tc>
          <w:tcPr>
            <w:tcW w:w="3654"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635"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1409"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20"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p>
        </w:tc>
        <w:tc>
          <w:tcPr>
            <w:tcW w:w="3654"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635"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电子邮箱</w:t>
            </w:r>
          </w:p>
        </w:tc>
        <w:tc>
          <w:tcPr>
            <w:tcW w:w="1409"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20"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上年营业收入</w:t>
            </w:r>
          </w:p>
        </w:tc>
        <w:tc>
          <w:tcPr>
            <w:tcW w:w="3654"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635"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员工总人数</w:t>
            </w:r>
          </w:p>
        </w:tc>
        <w:tc>
          <w:tcPr>
            <w:tcW w:w="1409"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20"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固定电话</w:t>
            </w:r>
          </w:p>
        </w:tc>
        <w:tc>
          <w:tcPr>
            <w:tcW w:w="3654"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635" w:type="dxa"/>
            <w:vAlign w:val="center"/>
          </w:tcPr>
          <w:p>
            <w:pPr>
              <w:topLinePunct/>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主管部门</w:t>
            </w:r>
          </w:p>
        </w:tc>
        <w:tc>
          <w:tcPr>
            <w:tcW w:w="1409" w:type="dxa"/>
            <w:vAlign w:val="center"/>
          </w:tcPr>
          <w:p>
            <w:pPr>
              <w:topLinePunct/>
              <w:spacing w:line="4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9" w:type="dxa"/>
            <w:vMerge w:val="restart"/>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营业执照</w:t>
            </w:r>
          </w:p>
        </w:tc>
        <w:tc>
          <w:tcPr>
            <w:tcW w:w="2044"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注册号码</w:t>
            </w:r>
          </w:p>
        </w:tc>
        <w:tc>
          <w:tcPr>
            <w:tcW w:w="1440"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1" w:type="dxa"/>
            <w:gridSpan w:val="2"/>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注册地址</w:t>
            </w:r>
          </w:p>
        </w:tc>
        <w:tc>
          <w:tcPr>
            <w:tcW w:w="3044" w:type="dxa"/>
            <w:gridSpan w:val="2"/>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9" w:type="dxa"/>
            <w:vMerge w:val="continue"/>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2044"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发证机关</w:t>
            </w:r>
          </w:p>
        </w:tc>
        <w:tc>
          <w:tcPr>
            <w:tcW w:w="1440"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1" w:type="dxa"/>
            <w:gridSpan w:val="2"/>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发证日期</w:t>
            </w:r>
          </w:p>
        </w:tc>
        <w:tc>
          <w:tcPr>
            <w:tcW w:w="3044" w:type="dxa"/>
            <w:gridSpan w:val="2"/>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719" w:type="dxa"/>
            <w:vMerge w:val="continue"/>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2044"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营业范围</w:t>
            </w:r>
          </w:p>
        </w:tc>
        <w:tc>
          <w:tcPr>
            <w:tcW w:w="5555" w:type="dxa"/>
            <w:gridSpan w:val="6"/>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trPr>
        <w:tc>
          <w:tcPr>
            <w:tcW w:w="2763" w:type="dxa"/>
            <w:gridSpan w:val="4"/>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基本账户开户行及帐号</w:t>
            </w:r>
          </w:p>
        </w:tc>
        <w:tc>
          <w:tcPr>
            <w:tcW w:w="5555" w:type="dxa"/>
            <w:gridSpan w:val="6"/>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trPr>
        <w:tc>
          <w:tcPr>
            <w:tcW w:w="2763" w:type="dxa"/>
            <w:gridSpan w:val="4"/>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税务登记机关</w:t>
            </w:r>
          </w:p>
        </w:tc>
        <w:tc>
          <w:tcPr>
            <w:tcW w:w="5555" w:type="dxa"/>
            <w:gridSpan w:val="6"/>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3613"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资质名称</w:t>
            </w:r>
          </w:p>
        </w:tc>
        <w:tc>
          <w:tcPr>
            <w:tcW w:w="884"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等级</w:t>
            </w:r>
          </w:p>
        </w:tc>
        <w:tc>
          <w:tcPr>
            <w:tcW w:w="777"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发证机关</w:t>
            </w:r>
          </w:p>
        </w:tc>
        <w:tc>
          <w:tcPr>
            <w:tcW w:w="3044"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3613"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84"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77"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3044"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3613"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84"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77"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3044"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7" w:hRule="atLeast"/>
        </w:trPr>
        <w:tc>
          <w:tcPr>
            <w:tcW w:w="1258"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c>
          <w:tcPr>
            <w:tcW w:w="7060" w:type="dxa"/>
            <w:gridSpan w:val="8"/>
            <w:vAlign w:val="center"/>
          </w:tcPr>
          <w:p>
            <w:pPr>
              <w:topLinePunct/>
              <w:spacing w:line="440" w:lineRule="exact"/>
              <w:rPr>
                <w:rFonts w:ascii="宋体" w:hAnsi="宋体" w:cs="宋体"/>
                <w:color w:val="000000" w:themeColor="text1"/>
                <w:szCs w:val="21"/>
                <w14:textFill>
                  <w14:solidFill>
                    <w14:schemeClr w14:val="tx1"/>
                  </w14:solidFill>
                </w14:textFill>
              </w:rPr>
            </w:pPr>
          </w:p>
        </w:tc>
      </w:tr>
    </w:tbl>
    <w:p>
      <w:pPr>
        <w:adjustRightInd w:val="0"/>
        <w:snapToGrid w:val="0"/>
        <w:spacing w:line="360" w:lineRule="auto"/>
        <w:jc w:val="center"/>
        <w:rPr>
          <w:rFonts w:ascii="宋体" w:hAnsi="宋体" w:cs="宋体"/>
          <w:color w:val="000000" w:themeColor="text1"/>
          <w:sz w:val="24"/>
          <w14:textFill>
            <w14:solidFill>
              <w14:schemeClr w14:val="tx1"/>
            </w14:solidFill>
          </w14:textFill>
        </w:rPr>
      </w:pPr>
    </w:p>
    <w:p>
      <w:pPr>
        <w:spacing w:line="480" w:lineRule="exact"/>
        <w:rPr>
          <w:rFonts w:ascii="宋体" w:hAnsi="宋体" w:cs="宋体"/>
          <w:color w:val="000000" w:themeColor="text1"/>
          <w:sz w:val="32"/>
          <w:szCs w:val="32"/>
          <w14:textFill>
            <w14:solidFill>
              <w14:schemeClr w14:val="tx1"/>
            </w14:solidFill>
          </w14:textFill>
        </w:rPr>
      </w:pPr>
    </w:p>
    <w:p>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附件9</w:t>
      </w:r>
    </w:p>
    <w:p>
      <w:pPr>
        <w:adjustRightInd w:val="0"/>
        <w:snapToGrid w:val="0"/>
        <w:spacing w:line="360" w:lineRule="auto"/>
        <w:ind w:firstLine="560" w:firstLineChars="200"/>
        <w:jc w:val="center"/>
        <w:rPr>
          <w:rFonts w:ascii="宋体" w:hAnsi="宋体" w:cs="宋体"/>
          <w:color w:val="000000" w:themeColor="text1"/>
          <w:sz w:val="28"/>
          <w:szCs w:val="28"/>
          <w:highlight w:val="yellow"/>
          <w14:textFill>
            <w14:solidFill>
              <w14:schemeClr w14:val="tx1"/>
            </w14:solidFill>
          </w14:textFill>
        </w:rPr>
      </w:pPr>
    </w:p>
    <w:p>
      <w:pPr>
        <w:adjustRightInd w:val="0"/>
        <w:snapToGrid w:val="0"/>
        <w:spacing w:line="360" w:lineRule="auto"/>
        <w:ind w:firstLine="562" w:firstLineChars="200"/>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具备履行合同所必需的设备和专业技术能力的承诺</w:t>
      </w:r>
    </w:p>
    <w:p>
      <w:pPr>
        <w:adjustRightInd w:val="0"/>
        <w:snapToGrid w:val="0"/>
        <w:spacing w:line="360" w:lineRule="auto"/>
        <w:ind w:firstLine="560" w:firstLineChars="200"/>
        <w:jc w:val="center"/>
        <w:rPr>
          <w:rFonts w:ascii="宋体" w:hAnsi="宋体" w:cs="宋体"/>
          <w:color w:val="000000" w:themeColor="text1"/>
          <w:sz w:val="28"/>
          <w:szCs w:val="28"/>
          <w14:textFill>
            <w14:solidFill>
              <w14:schemeClr w14:val="tx1"/>
            </w14:solidFill>
          </w14:textFill>
        </w:rPr>
      </w:pPr>
    </w:p>
    <w:p>
      <w:pPr>
        <w:autoSpaceDE w:val="0"/>
        <w:autoSpaceDN w:val="0"/>
        <w:adjustRightInd w:val="0"/>
        <w:spacing w:line="440" w:lineRule="exact"/>
        <w:jc w:val="left"/>
        <w:rPr>
          <w:rFonts w:ascii="宋体" w:hAnsi="宋体" w:cs="宋体"/>
          <w:color w:val="000000" w:themeColor="text1"/>
          <w:kern w:val="0"/>
          <w:sz w:val="23"/>
          <w:szCs w:val="23"/>
          <w14:textFill>
            <w14:solidFill>
              <w14:schemeClr w14:val="tx1"/>
            </w14:solidFill>
          </w14:textFill>
        </w:rPr>
      </w:pPr>
      <w:r>
        <w:rPr>
          <w:rFonts w:hint="eastAsia" w:ascii="宋体" w:hAnsi="宋体" w:cs="宋体"/>
          <w:color w:val="000000" w:themeColor="text1"/>
          <w:kern w:val="0"/>
          <w:sz w:val="23"/>
          <w:szCs w:val="23"/>
          <w14:textFill>
            <w14:solidFill>
              <w14:schemeClr w14:val="tx1"/>
            </w14:solidFill>
          </w14:textFill>
        </w:rPr>
        <w:t xml:space="preserve">本投标单位郑重声明： </w:t>
      </w:r>
    </w:p>
    <w:p>
      <w:pPr>
        <w:autoSpaceDE w:val="0"/>
        <w:autoSpaceDN w:val="0"/>
        <w:adjustRightInd w:val="0"/>
        <w:spacing w:line="440" w:lineRule="exact"/>
        <w:ind w:left="420"/>
        <w:jc w:val="left"/>
        <w:rPr>
          <w:rFonts w:ascii="宋体" w:hAnsi="宋体" w:cs="宋体"/>
          <w:color w:val="000000" w:themeColor="text1"/>
          <w:kern w:val="0"/>
          <w:sz w:val="23"/>
          <w:szCs w:val="23"/>
          <w14:textFill>
            <w14:solidFill>
              <w14:schemeClr w14:val="tx1"/>
            </w14:solidFill>
          </w14:textFill>
        </w:rPr>
      </w:pPr>
    </w:p>
    <w:p>
      <w:pPr>
        <w:autoSpaceDE w:val="0"/>
        <w:autoSpaceDN w:val="0"/>
        <w:adjustRightInd w:val="0"/>
        <w:spacing w:line="440" w:lineRule="exact"/>
        <w:ind w:firstLine="460" w:firstLineChars="200"/>
        <w:jc w:val="left"/>
        <w:rPr>
          <w:rFonts w:ascii="宋体" w:hAnsi="宋体" w:cs="宋体"/>
          <w:color w:val="000000" w:themeColor="text1"/>
          <w:kern w:val="0"/>
          <w:sz w:val="23"/>
          <w:szCs w:val="23"/>
          <w14:textFill>
            <w14:solidFill>
              <w14:schemeClr w14:val="tx1"/>
            </w14:solidFill>
          </w14:textFill>
        </w:rPr>
      </w:pPr>
      <w:r>
        <w:rPr>
          <w:rFonts w:hint="eastAsia" w:ascii="宋体" w:hAnsi="宋体" w:cs="宋体"/>
          <w:color w:val="000000" w:themeColor="text1"/>
          <w:kern w:val="0"/>
          <w:sz w:val="23"/>
          <w:szCs w:val="23"/>
          <w14:textFill>
            <w14:solidFill>
              <w14:schemeClr w14:val="tx1"/>
            </w14:solidFill>
          </w14:textFill>
        </w:rPr>
        <w:t xml:space="preserve">本公司（或单位）具备本项目履行合同所必需的设备和专业技术能力，特此承诺。 </w:t>
      </w:r>
    </w:p>
    <w:p>
      <w:pPr>
        <w:autoSpaceDE w:val="0"/>
        <w:autoSpaceDN w:val="0"/>
        <w:adjustRightInd w:val="0"/>
        <w:spacing w:line="440" w:lineRule="exact"/>
        <w:jc w:val="left"/>
        <w:rPr>
          <w:rFonts w:ascii="宋体" w:hAnsi="宋体" w:cs="宋体"/>
          <w:color w:val="000000" w:themeColor="text1"/>
          <w:kern w:val="0"/>
          <w:sz w:val="23"/>
          <w:szCs w:val="23"/>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3"/>
          <w:szCs w:val="23"/>
          <w14:textFill>
            <w14:solidFill>
              <w14:schemeClr w14:val="tx1"/>
            </w14:solidFill>
          </w14:textFill>
        </w:rPr>
        <w:t>投标单位</w:t>
      </w:r>
      <w:r>
        <w:rPr>
          <w:rFonts w:hint="eastAsia" w:ascii="宋体" w:hAnsi="宋体" w:cs="宋体"/>
          <w:color w:val="000000" w:themeColor="text1"/>
          <w:szCs w:val="21"/>
          <w14:textFill>
            <w14:solidFill>
              <w14:schemeClr w14:val="tx1"/>
            </w14:solidFill>
          </w14:textFill>
        </w:rPr>
        <w:t>（盖单位章）：</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日</w:t>
      </w:r>
    </w:p>
    <w:p>
      <w:pPr>
        <w:pStyle w:val="5"/>
        <w:rPr>
          <w:rFonts w:hint="eastAsia" w:ascii="宋体" w:hAnsi="宋体" w:cs="宋体"/>
          <w:bCs/>
          <w:color w:val="000000" w:themeColor="text1"/>
          <w:szCs w:val="21"/>
          <w14:textFill>
            <w14:solidFill>
              <w14:schemeClr w14:val="tx1"/>
            </w14:solidFill>
          </w14:textFill>
        </w:rPr>
      </w:pPr>
    </w:p>
    <w:p>
      <w:r>
        <w:br w:type="page"/>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附件10</w:t>
      </w:r>
    </w:p>
    <w:p>
      <w:pPr>
        <w:pStyle w:val="22"/>
        <w:ind w:left="0" w:leftChars="0" w:firstLine="0" w:firstLineChars="0"/>
        <w:jc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参数偏离表（商务、技术）</w:t>
      </w:r>
    </w:p>
    <w:p>
      <w:pPr>
        <w:pStyle w:val="22"/>
        <w:ind w:left="0" w:leftChars="0" w:firstLine="0" w:firstLineChars="0"/>
        <w:jc w:val="center"/>
        <w:rPr>
          <w:rFonts w:ascii="宋体" w:hAnsi="宋体" w:cs="宋体"/>
          <w:color w:val="000000"/>
          <w:szCs w:val="21"/>
        </w:rPr>
      </w:pPr>
      <w:r>
        <w:rPr>
          <w:rFonts w:hint="eastAsia" w:ascii="宋体" w:hAnsi="宋体" w:cs="宋体"/>
          <w:color w:val="000000"/>
          <w:szCs w:val="21"/>
        </w:rPr>
        <w:t>（此页需关联至评分项“产品配置、技术参数”中）</w:t>
      </w:r>
    </w:p>
    <w:p>
      <w:pPr>
        <w:autoSpaceDE w:val="0"/>
        <w:autoSpaceDN w:val="0"/>
        <w:ind w:right="471"/>
        <w:textAlignment w:val="bottom"/>
        <w:rPr>
          <w:rFonts w:ascii="宋体" w:hAnsi="宋体" w:cs="Arial"/>
          <w:color w:val="000000" w:themeColor="text1"/>
          <w:u w:val="single"/>
          <w14:textFill>
            <w14:solidFill>
              <w14:schemeClr w14:val="tx1"/>
            </w14:solidFill>
          </w14:textFill>
        </w:rPr>
      </w:pPr>
    </w:p>
    <w:tbl>
      <w:tblPr>
        <w:tblStyle w:val="46"/>
        <w:tblW w:w="8870"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605"/>
        <w:gridCol w:w="1994"/>
        <w:gridCol w:w="1932"/>
        <w:gridCol w:w="1560"/>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trPr>
        <w:tc>
          <w:tcPr>
            <w:tcW w:w="676" w:type="dxa"/>
            <w:vAlign w:val="center"/>
          </w:tcPr>
          <w:p>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605" w:type="dxa"/>
            <w:vAlign w:val="center"/>
          </w:tcPr>
          <w:p>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采购文件品目名称</w:t>
            </w:r>
          </w:p>
        </w:tc>
        <w:tc>
          <w:tcPr>
            <w:tcW w:w="1994" w:type="dxa"/>
            <w:vAlign w:val="center"/>
          </w:tcPr>
          <w:p>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采购文件要求参数</w:t>
            </w:r>
          </w:p>
        </w:tc>
        <w:tc>
          <w:tcPr>
            <w:tcW w:w="1932" w:type="dxa"/>
            <w:vAlign w:val="center"/>
          </w:tcPr>
          <w:p>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投标文件响应参数（</w:t>
            </w:r>
            <w:r>
              <w:rPr>
                <w:rFonts w:hint="eastAsia" w:ascii="宋体" w:hAnsi="宋体"/>
                <w:color w:val="000000" w:themeColor="text1"/>
                <w:szCs w:val="21"/>
                <w14:textFill>
                  <w14:solidFill>
                    <w14:schemeClr w14:val="tx1"/>
                  </w14:solidFill>
                </w14:textFill>
              </w:rPr>
              <w:t>投标文件技术参数</w:t>
            </w:r>
            <w:r>
              <w:rPr>
                <w:rFonts w:hint="eastAsia" w:ascii="宋体" w:hAnsi="宋体"/>
                <w:color w:val="000000" w:themeColor="text1"/>
                <w14:textFill>
                  <w14:solidFill>
                    <w14:schemeClr w14:val="tx1"/>
                  </w14:solidFill>
                </w14:textFill>
              </w:rPr>
              <w:t>）</w:t>
            </w:r>
          </w:p>
        </w:tc>
        <w:tc>
          <w:tcPr>
            <w:tcW w:w="1560" w:type="dxa"/>
            <w:vAlign w:val="center"/>
          </w:tcPr>
          <w:p>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相关证明文件中的描述在投标文件中的具体页码</w:t>
            </w:r>
          </w:p>
        </w:tc>
        <w:tc>
          <w:tcPr>
            <w:tcW w:w="1103" w:type="dxa"/>
            <w:vAlign w:val="center"/>
          </w:tcPr>
          <w:p>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偏离说明（无偏离，正/负偏离及偏离情况）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vAlign w:val="center"/>
          </w:tcPr>
          <w:p>
            <w:pPr>
              <w:snapToGrid w:val="0"/>
              <w:spacing w:line="400" w:lineRule="exact"/>
              <w:jc w:val="center"/>
            </w:pPr>
            <w:r>
              <w:rPr>
                <w:rFonts w:hint="eastAsia"/>
              </w:rPr>
              <w:t>1</w:t>
            </w:r>
          </w:p>
        </w:tc>
        <w:tc>
          <w:tcPr>
            <w:tcW w:w="1605" w:type="dxa"/>
            <w:vAlign w:val="center"/>
          </w:tcPr>
          <w:p>
            <w:pPr>
              <w:snapToGrid w:val="0"/>
              <w:spacing w:line="400" w:lineRule="exact"/>
              <w:jc w:val="center"/>
              <w:rPr>
                <w:rFonts w:hint="eastAsia" w:ascii="宋体" w:hAnsi="宋体" w:eastAsia="宋体" w:cs="宋体"/>
                <w:i/>
                <w:iCs/>
                <w:szCs w:val="21"/>
                <w:lang w:eastAsia="zh-CN"/>
              </w:rPr>
            </w:pPr>
            <w:r>
              <w:rPr>
                <w:rFonts w:hint="eastAsia" w:ascii="宋体" w:hAnsi="宋体"/>
                <w:szCs w:val="21"/>
              </w:rPr>
              <w:t>第二章第1.5款：</w:t>
            </w:r>
            <w:r>
              <w:rPr>
                <w:rFonts w:hint="eastAsia" w:ascii="宋体" w:hAnsi="宋体"/>
                <w:lang w:eastAsia="zh-CN"/>
              </w:rPr>
              <w:t>履约期限</w:t>
            </w:r>
          </w:p>
        </w:tc>
        <w:tc>
          <w:tcPr>
            <w:tcW w:w="1994" w:type="dxa"/>
            <w:vAlign w:val="center"/>
          </w:tcPr>
          <w:p>
            <w:pPr>
              <w:shd w:val="clear" w:color="auto" w:fill="FFFFFF"/>
              <w:spacing w:line="400" w:lineRule="exact"/>
              <w:ind w:left="-88" w:leftChars="-42"/>
              <w:jc w:val="center"/>
              <w:rPr>
                <w:rFonts w:hint="eastAsia" w:ascii="宋体" w:hAnsi="宋体" w:eastAsia="宋体"/>
                <w:lang w:eastAsia="zh-CN"/>
              </w:rPr>
            </w:pPr>
            <w:r>
              <w:rPr>
                <w:rFonts w:hint="eastAsia"/>
                <w:color w:val="FF0000"/>
              </w:rPr>
              <w:t>★</w:t>
            </w:r>
            <w:r>
              <w:rPr>
                <w:rFonts w:hint="eastAsia"/>
                <w:color w:val="FF0000"/>
                <w:lang w:eastAsia="zh-CN"/>
              </w:rPr>
              <w:t>合同签订后30天内（施工过程中不得影响正常教学）</w:t>
            </w:r>
          </w:p>
        </w:tc>
        <w:tc>
          <w:tcPr>
            <w:tcW w:w="1932" w:type="dxa"/>
            <w:vAlign w:val="center"/>
          </w:tcPr>
          <w:p>
            <w:pPr>
              <w:shd w:val="clear" w:color="auto" w:fill="FFFFFF"/>
              <w:spacing w:line="400" w:lineRule="exact"/>
              <w:ind w:left="-88" w:leftChars="-42"/>
              <w:rPr>
                <w:rFonts w:ascii="宋体" w:hAnsi="宋体" w:cs="宋体"/>
                <w:i/>
                <w:iCs/>
                <w:szCs w:val="21"/>
              </w:rPr>
            </w:pPr>
            <w:r>
              <w:rPr>
                <w:rFonts w:hint="eastAsia" w:ascii="宋体" w:hAnsi="宋体"/>
                <w:szCs w:val="21"/>
              </w:rPr>
              <w:t xml:space="preserve"> </w:t>
            </w:r>
          </w:p>
        </w:tc>
        <w:tc>
          <w:tcPr>
            <w:tcW w:w="1560" w:type="dxa"/>
            <w:vAlign w:val="center"/>
          </w:tcPr>
          <w:p>
            <w:pPr>
              <w:shd w:val="clear" w:color="auto" w:fill="FFFFFF"/>
              <w:spacing w:line="400" w:lineRule="exact"/>
              <w:ind w:left="-88" w:leftChars="-42"/>
              <w:jc w:val="center"/>
              <w:rPr>
                <w:rFonts w:ascii="宋体" w:hAnsi="宋体"/>
              </w:rPr>
            </w:pPr>
            <w:r>
              <w:rPr>
                <w:rFonts w:hint="eastAsia" w:ascii="宋体" w:hAnsi="宋体" w:cs="宋体"/>
                <w:kern w:val="0"/>
                <w:szCs w:val="21"/>
              </w:rPr>
              <w:t xml:space="preserve">开标一览表（符合性审查文件） </w:t>
            </w:r>
          </w:p>
        </w:tc>
        <w:tc>
          <w:tcPr>
            <w:tcW w:w="1103" w:type="dxa"/>
            <w:vAlign w:val="center"/>
          </w:tcPr>
          <w:p>
            <w:pPr>
              <w:shd w:val="clear" w:color="auto" w:fill="FFFFFF"/>
              <w:spacing w:line="400" w:lineRule="exact"/>
              <w:ind w:left="-88" w:leftChars="-4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vAlign w:val="center"/>
          </w:tcPr>
          <w:p>
            <w:pPr>
              <w:snapToGrid w:val="0"/>
              <w:spacing w:line="400" w:lineRule="exact"/>
              <w:jc w:val="center"/>
            </w:pPr>
            <w:r>
              <w:rPr>
                <w:rFonts w:hint="eastAsia"/>
              </w:rPr>
              <w:t>2</w:t>
            </w:r>
          </w:p>
        </w:tc>
        <w:tc>
          <w:tcPr>
            <w:tcW w:w="1605" w:type="dxa"/>
            <w:vAlign w:val="center"/>
          </w:tcPr>
          <w:p>
            <w:pPr>
              <w:snapToGrid w:val="0"/>
              <w:spacing w:line="400" w:lineRule="exact"/>
              <w:jc w:val="center"/>
              <w:rPr>
                <w:rFonts w:ascii="宋体" w:hAnsi="宋体"/>
              </w:rPr>
            </w:pPr>
            <w:r>
              <w:rPr>
                <w:rFonts w:hint="eastAsia" w:ascii="宋体" w:hAnsi="宋体"/>
                <w:szCs w:val="21"/>
              </w:rPr>
              <w:t>第二章第10.1款：</w:t>
            </w:r>
            <w:r>
              <w:rPr>
                <w:rFonts w:hint="eastAsia" w:ascii="宋体" w:hAnsi="宋体"/>
              </w:rPr>
              <w:t>质保期</w:t>
            </w:r>
          </w:p>
        </w:tc>
        <w:tc>
          <w:tcPr>
            <w:tcW w:w="1994" w:type="dxa"/>
            <w:vAlign w:val="center"/>
          </w:tcPr>
          <w:p>
            <w:pPr>
              <w:pStyle w:val="18"/>
              <w:rPr>
                <w:rFonts w:hint="eastAsia" w:ascii="宋体" w:hAnsi="宋体" w:eastAsia="宋体"/>
                <w:lang w:eastAsia="zh-CN"/>
              </w:rPr>
            </w:pPr>
            <w:r>
              <w:rPr>
                <w:rFonts w:hint="eastAsia"/>
                <w:color w:val="FF0000"/>
                <w:lang w:eastAsia="zh-CN"/>
              </w:rPr>
              <w:t>★</w:t>
            </w:r>
            <w:r>
              <w:rPr>
                <w:rFonts w:hint="eastAsia"/>
                <w:color w:val="FF0000"/>
                <w:highlight w:val="none"/>
                <w:lang w:eastAsia="zh-CN"/>
              </w:rPr>
              <w:t>验收合格后一年内</w:t>
            </w:r>
            <w:r>
              <w:rPr>
                <w:rFonts w:hint="eastAsia"/>
                <w:color w:val="FF0000"/>
                <w:lang w:eastAsia="zh-CN"/>
              </w:rPr>
              <w:t>。</w:t>
            </w:r>
          </w:p>
        </w:tc>
        <w:tc>
          <w:tcPr>
            <w:tcW w:w="1932" w:type="dxa"/>
            <w:vAlign w:val="center"/>
          </w:tcPr>
          <w:p>
            <w:pPr>
              <w:shd w:val="clear" w:color="auto" w:fill="FFFFFF"/>
              <w:spacing w:line="400" w:lineRule="exact"/>
              <w:ind w:left="-88" w:leftChars="-42"/>
              <w:jc w:val="center"/>
              <w:rPr>
                <w:rFonts w:ascii="宋体" w:hAnsi="宋体"/>
              </w:rPr>
            </w:pPr>
          </w:p>
        </w:tc>
        <w:tc>
          <w:tcPr>
            <w:tcW w:w="1560" w:type="dxa"/>
            <w:vAlign w:val="center"/>
          </w:tcPr>
          <w:p>
            <w:pPr>
              <w:shd w:val="clear" w:color="auto" w:fill="FFFFFF"/>
              <w:spacing w:line="400" w:lineRule="exact"/>
              <w:ind w:left="-88" w:leftChars="-42"/>
              <w:jc w:val="center"/>
              <w:rPr>
                <w:rFonts w:ascii="宋体" w:hAnsi="宋体"/>
              </w:rPr>
            </w:pPr>
            <w:r>
              <w:rPr>
                <w:rFonts w:hint="eastAsia" w:ascii="宋体" w:hAnsi="宋体" w:cs="宋体"/>
                <w:kern w:val="0"/>
                <w:szCs w:val="21"/>
              </w:rPr>
              <w:t>开标一览表（符合性审查文件）</w:t>
            </w:r>
          </w:p>
        </w:tc>
        <w:tc>
          <w:tcPr>
            <w:tcW w:w="1103" w:type="dxa"/>
            <w:vAlign w:val="center"/>
          </w:tcPr>
          <w:p>
            <w:pPr>
              <w:shd w:val="clear" w:color="auto" w:fill="FFFFFF"/>
              <w:spacing w:line="400" w:lineRule="exact"/>
              <w:ind w:left="-88" w:leftChars="-4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vAlign w:val="center"/>
          </w:tcPr>
          <w:p>
            <w:pPr>
              <w:snapToGrid w:val="0"/>
              <w:spacing w:line="400" w:lineRule="exact"/>
              <w:jc w:val="center"/>
              <w:rPr>
                <w:rFonts w:ascii="宋体" w:hAnsi="宋体"/>
              </w:rPr>
            </w:pPr>
            <w:r>
              <w:rPr>
                <w:rFonts w:hint="eastAsia"/>
              </w:rPr>
              <w:t>3</w:t>
            </w:r>
          </w:p>
        </w:tc>
        <w:tc>
          <w:tcPr>
            <w:tcW w:w="1605" w:type="dxa"/>
            <w:vAlign w:val="center"/>
          </w:tcPr>
          <w:p>
            <w:pPr>
              <w:snapToGrid w:val="0"/>
              <w:spacing w:line="400" w:lineRule="exact"/>
              <w:jc w:val="center"/>
              <w:rPr>
                <w:rFonts w:hint="eastAsia" w:ascii="宋体" w:hAnsi="宋体" w:eastAsia="宋体"/>
                <w:lang w:eastAsia="zh-CN"/>
              </w:rPr>
            </w:pPr>
            <w:r>
              <w:rPr>
                <w:rFonts w:hint="eastAsia" w:ascii="宋体" w:hAnsi="宋体"/>
              </w:rPr>
              <w:t>第五章第1款：</w:t>
            </w:r>
            <w:r>
              <w:rPr>
                <w:rFonts w:hint="eastAsia" w:ascii="宋体" w:hAnsi="宋体" w:cs="宋体"/>
                <w:i w:val="0"/>
                <w:iCs w:val="0"/>
                <w:color w:val="000000"/>
                <w:kern w:val="0"/>
                <w:sz w:val="20"/>
                <w:szCs w:val="20"/>
                <w:highlight w:val="none"/>
                <w:u w:val="none"/>
                <w:lang w:val="en-US" w:eastAsia="zh-CN" w:bidi="ar"/>
              </w:rPr>
              <w:t>道闸</w:t>
            </w:r>
          </w:p>
        </w:tc>
        <w:tc>
          <w:tcPr>
            <w:tcW w:w="1994" w:type="dxa"/>
            <w:vAlign w:val="center"/>
          </w:tcPr>
          <w:p>
            <w:pPr>
              <w:shd w:val="clear" w:color="auto" w:fill="FFFFFF"/>
              <w:spacing w:line="400" w:lineRule="exact"/>
              <w:ind w:left="-88" w:leftChars="-42"/>
              <w:jc w:val="center"/>
              <w:rPr>
                <w:rFonts w:ascii="宋体" w:hAnsi="宋体"/>
              </w:rPr>
            </w:pPr>
            <w:r>
              <w:rPr>
                <w:rFonts w:hint="eastAsia" w:ascii="宋体" w:hAnsi="宋体"/>
                <w:szCs w:val="21"/>
              </w:rPr>
              <w:t xml:space="preserve"> </w:t>
            </w:r>
          </w:p>
        </w:tc>
        <w:tc>
          <w:tcPr>
            <w:tcW w:w="1932" w:type="dxa"/>
            <w:vAlign w:val="center"/>
          </w:tcPr>
          <w:p>
            <w:pPr>
              <w:shd w:val="clear" w:color="auto" w:fill="FFFFFF"/>
              <w:spacing w:line="400" w:lineRule="exact"/>
              <w:ind w:left="-88" w:leftChars="-42"/>
              <w:jc w:val="center"/>
              <w:rPr>
                <w:rFonts w:ascii="宋体" w:hAnsi="宋体"/>
              </w:rPr>
            </w:pPr>
          </w:p>
        </w:tc>
        <w:tc>
          <w:tcPr>
            <w:tcW w:w="1560" w:type="dxa"/>
            <w:vAlign w:val="center"/>
          </w:tcPr>
          <w:p>
            <w:pPr>
              <w:shd w:val="clear" w:color="auto" w:fill="FFFFFF"/>
              <w:spacing w:line="400" w:lineRule="exact"/>
              <w:ind w:left="-88" w:leftChars="-42"/>
              <w:jc w:val="center"/>
              <w:rPr>
                <w:rFonts w:ascii="宋体" w:hAnsi="宋体"/>
              </w:rPr>
            </w:pPr>
            <w:r>
              <w:rPr>
                <w:rFonts w:hint="eastAsia" w:ascii="宋体" w:hAnsi="宋体"/>
              </w:rPr>
              <w:t>投标明细表</w:t>
            </w:r>
          </w:p>
          <w:p>
            <w:pPr>
              <w:shd w:val="clear" w:color="auto" w:fill="FFFFFF"/>
              <w:spacing w:line="400" w:lineRule="exact"/>
              <w:ind w:left="-88" w:leftChars="-42"/>
              <w:jc w:val="center"/>
              <w:rPr>
                <w:rFonts w:ascii="宋体" w:hAnsi="宋体"/>
              </w:rPr>
            </w:pPr>
            <w:r>
              <w:rPr>
                <w:rFonts w:hint="eastAsia" w:ascii="宋体" w:hAnsi="宋体"/>
              </w:rPr>
              <w:t>（页码）</w:t>
            </w:r>
          </w:p>
        </w:tc>
        <w:tc>
          <w:tcPr>
            <w:tcW w:w="1103" w:type="dxa"/>
            <w:vAlign w:val="center"/>
          </w:tcPr>
          <w:p>
            <w:pPr>
              <w:shd w:val="clear" w:color="auto" w:fill="FFFFFF"/>
              <w:spacing w:line="400" w:lineRule="exact"/>
              <w:ind w:left="-88" w:leftChars="-4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vAlign w:val="center"/>
          </w:tcPr>
          <w:p>
            <w:pPr>
              <w:snapToGrid w:val="0"/>
              <w:spacing w:line="400" w:lineRule="exact"/>
              <w:jc w:val="center"/>
              <w:rPr>
                <w:rFonts w:ascii="宋体" w:hAnsi="宋体"/>
              </w:rPr>
            </w:pPr>
          </w:p>
        </w:tc>
        <w:tc>
          <w:tcPr>
            <w:tcW w:w="1605" w:type="dxa"/>
            <w:vAlign w:val="center"/>
          </w:tcPr>
          <w:p>
            <w:pPr>
              <w:snapToGrid w:val="0"/>
              <w:spacing w:line="400" w:lineRule="exact"/>
              <w:jc w:val="center"/>
              <w:rPr>
                <w:rFonts w:ascii="宋体" w:hAnsi="宋体"/>
              </w:rPr>
            </w:pPr>
            <w:r>
              <w:rPr>
                <w:rFonts w:hint="eastAsia" w:ascii="宋体" w:hAnsi="宋体" w:cs="宋体"/>
                <w:szCs w:val="21"/>
              </w:rPr>
              <w:t>……</w:t>
            </w:r>
          </w:p>
        </w:tc>
        <w:tc>
          <w:tcPr>
            <w:tcW w:w="1994" w:type="dxa"/>
            <w:vAlign w:val="center"/>
          </w:tcPr>
          <w:p>
            <w:pPr>
              <w:shd w:val="clear" w:color="auto" w:fill="FFFFFF"/>
              <w:spacing w:line="400" w:lineRule="exact"/>
              <w:ind w:left="-88" w:leftChars="-42"/>
              <w:jc w:val="center"/>
              <w:rPr>
                <w:rFonts w:ascii="宋体" w:hAnsi="宋体"/>
              </w:rPr>
            </w:pPr>
            <w:r>
              <w:rPr>
                <w:rFonts w:hint="eastAsia" w:ascii="宋体" w:hAnsi="宋体" w:cs="宋体"/>
                <w:szCs w:val="21"/>
              </w:rPr>
              <w:t>……</w:t>
            </w:r>
          </w:p>
        </w:tc>
        <w:tc>
          <w:tcPr>
            <w:tcW w:w="1932" w:type="dxa"/>
            <w:vAlign w:val="center"/>
          </w:tcPr>
          <w:p>
            <w:pPr>
              <w:shd w:val="clear" w:color="auto" w:fill="FFFFFF"/>
              <w:spacing w:line="400" w:lineRule="exact"/>
              <w:ind w:left="-88" w:leftChars="-42"/>
              <w:jc w:val="center"/>
              <w:rPr>
                <w:rFonts w:ascii="宋体" w:hAnsi="宋体"/>
              </w:rPr>
            </w:pPr>
          </w:p>
        </w:tc>
        <w:tc>
          <w:tcPr>
            <w:tcW w:w="1560" w:type="dxa"/>
            <w:vAlign w:val="center"/>
          </w:tcPr>
          <w:p>
            <w:pPr>
              <w:shd w:val="clear" w:color="auto" w:fill="FFFFFF"/>
              <w:spacing w:line="400" w:lineRule="exact"/>
              <w:ind w:left="-88" w:leftChars="-42"/>
              <w:jc w:val="center"/>
              <w:rPr>
                <w:rFonts w:ascii="宋体" w:hAnsi="宋体"/>
              </w:rPr>
            </w:pPr>
          </w:p>
        </w:tc>
        <w:tc>
          <w:tcPr>
            <w:tcW w:w="1103" w:type="dxa"/>
            <w:vAlign w:val="center"/>
          </w:tcPr>
          <w:p>
            <w:pPr>
              <w:shd w:val="clear" w:color="auto" w:fill="FFFFFF"/>
              <w:spacing w:line="400" w:lineRule="exact"/>
              <w:ind w:left="-88" w:leftChars="-4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676" w:type="dxa"/>
            <w:vAlign w:val="center"/>
          </w:tcPr>
          <w:p>
            <w:pPr>
              <w:snapToGrid w:val="0"/>
              <w:spacing w:line="400" w:lineRule="exact"/>
              <w:jc w:val="center"/>
              <w:rPr>
                <w:rFonts w:ascii="宋体" w:hAnsi="宋体"/>
              </w:rPr>
            </w:pPr>
          </w:p>
        </w:tc>
        <w:tc>
          <w:tcPr>
            <w:tcW w:w="1605" w:type="dxa"/>
            <w:vAlign w:val="center"/>
          </w:tcPr>
          <w:p>
            <w:pPr>
              <w:snapToGrid w:val="0"/>
              <w:spacing w:line="400" w:lineRule="exact"/>
              <w:jc w:val="center"/>
              <w:rPr>
                <w:rFonts w:ascii="宋体" w:hAnsi="宋体"/>
              </w:rPr>
            </w:pPr>
            <w:r>
              <w:rPr>
                <w:rFonts w:hint="eastAsia" w:ascii="宋体" w:hAnsi="宋体" w:cs="宋体"/>
                <w:szCs w:val="21"/>
              </w:rPr>
              <w:t>……</w:t>
            </w:r>
          </w:p>
        </w:tc>
        <w:tc>
          <w:tcPr>
            <w:tcW w:w="1994" w:type="dxa"/>
            <w:vAlign w:val="center"/>
          </w:tcPr>
          <w:p>
            <w:pPr>
              <w:shd w:val="clear" w:color="auto" w:fill="FFFFFF"/>
              <w:spacing w:line="400" w:lineRule="exact"/>
              <w:ind w:left="-88" w:leftChars="-42"/>
              <w:jc w:val="center"/>
              <w:rPr>
                <w:rFonts w:ascii="宋体" w:hAnsi="宋体"/>
              </w:rPr>
            </w:pPr>
            <w:r>
              <w:rPr>
                <w:rFonts w:hint="eastAsia" w:ascii="宋体" w:hAnsi="宋体" w:cs="宋体"/>
                <w:szCs w:val="21"/>
              </w:rPr>
              <w:t>……</w:t>
            </w:r>
          </w:p>
        </w:tc>
        <w:tc>
          <w:tcPr>
            <w:tcW w:w="1932" w:type="dxa"/>
            <w:vAlign w:val="center"/>
          </w:tcPr>
          <w:p>
            <w:pPr>
              <w:shd w:val="clear" w:color="auto" w:fill="FFFFFF"/>
              <w:spacing w:line="400" w:lineRule="exact"/>
              <w:ind w:left="-88" w:leftChars="-42"/>
              <w:jc w:val="center"/>
              <w:rPr>
                <w:rFonts w:ascii="宋体" w:hAnsi="宋体"/>
              </w:rPr>
            </w:pPr>
          </w:p>
        </w:tc>
        <w:tc>
          <w:tcPr>
            <w:tcW w:w="1560" w:type="dxa"/>
            <w:vAlign w:val="center"/>
          </w:tcPr>
          <w:p>
            <w:pPr>
              <w:shd w:val="clear" w:color="auto" w:fill="FFFFFF"/>
              <w:spacing w:line="400" w:lineRule="exact"/>
              <w:ind w:left="-88" w:leftChars="-42"/>
              <w:jc w:val="center"/>
              <w:rPr>
                <w:rFonts w:ascii="宋体" w:hAnsi="宋体"/>
              </w:rPr>
            </w:pPr>
          </w:p>
        </w:tc>
        <w:tc>
          <w:tcPr>
            <w:tcW w:w="1103" w:type="dxa"/>
            <w:vAlign w:val="center"/>
          </w:tcPr>
          <w:p>
            <w:pPr>
              <w:shd w:val="clear" w:color="auto" w:fill="FFFFFF"/>
              <w:spacing w:line="400" w:lineRule="exact"/>
              <w:ind w:left="-88" w:leftChars="-4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676" w:type="dxa"/>
            <w:vAlign w:val="center"/>
          </w:tcPr>
          <w:p>
            <w:pPr>
              <w:snapToGrid w:val="0"/>
              <w:spacing w:line="400" w:lineRule="exact"/>
              <w:jc w:val="center"/>
              <w:rPr>
                <w:rFonts w:ascii="宋体" w:hAnsi="宋体"/>
              </w:rPr>
            </w:pPr>
          </w:p>
        </w:tc>
        <w:tc>
          <w:tcPr>
            <w:tcW w:w="1605" w:type="dxa"/>
            <w:vAlign w:val="center"/>
          </w:tcPr>
          <w:p>
            <w:pPr>
              <w:snapToGrid w:val="0"/>
              <w:spacing w:line="400" w:lineRule="exact"/>
              <w:jc w:val="center"/>
              <w:rPr>
                <w:rFonts w:ascii="宋体" w:hAnsi="宋体"/>
              </w:rPr>
            </w:pPr>
            <w:r>
              <w:rPr>
                <w:rFonts w:hint="eastAsia" w:ascii="宋体" w:hAnsi="宋体" w:cs="宋体"/>
                <w:szCs w:val="21"/>
              </w:rPr>
              <w:t>……</w:t>
            </w:r>
          </w:p>
        </w:tc>
        <w:tc>
          <w:tcPr>
            <w:tcW w:w="1994" w:type="dxa"/>
            <w:vAlign w:val="center"/>
          </w:tcPr>
          <w:p>
            <w:pPr>
              <w:snapToGrid w:val="0"/>
              <w:spacing w:line="400" w:lineRule="exact"/>
              <w:ind w:firstLine="630" w:firstLineChars="300"/>
              <w:jc w:val="both"/>
            </w:pPr>
            <w:r>
              <w:rPr>
                <w:rFonts w:hint="eastAsia" w:ascii="宋体" w:hAnsi="宋体" w:cs="宋体"/>
                <w:szCs w:val="21"/>
              </w:rPr>
              <w:t>……</w:t>
            </w:r>
          </w:p>
        </w:tc>
        <w:tc>
          <w:tcPr>
            <w:tcW w:w="1932" w:type="dxa"/>
            <w:vAlign w:val="center"/>
          </w:tcPr>
          <w:p>
            <w:pPr>
              <w:snapToGrid w:val="0"/>
              <w:spacing w:line="400" w:lineRule="exact"/>
              <w:jc w:val="center"/>
            </w:pPr>
          </w:p>
        </w:tc>
        <w:tc>
          <w:tcPr>
            <w:tcW w:w="1560" w:type="dxa"/>
            <w:vAlign w:val="center"/>
          </w:tcPr>
          <w:p>
            <w:pPr>
              <w:shd w:val="clear" w:color="auto" w:fill="FFFFFF"/>
              <w:spacing w:line="400" w:lineRule="exact"/>
              <w:ind w:left="-88" w:leftChars="-42"/>
              <w:jc w:val="center"/>
              <w:rPr>
                <w:rFonts w:ascii="宋体" w:hAnsi="宋体"/>
              </w:rPr>
            </w:pPr>
          </w:p>
        </w:tc>
        <w:tc>
          <w:tcPr>
            <w:tcW w:w="1103" w:type="dxa"/>
            <w:vAlign w:val="center"/>
          </w:tcPr>
          <w:p>
            <w:pPr>
              <w:shd w:val="clear" w:color="auto" w:fill="FFFFFF"/>
              <w:spacing w:line="400" w:lineRule="exact"/>
              <w:ind w:left="-88" w:leftChars="-42"/>
              <w:jc w:val="center"/>
              <w:rPr>
                <w:rFonts w:ascii="宋体" w:hAnsi="宋体"/>
              </w:rPr>
            </w:pPr>
          </w:p>
        </w:tc>
      </w:tr>
    </w:tbl>
    <w:p>
      <w:pPr>
        <w:adjustRightInd w:val="0"/>
        <w:snapToGrid w:val="0"/>
        <w:spacing w:line="360" w:lineRule="auto"/>
        <w:rPr>
          <w:rFonts w:hint="eastAsia" w:ascii="宋体" w:hAnsi="宋体" w:cs="宋体"/>
          <w:color w:val="000000"/>
          <w:szCs w:val="21"/>
        </w:rPr>
      </w:pPr>
    </w:p>
    <w:p>
      <w:pPr>
        <w:adjustRightInd w:val="0"/>
        <w:snapToGrid w:val="0"/>
        <w:spacing w:line="360" w:lineRule="auto"/>
        <w:rPr>
          <w:rFonts w:hint="eastAsia" w:ascii="宋体" w:hAnsi="宋体" w:cs="宋体"/>
          <w:color w:val="000000"/>
          <w:szCs w:val="21"/>
        </w:rPr>
      </w:pPr>
    </w:p>
    <w:p>
      <w:pPr>
        <w:adjustRightInd w:val="0"/>
        <w:snapToGrid w:val="0"/>
        <w:spacing w:line="360" w:lineRule="auto"/>
        <w:rPr>
          <w:rFonts w:ascii="宋体" w:hAnsi="宋体" w:cs="宋体"/>
          <w:color w:val="000000"/>
          <w:szCs w:val="21"/>
        </w:rPr>
      </w:pPr>
      <w:r>
        <w:rPr>
          <w:rFonts w:hint="eastAsia" w:ascii="宋体" w:hAnsi="宋体" w:cs="宋体"/>
          <w:color w:val="000000"/>
          <w:szCs w:val="21"/>
        </w:rPr>
        <w:t>投标单位（盖单位章）：</w:t>
      </w:r>
    </w:p>
    <w:p>
      <w:pPr>
        <w:adjustRightInd w:val="0"/>
        <w:snapToGrid w:val="0"/>
        <w:spacing w:line="360" w:lineRule="auto"/>
        <w:rPr>
          <w:rFonts w:ascii="宋体" w:hAnsi="宋体" w:cs="宋体"/>
          <w:color w:val="000000"/>
          <w:szCs w:val="21"/>
        </w:rPr>
      </w:pPr>
      <w:r>
        <w:rPr>
          <w:rFonts w:hint="eastAsia" w:ascii="宋体" w:hAnsi="宋体" w:cs="宋体"/>
          <w:color w:val="000000"/>
          <w:szCs w:val="21"/>
        </w:rPr>
        <w:t>法定代表人或其委托代理人（签字）：</w:t>
      </w:r>
      <w:r>
        <w:rPr>
          <w:rFonts w:hint="eastAsia" w:ascii="宋体" w:hAnsi="宋体" w:cs="宋体"/>
          <w:color w:val="000000"/>
          <w:szCs w:val="21"/>
          <w:u w:val="single"/>
        </w:rPr>
        <w:t xml:space="preserve">               </w:t>
      </w:r>
    </w:p>
    <w:p>
      <w:pPr>
        <w:adjustRightInd w:val="0"/>
        <w:snapToGrid w:val="0"/>
        <w:spacing w:line="360" w:lineRule="auto"/>
        <w:rPr>
          <w:rFonts w:ascii="宋体" w:hAnsi="宋体" w:cs="宋体"/>
          <w:bCs/>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bCs/>
          <w:color w:val="000000"/>
          <w:szCs w:val="21"/>
        </w:rPr>
        <w:t>日</w:t>
      </w:r>
    </w:p>
    <w:p>
      <w:pPr>
        <w:spacing w:line="360" w:lineRule="auto"/>
        <w:ind w:firstLine="3502" w:firstLineChars="1668"/>
        <w:rPr>
          <w:rFonts w:ascii="宋体" w:hAnsi="宋体" w:cs="宋体"/>
          <w:color w:val="000000"/>
          <w:szCs w:val="21"/>
        </w:rPr>
      </w:pPr>
    </w:p>
    <w:p>
      <w:pPr>
        <w:autoSpaceDE w:val="0"/>
        <w:autoSpaceDN w:val="0"/>
        <w:spacing w:line="360" w:lineRule="auto"/>
        <w:ind w:right="471"/>
        <w:textAlignment w:val="bottom"/>
        <w:rPr>
          <w:rFonts w:ascii="宋体" w:hAnsi="宋体" w:cs="Arial"/>
        </w:rPr>
      </w:pPr>
      <w:r>
        <w:rPr>
          <w:rFonts w:hint="eastAsia" w:ascii="宋体" w:hAnsi="宋体" w:cs="Arial"/>
        </w:rPr>
        <w:t>注：</w:t>
      </w:r>
    </w:p>
    <w:p>
      <w:pPr>
        <w:autoSpaceDE w:val="0"/>
        <w:autoSpaceDN w:val="0"/>
        <w:spacing w:line="360" w:lineRule="auto"/>
        <w:ind w:right="471"/>
        <w:textAlignment w:val="bottom"/>
        <w:rPr>
          <w:rFonts w:ascii="宋体" w:hAnsi="宋体" w:cs="Arial"/>
          <w:szCs w:val="21"/>
        </w:rPr>
      </w:pPr>
      <w:r>
        <w:rPr>
          <w:rFonts w:hint="eastAsia" w:ascii="宋体" w:hAnsi="宋体" w:cs="Arial"/>
          <w:szCs w:val="21"/>
        </w:rPr>
        <w:t>1、投标单位应在响应技术文件中对本技术规格书逐条按顺序响应，做出必要的解释并列出技术偏差表。而不应完全复制招标文件中技术参数要求，统一回答“响应”“无偏离”“正偏离”等。</w:t>
      </w:r>
    </w:p>
    <w:p>
      <w:pPr>
        <w:autoSpaceDE w:val="0"/>
        <w:autoSpaceDN w:val="0"/>
        <w:spacing w:line="360" w:lineRule="auto"/>
        <w:ind w:right="471"/>
        <w:textAlignment w:val="bottom"/>
        <w:rPr>
          <w:rFonts w:ascii="宋体" w:hAnsi="宋体" w:cs="Arial"/>
          <w:szCs w:val="21"/>
        </w:rPr>
      </w:pPr>
      <w:r>
        <w:rPr>
          <w:rFonts w:hint="eastAsia" w:ascii="宋体" w:hAnsi="宋体" w:cs="Arial"/>
          <w:szCs w:val="21"/>
        </w:rPr>
        <w:t>2、此表1-2项均为实质性要求，不得存在负偏离，否则视同为无效投标。</w:t>
      </w:r>
    </w:p>
    <w:p>
      <w:pPr>
        <w:autoSpaceDE w:val="0"/>
        <w:autoSpaceDN w:val="0"/>
        <w:spacing w:line="360" w:lineRule="auto"/>
        <w:ind w:right="471"/>
        <w:textAlignment w:val="bottom"/>
        <w:rPr>
          <w:rFonts w:ascii="宋体" w:hAnsi="宋体" w:cs="Arial"/>
          <w:szCs w:val="21"/>
          <w:lang w:val="zh-CN"/>
        </w:rPr>
      </w:pPr>
      <w:r>
        <w:rPr>
          <w:rFonts w:hint="eastAsia" w:ascii="宋体" w:hAnsi="宋体" w:cs="Arial"/>
          <w:b/>
          <w:bCs/>
          <w:szCs w:val="21"/>
        </w:rPr>
        <w:t>3、此表3项往后，请</w:t>
      </w:r>
      <w:r>
        <w:rPr>
          <w:rFonts w:hint="eastAsia" w:ascii="宋体" w:hAnsi="宋体" w:cs="Arial"/>
          <w:b/>
          <w:bCs/>
          <w:szCs w:val="21"/>
          <w:lang w:val="zh-CN"/>
        </w:rPr>
        <w:t>供应商应根据投标</w:t>
      </w:r>
      <w:r>
        <w:rPr>
          <w:rFonts w:hint="eastAsia" w:ascii="宋体" w:hAnsi="宋体" w:cs="Arial"/>
          <w:b/>
          <w:bCs/>
          <w:szCs w:val="21"/>
        </w:rPr>
        <w:t>货物</w:t>
      </w:r>
      <w:r>
        <w:rPr>
          <w:rFonts w:hint="eastAsia" w:ascii="宋体" w:hAnsi="宋体" w:cs="Arial"/>
          <w:b/>
          <w:bCs/>
          <w:szCs w:val="21"/>
          <w:lang w:val="zh-CN"/>
        </w:rPr>
        <w:t>的性能指标、对照文件中“</w:t>
      </w:r>
      <w:r>
        <w:rPr>
          <w:rFonts w:hint="eastAsia" w:ascii="宋体" w:hAnsi="宋体" w:cs="Arial"/>
          <w:b/>
          <w:bCs/>
          <w:szCs w:val="21"/>
        </w:rPr>
        <w:t>第五部分 采购需求</w:t>
      </w:r>
      <w:r>
        <w:rPr>
          <w:rFonts w:hint="eastAsia" w:ascii="宋体" w:hAnsi="宋体" w:cs="Arial"/>
          <w:b/>
          <w:bCs/>
          <w:szCs w:val="21"/>
          <w:lang w:val="zh-CN"/>
        </w:rPr>
        <w:t>”中的</w:t>
      </w:r>
      <w:r>
        <w:rPr>
          <w:rFonts w:hint="eastAsia" w:ascii="宋体" w:hAnsi="宋体" w:cs="Arial"/>
          <w:b/>
          <w:bCs/>
          <w:szCs w:val="21"/>
        </w:rPr>
        <w:t>所有</w:t>
      </w:r>
      <w:r>
        <w:rPr>
          <w:rFonts w:hint="eastAsia" w:ascii="宋体" w:hAnsi="宋体" w:cs="Arial"/>
          <w:b/>
          <w:bCs/>
          <w:szCs w:val="21"/>
          <w:lang w:val="zh-CN"/>
        </w:rPr>
        <w:t>参数要求，如实逐条一一对应填写响应情况。</w:t>
      </w:r>
    </w:p>
    <w:p>
      <w:pPr>
        <w:autoSpaceDE w:val="0"/>
        <w:autoSpaceDN w:val="0"/>
        <w:spacing w:line="360" w:lineRule="auto"/>
        <w:ind w:right="471"/>
        <w:textAlignment w:val="bottom"/>
        <w:rPr>
          <w:rFonts w:hint="eastAsia" w:ascii="宋体" w:hAnsi="宋体" w:cs="Arial"/>
          <w:szCs w:val="21"/>
        </w:rPr>
      </w:pPr>
      <w:r>
        <w:rPr>
          <w:rFonts w:hint="eastAsia" w:ascii="宋体" w:hAnsi="宋体" w:cs="Arial"/>
          <w:szCs w:val="21"/>
        </w:rPr>
        <w:t>4、请依照实际投标参数填写，验收时如发现为谋取中标而填写虚假信息，将上报失信名单并追究相关责任</w:t>
      </w:r>
      <w:r>
        <w:rPr>
          <w:rFonts w:hint="eastAsia" w:ascii="宋体" w:hAnsi="宋体" w:cs="Arial"/>
          <w:szCs w:val="21"/>
          <w:lang w:eastAsia="zh-CN"/>
        </w:rPr>
        <w:t>，并取消中标资格，由此产生的不利后果由投标人承担</w:t>
      </w:r>
      <w:r>
        <w:rPr>
          <w:rFonts w:hint="eastAsia" w:ascii="宋体" w:hAnsi="宋体" w:cs="Arial"/>
          <w:szCs w:val="21"/>
        </w:rPr>
        <w:t>。</w:t>
      </w:r>
    </w:p>
    <w:p>
      <w:pPr>
        <w:numPr>
          <w:ilvl w:val="0"/>
          <w:numId w:val="0"/>
        </w:numPr>
        <w:autoSpaceDE w:val="0"/>
        <w:autoSpaceDN w:val="0"/>
        <w:spacing w:line="360" w:lineRule="auto"/>
        <w:ind w:right="471" w:rightChars="0"/>
        <w:textAlignment w:val="bottom"/>
        <w:rPr>
          <w:rFonts w:hint="eastAsia" w:ascii="宋体" w:hAnsi="宋体" w:eastAsia="宋体" w:cs="Arial"/>
          <w:b/>
          <w:bCs/>
          <w:color w:val="auto"/>
          <w:szCs w:val="21"/>
          <w:lang w:val="en-US" w:eastAsia="zh-CN"/>
        </w:rPr>
      </w:pPr>
      <w:r>
        <w:rPr>
          <w:rFonts w:hint="eastAsia" w:ascii="宋体" w:hAnsi="宋体" w:cs="Arial"/>
          <w:szCs w:val="21"/>
          <w:lang w:val="en-US" w:eastAsia="zh-CN"/>
        </w:rPr>
        <w:t>5、</w:t>
      </w:r>
      <w:r>
        <w:rPr>
          <w:rFonts w:hint="eastAsia" w:ascii="宋体" w:hAnsi="宋体" w:cs="Arial"/>
          <w:b/>
          <w:bCs/>
          <w:color w:val="auto"/>
          <w:szCs w:val="21"/>
          <w:lang w:val="en-US" w:eastAsia="zh-CN"/>
        </w:rPr>
        <w:t>此表</w:t>
      </w:r>
      <w:r>
        <w:rPr>
          <w:rFonts w:hint="eastAsia" w:ascii="宋体" w:hAnsi="宋体" w:eastAsia="宋体" w:cs="Arial"/>
          <w:b/>
          <w:bCs/>
          <w:color w:val="auto"/>
          <w:szCs w:val="21"/>
          <w:lang w:val="en-US" w:eastAsia="zh-CN"/>
        </w:rPr>
        <w:t>“投标文件响应参数”内容应当与《投标报价明细表》中参数内容一致。</w:t>
      </w:r>
    </w:p>
    <w:p>
      <w:pPr>
        <w:autoSpaceDE w:val="0"/>
        <w:autoSpaceDN w:val="0"/>
        <w:spacing w:line="360" w:lineRule="auto"/>
        <w:ind w:right="471"/>
        <w:textAlignment w:val="bottom"/>
        <w:rPr>
          <w:rFonts w:hint="default" w:ascii="宋体" w:hAnsi="宋体" w:cs="Arial"/>
          <w:szCs w:val="21"/>
          <w:lang w:val="en-US" w:eastAsia="zh-CN"/>
        </w:rPr>
      </w:pPr>
      <w:r>
        <w:rPr>
          <w:rFonts w:hint="eastAsia" w:ascii="宋体" w:hAnsi="宋体" w:cs="Arial"/>
          <w:szCs w:val="21"/>
          <w:lang w:val="en-US" w:eastAsia="zh-CN"/>
        </w:rPr>
        <w:t>6、采购需求中要求提供证明文件的，需提供相应资料，未提供或提供资料不符合采购需求要求的自行承担因此产生的不利后果。</w:t>
      </w:r>
    </w:p>
    <w:p>
      <w:pPr>
        <w:pStyle w:val="35"/>
        <w:rPr>
          <w:rFonts w:hint="eastAsia" w:eastAsia="宋体"/>
          <w:lang w:val="en-US" w:eastAsia="zh-CN"/>
        </w:rPr>
      </w:pPr>
    </w:p>
    <w:p>
      <w:pPr>
        <w:numPr>
          <w:ilvl w:val="0"/>
          <w:numId w:val="14"/>
        </w:numPr>
        <w:autoSpaceDE w:val="0"/>
        <w:autoSpaceDN w:val="0"/>
        <w:spacing w:line="360" w:lineRule="auto"/>
        <w:ind w:right="471"/>
        <w:textAlignment w:val="bottom"/>
        <w:rPr>
          <w:rFonts w:ascii="宋体" w:hAnsi="宋体" w:cs="Arial"/>
          <w:color w:val="000000" w:themeColor="text1"/>
          <w:szCs w:val="21"/>
          <w14:textFill>
            <w14:solidFill>
              <w14:schemeClr w14:val="tx1"/>
            </w14:solidFill>
          </w14:textFill>
        </w:rPr>
      </w:pPr>
      <w:r>
        <w:rPr>
          <w:rFonts w:hint="eastAsia" w:ascii="宋体" w:hAnsi="宋体" w:cs="Arial"/>
          <w:szCs w:val="21"/>
        </w:rPr>
        <w:br w:type="page"/>
      </w:r>
    </w:p>
    <w:p>
      <w:pPr>
        <w:adjustRightInd w:val="0"/>
        <w:snapToGrid w:val="0"/>
        <w:spacing w:line="360" w:lineRule="auto"/>
        <w:rPr>
          <w:rFonts w:ascii="宋体" w:hAnsi="宋体"/>
          <w:bCs/>
          <w:color w:val="000000" w:themeColor="text1"/>
          <w:sz w:val="28"/>
          <w:szCs w:val="28"/>
          <w14:textFill>
            <w14:solidFill>
              <w14:schemeClr w14:val="tx1"/>
            </w14:solidFill>
          </w14:textFill>
        </w:rPr>
      </w:pPr>
      <w:r>
        <w:rPr>
          <w:rFonts w:hint="eastAsia" w:hAnsi="宋体"/>
          <w:bCs/>
          <w:color w:val="000000" w:themeColor="text1"/>
          <w:sz w:val="28"/>
          <w:szCs w:val="28"/>
          <w14:textFill>
            <w14:solidFill>
              <w14:schemeClr w14:val="tx1"/>
            </w14:solidFill>
          </w14:textFill>
        </w:rPr>
        <w:t>附件11</w:t>
      </w:r>
    </w:p>
    <w:p>
      <w:pPr>
        <w:adjustRightInd w:val="0"/>
        <w:snapToGrid w:val="0"/>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近</w:t>
      </w:r>
      <w:r>
        <w:rPr>
          <w:rFonts w:hint="eastAsia" w:ascii="宋体" w:hAnsi="宋体" w:cs="宋体"/>
          <w:color w:val="000000" w:themeColor="text1"/>
          <w:sz w:val="28"/>
          <w:szCs w:val="28"/>
          <w:lang w:eastAsia="zh-CN"/>
          <w14:textFill>
            <w14:solidFill>
              <w14:schemeClr w14:val="tx1"/>
            </w14:solidFill>
          </w14:textFill>
        </w:rPr>
        <w:t>三年</w:t>
      </w:r>
      <w:r>
        <w:rPr>
          <w:rFonts w:hint="eastAsia" w:ascii="宋体" w:hAnsi="宋体" w:cs="宋体"/>
          <w:color w:val="000000" w:themeColor="text1"/>
          <w:sz w:val="28"/>
          <w:szCs w:val="28"/>
          <w14:textFill>
            <w14:solidFill>
              <w14:schemeClr w14:val="tx1"/>
            </w14:solidFill>
          </w14:textFill>
        </w:rPr>
        <w:t>同类项目业绩表</w:t>
      </w:r>
    </w:p>
    <w:p>
      <w:pPr>
        <w:tabs>
          <w:tab w:val="left" w:pos="3600"/>
        </w:tabs>
        <w:adjustRightInd w:val="0"/>
        <w:snapToGrid w:val="0"/>
        <w:jc w:val="center"/>
        <w:rPr>
          <w:rFonts w:ascii="宋体" w:hAnsi="宋体" w:cs="宋体"/>
          <w:b/>
          <w:bCs/>
          <w:color w:val="000000" w:themeColor="text1"/>
          <w:spacing w:val="6"/>
          <w:kern w:val="0"/>
          <w:szCs w:val="21"/>
          <w14:textFill>
            <w14:solidFill>
              <w14:schemeClr w14:val="tx1"/>
            </w14:solidFill>
          </w14:textFill>
        </w:rPr>
      </w:pPr>
    </w:p>
    <w:p>
      <w:pPr>
        <w:tabs>
          <w:tab w:val="left" w:pos="5580"/>
        </w:tabs>
        <w:spacing w:before="1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近</w:t>
      </w:r>
      <w:r>
        <w:rPr>
          <w:rFonts w:hint="eastAsia" w:ascii="宋体" w:hAnsi="宋体" w:cs="宋体"/>
          <w:color w:val="000000" w:themeColor="text1"/>
          <w:szCs w:val="21"/>
          <w:lang w:eastAsia="zh-CN"/>
          <w14:textFill>
            <w14:solidFill>
              <w14:schemeClr w14:val="tx1"/>
            </w14:solidFill>
          </w14:textFill>
        </w:rPr>
        <w:t>三年</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2021年</w:t>
      </w:r>
      <w:r>
        <w:rPr>
          <w:rFonts w:hint="eastAsia" w:ascii="宋体" w:hAnsi="宋体" w:cs="宋体"/>
          <w:color w:val="000000" w:themeColor="text1"/>
          <w:szCs w:val="21"/>
          <w14:textFill>
            <w14:solidFill>
              <w14:schemeClr w14:val="tx1"/>
            </w14:solidFill>
          </w14:textFill>
        </w:rPr>
        <w:t>1月1日至今）</w:t>
      </w:r>
      <w:r>
        <w:rPr>
          <w:rFonts w:hint="eastAsia" w:ascii="宋体" w:hAnsi="宋体" w:cs="宋体"/>
          <w:b/>
          <w:bCs/>
          <w:color w:val="000000" w:themeColor="text1"/>
          <w:szCs w:val="21"/>
          <w14:textFill>
            <w14:solidFill>
              <w14:schemeClr w14:val="tx1"/>
            </w14:solidFill>
          </w14:textFill>
        </w:rPr>
        <w:t>同类项目</w:t>
      </w:r>
      <w:r>
        <w:rPr>
          <w:rFonts w:hint="eastAsia" w:ascii="宋体" w:hAnsi="宋体" w:cs="宋体"/>
          <w:color w:val="000000" w:themeColor="text1"/>
          <w:szCs w:val="21"/>
          <w14:textFill>
            <w14:solidFill>
              <w14:schemeClr w14:val="tx1"/>
            </w14:solidFill>
          </w14:textFill>
        </w:rPr>
        <w:t>业绩统计：</w:t>
      </w:r>
    </w:p>
    <w:tbl>
      <w:tblPr>
        <w:tblStyle w:val="46"/>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2106"/>
        <w:gridCol w:w="1841"/>
        <w:gridCol w:w="1528"/>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pStyle w:val="116"/>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地　　区</w:t>
            </w:r>
          </w:p>
        </w:tc>
        <w:tc>
          <w:tcPr>
            <w:tcW w:w="2106" w:type="dxa"/>
            <w:vAlign w:val="center"/>
          </w:tcPr>
          <w:p>
            <w:pPr>
              <w:pStyle w:val="116"/>
              <w:spacing w:line="320" w:lineRule="exact"/>
              <w:ind w:right="-107" w:rightChars="-51"/>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项目名称</w:t>
            </w:r>
          </w:p>
        </w:tc>
        <w:tc>
          <w:tcPr>
            <w:tcW w:w="1841" w:type="dxa"/>
            <w:vAlign w:val="center"/>
          </w:tcPr>
          <w:p>
            <w:pPr>
              <w:pStyle w:val="116"/>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中标日期或</w:t>
            </w:r>
          </w:p>
          <w:p>
            <w:pPr>
              <w:pStyle w:val="116"/>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合同签订日期</w:t>
            </w:r>
          </w:p>
        </w:tc>
        <w:tc>
          <w:tcPr>
            <w:tcW w:w="1528" w:type="dxa"/>
            <w:vAlign w:val="center"/>
          </w:tcPr>
          <w:p>
            <w:pPr>
              <w:pStyle w:val="116"/>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中标金额</w:t>
            </w:r>
          </w:p>
        </w:tc>
        <w:tc>
          <w:tcPr>
            <w:tcW w:w="1628" w:type="dxa"/>
            <w:vAlign w:val="center"/>
          </w:tcPr>
          <w:p>
            <w:pPr>
              <w:pStyle w:val="116"/>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bl>
    <w:p>
      <w:pPr>
        <w:tabs>
          <w:tab w:val="left" w:pos="5580"/>
        </w:tabs>
        <w:spacing w:before="120" w:line="360" w:lineRule="auto"/>
        <w:ind w:firstLine="210" w:firstLineChars="100"/>
        <w:rPr>
          <w:rFonts w:ascii="宋体" w:hAnsi="宋体" w:cs="宋体"/>
          <w:b/>
          <w:bCs/>
          <w:sz w:val="24"/>
          <w:u w:val="single"/>
        </w:rPr>
      </w:pPr>
      <w:r>
        <w:rPr>
          <w:rFonts w:hint="eastAsia" w:ascii="宋体" w:hAnsi="宋体" w:cs="宋体"/>
          <w:color w:val="000000" w:themeColor="text1"/>
          <w:szCs w:val="21"/>
          <w14:textFill>
            <w14:solidFill>
              <w14:schemeClr w14:val="tx1"/>
            </w14:solidFill>
          </w14:textFill>
        </w:rPr>
        <w:t>注：1、此表可向下延伸</w:t>
      </w:r>
      <w:r>
        <w:rPr>
          <w:rFonts w:hint="eastAsia" w:ascii="宋体" w:hAnsi="宋体" w:cs="宋体"/>
          <w:szCs w:val="21"/>
        </w:rPr>
        <w:t>，</w:t>
      </w:r>
      <w:r>
        <w:rPr>
          <w:rFonts w:hint="eastAsia" w:ascii="宋体" w:hAnsi="宋体" w:cs="宋体"/>
          <w:b/>
          <w:bCs/>
          <w:sz w:val="24"/>
          <w:u w:val="single"/>
        </w:rPr>
        <w:t>后附须同时提供能反映上述相关信息的成交通知书、合同</w:t>
      </w:r>
      <w:r>
        <w:rPr>
          <w:rFonts w:hint="eastAsia" w:ascii="宋体" w:hAnsi="宋体" w:cs="宋体"/>
          <w:b/>
          <w:bCs/>
          <w:sz w:val="24"/>
          <w:u w:val="single"/>
          <w:lang w:eastAsia="zh-CN"/>
        </w:rPr>
        <w:t>签订时间</w:t>
      </w:r>
      <w:r>
        <w:rPr>
          <w:rFonts w:hint="eastAsia" w:ascii="宋体" w:hAnsi="宋体" w:cs="宋体"/>
          <w:b/>
          <w:bCs/>
          <w:sz w:val="24"/>
          <w:u w:val="single"/>
        </w:rPr>
        <w:t>、合同签署页、验收合格的报告等，复印件加盖公章，方可得分。</w:t>
      </w:r>
    </w:p>
    <w:p>
      <w:pPr>
        <w:pStyle w:val="25"/>
        <w:tabs>
          <w:tab w:val="left" w:pos="1470"/>
          <w:tab w:val="right" w:leader="dot" w:pos="8296"/>
        </w:tabs>
        <w:spacing w:line="360" w:lineRule="auto"/>
        <w:ind w:left="0" w:firstLine="630" w:firstLineChars="300"/>
        <w:rPr>
          <w:rFonts w:ascii="宋体" w:hAnsi="宋体" w:cs="宋体"/>
          <w:i w:val="0"/>
          <w:iCs w:val="0"/>
          <w:sz w:val="21"/>
          <w:szCs w:val="21"/>
        </w:rPr>
      </w:pPr>
      <w:r>
        <w:rPr>
          <w:rFonts w:hint="eastAsia" w:ascii="宋体" w:hAnsi="宋体" w:cs="宋体"/>
          <w:i w:val="0"/>
          <w:iCs w:val="0"/>
          <w:sz w:val="21"/>
          <w:szCs w:val="21"/>
        </w:rPr>
        <w:t>2、表格内需提供同类项目业绩，请勿提供其他无关项目业绩影响评分，</w:t>
      </w:r>
    </w:p>
    <w:p>
      <w:pPr>
        <w:tabs>
          <w:tab w:val="left" w:pos="5580"/>
        </w:tabs>
        <w:spacing w:before="120"/>
        <w:ind w:firstLine="454"/>
        <w:rPr>
          <w:rFonts w:ascii="宋体" w:hAnsi="宋体" w:cs="宋体"/>
          <w:color w:val="000000" w:themeColor="text1"/>
          <w:szCs w:val="21"/>
          <w14:textFill>
            <w14:solidFill>
              <w14:schemeClr w14:val="tx1"/>
            </w14:solidFill>
          </w14:textFill>
        </w:rPr>
      </w:pPr>
    </w:p>
    <w:p>
      <w:pPr>
        <w:tabs>
          <w:tab w:val="left" w:pos="5580"/>
        </w:tabs>
        <w:spacing w:before="120"/>
        <w:ind w:firstLine="454"/>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兹证明上述声明是真实、正确的，我们同意遵照贵方要求出示有关证明文件。</w:t>
      </w:r>
    </w:p>
    <w:p>
      <w:pPr>
        <w:tabs>
          <w:tab w:val="left" w:pos="5580"/>
        </w:tabs>
        <w:spacing w:before="120"/>
        <w:rPr>
          <w:rFonts w:ascii="宋体" w:hAnsi="宋体" w:cs="宋体"/>
          <w:color w:val="000000" w:themeColor="text1"/>
          <w:szCs w:val="21"/>
          <w14:textFill>
            <w14:solidFill>
              <w14:schemeClr w14:val="tx1"/>
            </w14:solidFill>
          </w14:textFill>
        </w:rPr>
      </w:pPr>
    </w:p>
    <w:p>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日期：__________________________________________</w:t>
      </w:r>
    </w:p>
    <w:p>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w:t>
      </w:r>
      <w:r>
        <w:rPr>
          <w:rFonts w:hint="eastAsia" w:ascii="宋体" w:hAnsi="宋体" w:cs="宋体"/>
          <w:color w:val="000000" w:themeColor="text1"/>
          <w:szCs w:val="21"/>
          <w14:textFill>
            <w14:solidFill>
              <w14:schemeClr w14:val="tx1"/>
            </w14:solidFill>
          </w14:textFill>
        </w:rPr>
        <w:t>：________________________________</w:t>
      </w:r>
    </w:p>
    <w:p>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法定代表人或其委托代理人(签字)：________________________________</w:t>
      </w:r>
    </w:p>
    <w:p>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电话号：________________________________________</w:t>
      </w:r>
    </w:p>
    <w:p>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传真号：________________________________________</w:t>
      </w:r>
    </w:p>
    <w:p>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签章：__________________________________________</w:t>
      </w:r>
    </w:p>
    <w:p>
      <w:pPr>
        <w:adjustRightInd w:val="0"/>
        <w:snapToGrid w:val="0"/>
        <w:rPr>
          <w:rFonts w:ascii="宋体" w:hAnsi="宋体"/>
          <w:bCs/>
          <w:color w:val="000000" w:themeColor="text1"/>
          <w:sz w:val="28"/>
          <w:szCs w:val="28"/>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bCs/>
          <w:color w:val="000000" w:themeColor="text1"/>
          <w:sz w:val="28"/>
          <w:szCs w:val="28"/>
          <w14:textFill>
            <w14:solidFill>
              <w14:schemeClr w14:val="tx1"/>
            </w14:solidFill>
          </w14:textFill>
        </w:rPr>
        <w:t>附件12</w:t>
      </w:r>
    </w:p>
    <w:p>
      <w:pPr>
        <w:adjustRightInd w:val="0"/>
        <w:snapToGrid w:val="0"/>
        <w:ind w:left="-88" w:leftChars="-42" w:firstLine="280" w:firstLineChars="100"/>
        <w:jc w:val="cente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拟投入本项目的服务人员</w:t>
      </w:r>
      <w:r>
        <w:rPr>
          <w:rFonts w:hint="eastAsia" w:ascii="宋体" w:hAnsi="宋体"/>
          <w:bCs/>
          <w:color w:val="000000" w:themeColor="text1"/>
          <w:sz w:val="28"/>
          <w:szCs w:val="28"/>
          <w:lang w:eastAsia="zh-CN"/>
          <w14:textFill>
            <w14:solidFill>
              <w14:schemeClr w14:val="tx1"/>
            </w14:solidFill>
          </w14:textFill>
        </w:rPr>
        <w:t>、设备</w:t>
      </w:r>
      <w:r>
        <w:rPr>
          <w:rFonts w:hint="eastAsia" w:ascii="宋体" w:hAnsi="宋体"/>
          <w:bCs/>
          <w:color w:val="000000" w:themeColor="text1"/>
          <w:sz w:val="28"/>
          <w:szCs w:val="28"/>
          <w14:textFill>
            <w14:solidFill>
              <w14:schemeClr w14:val="tx1"/>
            </w14:solidFill>
          </w14:textFill>
        </w:rPr>
        <w:t>一览表</w:t>
      </w:r>
    </w:p>
    <w:p>
      <w:pPr>
        <w:spacing w:line="420" w:lineRule="exact"/>
        <w:jc w:val="center"/>
        <w:rPr>
          <w:rFonts w:ascii="宋体" w:hAnsi="宋体"/>
          <w:b/>
          <w:color w:val="000000" w:themeColor="text1"/>
          <w:szCs w:val="21"/>
          <w14:textFill>
            <w14:solidFill>
              <w14:schemeClr w14:val="tx1"/>
            </w14:solidFill>
          </w14:textFill>
        </w:rPr>
      </w:pPr>
    </w:p>
    <w:tbl>
      <w:tblPr>
        <w:tblStyle w:val="46"/>
        <w:tblW w:w="851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183"/>
        <w:gridCol w:w="945"/>
        <w:gridCol w:w="1137"/>
        <w:gridCol w:w="1359"/>
        <w:gridCol w:w="1470"/>
        <w:gridCol w:w="1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7" w:hRule="exact"/>
          <w:jc w:val="center"/>
        </w:trPr>
        <w:tc>
          <w:tcPr>
            <w:tcW w:w="8512" w:type="dxa"/>
            <w:gridSpan w:val="7"/>
            <w:vAlign w:val="center"/>
          </w:tcPr>
          <w:p>
            <w:pPr>
              <w:ind w:firstLine="1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3" w:hRule="exact"/>
          <w:jc w:val="center"/>
        </w:trPr>
        <w:tc>
          <w:tcPr>
            <w:tcW w:w="127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职责分工</w:t>
            </w:r>
          </w:p>
        </w:tc>
        <w:tc>
          <w:tcPr>
            <w:tcW w:w="1183"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945"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年龄</w:t>
            </w:r>
          </w:p>
        </w:tc>
        <w:tc>
          <w:tcPr>
            <w:tcW w:w="113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专业</w:t>
            </w:r>
          </w:p>
        </w:tc>
        <w:tc>
          <w:tcPr>
            <w:tcW w:w="1359"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在本项目中担任的岗位</w:t>
            </w:r>
          </w:p>
        </w:tc>
        <w:tc>
          <w:tcPr>
            <w:tcW w:w="1470" w:type="dxa"/>
            <w:vAlign w:val="center"/>
          </w:tcPr>
          <w:p>
            <w:pPr>
              <w:ind w:firstLine="1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从事类似工作年限</w:t>
            </w:r>
          </w:p>
        </w:tc>
        <w:tc>
          <w:tcPr>
            <w:tcW w:w="1142" w:type="dxa"/>
            <w:vAlign w:val="center"/>
          </w:tcPr>
          <w:p>
            <w:pPr>
              <w:ind w:firstLine="1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备注（类似业绩）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项目负责人</w:t>
            </w:r>
          </w:p>
        </w:tc>
        <w:tc>
          <w:tcPr>
            <w:tcW w:w="1183" w:type="dxa"/>
            <w:vAlign w:val="center"/>
          </w:tcPr>
          <w:p>
            <w:pPr>
              <w:jc w:val="center"/>
              <w:rPr>
                <w:rFonts w:ascii="宋体" w:hAnsi="宋体"/>
                <w:color w:val="000000" w:themeColor="text1"/>
                <w14:textFill>
                  <w14:solidFill>
                    <w14:schemeClr w14:val="tx1"/>
                  </w14:solidFill>
                </w14:textFill>
              </w:rPr>
            </w:pPr>
          </w:p>
        </w:tc>
        <w:tc>
          <w:tcPr>
            <w:tcW w:w="945" w:type="dxa"/>
            <w:vAlign w:val="center"/>
          </w:tcPr>
          <w:p>
            <w:pPr>
              <w:jc w:val="center"/>
              <w:rPr>
                <w:rFonts w:ascii="宋体" w:hAnsi="宋体"/>
                <w:color w:val="000000" w:themeColor="text1"/>
                <w14:textFill>
                  <w14:solidFill>
                    <w14:schemeClr w14:val="tx1"/>
                  </w14:solidFill>
                </w14:textFill>
              </w:rPr>
            </w:pPr>
          </w:p>
        </w:tc>
        <w:tc>
          <w:tcPr>
            <w:tcW w:w="1137" w:type="dxa"/>
            <w:vAlign w:val="center"/>
          </w:tcPr>
          <w:p>
            <w:pPr>
              <w:pStyle w:val="149"/>
              <w:keepNext w:val="0"/>
              <w:adjustRightInd/>
              <w:spacing w:before="0" w:after="0" w:line="240" w:lineRule="auto"/>
              <w:textAlignment w:val="auto"/>
              <w:rPr>
                <w:rFonts w:ascii="宋体" w:hAnsi="宋体"/>
                <w:snapToGrid/>
                <w:color w:val="000000" w:themeColor="text1"/>
                <w:spacing w:val="0"/>
                <w:kern w:val="2"/>
                <w:szCs w:val="24"/>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ind w:firstLine="12"/>
              <w:jc w:val="center"/>
              <w:rPr>
                <w:rFonts w:ascii="宋体" w:hAnsi="宋体"/>
                <w:color w:val="000000" w:themeColor="text1"/>
                <w14:textFill>
                  <w14:solidFill>
                    <w14:schemeClr w14:val="tx1"/>
                  </w14:solidFill>
                </w14:textFill>
              </w:rPr>
            </w:pPr>
          </w:p>
        </w:tc>
        <w:tc>
          <w:tcPr>
            <w:tcW w:w="1142" w:type="dxa"/>
            <w:vAlign w:val="center"/>
          </w:tcPr>
          <w:p>
            <w:pPr>
              <w:ind w:firstLine="12"/>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Merge w:val="restart"/>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其他</w:t>
            </w:r>
            <w:r>
              <w:rPr>
                <w:rFonts w:hint="eastAsia" w:ascii="宋体" w:hAnsi="宋体"/>
                <w:color w:val="000000" w:themeColor="text1"/>
                <w14:textFill>
                  <w14:solidFill>
                    <w14:schemeClr w14:val="tx1"/>
                  </w14:solidFill>
                </w14:textFill>
              </w:rPr>
              <w:t>人员</w:t>
            </w:r>
          </w:p>
        </w:tc>
        <w:tc>
          <w:tcPr>
            <w:tcW w:w="1183" w:type="dxa"/>
            <w:vAlign w:val="center"/>
          </w:tcPr>
          <w:p>
            <w:pPr>
              <w:jc w:val="center"/>
              <w:rPr>
                <w:rFonts w:ascii="宋体" w:hAnsi="宋体"/>
                <w:color w:val="000000" w:themeColor="text1"/>
                <w14:textFill>
                  <w14:solidFill>
                    <w14:schemeClr w14:val="tx1"/>
                  </w14:solidFill>
                </w14:textFill>
              </w:rPr>
            </w:pPr>
          </w:p>
        </w:tc>
        <w:tc>
          <w:tcPr>
            <w:tcW w:w="945" w:type="dxa"/>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Merge w:val="continue"/>
            <w:vAlign w:val="center"/>
          </w:tcPr>
          <w:p>
            <w:pPr>
              <w:jc w:val="center"/>
              <w:rPr>
                <w:rFonts w:ascii="宋体" w:hAnsi="宋体"/>
                <w:color w:val="000000" w:themeColor="text1"/>
                <w14:textFill>
                  <w14:solidFill>
                    <w14:schemeClr w14:val="tx1"/>
                  </w14:solidFill>
                </w14:textFill>
              </w:rPr>
            </w:pPr>
          </w:p>
        </w:tc>
        <w:tc>
          <w:tcPr>
            <w:tcW w:w="1183" w:type="dxa"/>
            <w:vAlign w:val="center"/>
          </w:tcPr>
          <w:p>
            <w:pPr>
              <w:jc w:val="center"/>
              <w:rPr>
                <w:rFonts w:ascii="宋体" w:hAnsi="宋体"/>
                <w:color w:val="000000" w:themeColor="text1"/>
                <w14:textFill>
                  <w14:solidFill>
                    <w14:schemeClr w14:val="tx1"/>
                  </w14:solidFill>
                </w14:textFill>
              </w:rPr>
            </w:pPr>
          </w:p>
        </w:tc>
        <w:tc>
          <w:tcPr>
            <w:tcW w:w="945" w:type="dxa"/>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Merge w:val="continue"/>
            <w:tcBorders>
              <w:bottom w:val="single" w:color="auto" w:sz="4" w:space="0"/>
            </w:tcBorders>
            <w:vAlign w:val="center"/>
          </w:tcPr>
          <w:p>
            <w:pPr>
              <w:jc w:val="center"/>
              <w:rPr>
                <w:rFonts w:ascii="宋体" w:hAnsi="宋体"/>
                <w:color w:val="000000" w:themeColor="text1"/>
                <w14:textFill>
                  <w14:solidFill>
                    <w14:schemeClr w14:val="tx1"/>
                  </w14:solidFill>
                </w14:textFill>
              </w:rPr>
            </w:pPr>
          </w:p>
        </w:tc>
        <w:tc>
          <w:tcPr>
            <w:tcW w:w="1183" w:type="dxa"/>
            <w:tcBorders>
              <w:bottom w:val="single" w:color="auto" w:sz="4" w:space="0"/>
            </w:tcBorders>
            <w:vAlign w:val="center"/>
          </w:tcPr>
          <w:p>
            <w:pPr>
              <w:jc w:val="center"/>
              <w:rPr>
                <w:rFonts w:ascii="宋体" w:hAnsi="宋体"/>
                <w:color w:val="000000" w:themeColor="text1"/>
                <w14:textFill>
                  <w14:solidFill>
                    <w14:schemeClr w14:val="tx1"/>
                  </w14:solidFill>
                </w14:textFill>
              </w:rPr>
            </w:pPr>
          </w:p>
        </w:tc>
        <w:tc>
          <w:tcPr>
            <w:tcW w:w="945" w:type="dxa"/>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1" w:hRule="exact"/>
          <w:jc w:val="center"/>
        </w:trPr>
        <w:tc>
          <w:tcPr>
            <w:tcW w:w="8512" w:type="dxa"/>
            <w:gridSpan w:val="7"/>
            <w:tcBorders>
              <w:top w:val="single" w:color="auto" w:sz="4" w:space="0"/>
              <w:bottom w:val="single" w:color="auto" w:sz="4" w:space="0"/>
            </w:tcBorders>
            <w:vAlign w:val="center"/>
          </w:tcPr>
          <w:p>
            <w:pPr>
              <w:jc w:val="center"/>
            </w:pPr>
            <w:r>
              <w:rPr>
                <w:rFonts w:hint="eastAsia"/>
              </w:rPr>
              <w:t>设备清单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2128" w:type="dxa"/>
            <w:gridSpan w:val="2"/>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设备名称</w:t>
            </w:r>
          </w:p>
        </w:tc>
        <w:tc>
          <w:tcPr>
            <w:tcW w:w="113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规格型号</w:t>
            </w:r>
          </w:p>
        </w:tc>
        <w:tc>
          <w:tcPr>
            <w:tcW w:w="1359"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w:t>
            </w:r>
          </w:p>
        </w:tc>
        <w:tc>
          <w:tcPr>
            <w:tcW w:w="1470"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数量</w:t>
            </w:r>
          </w:p>
        </w:tc>
        <w:tc>
          <w:tcPr>
            <w:tcW w:w="1142"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3" w:hRule="exact"/>
          <w:jc w:val="center"/>
        </w:trPr>
        <w:tc>
          <w:tcPr>
            <w:tcW w:w="1276" w:type="dxa"/>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2128" w:type="dxa"/>
            <w:gridSpan w:val="2"/>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2128" w:type="dxa"/>
            <w:gridSpan w:val="2"/>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2128" w:type="dxa"/>
            <w:gridSpan w:val="2"/>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2128" w:type="dxa"/>
            <w:gridSpan w:val="2"/>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bl>
    <w:p>
      <w:pPr>
        <w:spacing w:line="400" w:lineRule="exact"/>
        <w:rPr>
          <w:rFonts w:ascii="宋体" w:hAnsi="宋体"/>
          <w:color w:val="000000" w:themeColor="text1"/>
          <w14:textFill>
            <w14:solidFill>
              <w14:schemeClr w14:val="tx1"/>
            </w14:solidFill>
          </w14:textFill>
        </w:rPr>
      </w:pPr>
    </w:p>
    <w:p>
      <w:pPr>
        <w:spacing w:line="400" w:lineRule="exact"/>
        <w:rPr>
          <w:rFonts w:ascii="宋体" w:hAnsi="宋体"/>
          <w:color w:val="000000" w:themeColor="text1"/>
          <w14:textFill>
            <w14:solidFill>
              <w14:schemeClr w14:val="tx1"/>
            </w14:solidFill>
          </w14:textFill>
        </w:rPr>
      </w:pPr>
    </w:p>
    <w:p>
      <w:pPr>
        <w:pStyle w:val="28"/>
        <w:adjustRightInd w:val="0"/>
        <w:snapToGrid w:val="0"/>
        <w:spacing w:line="360" w:lineRule="auto"/>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w:t>
      </w:r>
      <w:r>
        <w:rPr>
          <w:rFonts w:hint="eastAsia" w:ascii="宋体" w:hAnsi="宋体"/>
          <w:color w:val="000000" w:themeColor="text1"/>
          <w:sz w:val="21"/>
          <w:szCs w:val="21"/>
          <w:u w:val="single"/>
          <w14:textFill>
            <w14:solidFill>
              <w14:schemeClr w14:val="tx1"/>
            </w14:solidFill>
          </w14:textFill>
        </w:rPr>
        <w:t xml:space="preserve">                   </w:t>
      </w:r>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法定代表人或其委托代理人(签字)：</w:t>
      </w:r>
      <w:r>
        <w:rPr>
          <w:rFonts w:hint="eastAsia" w:ascii="宋体" w:hAnsi="宋体"/>
          <w:color w:val="000000" w:themeColor="text1"/>
          <w:szCs w:val="21"/>
          <w:u w:val="single"/>
          <w14:textFill>
            <w14:solidFill>
              <w14:schemeClr w14:val="tx1"/>
            </w14:solidFill>
          </w14:textFill>
        </w:rPr>
        <w:t xml:space="preserve">                   </w:t>
      </w:r>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日          期：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年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月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日</w:t>
      </w:r>
    </w:p>
    <w:p>
      <w:pPr>
        <w:topLinePunct/>
        <w:spacing w:line="440" w:lineRule="exact"/>
        <w:rPr>
          <w:rFonts w:ascii="宋体" w:hAnsi="宋体"/>
          <w:b/>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bCs/>
          <w:color w:val="000000" w:themeColor="text1"/>
          <w:sz w:val="28"/>
          <w:szCs w:val="28"/>
          <w14:textFill>
            <w14:solidFill>
              <w14:schemeClr w14:val="tx1"/>
            </w14:solidFill>
          </w14:textFill>
        </w:rPr>
        <w:t>附件13</w:t>
      </w:r>
    </w:p>
    <w:p>
      <w:pPr>
        <w:adjustRightInd w:val="0"/>
        <w:snapToGrid w:val="0"/>
        <w:ind w:left="-88" w:leftChars="-42" w:firstLine="280" w:firstLineChars="100"/>
        <w:jc w:val="cente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售后服务附表</w:t>
      </w:r>
    </w:p>
    <w:p>
      <w:pPr>
        <w:topLinePunct/>
        <w:spacing w:line="440" w:lineRule="exact"/>
        <w:rPr>
          <w:rFonts w:ascii="宋体" w:hAnsi="宋体"/>
          <w:b/>
          <w:color w:val="000000" w:themeColor="text1"/>
          <w:szCs w:val="21"/>
          <w14:textFill>
            <w14:solidFill>
              <w14:schemeClr w14:val="tx1"/>
            </w14:solidFill>
          </w14:textFill>
        </w:rPr>
      </w:pPr>
    </w:p>
    <w:p>
      <w:pPr>
        <w:topLinePunct/>
        <w:spacing w:line="440" w:lineRule="exact"/>
        <w:rPr>
          <w:rFonts w:ascii="宋体" w:hAnsi="宋体"/>
          <w:b/>
          <w:color w:val="000000" w:themeColor="text1"/>
          <w:szCs w:val="21"/>
          <w:u w:val="single"/>
          <w14:textFill>
            <w14:solidFill>
              <w14:schemeClr w14:val="tx1"/>
            </w14:solidFill>
          </w14:textFill>
        </w:rPr>
      </w:pPr>
      <w:r>
        <w:rPr>
          <w:rFonts w:hint="eastAsia" w:ascii="宋体" w:hAnsi="宋体"/>
          <w:b/>
          <w:color w:val="000000" w:themeColor="text1"/>
          <w:szCs w:val="21"/>
          <w14:textFill>
            <w14:solidFill>
              <w14:schemeClr w14:val="tx1"/>
            </w14:solidFill>
          </w14:textFill>
        </w:rPr>
        <w:t>项目编号：</w:t>
      </w:r>
      <w:r>
        <w:rPr>
          <w:rFonts w:hint="eastAsia" w:ascii="宋体" w:hAnsi="宋体"/>
          <w:b/>
          <w:color w:val="000000" w:themeColor="text1"/>
          <w:szCs w:val="21"/>
          <w:u w:val="single"/>
          <w14:textFill>
            <w14:solidFill>
              <w14:schemeClr w14:val="tx1"/>
            </w14:solidFill>
          </w14:textFill>
        </w:rPr>
        <w:t xml:space="preserve">                           </w:t>
      </w:r>
    </w:p>
    <w:p>
      <w:pPr>
        <w:topLinePunct/>
        <w:spacing w:line="44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投标人名称：</w:t>
      </w:r>
      <w:r>
        <w:rPr>
          <w:rFonts w:hint="eastAsia" w:ascii="宋体" w:hAnsi="宋体"/>
          <w:b/>
          <w:color w:val="000000" w:themeColor="text1"/>
          <w:szCs w:val="21"/>
          <w:u w:val="single"/>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 xml:space="preserve">        </w:t>
      </w:r>
    </w:p>
    <w:tbl>
      <w:tblPr>
        <w:tblStyle w:val="46"/>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440"/>
        <w:gridCol w:w="191"/>
        <w:gridCol w:w="1440"/>
        <w:gridCol w:w="705"/>
        <w:gridCol w:w="1196"/>
        <w:gridCol w:w="2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服务网点名称</w:t>
            </w:r>
          </w:p>
        </w:tc>
        <w:tc>
          <w:tcPr>
            <w:tcW w:w="4972"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center"/>
              <w:rPr>
                <w:rFonts w:ascii="宋体" w:hAnsi="宋体"/>
                <w:color w:val="000000" w:themeColor="text1"/>
                <w:szCs w:val="21"/>
                <w14:textFill>
                  <w14:solidFill>
                    <w14:schemeClr w14:val="tx1"/>
                  </w14:solidFill>
                </w14:textFill>
              </w:rPr>
            </w:pPr>
          </w:p>
        </w:tc>
        <w:tc>
          <w:tcPr>
            <w:tcW w:w="204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4972"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center"/>
              <w:rPr>
                <w:rFonts w:ascii="宋体" w:hAnsi="宋体"/>
                <w:color w:val="000000" w:themeColor="text1"/>
                <w:szCs w:val="21"/>
                <w14:textFill>
                  <w14:solidFill>
                    <w14:schemeClr w14:val="tx1"/>
                  </w14:solidFill>
                </w14:textFill>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注册资本金</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336" w:type="dxa"/>
            <w:gridSpan w:val="3"/>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其中：投标人出资比例</w:t>
            </w:r>
          </w:p>
        </w:tc>
        <w:tc>
          <w:tcPr>
            <w:tcW w:w="1196"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restart"/>
            <w:tcBorders>
              <w:top w:val="single" w:color="auto" w:sz="4" w:space="0"/>
              <w:left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提供相关证明材料（如：营业执照或租房合同等）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员工总人数</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336" w:type="dxa"/>
            <w:gridSpan w:val="3"/>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其中：技术人员数</w:t>
            </w:r>
          </w:p>
        </w:tc>
        <w:tc>
          <w:tcPr>
            <w:tcW w:w="1196"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continue"/>
            <w:tcBorders>
              <w:left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经营期限</w:t>
            </w:r>
          </w:p>
        </w:tc>
        <w:tc>
          <w:tcPr>
            <w:tcW w:w="4972"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continue"/>
            <w:tcBorders>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本地化（伊犁州、霍尔果斯）售后服务协议</w:t>
            </w:r>
          </w:p>
        </w:tc>
        <w:tc>
          <w:tcPr>
            <w:tcW w:w="4972"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注:如外地企业在伊犁州或霍尔果斯有本地售后服务机构可提供相关证明材料。本地企业可不填写。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售后服务内容</w:t>
            </w:r>
          </w:p>
        </w:tc>
        <w:tc>
          <w:tcPr>
            <w:tcW w:w="4972"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restart"/>
            <w:tcBorders>
              <w:top w:val="single" w:color="auto" w:sz="4" w:space="0"/>
              <w:left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此部分内容做附件进行详细说明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服务承诺</w:t>
            </w:r>
          </w:p>
        </w:tc>
        <w:tc>
          <w:tcPr>
            <w:tcW w:w="4972"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continue"/>
            <w:tcBorders>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业务咨询电话</w:t>
            </w:r>
          </w:p>
        </w:tc>
        <w:tc>
          <w:tcPr>
            <w:tcW w:w="1631" w:type="dxa"/>
            <w:gridSpan w:val="2"/>
            <w:tcBorders>
              <w:top w:val="single" w:color="auto" w:sz="4" w:space="0"/>
              <w:left w:val="single" w:color="auto" w:sz="4" w:space="0"/>
              <w:bottom w:val="single" w:color="auto" w:sz="4" w:space="0"/>
              <w:right w:val="single" w:color="auto" w:sz="2"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56" w:afterLines="50" w:line="400" w:lineRule="exact"/>
              <w:ind w:firstLine="210" w:firstLineChars="1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w:t>
            </w:r>
            <w:r>
              <w:rPr>
                <w:rFonts w:ascii="宋体" w:hAnsi="宋体"/>
                <w:color w:val="000000" w:themeColor="text1"/>
                <w:szCs w:val="21"/>
                <w14:textFill>
                  <w14:solidFill>
                    <w14:schemeClr w14:val="tx1"/>
                  </w14:solidFill>
                </w14:textFill>
              </w:rPr>
              <w:t xml:space="preserve"> 真</w:t>
            </w:r>
          </w:p>
        </w:tc>
        <w:tc>
          <w:tcPr>
            <w:tcW w:w="1901" w:type="dxa"/>
            <w:gridSpan w:val="2"/>
            <w:tcBorders>
              <w:top w:val="single" w:color="auto" w:sz="4" w:space="0"/>
              <w:left w:val="single" w:color="auto" w:sz="2" w:space="0"/>
              <w:bottom w:val="single" w:color="auto" w:sz="4" w:space="0"/>
              <w:right w:val="single" w:color="auto" w:sz="2"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restart"/>
            <w:tcBorders>
              <w:top w:val="single" w:color="auto" w:sz="4" w:space="0"/>
              <w:left w:val="single" w:color="auto" w:sz="2"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附人员身份证等相关证件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负责人</w:t>
            </w:r>
          </w:p>
        </w:tc>
        <w:tc>
          <w:tcPr>
            <w:tcW w:w="1631" w:type="dxa"/>
            <w:gridSpan w:val="2"/>
            <w:tcBorders>
              <w:top w:val="single" w:color="auto" w:sz="4" w:space="0"/>
              <w:left w:val="single" w:color="auto" w:sz="4" w:space="0"/>
              <w:bottom w:val="single" w:color="auto" w:sz="4" w:space="0"/>
              <w:right w:val="single" w:color="auto" w:sz="2"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tc>
        <w:tc>
          <w:tcPr>
            <w:tcW w:w="1901" w:type="dxa"/>
            <w:gridSpan w:val="2"/>
            <w:tcBorders>
              <w:top w:val="single" w:color="auto" w:sz="4" w:space="0"/>
              <w:left w:val="single" w:color="auto" w:sz="2" w:space="0"/>
              <w:bottom w:val="single" w:color="auto" w:sz="4" w:space="0"/>
              <w:right w:val="single" w:color="auto" w:sz="2"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continue"/>
            <w:tcBorders>
              <w:left w:val="single" w:color="auto" w:sz="2"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r>
    </w:tbl>
    <w:p>
      <w:pPr>
        <w:spacing w:line="4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备注：售后服务、售后计划等方案可另起页说明。</w:t>
      </w:r>
    </w:p>
    <w:p>
      <w:pPr>
        <w:pStyle w:val="28"/>
        <w:adjustRightInd w:val="0"/>
        <w:snapToGrid w:val="0"/>
        <w:spacing w:line="360" w:lineRule="auto"/>
        <w:rPr>
          <w:rFonts w:ascii="宋体" w:hAnsi="宋体"/>
          <w:color w:val="000000" w:themeColor="text1"/>
          <w:sz w:val="21"/>
          <w:szCs w:val="21"/>
          <w14:textFill>
            <w14:solidFill>
              <w14:schemeClr w14:val="tx1"/>
            </w14:solidFill>
          </w14:textFill>
        </w:rPr>
      </w:pPr>
    </w:p>
    <w:p>
      <w:pPr>
        <w:pStyle w:val="28"/>
        <w:adjustRightInd w:val="0"/>
        <w:snapToGrid w:val="0"/>
        <w:spacing w:line="360" w:lineRule="auto"/>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w:t>
      </w:r>
      <w:r>
        <w:rPr>
          <w:rFonts w:hint="eastAsia" w:ascii="宋体" w:hAnsi="宋体"/>
          <w:color w:val="000000" w:themeColor="text1"/>
          <w:sz w:val="21"/>
          <w:szCs w:val="21"/>
          <w:u w:val="single"/>
          <w14:textFill>
            <w14:solidFill>
              <w14:schemeClr w14:val="tx1"/>
            </w14:solidFill>
          </w14:textFill>
        </w:rPr>
        <w:t xml:space="preserve">                   </w:t>
      </w:r>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法定代表人或其委托代理人(签字)：</w:t>
      </w:r>
      <w:r>
        <w:rPr>
          <w:rFonts w:hint="eastAsia" w:ascii="宋体" w:hAnsi="宋体"/>
          <w:color w:val="000000" w:themeColor="text1"/>
          <w:szCs w:val="21"/>
          <w:u w:val="single"/>
          <w14:textFill>
            <w14:solidFill>
              <w14:schemeClr w14:val="tx1"/>
            </w14:solidFill>
          </w14:textFill>
        </w:rPr>
        <w:t xml:space="preserve">                   </w:t>
      </w:r>
    </w:p>
    <w:p>
      <w:pPr>
        <w:topLinePunct/>
        <w:spacing w:line="440" w:lineRule="exact"/>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 xml:space="preserve">日          期：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年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月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日</w:t>
      </w:r>
    </w:p>
    <w:p>
      <w:pPr>
        <w:jc w:val="center"/>
        <w:rPr>
          <w:rFonts w:ascii="宋体" w:hAnsi="宋体"/>
          <w:color w:val="000000" w:themeColor="text1"/>
          <w:sz w:val="28"/>
          <w:szCs w:val="28"/>
          <w14:textFill>
            <w14:solidFill>
              <w14:schemeClr w14:val="tx1"/>
            </w14:solidFill>
          </w14:textFill>
        </w:rPr>
      </w:pPr>
    </w:p>
    <w:p>
      <w:pPr>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br w:type="page"/>
      </w:r>
      <w:r>
        <w:rPr>
          <w:rFonts w:hint="eastAsia" w:ascii="宋体" w:hAnsi="宋体" w:cs="宋体"/>
          <w:b/>
          <w:color w:val="000000" w:themeColor="text1"/>
          <w:sz w:val="28"/>
          <w:szCs w:val="28"/>
          <w14:textFill>
            <w14:solidFill>
              <w14:schemeClr w14:val="tx1"/>
            </w14:solidFill>
          </w14:textFill>
        </w:rPr>
        <w:t>商务技术响应文件说明</w:t>
      </w:r>
    </w:p>
    <w:p>
      <w:pPr>
        <w:adjustRightInd w:val="0"/>
        <w:snapToGrid w:val="0"/>
        <w:spacing w:line="360" w:lineRule="auto"/>
        <w:ind w:left="-88" w:leftChars="-42" w:firstLine="210" w:firstLineChars="100"/>
        <w:rPr>
          <w:rFonts w:ascii="宋体" w:hAnsi="宋体" w:cs="宋体"/>
          <w:color w:val="000000" w:themeColor="text1"/>
          <w:szCs w:val="21"/>
          <w14:textFill>
            <w14:solidFill>
              <w14:schemeClr w14:val="tx1"/>
            </w14:solidFill>
          </w14:textFill>
        </w:rPr>
      </w:pPr>
    </w:p>
    <w:p>
      <w:pPr>
        <w:adjustRightInd w:val="0"/>
        <w:snapToGrid w:val="0"/>
        <w:spacing w:line="360" w:lineRule="auto"/>
        <w:ind w:left="-88" w:leftChars="-42" w:firstLine="211" w:firstLineChars="1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商务技术响应文件</w:t>
      </w:r>
      <w:r>
        <w:rPr>
          <w:rFonts w:hint="eastAsia" w:ascii="宋体" w:hAnsi="宋体" w:cs="宋体"/>
          <w:b/>
          <w:color w:val="000000" w:themeColor="text1"/>
          <w:szCs w:val="21"/>
          <w:highlight w:val="yellow"/>
          <w14:textFill>
            <w14:solidFill>
              <w14:schemeClr w14:val="tx1"/>
            </w14:solidFill>
          </w14:textFill>
        </w:rPr>
        <w:t>可依照项目具体要求灵活提供</w:t>
      </w:r>
      <w:r>
        <w:rPr>
          <w:rFonts w:hint="eastAsia" w:ascii="宋体" w:hAnsi="宋体" w:cs="宋体"/>
          <w:b/>
          <w:color w:val="000000" w:themeColor="text1"/>
          <w:szCs w:val="21"/>
          <w14:textFill>
            <w14:solidFill>
              <w14:schemeClr w14:val="tx1"/>
            </w14:solidFill>
          </w14:textFill>
        </w:rPr>
        <w:t>：</w:t>
      </w:r>
    </w:p>
    <w:p>
      <w:pPr>
        <w:pStyle w:val="7"/>
      </w:pPr>
    </w:p>
    <w:p>
      <w:pPr>
        <w:adjustRightInd w:val="0"/>
        <w:snapToGrid w:val="0"/>
        <w:spacing w:line="360" w:lineRule="auto"/>
        <w:rPr>
          <w:rFonts w:ascii="宋体" w:hAnsi="宋体"/>
          <w:color w:val="000000" w:themeColor="text1"/>
          <w:szCs w:val="21"/>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br w:type="page"/>
      </w:r>
    </w:p>
    <w:p>
      <w:pPr>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附件14</w:t>
      </w:r>
    </w:p>
    <w:p>
      <w:pPr>
        <w:adjustRightInd w:val="0"/>
        <w:snapToGrid w:val="0"/>
        <w:spacing w:line="36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投标报价明细表</w:t>
      </w:r>
    </w:p>
    <w:p>
      <w:pPr>
        <w:adjustRightInd w:val="0"/>
        <w:snapToGrid w:val="0"/>
        <w:spacing w:line="360" w:lineRule="auto"/>
        <w:jc w:val="center"/>
      </w:pPr>
      <w:r>
        <w:rPr>
          <w:rFonts w:hint="eastAsia" w:ascii="宋体" w:hAnsi="宋体" w:cs="宋体"/>
          <w:bCs/>
          <w:szCs w:val="21"/>
        </w:rPr>
        <w:t>（此</w:t>
      </w:r>
      <w:r>
        <w:rPr>
          <w:rFonts w:hint="eastAsia" w:ascii="宋体" w:hAnsi="宋体"/>
          <w:bCs/>
          <w:sz w:val="24"/>
        </w:rPr>
        <w:t>表</w:t>
      </w:r>
      <w:r>
        <w:rPr>
          <w:rFonts w:hint="eastAsia" w:ascii="宋体" w:hAnsi="宋体"/>
          <w:bCs/>
          <w:sz w:val="24"/>
          <w:lang w:eastAsia="zh-CN"/>
        </w:rPr>
        <w:t>内容</w:t>
      </w:r>
      <w:r>
        <w:rPr>
          <w:rFonts w:hint="eastAsia" w:ascii="宋体" w:hAnsi="宋体"/>
          <w:bCs/>
          <w:sz w:val="24"/>
        </w:rPr>
        <w:t>将公示于中标结果公告中</w:t>
      </w:r>
      <w:r>
        <w:rPr>
          <w:rFonts w:hint="eastAsia" w:ascii="宋体" w:hAnsi="宋体" w:cs="宋体"/>
          <w:bCs/>
          <w:szCs w:val="21"/>
        </w:rPr>
        <w:t>）</w:t>
      </w:r>
      <w:r>
        <w:rPr>
          <w:rFonts w:hint="eastAsia" w:ascii="宋体" w:hAnsi="宋体" w:cs="宋体"/>
          <w:b/>
          <w:sz w:val="28"/>
          <w:szCs w:val="28"/>
        </w:rPr>
        <w:t xml:space="preserve"> </w:t>
      </w:r>
    </w:p>
    <w:p>
      <w:pPr>
        <w:spacing w:line="360" w:lineRule="exact"/>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项目名称：                                                        </w:t>
      </w:r>
    </w:p>
    <w:p>
      <w:pPr>
        <w:spacing w:line="360" w:lineRule="exact"/>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项目编号：                                                 金额单位：元</w:t>
      </w:r>
    </w:p>
    <w:tbl>
      <w:tblPr>
        <w:tblStyle w:val="46"/>
        <w:tblW w:w="851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1"/>
        <w:gridCol w:w="1072"/>
        <w:gridCol w:w="928"/>
        <w:gridCol w:w="784"/>
        <w:gridCol w:w="2000"/>
        <w:gridCol w:w="912"/>
        <w:gridCol w:w="672"/>
        <w:gridCol w:w="832"/>
        <w:gridCol w:w="7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序号</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szCs w:val="21"/>
                <w:lang w:eastAsia="zh-CN"/>
              </w:rPr>
            </w:pPr>
            <w:r>
              <w:rPr>
                <w:rFonts w:hint="eastAsia" w:ascii="宋体" w:hAnsi="宋体" w:cs="宋体"/>
                <w:szCs w:val="21"/>
                <w:lang w:eastAsia="zh-CN"/>
              </w:rPr>
              <w:t>标的物</w:t>
            </w: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color w:val="000000"/>
                <w:szCs w:val="21"/>
              </w:rPr>
              <w:t>制造商、品牌</w:t>
            </w: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color w:val="000000"/>
                <w:szCs w:val="21"/>
                <w:lang w:eastAsia="zh-CN"/>
              </w:rPr>
              <w:t>规格</w:t>
            </w:r>
            <w:r>
              <w:rPr>
                <w:rFonts w:hint="eastAsia" w:ascii="宋体" w:hAnsi="宋体" w:cs="宋体"/>
                <w:color w:val="000000"/>
                <w:szCs w:val="21"/>
              </w:rPr>
              <w:t>型号</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投标参数</w:t>
            </w:r>
          </w:p>
        </w:tc>
        <w:tc>
          <w:tcPr>
            <w:tcW w:w="91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单位及数量</w:t>
            </w: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单价</w:t>
            </w: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合计</w:t>
            </w: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2</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3</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4</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5</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pacing w:val="-10"/>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6</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7</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8</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9</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11</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w:t>
            </w: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1" w:hRule="exact"/>
          <w:jc w:val="center"/>
        </w:trPr>
        <w:tc>
          <w:tcPr>
            <w:tcW w:w="164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总报价</w:t>
            </w:r>
          </w:p>
        </w:tc>
        <w:tc>
          <w:tcPr>
            <w:tcW w:w="6875"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left"/>
              <w:rPr>
                <w:rFonts w:ascii="宋体" w:hAnsi="宋体" w:cs="宋体"/>
                <w:szCs w:val="21"/>
              </w:rPr>
            </w:pPr>
            <w:r>
              <w:rPr>
                <w:rFonts w:hint="eastAsia" w:ascii="宋体" w:hAnsi="宋体" w:cs="宋体"/>
                <w:szCs w:val="21"/>
              </w:rPr>
              <w:t>大写：</w:t>
            </w:r>
          </w:p>
          <w:p>
            <w:pPr>
              <w:tabs>
                <w:tab w:val="left" w:pos="1418"/>
              </w:tabs>
              <w:snapToGrid w:val="0"/>
              <w:spacing w:before="50" w:after="50"/>
              <w:jc w:val="left"/>
              <w:rPr>
                <w:rFonts w:ascii="宋体" w:hAnsi="宋体" w:cs="宋体"/>
                <w:szCs w:val="21"/>
              </w:rPr>
            </w:pPr>
          </w:p>
          <w:p>
            <w:pPr>
              <w:tabs>
                <w:tab w:val="left" w:pos="1418"/>
              </w:tabs>
              <w:snapToGrid w:val="0"/>
              <w:spacing w:before="50" w:after="50"/>
              <w:jc w:val="left"/>
            </w:pPr>
            <w:r>
              <w:rPr>
                <w:rFonts w:hint="eastAsia" w:ascii="宋体" w:hAnsi="宋体" w:cs="宋体"/>
                <w:szCs w:val="21"/>
              </w:rPr>
              <w:t>小写：</w:t>
            </w:r>
          </w:p>
        </w:tc>
      </w:tr>
    </w:tbl>
    <w:p>
      <w:pPr>
        <w:adjustRightInd w:val="0"/>
        <w:snapToGrid w:val="0"/>
        <w:spacing w:line="360" w:lineRule="auto"/>
        <w:ind w:left="-88" w:leftChars="-42"/>
        <w:rPr>
          <w:rFonts w:ascii="宋体" w:hAnsi="宋体" w:cs="宋体"/>
          <w:b/>
          <w:color w:val="000000" w:themeColor="text1"/>
          <w:szCs w:val="21"/>
          <w14:textFill>
            <w14:solidFill>
              <w14:schemeClr w14:val="tx1"/>
            </w14:solidFill>
          </w14:textFill>
        </w:rPr>
      </w:pPr>
    </w:p>
    <w:p>
      <w:pPr>
        <w:adjustRightInd w:val="0"/>
        <w:snapToGrid w:val="0"/>
        <w:spacing w:line="360" w:lineRule="auto"/>
        <w:ind w:left="-88" w:leftChars="-42"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注：1、投标人可在此表后附其报价详细说明</w:t>
      </w:r>
      <w:r>
        <w:rPr>
          <w:rFonts w:hint="eastAsia" w:ascii="宋体" w:hAnsi="宋体" w:cs="宋体"/>
          <w:color w:val="000000" w:themeColor="text1"/>
          <w:szCs w:val="21"/>
          <w:lang w:eastAsia="zh-CN"/>
          <w14:textFill>
            <w14:solidFill>
              <w14:schemeClr w14:val="tx1"/>
            </w14:solidFill>
          </w14:textFill>
        </w:rPr>
        <w:t>及图示</w:t>
      </w:r>
      <w:r>
        <w:rPr>
          <w:rFonts w:hint="eastAsia" w:ascii="宋体" w:hAnsi="宋体" w:cs="宋体"/>
          <w:color w:val="000000" w:themeColor="text1"/>
          <w:szCs w:val="21"/>
          <w14:textFill>
            <w14:solidFill>
              <w14:schemeClr w14:val="tx1"/>
            </w14:solidFill>
          </w14:textFill>
        </w:rPr>
        <w:t>。</w:t>
      </w:r>
    </w:p>
    <w:p>
      <w:pPr>
        <w:pStyle w:val="3"/>
        <w:rPr>
          <w:rFonts w:hint="eastAsia" w:eastAsia="宋体"/>
          <w:lang w:val="en-US" w:eastAsia="zh-CN"/>
        </w:rPr>
      </w:pPr>
    </w:p>
    <w:p>
      <w:pPr>
        <w:adjustRightInd w:val="0"/>
        <w:snapToGrid w:val="0"/>
        <w:spacing w:line="360" w:lineRule="auto"/>
        <w:rPr>
          <w:rFonts w:ascii="宋体" w:hAnsi="宋体" w:cs="宋体"/>
          <w:color w:val="000000" w:themeColor="text1"/>
          <w14:textFill>
            <w14:solidFill>
              <w14:schemeClr w14:val="tx1"/>
            </w14:solidFill>
          </w14:textFill>
        </w:rPr>
      </w:pPr>
    </w:p>
    <w:p>
      <w:pPr>
        <w:adjustRightInd w:val="0"/>
        <w:snapToGrid w:val="0"/>
        <w:spacing w:line="360" w:lineRule="auto"/>
        <w:rPr>
          <w:rFonts w:ascii="宋体" w:hAnsi="宋体" w:cs="宋体"/>
          <w:color w:val="000000" w:themeColor="text1"/>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（盖单位章）：</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r>
        <w:rPr>
          <w:rFonts w:hint="eastAsia" w:ascii="宋体" w:hAnsi="宋体" w:cs="宋体"/>
          <w:b/>
          <w:color w:val="000000" w:themeColor="text1"/>
          <w:sz w:val="24"/>
          <w14:textFill>
            <w14:solidFill>
              <w14:schemeClr w14:val="tx1"/>
            </w14:solidFill>
          </w14:textFill>
        </w:rPr>
        <w:t xml:space="preserve"> </w:t>
      </w:r>
    </w:p>
    <w:bookmarkEnd w:id="0"/>
    <w:bookmarkEnd w:id="40"/>
    <w:bookmarkEnd w:id="41"/>
    <w:p>
      <w:pPr>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br w:type="page"/>
      </w:r>
    </w:p>
    <w:p>
      <w:pPr>
        <w:rPr>
          <w:rFonts w:hint="default"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附件14</w:t>
      </w:r>
      <w:r>
        <w:rPr>
          <w:rFonts w:hint="eastAsia" w:ascii="宋体" w:hAnsi="宋体" w:cs="宋体"/>
          <w:bCs/>
          <w:color w:val="000000" w:themeColor="text1"/>
          <w:sz w:val="28"/>
          <w:szCs w:val="28"/>
          <w:lang w:val="en-US" w:eastAsia="zh-CN"/>
          <w14:textFill>
            <w14:solidFill>
              <w14:schemeClr w14:val="tx1"/>
            </w14:solidFill>
          </w14:textFill>
        </w:rPr>
        <w:t>-1</w:t>
      </w:r>
    </w:p>
    <w:p>
      <w:pPr>
        <w:adjustRightInd w:val="0"/>
        <w:snapToGrid w:val="0"/>
        <w:spacing w:line="360" w:lineRule="auto"/>
        <w:jc w:val="center"/>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lang w:eastAsia="zh-CN"/>
          <w14:textFill>
            <w14:solidFill>
              <w14:schemeClr w14:val="tx1"/>
            </w14:solidFill>
          </w14:textFill>
        </w:rPr>
        <w:t>标的物公示信息一览表</w:t>
      </w:r>
    </w:p>
    <w:p>
      <w:pPr>
        <w:adjustRightInd w:val="0"/>
        <w:snapToGrid w:val="0"/>
        <w:spacing w:line="360" w:lineRule="auto"/>
        <w:jc w:val="center"/>
      </w:pPr>
      <w:r>
        <w:rPr>
          <w:rFonts w:hint="eastAsia" w:ascii="宋体" w:hAnsi="宋体" w:cs="宋体"/>
          <w:bCs/>
          <w:szCs w:val="21"/>
        </w:rPr>
        <w:t>（此</w:t>
      </w:r>
      <w:r>
        <w:rPr>
          <w:rFonts w:hint="eastAsia" w:ascii="宋体" w:hAnsi="宋体"/>
          <w:bCs/>
          <w:sz w:val="24"/>
        </w:rPr>
        <w:t>表将公示于中标结果公告中</w:t>
      </w:r>
      <w:r>
        <w:rPr>
          <w:rFonts w:hint="eastAsia" w:ascii="宋体" w:hAnsi="宋体" w:cs="宋体"/>
          <w:bCs/>
          <w:szCs w:val="21"/>
        </w:rPr>
        <w:t>）</w:t>
      </w:r>
      <w:r>
        <w:rPr>
          <w:rFonts w:hint="eastAsia" w:ascii="宋体" w:hAnsi="宋体" w:cs="宋体"/>
          <w:b/>
          <w:sz w:val="28"/>
          <w:szCs w:val="28"/>
        </w:rPr>
        <w:t xml:space="preserve"> </w:t>
      </w:r>
    </w:p>
    <w:p>
      <w:pPr>
        <w:spacing w:line="360" w:lineRule="exact"/>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项目名称：                                                        </w:t>
      </w:r>
    </w:p>
    <w:p>
      <w:pPr>
        <w:spacing w:line="360" w:lineRule="exact"/>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项目编号：                                                 金额单位：元</w:t>
      </w:r>
    </w:p>
    <w:tbl>
      <w:tblPr>
        <w:tblStyle w:val="46"/>
        <w:tblW w:w="8273" w:type="dxa"/>
        <w:jc w:val="center"/>
        <w:tblInd w:w="-88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7"/>
        <w:gridCol w:w="1290"/>
        <w:gridCol w:w="1545"/>
        <w:gridCol w:w="1770"/>
        <w:gridCol w:w="1035"/>
        <w:gridCol w:w="15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序号</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szCs w:val="21"/>
                <w:lang w:eastAsia="zh-CN"/>
              </w:rPr>
            </w:pPr>
            <w:r>
              <w:rPr>
                <w:rFonts w:hint="eastAsia" w:ascii="宋体" w:hAnsi="宋体" w:cs="宋体"/>
                <w:szCs w:val="21"/>
                <w:lang w:eastAsia="zh-CN"/>
              </w:rPr>
              <w:t>标的物</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color w:val="000000"/>
                <w:szCs w:val="21"/>
              </w:rPr>
              <w:t>品牌</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color w:val="000000"/>
                <w:szCs w:val="21"/>
                <w:lang w:eastAsia="zh-CN"/>
              </w:rPr>
              <w:t>规格</w:t>
            </w:r>
            <w:r>
              <w:rPr>
                <w:rFonts w:hint="eastAsia" w:ascii="宋体" w:hAnsi="宋体" w:cs="宋体"/>
                <w:color w:val="000000"/>
                <w:szCs w:val="21"/>
              </w:rPr>
              <w:t>型号</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单位及数量</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2</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3</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4</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5</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pacing w:val="-10"/>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6</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7</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8</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9</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10</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11</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bl>
    <w:p>
      <w:pPr>
        <w:adjustRightInd w:val="0"/>
        <w:snapToGrid w:val="0"/>
        <w:spacing w:line="360" w:lineRule="auto"/>
        <w:ind w:left="-88" w:leftChars="-42"/>
        <w:rPr>
          <w:rFonts w:ascii="宋体" w:hAnsi="宋体" w:cs="宋体"/>
          <w:b/>
          <w:color w:val="000000" w:themeColor="text1"/>
          <w:szCs w:val="21"/>
          <w14:textFill>
            <w14:solidFill>
              <w14:schemeClr w14:val="tx1"/>
            </w14:solidFill>
          </w14:textFill>
        </w:rPr>
      </w:pPr>
    </w:p>
    <w:p>
      <w:pPr>
        <w:adjustRightInd w:val="0"/>
        <w:snapToGrid w:val="0"/>
        <w:spacing w:line="360" w:lineRule="auto"/>
        <w:ind w:left="-88" w:leftChars="-42"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w:t>
      </w:r>
      <w:r>
        <w:rPr>
          <w:rFonts w:hint="eastAsia" w:ascii="宋体" w:hAnsi="宋体" w:cs="宋体"/>
          <w:color w:val="000000" w:themeColor="text1"/>
          <w:szCs w:val="21"/>
          <w:lang w:eastAsia="zh-CN"/>
          <w14:textFill>
            <w14:solidFill>
              <w14:schemeClr w14:val="tx1"/>
            </w14:solidFill>
          </w14:textFill>
        </w:rPr>
        <w:t>此表内相应内容应与《投标报价明细表》内容完全一致，</w:t>
      </w:r>
      <w:r>
        <w:rPr>
          <w:rFonts w:hint="eastAsia" w:ascii="宋体" w:hAnsi="宋体" w:cs="宋体"/>
          <w:color w:val="000000" w:themeColor="text1"/>
          <w:szCs w:val="21"/>
          <w14:textFill>
            <w14:solidFill>
              <w14:schemeClr w14:val="tx1"/>
            </w14:solidFill>
          </w14:textFill>
        </w:rPr>
        <w:t>。</w:t>
      </w:r>
    </w:p>
    <w:p>
      <w:pPr>
        <w:pStyle w:val="3"/>
        <w:rPr>
          <w:rFonts w:hint="eastAsia" w:eastAsia="宋体"/>
          <w:lang w:val="en-US" w:eastAsia="zh-CN"/>
        </w:rPr>
      </w:pPr>
      <w:r>
        <w:rPr>
          <w:rFonts w:hint="eastAsia" w:ascii="宋体" w:hAnsi="宋体" w:cs="宋体"/>
          <w:color w:val="000000" w:themeColor="text1"/>
          <w:szCs w:val="21"/>
          <w:lang w:val="en-US" w:eastAsia="zh-CN"/>
          <w14:textFill>
            <w14:solidFill>
              <w14:schemeClr w14:val="tx1"/>
            </w14:solidFill>
          </w14:textFill>
        </w:rPr>
        <w:t>2、此表将公示于中标结果公告中，投标人自行承担因此产生的不利后果。</w:t>
      </w:r>
    </w:p>
    <w:p>
      <w:pPr>
        <w:adjustRightInd w:val="0"/>
        <w:snapToGrid w:val="0"/>
        <w:spacing w:line="360" w:lineRule="auto"/>
        <w:rPr>
          <w:rFonts w:ascii="宋体" w:hAnsi="宋体" w:cs="宋体"/>
          <w:color w:val="000000" w:themeColor="text1"/>
          <w14:textFill>
            <w14:solidFill>
              <w14:schemeClr w14:val="tx1"/>
            </w14:solidFill>
          </w14:textFill>
        </w:rPr>
      </w:pPr>
    </w:p>
    <w:p>
      <w:pPr>
        <w:adjustRightInd w:val="0"/>
        <w:snapToGrid w:val="0"/>
        <w:spacing w:line="360" w:lineRule="auto"/>
        <w:rPr>
          <w:rFonts w:ascii="宋体" w:hAnsi="宋体" w:cs="宋体"/>
          <w:color w:val="000000" w:themeColor="text1"/>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（盖单位章）：</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r>
        <w:rPr>
          <w:rFonts w:hint="eastAsia" w:ascii="宋体" w:hAnsi="宋体" w:cs="宋体"/>
          <w:b/>
          <w:color w:val="000000" w:themeColor="text1"/>
          <w:sz w:val="24"/>
          <w14:textFill>
            <w14:solidFill>
              <w14:schemeClr w14:val="tx1"/>
            </w14:solidFill>
          </w14:textFill>
        </w:rPr>
        <w:t xml:space="preserve"> </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br w:type="page"/>
      </w:r>
    </w:p>
    <w:p>
      <w:pPr>
        <w:pStyle w:val="3"/>
      </w:pP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附件15</w:t>
      </w:r>
    </w:p>
    <w:p>
      <w:pPr>
        <w:tabs>
          <w:tab w:val="left" w:pos="3600"/>
        </w:tabs>
        <w:adjustRightInd w:val="0"/>
        <w:snapToGrid w:val="0"/>
        <w:spacing w:line="360" w:lineRule="auto"/>
        <w:jc w:val="center"/>
        <w:rPr>
          <w:rFonts w:ascii="宋体" w:hAnsi="宋体" w:cs="宋体"/>
          <w:b/>
          <w:bCs/>
          <w:color w:val="000000" w:themeColor="text1"/>
          <w:spacing w:val="6"/>
          <w:kern w:val="0"/>
          <w:sz w:val="24"/>
          <w14:textFill>
            <w14:solidFill>
              <w14:schemeClr w14:val="tx1"/>
            </w14:solidFill>
          </w14:textFill>
        </w:rPr>
      </w:pPr>
      <w:r>
        <w:rPr>
          <w:rFonts w:hint="eastAsia" w:ascii="宋体" w:hAnsi="宋体" w:cs="宋体"/>
          <w:b/>
          <w:bCs/>
          <w:color w:val="000000" w:themeColor="text1"/>
          <w:spacing w:val="6"/>
          <w:kern w:val="0"/>
          <w:sz w:val="24"/>
          <w14:textFill>
            <w14:solidFill>
              <w14:schemeClr w14:val="tx1"/>
            </w14:solidFill>
          </w14:textFill>
        </w:rPr>
        <w:t>中小企业声明函（货物）</w:t>
      </w:r>
    </w:p>
    <w:p>
      <w:pPr>
        <w:autoSpaceDE w:val="0"/>
        <w:autoSpaceDN w:val="0"/>
        <w:spacing w:line="500" w:lineRule="exact"/>
        <w:ind w:firstLine="480" w:firstLineChars="200"/>
        <w:jc w:val="left"/>
        <w:rPr>
          <w:rFonts w:ascii="宋体" w:hAnsi="宋体" w:cs="宋体"/>
          <w:sz w:val="24"/>
        </w:rPr>
      </w:pPr>
    </w:p>
    <w:p>
      <w:pPr>
        <w:autoSpaceDE w:val="0"/>
        <w:autoSpaceDN w:val="0"/>
        <w:spacing w:line="500" w:lineRule="exact"/>
        <w:ind w:firstLine="480" w:firstLineChars="200"/>
        <w:jc w:val="left"/>
        <w:rPr>
          <w:rFonts w:ascii="宋体" w:hAnsi="宋体" w:cs="宋体"/>
          <w:sz w:val="24"/>
        </w:rPr>
      </w:pPr>
      <w:r>
        <w:rPr>
          <w:rFonts w:ascii="宋体" w:hAnsi="宋体" w:cs="宋体"/>
          <w:sz w:val="24"/>
        </w:rPr>
        <w:t>本公司（联合体）郑重声明，根据《政府采购促进中小企业发展管理办法》（财库﹝2020﹞46 号）的规定，本公司（联合体）参加</w:t>
      </w:r>
      <w:r>
        <w:rPr>
          <w:rFonts w:ascii="宋体" w:hAnsi="宋体" w:cs="宋体"/>
          <w:sz w:val="24"/>
          <w:u w:val="single"/>
        </w:rPr>
        <w:t>（单位名称）</w:t>
      </w:r>
      <w:r>
        <w:rPr>
          <w:rFonts w:ascii="宋体" w:hAnsi="宋体" w:cs="宋体"/>
          <w:sz w:val="24"/>
        </w:rPr>
        <w:t>的</w:t>
      </w:r>
      <w:r>
        <w:rPr>
          <w:rFonts w:ascii="宋体" w:hAnsi="宋体" w:cs="宋体"/>
          <w:sz w:val="24"/>
          <w:u w:val="single"/>
        </w:rPr>
        <w:t>（项目名称）</w:t>
      </w:r>
      <w:r>
        <w:rPr>
          <w:rFonts w:ascii="宋体" w:hAnsi="宋体" w:cs="宋体"/>
          <w:sz w:val="24"/>
        </w:rPr>
        <w:t>采购活动，提 供的货物全部由符合政策要求的中小企业制造。相关企业 （含联合体中的中小企业、签订分包意向协议的中小企业） 的具体情况如下：</w:t>
      </w:r>
    </w:p>
    <w:p>
      <w:pPr>
        <w:autoSpaceDE w:val="0"/>
        <w:autoSpaceDN w:val="0"/>
        <w:spacing w:line="500" w:lineRule="exact"/>
        <w:ind w:firstLine="480" w:firstLineChars="200"/>
        <w:jc w:val="left"/>
        <w:rPr>
          <w:rFonts w:ascii="宋体" w:hAnsi="宋体" w:cs="宋体"/>
          <w:szCs w:val="21"/>
          <w:u w:val="single"/>
        </w:rPr>
      </w:pPr>
      <w:r>
        <w:rPr>
          <w:rFonts w:ascii="宋体" w:hAnsi="宋体" w:cs="宋体"/>
          <w:sz w:val="24"/>
        </w:rPr>
        <w:t>1.</w:t>
      </w:r>
      <w:r>
        <w:rPr>
          <w:rFonts w:ascii="宋体" w:hAnsi="宋体" w:cs="宋体"/>
          <w:sz w:val="24"/>
          <w:u w:val="single"/>
        </w:rPr>
        <w:t>（标的名称）</w:t>
      </w:r>
      <w:r>
        <w:rPr>
          <w:rFonts w:ascii="宋体" w:hAnsi="宋体" w:cs="宋体"/>
          <w:sz w:val="24"/>
        </w:rPr>
        <w:t>，属于</w:t>
      </w:r>
      <w:r>
        <w:rPr>
          <w:rFonts w:ascii="宋体" w:hAnsi="宋体" w:cs="宋体"/>
          <w:sz w:val="24"/>
          <w:u w:val="single"/>
        </w:rPr>
        <w:t>（采购文件中明确的所属行业）</w:t>
      </w:r>
      <w:r>
        <w:rPr>
          <w:rFonts w:ascii="宋体" w:hAnsi="宋体" w:cs="宋体"/>
          <w:sz w:val="24"/>
        </w:rPr>
        <w:t>行业；制造商为</w:t>
      </w:r>
      <w:r>
        <w:rPr>
          <w:rFonts w:ascii="宋体" w:hAnsi="宋体" w:cs="宋体"/>
          <w:sz w:val="24"/>
          <w:u w:val="single"/>
        </w:rPr>
        <w:t>（企业名称）</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万元，属于</w:t>
      </w:r>
      <w:r>
        <w:rPr>
          <w:rFonts w:ascii="宋体" w:hAnsi="宋体" w:cs="宋体"/>
          <w:sz w:val="24"/>
          <w:u w:val="single"/>
        </w:rPr>
        <w:t>（中型企业、小型企业、微型企业</w:t>
      </w:r>
      <w:r>
        <w:rPr>
          <w:rFonts w:hint="eastAsia" w:ascii="宋体" w:hAnsi="宋体" w:cs="宋体"/>
          <w:sz w:val="24"/>
          <w:u w:val="single"/>
        </w:rPr>
        <w:t>）</w:t>
      </w:r>
      <w:r>
        <w:rPr>
          <w:rFonts w:hint="eastAsia" w:ascii="宋体" w:hAnsi="宋体" w:cs="宋体"/>
          <w:sz w:val="24"/>
        </w:rPr>
        <w:t>；</w:t>
      </w:r>
    </w:p>
    <w:p>
      <w:pPr>
        <w:autoSpaceDE w:val="0"/>
        <w:autoSpaceDN w:val="0"/>
        <w:spacing w:line="50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w:t>
      </w:r>
      <w:r>
        <w:rPr>
          <w:rFonts w:ascii="宋体" w:hAnsi="宋体" w:cs="宋体"/>
          <w:sz w:val="24"/>
          <w:u w:val="single"/>
        </w:rPr>
        <w:t>（标的名称）</w:t>
      </w:r>
      <w:r>
        <w:rPr>
          <w:rFonts w:ascii="宋体" w:hAnsi="宋体" w:cs="宋体"/>
          <w:sz w:val="24"/>
        </w:rPr>
        <w:t>，属于</w:t>
      </w:r>
      <w:r>
        <w:rPr>
          <w:rFonts w:ascii="宋体" w:hAnsi="宋体" w:cs="宋体"/>
          <w:sz w:val="24"/>
          <w:u w:val="single"/>
        </w:rPr>
        <w:t>（采购文件中明确的所属行业）</w:t>
      </w:r>
      <w:r>
        <w:rPr>
          <w:rFonts w:ascii="宋体" w:hAnsi="宋体" w:cs="宋体"/>
          <w:sz w:val="24"/>
        </w:rPr>
        <w:t>行业；制造商为</w:t>
      </w:r>
      <w:r>
        <w:rPr>
          <w:rFonts w:ascii="宋体" w:hAnsi="宋体" w:cs="宋体"/>
          <w:sz w:val="24"/>
          <w:u w:val="single"/>
        </w:rPr>
        <w:t>（企业名称）</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万元，属于</w:t>
      </w:r>
      <w:r>
        <w:rPr>
          <w:rFonts w:ascii="宋体" w:hAnsi="宋体" w:cs="宋体"/>
          <w:sz w:val="24"/>
          <w:u w:val="single"/>
        </w:rPr>
        <w:t>（中型企业、小型企业、微型企业</w:t>
      </w:r>
      <w:r>
        <w:rPr>
          <w:rFonts w:hint="eastAsia" w:ascii="宋体" w:hAnsi="宋体" w:cs="宋体"/>
          <w:sz w:val="24"/>
          <w:u w:val="single"/>
        </w:rPr>
        <w:t>）</w:t>
      </w:r>
      <w:r>
        <w:rPr>
          <w:rFonts w:hint="eastAsia" w:ascii="宋体" w:hAnsi="宋体" w:cs="宋体"/>
          <w:sz w:val="24"/>
        </w:rPr>
        <w:t>；</w:t>
      </w:r>
    </w:p>
    <w:p>
      <w:pPr>
        <w:autoSpaceDE w:val="0"/>
        <w:autoSpaceDN w:val="0"/>
        <w:spacing w:line="500" w:lineRule="exact"/>
        <w:ind w:firstLine="420" w:firstLineChars="200"/>
        <w:jc w:val="left"/>
        <w:rPr>
          <w:rFonts w:ascii="宋体" w:hAnsi="宋体" w:cs="宋体"/>
          <w:szCs w:val="21"/>
        </w:rPr>
      </w:pPr>
      <w:r>
        <w:rPr>
          <w:rFonts w:hint="eastAsia" w:ascii="宋体" w:hAnsi="宋体" w:cs="宋体"/>
          <w:szCs w:val="21"/>
        </w:rPr>
        <w:t>……</w:t>
      </w:r>
    </w:p>
    <w:p>
      <w:pPr>
        <w:autoSpaceDE w:val="0"/>
        <w:autoSpaceDN w:val="0"/>
        <w:spacing w:line="500" w:lineRule="exact"/>
        <w:ind w:firstLine="480" w:firstLineChars="200"/>
        <w:jc w:val="left"/>
        <w:rPr>
          <w:rFonts w:ascii="宋体" w:hAnsi="宋体" w:cs="宋体"/>
          <w:sz w:val="24"/>
        </w:rPr>
      </w:pPr>
      <w:r>
        <w:rPr>
          <w:rFonts w:hint="eastAsia" w:ascii="宋体" w:hAnsi="宋体" w:cs="宋体"/>
          <w:sz w:val="24"/>
        </w:rPr>
        <w:t>以上企业，不属于大型企业的分支机构，不存在控股股东为大型企业的情形，也不存在与大型企业的负责人为同一人的情形。</w:t>
      </w:r>
    </w:p>
    <w:p>
      <w:pPr>
        <w:widowControl/>
        <w:shd w:val="clear" w:color="auto" w:fill="FFFFFF"/>
        <w:spacing w:beforeAutospacing="1" w:afterAutospacing="1" w:line="348" w:lineRule="atLeast"/>
        <w:ind w:firstLine="384"/>
        <w:jc w:val="left"/>
        <w:rPr>
          <w:rFonts w:ascii="宋体" w:hAnsi="宋体" w:cs="宋体"/>
          <w:color w:val="333333"/>
          <w:kern w:val="0"/>
          <w:szCs w:val="21"/>
          <w:shd w:val="clear" w:color="auto" w:fill="FFFFFF"/>
          <w:lang w:bidi="ar"/>
        </w:rPr>
      </w:pPr>
      <w:r>
        <w:rPr>
          <w:rFonts w:hint="eastAsia" w:ascii="宋体" w:hAnsi="宋体" w:cs="宋体"/>
          <w:sz w:val="24"/>
        </w:rPr>
        <w:t>本企业对上述声明内容的真实性负责。如有虚假，将依法承担相应责任。 </w:t>
      </w:r>
      <w:r>
        <w:rPr>
          <w:rFonts w:hint="eastAsia" w:ascii="宋体" w:hAnsi="宋体" w:cs="宋体"/>
          <w:color w:val="333333"/>
          <w:kern w:val="0"/>
          <w:szCs w:val="21"/>
          <w:shd w:val="clear" w:color="auto" w:fill="FFFFFF"/>
          <w:lang w:bidi="ar"/>
        </w:rPr>
        <w:t xml:space="preserve">                                           </w:t>
      </w:r>
    </w:p>
    <w:p>
      <w:pPr>
        <w:widowControl/>
        <w:shd w:val="clear" w:color="auto" w:fill="FFFFFF"/>
        <w:spacing w:beforeAutospacing="1" w:afterAutospacing="1" w:line="348" w:lineRule="atLeast"/>
        <w:ind w:firstLine="384"/>
        <w:jc w:val="left"/>
        <w:rPr>
          <w:rFonts w:ascii="宋体" w:hAnsi="宋体" w:cs="宋体"/>
          <w:sz w:val="24"/>
        </w:rPr>
      </w:pPr>
      <w:r>
        <w:rPr>
          <w:rFonts w:hint="eastAsia" w:ascii="宋体" w:hAnsi="宋体" w:cs="宋体"/>
          <w:color w:val="333333"/>
          <w:kern w:val="0"/>
          <w:szCs w:val="21"/>
          <w:shd w:val="clear" w:color="auto" w:fill="FFFFFF"/>
          <w:lang w:bidi="ar"/>
        </w:rPr>
        <w:t xml:space="preserve">                                            </w:t>
      </w:r>
      <w:r>
        <w:rPr>
          <w:rFonts w:hint="eastAsia" w:ascii="宋体" w:hAnsi="宋体" w:cs="宋体"/>
          <w:sz w:val="24"/>
        </w:rPr>
        <w:t>企业名称（盖章）：</w:t>
      </w:r>
    </w:p>
    <w:p>
      <w:pPr>
        <w:widowControl/>
        <w:shd w:val="clear" w:color="auto" w:fill="FFFFFF"/>
        <w:spacing w:beforeAutospacing="1" w:afterAutospacing="1" w:line="348" w:lineRule="atLeast"/>
        <w:ind w:firstLine="5040" w:firstLineChars="2100"/>
        <w:jc w:val="left"/>
        <w:rPr>
          <w:rFonts w:ascii="宋体" w:hAnsi="宋体" w:cs="宋体"/>
          <w:sz w:val="24"/>
        </w:rPr>
      </w:pPr>
      <w:r>
        <w:rPr>
          <w:rFonts w:hint="eastAsia" w:ascii="宋体" w:hAnsi="宋体" w:cs="宋体"/>
          <w:sz w:val="24"/>
        </w:rPr>
        <w:t>日 期：</w:t>
      </w:r>
    </w:p>
    <w:p>
      <w:pPr>
        <w:adjustRightInd w:val="0"/>
        <w:snapToGrid w:val="0"/>
        <w:spacing w:line="360" w:lineRule="auto"/>
        <w:ind w:firstLine="420" w:firstLineChars="200"/>
        <w:rPr>
          <w:rFonts w:ascii="宋体" w:hAnsi="宋体"/>
          <w:szCs w:val="21"/>
        </w:rPr>
      </w:pPr>
      <w:r>
        <w:rPr>
          <w:rFonts w:hint="eastAsia" w:ascii="宋体" w:hAnsi="宋体"/>
          <w:szCs w:val="21"/>
        </w:rPr>
        <w:t>说明：（1）本声明函所称中小企业，是指在中华人民共和国境内依法设立，依据国务院批准的 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pPr>
        <w:adjustRightInd w:val="0"/>
        <w:snapToGrid w:val="0"/>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snapToGrid/>
        <w:spacing w:line="240" w:lineRule="auto"/>
        <w:ind w:firstLine="420" w:firstLineChars="200"/>
        <w:textAlignment w:val="auto"/>
        <w:rPr>
          <w:rFonts w:hint="eastAsia" w:ascii="宋体" w:hAnsi="宋体"/>
          <w:color w:val="auto"/>
          <w:sz w:val="21"/>
          <w:szCs w:val="21"/>
        </w:rPr>
      </w:pPr>
      <w:r>
        <w:rPr>
          <w:rFonts w:hint="eastAsia" w:ascii="宋体" w:hAnsi="宋体"/>
          <w:color w:val="auto"/>
          <w:sz w:val="21"/>
          <w:szCs w:val="21"/>
          <w:lang w:eastAsia="zh-CN"/>
        </w:rPr>
        <w:t>（</w:t>
      </w:r>
      <w:r>
        <w:rPr>
          <w:rFonts w:hint="eastAsia" w:ascii="宋体" w:hAnsi="宋体"/>
          <w:color w:val="auto"/>
          <w:sz w:val="21"/>
          <w:szCs w:val="21"/>
          <w:lang w:val="en-US" w:eastAsia="zh-CN"/>
        </w:rPr>
        <w:t>3</w:t>
      </w:r>
      <w:r>
        <w:rPr>
          <w:rFonts w:hint="eastAsia" w:ascii="宋体" w:hAnsi="宋体"/>
          <w:color w:val="auto"/>
          <w:sz w:val="21"/>
          <w:szCs w:val="21"/>
          <w:lang w:eastAsia="zh-CN"/>
        </w:rPr>
        <w:t>）</w:t>
      </w:r>
      <w:r>
        <w:rPr>
          <w:rFonts w:hint="eastAsia" w:ascii="宋体" w:hAnsi="宋体"/>
          <w:color w:val="auto"/>
          <w:sz w:val="21"/>
          <w:szCs w:val="21"/>
        </w:rPr>
        <w:t>中标人为中小企业的，本声明函将随中标结果同时公告</w:t>
      </w:r>
      <w:r>
        <w:rPr>
          <w:rFonts w:hint="eastAsia" w:ascii="宋体" w:hAnsi="宋体"/>
          <w:color w:val="auto"/>
          <w:sz w:val="21"/>
          <w:szCs w:val="21"/>
          <w:lang w:eastAsia="zh-CN"/>
        </w:rPr>
        <w:t>，</w:t>
      </w:r>
      <w:r>
        <w:rPr>
          <w:rFonts w:hint="eastAsia" w:ascii="宋体" w:hAnsi="宋体"/>
          <w:color w:val="auto"/>
          <w:sz w:val="21"/>
          <w:szCs w:val="21"/>
          <w:lang w:val="en-US" w:eastAsia="zh-CN"/>
        </w:rPr>
        <w:t>接受社会监督</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spacing w:line="240" w:lineRule="auto"/>
        <w:ind w:firstLine="422" w:firstLineChars="200"/>
        <w:textAlignment w:val="auto"/>
        <w:rPr>
          <w:rFonts w:hint="eastAsia" w:ascii="宋体" w:hAnsi="宋体"/>
          <w:color w:val="auto"/>
          <w:sz w:val="21"/>
          <w:szCs w:val="21"/>
          <w:highlight w:val="none"/>
          <w:lang w:val="en-US" w:eastAsia="zh-CN"/>
        </w:rPr>
      </w:pP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4</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涉及本项目的行业标准：</w:t>
      </w:r>
    </w:p>
    <w:p>
      <w:pPr>
        <w:pStyle w:val="21"/>
        <w:ind w:left="0" w:leftChars="0" w:firstLine="422" w:firstLineChars="200"/>
        <w:rPr>
          <w:rFonts w:hint="eastAsia" w:ascii="宋体" w:hAnsi="宋体" w:eastAsia="宋体" w:cs="Times New Roman"/>
          <w:kern w:val="2"/>
          <w:sz w:val="21"/>
          <w:szCs w:val="21"/>
          <w:lang w:val="en-US" w:eastAsia="zh-CN" w:bidi="ar-SA"/>
        </w:rPr>
      </w:pPr>
      <w:r>
        <w:rPr>
          <w:rFonts w:hint="eastAsia" w:ascii="宋体" w:hAnsi="宋体"/>
          <w:b/>
          <w:bCs/>
          <w:i w:val="0"/>
          <w:iCs w:val="0"/>
          <w:color w:val="000000" w:themeColor="text1"/>
          <w:sz w:val="21"/>
          <w:szCs w:val="21"/>
          <w:highlight w:val="none"/>
          <w:lang w:eastAsia="zh-CN"/>
          <w14:textFill>
            <w14:solidFill>
              <w14:schemeClr w14:val="tx1"/>
            </w14:solidFill>
          </w14:textFill>
        </w:rPr>
        <w:t>工业。</w:t>
      </w:r>
      <w:r>
        <w:rPr>
          <w:rFonts w:hint="eastAsia" w:ascii="宋体" w:hAnsi="宋体" w:eastAsia="宋体" w:cs="Times New Roman"/>
          <w:kern w:val="2"/>
          <w:sz w:val="21"/>
          <w:szCs w:val="21"/>
          <w:lang w:val="en-US" w:eastAsia="zh-CN" w:bidi="ar-S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1"/>
        <w:ind w:left="0" w:leftChars="0" w:firstLine="422"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b/>
          <w:bCs/>
          <w:kern w:val="2"/>
          <w:sz w:val="21"/>
          <w:szCs w:val="21"/>
          <w:lang w:val="en-US" w:eastAsia="zh-CN" w:bidi="ar-SA"/>
        </w:rPr>
        <w:t>软件和信息技术服务业。</w:t>
      </w:r>
      <w:r>
        <w:rPr>
          <w:rFonts w:hint="eastAsia" w:ascii="宋体" w:hAnsi="宋体" w:eastAsia="宋体" w:cs="Times New Roman"/>
          <w:kern w:val="2"/>
          <w:sz w:val="21"/>
          <w:szCs w:val="21"/>
          <w:lang w:val="en-US" w:eastAsia="zh-CN" w:bidi="ar-SA"/>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1"/>
        <w:ind w:left="0" w:leftChars="0" w:firstLine="422" w:firstLineChars="200"/>
        <w:rPr>
          <w:rFonts w:hint="default"/>
          <w:highlight w:val="yellow"/>
          <w:lang w:val="en-US"/>
        </w:rPr>
      </w:pPr>
      <w:r>
        <w:rPr>
          <w:rFonts w:hint="eastAsia" w:ascii="宋体" w:hAnsi="宋体"/>
          <w:b/>
          <w:bCs/>
          <w:i w:val="0"/>
          <w:iCs w:val="0"/>
          <w:color w:val="000000" w:themeColor="text1"/>
          <w:sz w:val="21"/>
          <w:szCs w:val="21"/>
          <w:highlight w:val="none"/>
          <w:lang w:eastAsia="zh-CN"/>
          <w14:textFill>
            <w14:solidFill>
              <w14:schemeClr w14:val="tx1"/>
            </w14:solidFill>
          </w14:textFill>
        </w:rPr>
        <w:t>（</w:t>
      </w:r>
      <w:r>
        <w:rPr>
          <w:rFonts w:hint="eastAsia" w:ascii="宋体" w:hAnsi="宋体"/>
          <w:b/>
          <w:bCs/>
          <w:i w:val="0"/>
          <w:iCs w:val="0"/>
          <w:color w:val="000000" w:themeColor="text1"/>
          <w:sz w:val="21"/>
          <w:szCs w:val="21"/>
          <w:highlight w:val="none"/>
          <w:lang w:val="en-US" w:eastAsia="zh-CN"/>
          <w14:textFill>
            <w14:solidFill>
              <w14:schemeClr w14:val="tx1"/>
            </w14:solidFill>
          </w14:textFill>
        </w:rPr>
        <w:t>5</w:t>
      </w:r>
      <w:r>
        <w:rPr>
          <w:rFonts w:hint="eastAsia" w:ascii="宋体" w:hAnsi="宋体"/>
          <w:b/>
          <w:bCs/>
          <w:i w:val="0"/>
          <w:iCs w:val="0"/>
          <w:color w:val="000000" w:themeColor="text1"/>
          <w:sz w:val="21"/>
          <w:szCs w:val="21"/>
          <w:highlight w:val="none"/>
          <w:lang w:eastAsia="zh-CN"/>
          <w14:textFill>
            <w14:solidFill>
              <w14:schemeClr w14:val="tx1"/>
            </w14:solidFill>
          </w14:textFill>
        </w:rPr>
        <w:t>）例：</w:t>
      </w:r>
      <w:r>
        <w:rPr>
          <w:rFonts w:hint="eastAsia" w:ascii="宋体" w:hAnsi="宋体" w:cs="宋体"/>
          <w:color w:val="FF0000"/>
          <w:sz w:val="24"/>
          <w:u w:val="single"/>
          <w:lang w:val="en-US" w:eastAsia="zh-CN"/>
        </w:rPr>
        <w:t xml:space="preserve"> 道闸</w:t>
      </w:r>
      <w:r>
        <w:rPr>
          <w:rFonts w:hint="eastAsia" w:ascii="宋体" w:hAnsi="宋体"/>
          <w:b/>
          <w:bCs/>
          <w:i w:val="0"/>
          <w:iCs w:val="0"/>
          <w:color w:val="000000" w:themeColor="text1"/>
          <w:sz w:val="21"/>
          <w:szCs w:val="21"/>
          <w:highlight w:val="none"/>
          <w:lang w:eastAsia="zh-CN"/>
          <w14:textFill>
            <w14:solidFill>
              <w14:schemeClr w14:val="tx1"/>
            </w14:solidFill>
          </w14:textFill>
        </w:rPr>
        <w:t>，属于</w:t>
      </w:r>
      <w:r>
        <w:rPr>
          <w:rFonts w:hint="eastAsia" w:ascii="宋体" w:hAnsi="宋体"/>
          <w:b/>
          <w:bCs/>
          <w:i w:val="0"/>
          <w:iCs w:val="0"/>
          <w:color w:val="FF0000"/>
          <w:sz w:val="21"/>
          <w:szCs w:val="21"/>
          <w:highlight w:val="none"/>
          <w:u w:val="single"/>
          <w:lang w:val="en-US" w:eastAsia="zh-CN"/>
        </w:rPr>
        <w:t xml:space="preserve"> 工业 </w:t>
      </w:r>
      <w:r>
        <w:rPr>
          <w:rFonts w:hint="eastAsia" w:ascii="宋体" w:hAnsi="宋体"/>
          <w:b/>
          <w:bCs/>
          <w:i w:val="0"/>
          <w:iCs w:val="0"/>
          <w:color w:val="000000" w:themeColor="text1"/>
          <w:sz w:val="21"/>
          <w:szCs w:val="21"/>
          <w:highlight w:val="none"/>
          <w:lang w:eastAsia="zh-CN"/>
          <w14:textFill>
            <w14:solidFill>
              <w14:schemeClr w14:val="tx1"/>
            </w14:solidFill>
          </w14:textFill>
        </w:rPr>
        <w:t>；制造商为</w:t>
      </w:r>
      <w:r>
        <w:rPr>
          <w:rFonts w:hint="eastAsia" w:ascii="宋体" w:hAnsi="宋体"/>
          <w:b/>
          <w:bCs/>
          <w:i w:val="0"/>
          <w:iCs w:val="0"/>
          <w:color w:val="FF0000"/>
          <w:sz w:val="21"/>
          <w:szCs w:val="21"/>
          <w:highlight w:val="none"/>
          <w:u w:val="single"/>
          <w:lang w:eastAsia="zh-CN"/>
        </w:rPr>
        <w:t>***有限公司</w:t>
      </w:r>
      <w:r>
        <w:rPr>
          <w:rFonts w:hint="eastAsia" w:ascii="宋体" w:hAnsi="宋体"/>
          <w:b/>
          <w:bCs/>
          <w:i w:val="0"/>
          <w:iCs w:val="0"/>
          <w:color w:val="000000" w:themeColor="text1"/>
          <w:sz w:val="21"/>
          <w:szCs w:val="21"/>
          <w:highlight w:val="none"/>
          <w:lang w:eastAsia="zh-CN"/>
          <w14:textFill>
            <w14:solidFill>
              <w14:schemeClr w14:val="tx1"/>
            </w14:solidFill>
          </w14:textFill>
        </w:rPr>
        <w:t>，从业人员</w:t>
      </w:r>
      <w:r>
        <w:rPr>
          <w:rFonts w:hint="eastAsia" w:ascii="宋体" w:hAnsi="宋体"/>
          <w:b/>
          <w:bCs/>
          <w:i w:val="0"/>
          <w:iCs w:val="0"/>
          <w:color w:val="FF0000"/>
          <w:sz w:val="21"/>
          <w:szCs w:val="21"/>
          <w:highlight w:val="none"/>
          <w:u w:val="single"/>
          <w:lang w:eastAsia="zh-CN"/>
        </w:rPr>
        <w:t xml:space="preserve"> 30 </w:t>
      </w:r>
      <w:r>
        <w:rPr>
          <w:rFonts w:hint="eastAsia" w:ascii="宋体" w:hAnsi="宋体"/>
          <w:b/>
          <w:bCs/>
          <w:i w:val="0"/>
          <w:iCs w:val="0"/>
          <w:color w:val="000000" w:themeColor="text1"/>
          <w:sz w:val="21"/>
          <w:szCs w:val="21"/>
          <w:highlight w:val="none"/>
          <w:lang w:eastAsia="zh-CN"/>
          <w14:textFill>
            <w14:solidFill>
              <w14:schemeClr w14:val="tx1"/>
            </w14:solidFill>
          </w14:textFill>
        </w:rPr>
        <w:t>人，营业收入为</w:t>
      </w:r>
      <w:r>
        <w:rPr>
          <w:rFonts w:hint="eastAsia" w:ascii="宋体" w:hAnsi="宋体"/>
          <w:b/>
          <w:bCs/>
          <w:i w:val="0"/>
          <w:iCs w:val="0"/>
          <w:color w:val="FF0000"/>
          <w:sz w:val="21"/>
          <w:szCs w:val="21"/>
          <w:highlight w:val="none"/>
          <w:u w:val="single"/>
          <w:lang w:eastAsia="zh-CN"/>
        </w:rPr>
        <w:t xml:space="preserve"> </w:t>
      </w:r>
      <w:r>
        <w:rPr>
          <w:rFonts w:hint="eastAsia" w:ascii="宋体" w:hAnsi="宋体"/>
          <w:b/>
          <w:bCs/>
          <w:i w:val="0"/>
          <w:iCs w:val="0"/>
          <w:color w:val="FF0000"/>
          <w:sz w:val="21"/>
          <w:szCs w:val="21"/>
          <w:highlight w:val="none"/>
          <w:u w:val="single"/>
          <w:lang w:val="en-US" w:eastAsia="zh-CN"/>
        </w:rPr>
        <w:t>5</w:t>
      </w:r>
      <w:r>
        <w:rPr>
          <w:rFonts w:hint="eastAsia" w:ascii="宋体" w:hAnsi="宋体"/>
          <w:b/>
          <w:bCs/>
          <w:i w:val="0"/>
          <w:iCs w:val="0"/>
          <w:color w:val="FF0000"/>
          <w:sz w:val="21"/>
          <w:szCs w:val="21"/>
          <w:highlight w:val="none"/>
          <w:u w:val="single"/>
          <w:lang w:eastAsia="zh-CN"/>
        </w:rPr>
        <w:t xml:space="preserve">50 </w:t>
      </w:r>
      <w:r>
        <w:rPr>
          <w:rFonts w:hint="eastAsia" w:ascii="宋体" w:hAnsi="宋体"/>
          <w:b/>
          <w:bCs/>
          <w:i w:val="0"/>
          <w:iCs w:val="0"/>
          <w:color w:val="000000" w:themeColor="text1"/>
          <w:sz w:val="21"/>
          <w:szCs w:val="21"/>
          <w:highlight w:val="none"/>
          <w:lang w:eastAsia="zh-CN"/>
          <w14:textFill>
            <w14:solidFill>
              <w14:schemeClr w14:val="tx1"/>
            </w14:solidFill>
          </w14:textFill>
        </w:rPr>
        <w:t>万元，资产总额为</w:t>
      </w:r>
      <w:r>
        <w:rPr>
          <w:rFonts w:hint="eastAsia" w:ascii="宋体" w:hAnsi="宋体"/>
          <w:b/>
          <w:bCs/>
          <w:i w:val="0"/>
          <w:iCs w:val="0"/>
          <w:color w:val="FF0000"/>
          <w:sz w:val="21"/>
          <w:szCs w:val="21"/>
          <w:highlight w:val="none"/>
          <w:u w:val="single"/>
          <w:lang w:eastAsia="zh-CN"/>
        </w:rPr>
        <w:t xml:space="preserve"> 150 </w:t>
      </w:r>
      <w:r>
        <w:rPr>
          <w:rFonts w:hint="eastAsia" w:ascii="宋体" w:hAnsi="宋体"/>
          <w:b/>
          <w:bCs/>
          <w:i w:val="0"/>
          <w:iCs w:val="0"/>
          <w:color w:val="000000" w:themeColor="text1"/>
          <w:sz w:val="21"/>
          <w:szCs w:val="21"/>
          <w:highlight w:val="none"/>
          <w:lang w:eastAsia="zh-CN"/>
          <w14:textFill>
            <w14:solidFill>
              <w14:schemeClr w14:val="tx1"/>
            </w14:solidFill>
          </w14:textFill>
        </w:rPr>
        <w:t>万元，属于</w:t>
      </w:r>
      <w:r>
        <w:rPr>
          <w:rFonts w:hint="eastAsia" w:ascii="宋体" w:hAnsi="宋体"/>
          <w:b/>
          <w:bCs/>
          <w:i w:val="0"/>
          <w:iCs w:val="0"/>
          <w:color w:val="FF0000"/>
          <w:sz w:val="21"/>
          <w:szCs w:val="21"/>
          <w:highlight w:val="none"/>
          <w:u w:val="single"/>
          <w:lang w:eastAsia="zh-CN"/>
        </w:rPr>
        <w:t>微型企业</w:t>
      </w:r>
      <w:r>
        <w:rPr>
          <w:rFonts w:hint="eastAsia" w:ascii="宋体" w:hAnsi="宋体"/>
          <w:b/>
          <w:bCs/>
          <w:i w:val="0"/>
          <w:iCs w:val="0"/>
          <w:color w:val="000000" w:themeColor="text1"/>
          <w:sz w:val="21"/>
          <w:szCs w:val="21"/>
          <w:highlight w:val="none"/>
          <w:lang w:eastAsia="zh-CN"/>
          <w14:textFill>
            <w14:solidFill>
              <w14:schemeClr w14:val="tx1"/>
            </w14:solidFill>
          </w14:textFill>
        </w:rPr>
        <w:t>。</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6）供应商填写中小企业声明函应根据标的物逐一填写，制造商具体信息投标人应根据实际情况据实填写，投标人自行承担因填写信息不真实、内容不齐全等原因造成的不利后果。</w:t>
      </w:r>
    </w:p>
    <w:p>
      <w:pPr>
        <w:rPr>
          <w:rFonts w:hint="default"/>
          <w:lang w:val="en-US" w:eastAsia="zh-CN"/>
        </w:rPr>
      </w:pPr>
      <w:r>
        <w:rPr>
          <w:rFonts w:hint="default"/>
          <w:lang w:val="en-US" w:eastAsia="zh-CN"/>
        </w:rPr>
        <w:br w:type="page"/>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附件15-1</w:t>
      </w:r>
    </w:p>
    <w:p>
      <w:pPr>
        <w:tabs>
          <w:tab w:val="left" w:pos="3600"/>
        </w:tabs>
        <w:adjustRightInd w:val="0"/>
        <w:snapToGrid w:val="0"/>
        <w:jc w:val="center"/>
        <w:rPr>
          <w:rFonts w:ascii="宋体" w:hAnsi="宋体" w:cs="宋体"/>
          <w:b/>
          <w:bCs/>
          <w:spacing w:val="6"/>
          <w:kern w:val="0"/>
          <w:sz w:val="24"/>
        </w:rPr>
      </w:pPr>
      <w:r>
        <w:rPr>
          <w:rFonts w:hint="eastAsia" w:ascii="宋体" w:hAnsi="宋体" w:cs="宋体"/>
          <w:b/>
          <w:bCs/>
          <w:spacing w:val="6"/>
          <w:kern w:val="0"/>
          <w:sz w:val="24"/>
        </w:rPr>
        <w:t>残疾人福利性单位声明函</w:t>
      </w:r>
    </w:p>
    <w:p>
      <w:pPr>
        <w:spacing w:line="588" w:lineRule="exact"/>
        <w:rPr>
          <w:rFonts w:ascii="仿宋_GB2312" w:eastAsia="仿宋_GB2312"/>
          <w:b/>
          <w:spacing w:val="6"/>
          <w:sz w:val="30"/>
          <w:szCs w:val="30"/>
        </w:rPr>
      </w:pPr>
    </w:p>
    <w:p>
      <w:pPr>
        <w:widowControl/>
        <w:adjustRightInd w:val="0"/>
        <w:snapToGrid w:val="0"/>
        <w:spacing w:before="156" w:beforeLines="50" w:line="360" w:lineRule="auto"/>
        <w:ind w:firstLine="444" w:firstLineChars="200"/>
        <w:jc w:val="left"/>
        <w:rPr>
          <w:rFonts w:ascii="宋体" w:hAnsi="宋体" w:cs="宋体"/>
          <w:spacing w:val="6"/>
          <w:kern w:val="0"/>
          <w:szCs w:val="21"/>
        </w:rPr>
      </w:pPr>
      <w:r>
        <w:rPr>
          <w:rFonts w:hint="eastAsia" w:ascii="宋体" w:hAnsi="宋体" w:cs="宋体"/>
          <w:spacing w:val="6"/>
          <w:kern w:val="0"/>
          <w:szCs w:val="21"/>
        </w:rPr>
        <w:t>本单位郑重声明，根据《财政部</w:t>
      </w:r>
      <w:r>
        <w:rPr>
          <w:rFonts w:ascii="宋体" w:hAnsi="宋体" w:cs="宋体"/>
          <w:spacing w:val="6"/>
          <w:kern w:val="0"/>
          <w:szCs w:val="21"/>
        </w:rPr>
        <w:t xml:space="preserve"> </w:t>
      </w:r>
      <w:r>
        <w:rPr>
          <w:rFonts w:hint="eastAsia" w:ascii="宋体" w:hAnsi="宋体" w:cs="宋体"/>
          <w:spacing w:val="6"/>
          <w:kern w:val="0"/>
          <w:szCs w:val="21"/>
        </w:rPr>
        <w:t>民政部</w:t>
      </w:r>
      <w:r>
        <w:rPr>
          <w:rFonts w:ascii="宋体" w:hAnsi="宋体" w:cs="宋体"/>
          <w:spacing w:val="6"/>
          <w:kern w:val="0"/>
          <w:szCs w:val="21"/>
        </w:rPr>
        <w:t xml:space="preserve"> </w:t>
      </w:r>
      <w:r>
        <w:rPr>
          <w:rFonts w:hint="eastAsia" w:ascii="宋体" w:hAnsi="宋体" w:cs="宋体"/>
          <w:spacing w:val="6"/>
          <w:kern w:val="0"/>
          <w:szCs w:val="21"/>
        </w:rPr>
        <w:t>中国残疾人联合会关于促进残疾人就业政府采购政策的通知》（财库〔</w:t>
      </w:r>
      <w:r>
        <w:rPr>
          <w:rFonts w:ascii="宋体" w:hAnsi="宋体" w:cs="宋体"/>
          <w:spacing w:val="6"/>
          <w:kern w:val="0"/>
          <w:szCs w:val="21"/>
        </w:rPr>
        <w:t>2017</w:t>
      </w:r>
      <w:r>
        <w:rPr>
          <w:rFonts w:hint="eastAsia" w:ascii="宋体" w:hAnsi="宋体" w:cs="宋体"/>
          <w:spacing w:val="6"/>
          <w:kern w:val="0"/>
          <w:szCs w:val="21"/>
        </w:rPr>
        <w:t>〕</w:t>
      </w:r>
      <w:r>
        <w:rPr>
          <w:rFonts w:ascii="宋体" w:hAnsi="宋体" w:cs="宋体"/>
          <w:spacing w:val="6"/>
          <w:kern w:val="0"/>
          <w:szCs w:val="21"/>
        </w:rPr>
        <w:t xml:space="preserve"> 141</w:t>
      </w:r>
      <w:r>
        <w:rPr>
          <w:rFonts w:hint="eastAsia" w:ascii="宋体" w:hAnsi="宋体" w:cs="宋体"/>
          <w:spacing w:val="6"/>
          <w:kern w:val="0"/>
          <w:szCs w:val="21"/>
        </w:rPr>
        <w:t>号）的规定，本单位为符合条件的残疾人福利性单位，且本单位参加</w:t>
      </w:r>
      <w:r>
        <w:rPr>
          <w:rFonts w:ascii="宋体" w:hAnsi="宋体" w:cs="宋体"/>
          <w:spacing w:val="6"/>
          <w:kern w:val="0"/>
          <w:szCs w:val="21"/>
        </w:rPr>
        <w:t>______</w:t>
      </w:r>
      <w:r>
        <w:rPr>
          <w:rFonts w:hint="eastAsia" w:ascii="宋体" w:hAnsi="宋体" w:cs="宋体"/>
          <w:spacing w:val="6"/>
          <w:kern w:val="0"/>
          <w:szCs w:val="21"/>
        </w:rPr>
        <w:t>单位的</w:t>
      </w:r>
      <w:r>
        <w:rPr>
          <w:rFonts w:ascii="宋体" w:hAnsi="宋体" w:cs="宋体"/>
          <w:spacing w:val="6"/>
          <w:kern w:val="0"/>
          <w:szCs w:val="21"/>
        </w:rPr>
        <w:t>______</w:t>
      </w:r>
      <w:r>
        <w:rPr>
          <w:rFonts w:hint="eastAsia" w:ascii="宋体" w:hAnsi="宋体" w:cs="宋体"/>
          <w:spacing w:val="6"/>
          <w:kern w:val="0"/>
          <w:szCs w:val="21"/>
        </w:rPr>
        <w:t>项目采购活动提供本单位制造的货物（由本单位承担工程</w:t>
      </w:r>
      <w:r>
        <w:rPr>
          <w:rFonts w:ascii="宋体" w:hAnsi="宋体" w:cs="宋体"/>
          <w:spacing w:val="6"/>
          <w:kern w:val="0"/>
          <w:szCs w:val="21"/>
        </w:rPr>
        <w:t>/</w:t>
      </w:r>
      <w:r>
        <w:rPr>
          <w:rFonts w:hint="eastAsia" w:ascii="宋体" w:hAnsi="宋体" w:cs="宋体"/>
          <w:spacing w:val="6"/>
          <w:kern w:val="0"/>
          <w:szCs w:val="21"/>
        </w:rPr>
        <w:t>提供服务），或者提供其他残疾人福利性单位制造的货物（不包括使用非残疾人福利性单位注册商标的货物）。</w:t>
      </w:r>
    </w:p>
    <w:p>
      <w:pPr>
        <w:widowControl/>
        <w:adjustRightInd w:val="0"/>
        <w:snapToGrid w:val="0"/>
        <w:spacing w:before="156" w:beforeLines="50" w:line="360" w:lineRule="auto"/>
        <w:ind w:firstLine="444" w:firstLineChars="200"/>
        <w:jc w:val="left"/>
        <w:rPr>
          <w:rFonts w:ascii="宋体" w:hAnsi="宋体" w:cs="宋体"/>
          <w:spacing w:val="6"/>
          <w:kern w:val="0"/>
          <w:szCs w:val="21"/>
        </w:rPr>
      </w:pPr>
      <w:r>
        <w:rPr>
          <w:rFonts w:hint="eastAsia" w:ascii="宋体" w:hAnsi="宋体" w:cs="宋体"/>
          <w:spacing w:val="6"/>
          <w:kern w:val="0"/>
          <w:szCs w:val="21"/>
        </w:rPr>
        <w:t>本单位对上述声明的真实性负责。如有虚假，将依法承担相应责任。</w:t>
      </w:r>
    </w:p>
    <w:p>
      <w:pPr>
        <w:spacing w:line="588" w:lineRule="exact"/>
        <w:ind w:firstLine="624" w:firstLineChars="200"/>
        <w:rPr>
          <w:rFonts w:ascii="仿宋_GB2312" w:eastAsia="仿宋_GB2312"/>
          <w:spacing w:val="6"/>
          <w:sz w:val="30"/>
          <w:szCs w:val="30"/>
        </w:rPr>
      </w:pPr>
    </w:p>
    <w:p>
      <w:pPr>
        <w:spacing w:line="588" w:lineRule="exact"/>
        <w:ind w:firstLine="624" w:firstLineChars="200"/>
        <w:rPr>
          <w:rFonts w:ascii="仿宋_GB2312" w:eastAsia="仿宋_GB2312"/>
          <w:spacing w:val="6"/>
          <w:sz w:val="30"/>
          <w:szCs w:val="30"/>
        </w:rPr>
      </w:pPr>
    </w:p>
    <w:p>
      <w:pPr>
        <w:widowControl/>
        <w:adjustRightInd w:val="0"/>
        <w:snapToGrid w:val="0"/>
        <w:spacing w:line="360" w:lineRule="auto"/>
        <w:ind w:firstLine="624" w:firstLineChars="200"/>
        <w:jc w:val="center"/>
        <w:rPr>
          <w:rFonts w:ascii="宋体" w:hAnsi="宋体" w:cs="宋体"/>
          <w:spacing w:val="6"/>
          <w:kern w:val="0"/>
          <w:szCs w:val="21"/>
        </w:rPr>
      </w:pPr>
      <w:r>
        <w:rPr>
          <w:rFonts w:ascii="仿宋_GB2312" w:eastAsia="仿宋_GB2312"/>
          <w:spacing w:val="6"/>
          <w:sz w:val="30"/>
          <w:szCs w:val="30"/>
        </w:rPr>
        <w:t xml:space="preserve">       </w:t>
      </w:r>
      <w:r>
        <w:rPr>
          <w:rFonts w:hint="eastAsia" w:ascii="宋体" w:hAnsi="宋体" w:cs="宋体"/>
          <w:spacing w:val="6"/>
          <w:kern w:val="0"/>
          <w:szCs w:val="21"/>
        </w:rPr>
        <w:t xml:space="preserve">投标单位名称（盖单位章）： </w:t>
      </w:r>
    </w:p>
    <w:p>
      <w:pPr>
        <w:widowControl/>
        <w:adjustRightInd w:val="0"/>
        <w:snapToGrid w:val="0"/>
        <w:spacing w:line="360" w:lineRule="auto"/>
        <w:ind w:firstLine="444" w:firstLineChars="200"/>
        <w:jc w:val="center"/>
        <w:rPr>
          <w:rFonts w:ascii="宋体" w:hAnsi="宋体"/>
          <w:szCs w:val="21"/>
        </w:rPr>
      </w:pPr>
      <w:r>
        <w:rPr>
          <w:rFonts w:hint="eastAsia" w:ascii="宋体" w:hAnsi="宋体" w:cs="宋体"/>
          <w:spacing w:val="6"/>
          <w:kern w:val="0"/>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360" w:lineRule="auto"/>
        <w:ind w:right="24"/>
        <w:rPr>
          <w:rFonts w:ascii="宋体" w:hAnsi="宋体"/>
          <w:b/>
          <w:sz w:val="28"/>
          <w:szCs w:val="28"/>
        </w:rPr>
      </w:pPr>
    </w:p>
    <w:p>
      <w:pPr>
        <w:pStyle w:val="42"/>
        <w:spacing w:before="0" w:beforeAutospacing="0" w:after="0" w:afterAutospacing="0"/>
        <w:rPr>
          <w:spacing w:val="6"/>
          <w:sz w:val="21"/>
          <w:szCs w:val="21"/>
        </w:rPr>
      </w:pPr>
      <w:r>
        <w:rPr>
          <w:rFonts w:hint="eastAsia"/>
          <w:spacing w:val="6"/>
          <w:sz w:val="21"/>
          <w:szCs w:val="21"/>
        </w:rPr>
        <w:t>说明：</w:t>
      </w:r>
    </w:p>
    <w:p>
      <w:pPr>
        <w:pStyle w:val="42"/>
        <w:spacing w:before="0" w:beforeAutospacing="0" w:after="0" w:afterAutospacing="0"/>
        <w:ind w:firstLine="444" w:firstLineChars="200"/>
        <w:rPr>
          <w:spacing w:val="6"/>
          <w:sz w:val="21"/>
          <w:szCs w:val="21"/>
        </w:rPr>
      </w:pPr>
      <w:r>
        <w:rPr>
          <w:rFonts w:hint="eastAsia"/>
          <w:spacing w:val="6"/>
          <w:sz w:val="21"/>
          <w:szCs w:val="21"/>
        </w:rPr>
        <w:t>1、</w:t>
      </w:r>
      <w:r>
        <w:rPr>
          <w:rFonts w:hint="eastAsia"/>
          <w:b/>
          <w:bCs/>
          <w:spacing w:val="6"/>
          <w:sz w:val="21"/>
          <w:szCs w:val="21"/>
        </w:rPr>
        <w:t>残疾人福利性单位视同小微企业</w:t>
      </w:r>
      <w:r>
        <w:rPr>
          <w:rFonts w:hint="eastAsia"/>
          <w:spacing w:val="6"/>
          <w:sz w:val="21"/>
          <w:szCs w:val="21"/>
        </w:rPr>
        <w:t>，残疾人福利性单位应当同时满足以下条件：</w:t>
      </w:r>
    </w:p>
    <w:p>
      <w:pPr>
        <w:pStyle w:val="42"/>
        <w:spacing w:before="0" w:beforeAutospacing="0" w:after="0" w:afterAutospacing="0"/>
        <w:ind w:firstLine="444" w:firstLineChars="200"/>
        <w:rPr>
          <w:spacing w:val="6"/>
          <w:sz w:val="21"/>
          <w:szCs w:val="21"/>
        </w:rPr>
      </w:pPr>
      <w:r>
        <w:rPr>
          <w:rFonts w:hint="eastAsia"/>
          <w:spacing w:val="6"/>
          <w:sz w:val="21"/>
          <w:szCs w:val="21"/>
        </w:rPr>
        <w:t>①安置的残疾人占本单位在职职工人数的比例不低于25%（含25%），并且安置的残疾人人数不少于10人（含10人）；</w:t>
      </w:r>
    </w:p>
    <w:p>
      <w:pPr>
        <w:pStyle w:val="42"/>
        <w:spacing w:before="0" w:beforeAutospacing="0" w:after="0" w:afterAutospacing="0"/>
        <w:ind w:firstLine="444" w:firstLineChars="200"/>
        <w:rPr>
          <w:spacing w:val="6"/>
          <w:sz w:val="21"/>
          <w:szCs w:val="21"/>
        </w:rPr>
      </w:pPr>
      <w:r>
        <w:rPr>
          <w:rFonts w:hint="eastAsia"/>
          <w:spacing w:val="6"/>
          <w:sz w:val="21"/>
          <w:szCs w:val="21"/>
        </w:rPr>
        <w:t>②依法与安置的每位残疾人签订了一年以上（含一年）的劳动合同或服务协议；</w:t>
      </w:r>
    </w:p>
    <w:p>
      <w:pPr>
        <w:pStyle w:val="42"/>
        <w:spacing w:before="0" w:beforeAutospacing="0" w:after="0" w:afterAutospacing="0"/>
        <w:ind w:firstLine="444" w:firstLineChars="200"/>
        <w:rPr>
          <w:spacing w:val="6"/>
          <w:sz w:val="21"/>
          <w:szCs w:val="21"/>
        </w:rPr>
      </w:pPr>
      <w:r>
        <w:rPr>
          <w:rFonts w:hint="eastAsia"/>
          <w:spacing w:val="6"/>
          <w:sz w:val="21"/>
          <w:szCs w:val="21"/>
        </w:rPr>
        <w:t>③为安置的每位残疾人按月足额缴纳了基本养老保险、基本医疗保险、失业保险、工伤保险和生育保险等社会保险费；</w:t>
      </w:r>
    </w:p>
    <w:p>
      <w:pPr>
        <w:pStyle w:val="42"/>
        <w:spacing w:before="0" w:beforeAutospacing="0" w:after="0" w:afterAutospacing="0"/>
        <w:ind w:firstLine="444" w:firstLineChars="200"/>
        <w:rPr>
          <w:spacing w:val="6"/>
          <w:sz w:val="21"/>
          <w:szCs w:val="21"/>
        </w:rPr>
      </w:pPr>
      <w:r>
        <w:rPr>
          <w:rFonts w:hint="eastAsia"/>
          <w:spacing w:val="6"/>
          <w:sz w:val="21"/>
          <w:szCs w:val="21"/>
        </w:rPr>
        <w:t>④通过银行等金融机构向安置的每位残疾人，按月支付了不低于单位所在区县适用的经省级人民政府批准的月最低工资标准的工资；</w:t>
      </w:r>
    </w:p>
    <w:p>
      <w:pPr>
        <w:pStyle w:val="42"/>
        <w:spacing w:before="0" w:beforeAutospacing="0" w:after="0" w:afterAutospacing="0"/>
        <w:ind w:firstLine="444" w:firstLineChars="200"/>
        <w:rPr>
          <w:spacing w:val="6"/>
          <w:sz w:val="21"/>
          <w:szCs w:val="21"/>
        </w:rPr>
      </w:pPr>
      <w:r>
        <w:rPr>
          <w:rFonts w:hint="eastAsia"/>
          <w:spacing w:val="6"/>
          <w:sz w:val="21"/>
          <w:szCs w:val="21"/>
        </w:rPr>
        <w:t>⑤提供本单位制造的货物、承担的工程或者服务（以下简称产品），或者提供其他残疾人福利性单位制造的货物（不包括使用非残疾人福利性单位注册商标的货物）。</w:t>
      </w:r>
    </w:p>
    <w:p>
      <w:pPr>
        <w:pStyle w:val="42"/>
        <w:spacing w:before="0" w:beforeAutospacing="0" w:after="0" w:afterAutospacing="0"/>
        <w:rPr>
          <w:spacing w:val="6"/>
          <w:sz w:val="21"/>
          <w:szCs w:val="21"/>
        </w:rPr>
      </w:pPr>
    </w:p>
    <w:p>
      <w:pPr>
        <w:pStyle w:val="42"/>
        <w:spacing w:before="0" w:beforeAutospacing="0" w:after="0" w:afterAutospacing="0"/>
        <w:ind w:firstLine="444" w:firstLineChars="200"/>
        <w:rPr>
          <w:spacing w:val="6"/>
          <w:sz w:val="21"/>
          <w:szCs w:val="21"/>
        </w:rPr>
      </w:pPr>
    </w:p>
    <w:p>
      <w:pPr>
        <w:pStyle w:val="42"/>
        <w:spacing w:before="0" w:beforeAutospacing="0" w:after="0" w:afterAutospacing="0"/>
        <w:ind w:firstLine="444" w:firstLineChars="200"/>
        <w:rPr>
          <w:spacing w:val="6"/>
          <w:sz w:val="21"/>
          <w:szCs w:val="21"/>
        </w:rPr>
      </w:pPr>
      <w:r>
        <w:rPr>
          <w:rFonts w:hint="eastAsia"/>
          <w:spacing w:val="6"/>
          <w:sz w:val="21"/>
          <w:szCs w:val="21"/>
        </w:rPr>
        <w:t>2、</w:t>
      </w:r>
      <w:r>
        <w:rPr>
          <w:rFonts w:hint="eastAsia"/>
          <w:b/>
          <w:bCs/>
          <w:spacing w:val="6"/>
          <w:sz w:val="21"/>
          <w:szCs w:val="21"/>
        </w:rPr>
        <w:t>监狱企业视同为小微企业。</w:t>
      </w:r>
      <w:r>
        <w:rPr>
          <w:rFonts w:hint="eastAsia"/>
          <w:spacing w:val="6"/>
          <w:sz w:val="21"/>
          <w:szCs w:val="21"/>
        </w:rPr>
        <w:t>如属于监狱企业，需提供由省级以上监狱管理局、戒毒管理局（含新疆生产建设兵团）出具的属于监狱企业的证明文件。</w:t>
      </w:r>
    </w:p>
    <w:p>
      <w:pPr>
        <w:rPr>
          <w:rFonts w:hint="eastAsia"/>
          <w:spacing w:val="6"/>
          <w:sz w:val="21"/>
          <w:szCs w:val="21"/>
        </w:rPr>
      </w:pPr>
      <w:r>
        <w:rPr>
          <w:rFonts w:hint="eastAsia"/>
          <w:spacing w:val="6"/>
          <w:sz w:val="21"/>
          <w:szCs w:val="21"/>
        </w:rPr>
        <w:br w:type="page"/>
      </w:r>
    </w:p>
    <w:p>
      <w:pPr>
        <w:pStyle w:val="7"/>
        <w:rPr>
          <w:rFonts w:hint="eastAsia"/>
          <w:lang w:val="en-US" w:eastAsia="zh-CN"/>
        </w:rPr>
      </w:pPr>
      <w:r>
        <w:rPr>
          <w:rFonts w:hint="eastAsia" w:ascii="宋体" w:hAnsi="宋体" w:eastAsia="宋体" w:cs="宋体"/>
          <w:bCs/>
          <w:color w:val="auto"/>
          <w:sz w:val="28"/>
          <w:szCs w:val="28"/>
        </w:rPr>
        <w:t>附件</w:t>
      </w:r>
      <w:r>
        <w:rPr>
          <w:rFonts w:hint="eastAsia" w:ascii="宋体" w:hAnsi="宋体" w:cs="宋体"/>
          <w:bCs/>
          <w:color w:val="auto"/>
          <w:sz w:val="28"/>
          <w:szCs w:val="28"/>
          <w:lang w:val="en-US" w:eastAsia="zh-CN"/>
        </w:rPr>
        <w:t>16</w:t>
      </w:r>
      <w:r>
        <w:rPr>
          <w:rFonts w:hint="eastAsia" w:ascii="宋体" w:hAnsi="宋体" w:eastAsia="宋体" w:cs="宋体"/>
          <w:color w:val="auto"/>
          <w:sz w:val="32"/>
          <w:szCs w:val="32"/>
        </w:rPr>
        <w:t xml:space="preserve">    </w:t>
      </w:r>
    </w:p>
    <w:p>
      <w:pPr>
        <w:tabs>
          <w:tab w:val="left" w:pos="3600"/>
        </w:tabs>
        <w:adjustRightInd w:val="0"/>
        <w:snapToGrid w:val="0"/>
        <w:jc w:val="center"/>
        <w:rPr>
          <w:rFonts w:hint="eastAsia" w:ascii="宋体" w:hAnsi="宋体" w:cs="宋体"/>
          <w:b/>
          <w:bCs/>
          <w:color w:val="auto"/>
          <w:spacing w:val="6"/>
          <w:kern w:val="0"/>
          <w:sz w:val="24"/>
          <w:lang w:eastAsia="zh-CN"/>
        </w:rPr>
      </w:pPr>
      <w:r>
        <w:rPr>
          <w:rFonts w:hint="eastAsia" w:ascii="宋体" w:hAnsi="宋体" w:cs="宋体"/>
          <w:b/>
          <w:bCs/>
          <w:color w:val="auto"/>
          <w:spacing w:val="6"/>
          <w:kern w:val="0"/>
          <w:sz w:val="24"/>
          <w:lang w:eastAsia="zh-CN"/>
        </w:rPr>
        <w:t>投标及履约承诺函</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val="en-US" w:eastAsia="zh-CN"/>
        </w:rPr>
      </w:pPr>
    </w:p>
    <w:p>
      <w:pPr>
        <w:adjustRightInd w:val="0"/>
        <w:snapToGrid w:val="0"/>
        <w:spacing w:line="360" w:lineRule="auto"/>
        <w:ind w:left="0" w:leftChars="0" w:firstLine="420" w:firstLineChars="200"/>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我单位深知以下承诺事项对本项目的重要性，我单位郑重承诺，如我单位中标，所提供的投标产品</w:t>
      </w:r>
      <w:r>
        <w:rPr>
          <w:rFonts w:hint="eastAsia" w:ascii="宋体" w:hAnsi="宋体"/>
          <w:color w:val="000000"/>
          <w:szCs w:val="21"/>
          <w:highlight w:val="none"/>
          <w:lang w:val="en-US" w:eastAsia="zh-CN"/>
        </w:rPr>
        <w:t>、服务</w:t>
      </w:r>
      <w:r>
        <w:rPr>
          <w:rFonts w:hint="eastAsia" w:ascii="宋体" w:hAnsi="宋体" w:eastAsia="宋体"/>
          <w:color w:val="000000"/>
          <w:szCs w:val="21"/>
          <w:highlight w:val="none"/>
          <w:lang w:val="en-US" w:eastAsia="zh-CN"/>
        </w:rPr>
        <w:t>能够满足以下承诺事项：</w:t>
      </w:r>
    </w:p>
    <w:p>
      <w:pPr>
        <w:adjustRightInd w:val="0"/>
        <w:snapToGrid w:val="0"/>
        <w:spacing w:line="360" w:lineRule="auto"/>
        <w:ind w:left="0" w:leftChars="0" w:firstLine="420" w:firstLineChars="200"/>
        <w:rPr>
          <w:rFonts w:hint="default" w:ascii="宋体" w:hAnsi="宋体" w:eastAsia="宋体"/>
          <w:color w:val="000000"/>
          <w:szCs w:val="21"/>
          <w:highlight w:val="none"/>
          <w:lang w:eastAsia="zh-CN"/>
        </w:rPr>
      </w:pPr>
      <w:r>
        <w:rPr>
          <w:rFonts w:hint="eastAsia" w:ascii="宋体" w:hAnsi="宋体" w:eastAsia="宋体"/>
          <w:color w:val="000000"/>
          <w:szCs w:val="21"/>
          <w:highlight w:val="none"/>
          <w:lang w:val="en-US" w:eastAsia="zh-CN"/>
        </w:rPr>
        <w:t>1</w:t>
      </w:r>
      <w:r>
        <w:rPr>
          <w:rFonts w:hint="eastAsia" w:ascii="宋体" w:hAnsi="宋体" w:eastAsia="宋体"/>
          <w:b/>
          <w:bCs/>
          <w:color w:val="000000"/>
          <w:szCs w:val="21"/>
          <w:highlight w:val="none"/>
          <w:lang w:val="en-US" w:eastAsia="zh-CN"/>
        </w:rPr>
        <w:t>.</w:t>
      </w:r>
      <w:r>
        <w:rPr>
          <w:rFonts w:hint="eastAsia" w:ascii="宋体" w:hAnsi="宋体" w:eastAsia="宋体" w:cs="Times New Roman"/>
          <w:color w:val="000000"/>
          <w:szCs w:val="21"/>
          <w:highlight w:val="none"/>
          <w:lang w:val="en-US" w:eastAsia="zh-CN"/>
        </w:rPr>
        <w:t>我单位承诺</w:t>
      </w:r>
      <w:r>
        <w:rPr>
          <w:rFonts w:hint="eastAsia" w:ascii="宋体" w:hAnsi="宋体" w:cs="Times New Roman"/>
          <w:color w:val="000000"/>
          <w:szCs w:val="21"/>
          <w:highlight w:val="none"/>
          <w:lang w:val="en-US" w:eastAsia="zh-CN"/>
        </w:rPr>
        <w:t>质保期</w:t>
      </w:r>
      <w:r>
        <w:rPr>
          <w:rFonts w:hint="eastAsia" w:ascii="宋体" w:hAnsi="宋体" w:eastAsia="宋体" w:cs="Times New Roman"/>
          <w:color w:val="000000"/>
          <w:szCs w:val="21"/>
          <w:highlight w:val="none"/>
          <w:lang w:val="en-US" w:eastAsia="zh-CN"/>
        </w:rPr>
        <w:t>为</w:t>
      </w:r>
      <w:r>
        <w:rPr>
          <w:rFonts w:hint="eastAsia" w:ascii="宋体" w:hAnsi="宋体" w:eastAsia="宋体" w:cs="Times New Roman"/>
          <w:color w:val="000000"/>
          <w:szCs w:val="21"/>
          <w:highlight w:val="none"/>
          <w:u w:val="single"/>
          <w:lang w:val="en-US" w:eastAsia="zh-CN"/>
        </w:rPr>
        <w:t xml:space="preserve"> 　　 </w:t>
      </w:r>
      <w:r>
        <w:rPr>
          <w:rFonts w:hint="eastAsia" w:ascii="宋体" w:hAnsi="宋体" w:cs="Times New Roman"/>
          <w:color w:val="000000"/>
          <w:szCs w:val="21"/>
          <w:highlight w:val="none"/>
          <w:lang w:val="en-US" w:eastAsia="zh-CN"/>
        </w:rPr>
        <w:t>年</w:t>
      </w:r>
      <w:r>
        <w:rPr>
          <w:rFonts w:hint="eastAsia" w:ascii="宋体" w:hAnsi="宋体" w:eastAsia="宋体" w:cs="Times New Roman"/>
          <w:color w:val="000000"/>
          <w:szCs w:val="21"/>
          <w:highlight w:val="none"/>
          <w:lang w:val="en-US" w:eastAsia="zh-CN"/>
        </w:rPr>
        <w:t>，</w:t>
      </w:r>
      <w:r>
        <w:rPr>
          <w:rFonts w:hint="eastAsia" w:ascii="宋体" w:hAnsi="宋体" w:cs="Times New Roman"/>
          <w:color w:val="000000"/>
          <w:szCs w:val="21"/>
          <w:highlight w:val="none"/>
          <w:lang w:val="en-US" w:eastAsia="zh-CN"/>
        </w:rPr>
        <w:t>质保期内产生的费用</w:t>
      </w:r>
      <w:r>
        <w:rPr>
          <w:rFonts w:hint="eastAsia" w:ascii="宋体" w:hAnsi="宋体" w:eastAsia="宋体" w:cs="Times New Roman"/>
          <w:color w:val="000000"/>
          <w:szCs w:val="21"/>
          <w:highlight w:val="none"/>
          <w:lang w:val="en-US" w:eastAsia="zh-CN"/>
        </w:rPr>
        <w:t>我单位</w:t>
      </w:r>
      <w:r>
        <w:rPr>
          <w:rFonts w:hint="eastAsia" w:ascii="宋体" w:hAnsi="宋体" w:cs="Times New Roman"/>
          <w:color w:val="000000"/>
          <w:szCs w:val="21"/>
          <w:highlight w:val="none"/>
          <w:lang w:val="en-US" w:eastAsia="zh-CN"/>
        </w:rPr>
        <w:t>已充分考虑并</w:t>
      </w:r>
      <w:r>
        <w:rPr>
          <w:rFonts w:hint="eastAsia" w:ascii="宋体" w:hAnsi="宋体"/>
          <w:b/>
          <w:bCs/>
          <w:color w:val="000000" w:themeColor="text1"/>
          <w:szCs w:val="21"/>
          <w14:textFill>
            <w14:solidFill>
              <w14:schemeClr w14:val="tx1"/>
            </w14:solidFill>
          </w14:textFill>
        </w:rPr>
        <w:t>已隐含在其他报价中</w:t>
      </w:r>
      <w:r>
        <w:rPr>
          <w:rFonts w:hint="eastAsia" w:ascii="宋体" w:hAnsi="宋体"/>
          <w:color w:val="000000" w:themeColor="text1"/>
          <w:szCs w:val="21"/>
          <w14:textFill>
            <w14:solidFill>
              <w14:schemeClr w14:val="tx1"/>
            </w14:solidFill>
          </w14:textFill>
        </w:rPr>
        <w:t>，投标报价是履行合同的最终价格，中标后不予调整</w:t>
      </w:r>
      <w:r>
        <w:rPr>
          <w:rFonts w:hint="default" w:ascii="宋体" w:hAnsi="宋体" w:eastAsia="宋体"/>
          <w:color w:val="000000"/>
          <w:szCs w:val="21"/>
          <w:highlight w:val="none"/>
          <w:lang w:eastAsia="zh-CN"/>
        </w:rPr>
        <w:t>；</w:t>
      </w:r>
    </w:p>
    <w:p>
      <w:pPr>
        <w:adjustRightInd w:val="0"/>
        <w:snapToGrid w:val="0"/>
        <w:spacing w:line="360" w:lineRule="auto"/>
        <w:ind w:left="0" w:leftChars="0" w:firstLine="444" w:firstLineChars="200"/>
        <w:rPr>
          <w:rFonts w:hint="eastAsia" w:ascii="宋体" w:hAnsi="宋体"/>
          <w:color w:val="000000"/>
          <w:szCs w:val="21"/>
          <w:highlight w:val="none"/>
          <w:lang w:eastAsia="zh-CN"/>
        </w:rPr>
      </w:pPr>
      <w:r>
        <w:rPr>
          <w:rFonts w:hint="eastAsia" w:ascii="宋体" w:hAnsi="宋体" w:eastAsia="宋体" w:cs="宋体"/>
          <w:spacing w:val="6"/>
          <w:sz w:val="21"/>
          <w:szCs w:val="21"/>
        </w:rPr>
        <w:t>2</w:t>
      </w:r>
      <w:r>
        <w:rPr>
          <w:rFonts w:hint="eastAsia" w:ascii="宋体" w:hAnsi="宋体" w:eastAsia="宋体" w:cs="宋体"/>
          <w:color w:val="000000"/>
          <w:szCs w:val="21"/>
          <w:highlight w:val="none"/>
          <w:lang w:val="en-US" w:eastAsia="zh-CN"/>
        </w:rPr>
        <w:t>．</w:t>
      </w:r>
      <w:r>
        <w:rPr>
          <w:rFonts w:hint="eastAsia" w:ascii="宋体" w:hAnsi="宋体" w:cs="宋体"/>
          <w:color w:val="000000"/>
          <w:szCs w:val="21"/>
          <w:highlight w:val="none"/>
          <w:lang w:val="en-US" w:eastAsia="zh-CN"/>
        </w:rPr>
        <w:t>我单位承诺采用错峰施工的方式开展项目实施，在上课期间仅开展不影响正常授课工作，对于错峰施工产生</w:t>
      </w:r>
      <w:r>
        <w:rPr>
          <w:rFonts w:hint="eastAsia" w:ascii="宋体" w:hAnsi="宋体" w:cs="Times New Roman"/>
          <w:color w:val="000000"/>
          <w:szCs w:val="21"/>
          <w:highlight w:val="none"/>
          <w:lang w:val="en-US" w:eastAsia="zh-CN"/>
        </w:rPr>
        <w:t>的费用</w:t>
      </w:r>
      <w:r>
        <w:rPr>
          <w:rFonts w:hint="eastAsia" w:ascii="宋体" w:hAnsi="宋体" w:eastAsia="宋体" w:cs="Times New Roman"/>
          <w:color w:val="000000"/>
          <w:szCs w:val="21"/>
          <w:highlight w:val="none"/>
          <w:lang w:val="en-US" w:eastAsia="zh-CN"/>
        </w:rPr>
        <w:t>我单位</w:t>
      </w:r>
      <w:r>
        <w:rPr>
          <w:rFonts w:hint="eastAsia" w:ascii="宋体" w:hAnsi="宋体" w:cs="Times New Roman"/>
          <w:color w:val="000000"/>
          <w:szCs w:val="21"/>
          <w:highlight w:val="none"/>
          <w:lang w:val="en-US" w:eastAsia="zh-CN"/>
        </w:rPr>
        <w:t>已充分考虑并</w:t>
      </w:r>
      <w:r>
        <w:rPr>
          <w:rFonts w:hint="eastAsia" w:ascii="宋体" w:hAnsi="宋体"/>
          <w:b/>
          <w:bCs/>
          <w:color w:val="000000" w:themeColor="text1"/>
          <w:szCs w:val="21"/>
          <w14:textFill>
            <w14:solidFill>
              <w14:schemeClr w14:val="tx1"/>
            </w14:solidFill>
          </w14:textFill>
        </w:rPr>
        <w:t>已隐含在其他报价中</w:t>
      </w:r>
      <w:r>
        <w:rPr>
          <w:rFonts w:hint="eastAsia" w:ascii="宋体" w:hAnsi="宋体"/>
          <w:color w:val="000000" w:themeColor="text1"/>
          <w:szCs w:val="21"/>
          <w14:textFill>
            <w14:solidFill>
              <w14:schemeClr w14:val="tx1"/>
            </w14:solidFill>
          </w14:textFill>
        </w:rPr>
        <w:t>，投标报价是履行合同的最终价格，中标后不予调整。</w:t>
      </w:r>
    </w:p>
    <w:p>
      <w:pPr>
        <w:adjustRightInd w:val="0"/>
        <w:snapToGrid w:val="0"/>
        <w:spacing w:line="360" w:lineRule="auto"/>
        <w:ind w:left="0" w:leftChars="0" w:firstLine="420" w:firstLineChars="200"/>
        <w:rPr>
          <w:rFonts w:hint="eastAsia" w:ascii="宋体" w:hAnsi="宋体" w:eastAsia="宋体"/>
          <w:color w:val="000000"/>
          <w:szCs w:val="21"/>
          <w:highlight w:val="none"/>
          <w:lang w:eastAsia="zh-CN"/>
        </w:rPr>
      </w:pPr>
      <w:r>
        <w:rPr>
          <w:rFonts w:hint="default" w:ascii="宋体" w:hAnsi="宋体" w:eastAsia="宋体"/>
          <w:color w:val="000000"/>
          <w:szCs w:val="21"/>
          <w:highlight w:val="none"/>
          <w:lang w:eastAsia="zh-CN"/>
        </w:rPr>
        <w:t>上述承诺事项均为本企业真实意见表达，愿承担一切责任。若</w:t>
      </w:r>
      <w:r>
        <w:rPr>
          <w:rFonts w:hint="eastAsia" w:ascii="宋体" w:hAnsi="宋体" w:eastAsia="宋体"/>
          <w:color w:val="000000"/>
          <w:szCs w:val="21"/>
          <w:highlight w:val="none"/>
          <w:lang w:eastAsia="zh-CN"/>
        </w:rPr>
        <w:t>提供的产品不能满足</w:t>
      </w:r>
      <w:r>
        <w:rPr>
          <w:rFonts w:hint="default" w:ascii="宋体" w:hAnsi="宋体" w:eastAsia="宋体"/>
          <w:color w:val="000000"/>
          <w:szCs w:val="21"/>
          <w:highlight w:val="none"/>
          <w:lang w:eastAsia="zh-CN"/>
        </w:rPr>
        <w:t>本承诺内容，自愿接受自动放弃中标资格</w:t>
      </w:r>
      <w:r>
        <w:rPr>
          <w:rFonts w:hint="eastAsia" w:ascii="宋体" w:hAnsi="宋体" w:eastAsia="宋体"/>
          <w:color w:val="000000"/>
          <w:szCs w:val="21"/>
          <w:highlight w:val="none"/>
          <w:lang w:eastAsia="zh-CN"/>
        </w:rPr>
        <w:t>、按照规定将违背承诺行为作为失信行为记录到社会信用信息平台，并视同为“提供虚假材料谋取中标、成交”按照《政府采购法》第七十七、七十九条规定处理</w:t>
      </w:r>
      <w:r>
        <w:rPr>
          <w:rFonts w:hint="default" w:ascii="宋体" w:hAnsi="宋体" w:eastAsia="宋体"/>
          <w:color w:val="000000"/>
          <w:szCs w:val="21"/>
          <w:highlight w:val="none"/>
          <w:lang w:eastAsia="zh-CN"/>
        </w:rPr>
        <w:t>、没收保证金等有关处理，并承担法律责任;给招标人造成损失的</w:t>
      </w:r>
      <w:r>
        <w:rPr>
          <w:rFonts w:hint="eastAsia" w:ascii="宋体" w:hAnsi="宋体" w:eastAsia="宋体"/>
          <w:color w:val="000000"/>
          <w:szCs w:val="21"/>
          <w:highlight w:val="none"/>
          <w:lang w:eastAsia="zh-CN"/>
        </w:rPr>
        <w:t>，</w:t>
      </w:r>
      <w:r>
        <w:rPr>
          <w:rFonts w:hint="default" w:ascii="宋体" w:hAnsi="宋体" w:eastAsia="宋体"/>
          <w:color w:val="000000"/>
          <w:szCs w:val="21"/>
          <w:highlight w:val="none"/>
          <w:lang w:eastAsia="zh-CN"/>
        </w:rPr>
        <w:t>依法承担赔偿责任</w:t>
      </w:r>
      <w:r>
        <w:rPr>
          <w:rFonts w:hint="eastAsia" w:ascii="宋体" w:hAnsi="宋体" w:eastAsia="宋体"/>
          <w:color w:val="000000"/>
          <w:szCs w:val="21"/>
          <w:highlight w:val="none"/>
          <w:lang w:eastAsia="zh-CN"/>
        </w:rPr>
        <w:t>。</w:t>
      </w:r>
    </w:p>
    <w:p>
      <w:pPr>
        <w:pStyle w:val="3"/>
        <w:rPr>
          <w:rFonts w:hint="eastAsia"/>
          <w:lang w:eastAsia="zh-CN"/>
        </w:rPr>
      </w:pPr>
    </w:p>
    <w:p>
      <w:pPr>
        <w:rPr>
          <w:rFonts w:hint="eastAsia" w:ascii="宋体" w:hAnsi="宋体" w:eastAsia="宋体"/>
          <w:color w:val="000000"/>
          <w:szCs w:val="21"/>
          <w:highlight w:val="none"/>
          <w:lang w:eastAsia="zh-CN"/>
        </w:rPr>
      </w:pPr>
    </w:p>
    <w:p>
      <w:pPr>
        <w:pStyle w:val="7"/>
        <w:rPr>
          <w:rFonts w:hint="eastAsia"/>
          <w:lang w:eastAsia="zh-CN"/>
        </w:rPr>
      </w:pPr>
    </w:p>
    <w:p>
      <w:pPr>
        <w:wordWrap w:val="0"/>
        <w:adjustRightInd w:val="0"/>
        <w:snapToGrid w:val="0"/>
        <w:spacing w:line="360" w:lineRule="auto"/>
        <w:ind w:left="0" w:leftChars="0" w:firstLine="420" w:firstLineChars="200"/>
        <w:jc w:val="right"/>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企业名称（盖章）:</w:t>
      </w:r>
      <w:r>
        <w:rPr>
          <w:rFonts w:hint="eastAsia" w:ascii="宋体" w:hAnsi="宋体"/>
          <w:color w:val="000000"/>
          <w:szCs w:val="21"/>
          <w:highlight w:val="none"/>
          <w:lang w:val="en-US" w:eastAsia="zh-CN"/>
        </w:rPr>
        <w:t xml:space="preserve">   </w:t>
      </w:r>
    </w:p>
    <w:p>
      <w:pPr>
        <w:adjustRightInd w:val="0"/>
        <w:snapToGrid w:val="0"/>
        <w:spacing w:line="360" w:lineRule="auto"/>
        <w:ind w:left="0" w:leftChars="0" w:firstLine="420" w:firstLineChars="200"/>
        <w:jc w:val="right"/>
        <w:rPr>
          <w:rFonts w:hint="eastAsia"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法定代表人(签字) :</w:t>
      </w:r>
    </w:p>
    <w:p>
      <w:pPr>
        <w:adjustRightInd w:val="0"/>
        <w:snapToGrid w:val="0"/>
        <w:spacing w:line="360" w:lineRule="auto"/>
        <w:ind w:left="0" w:leftChars="0" w:firstLine="420" w:firstLineChars="200"/>
        <w:jc w:val="right"/>
        <w:rPr>
          <w:rFonts w:hint="eastAsia"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年   月   日</w:t>
      </w:r>
    </w:p>
    <w:p>
      <w:pPr>
        <w:rPr>
          <w:rFonts w:hint="eastAsia"/>
          <w:lang w:eastAsia="zh-CN"/>
        </w:rPr>
      </w:pPr>
    </w:p>
    <w:p>
      <w:pPr>
        <w:rPr>
          <w:rFonts w:hint="eastAsia" w:ascii="宋体" w:hAnsi="宋体" w:cs="宋体"/>
          <w:color w:val="auto"/>
          <w:spacing w:val="6"/>
          <w:kern w:val="0"/>
          <w:sz w:val="21"/>
          <w:szCs w:val="21"/>
          <w:highlight w:val="none"/>
          <w:lang w:val="en-US" w:eastAsia="zh-CN" w:bidi="ar-SA"/>
        </w:rPr>
      </w:pPr>
      <w:r>
        <w:rPr>
          <w:rFonts w:hint="eastAsia" w:ascii="宋体" w:hAnsi="宋体" w:cs="宋体"/>
          <w:color w:val="auto"/>
          <w:spacing w:val="6"/>
          <w:kern w:val="0"/>
          <w:sz w:val="21"/>
          <w:szCs w:val="21"/>
          <w:highlight w:val="none"/>
          <w:lang w:val="en-US" w:eastAsia="zh-CN" w:bidi="ar-SA"/>
        </w:rPr>
        <w:br w:type="page"/>
      </w:r>
    </w:p>
    <w:p>
      <w:pPr>
        <w:rPr>
          <w:rFonts w:hint="eastAsia" w:ascii="宋体" w:hAnsi="宋体" w:eastAsia="宋体" w:cs="宋体"/>
          <w:color w:val="auto"/>
          <w:sz w:val="32"/>
          <w:szCs w:val="32"/>
        </w:rPr>
      </w:pPr>
      <w:r>
        <w:rPr>
          <w:rFonts w:hint="eastAsia" w:ascii="宋体" w:hAnsi="宋体" w:eastAsia="宋体" w:cs="宋体"/>
          <w:bCs/>
          <w:color w:val="auto"/>
          <w:sz w:val="28"/>
          <w:szCs w:val="28"/>
        </w:rPr>
        <w:t>附件</w:t>
      </w:r>
      <w:r>
        <w:rPr>
          <w:rFonts w:hint="eastAsia" w:ascii="宋体" w:hAnsi="宋体" w:cs="宋体"/>
          <w:bCs/>
          <w:color w:val="auto"/>
          <w:sz w:val="28"/>
          <w:szCs w:val="28"/>
          <w:lang w:val="en-US" w:eastAsia="zh-CN"/>
        </w:rPr>
        <w:t>17</w:t>
      </w:r>
      <w:r>
        <w:rPr>
          <w:rFonts w:hint="eastAsia" w:ascii="宋体" w:hAnsi="宋体" w:eastAsia="宋体" w:cs="宋体"/>
          <w:color w:val="auto"/>
          <w:sz w:val="32"/>
          <w:szCs w:val="32"/>
        </w:rPr>
        <w:t xml:space="preserve"> </w:t>
      </w:r>
    </w:p>
    <w:p>
      <w:pPr>
        <w:shd w:val="clear"/>
        <w:autoSpaceDN w:val="0"/>
        <w:spacing w:line="360" w:lineRule="auto"/>
        <w:jc w:val="center"/>
        <w:rPr>
          <w:b/>
          <w:bCs/>
          <w:sz w:val="24"/>
          <w:highlight w:val="none"/>
        </w:rPr>
      </w:pPr>
      <w:r>
        <w:rPr>
          <w:rFonts w:hint="eastAsia"/>
          <w:b/>
          <w:bCs/>
          <w:sz w:val="24"/>
          <w:highlight w:val="none"/>
          <w:lang w:eastAsia="zh-CN"/>
        </w:rPr>
        <w:t>强制节能产品</w:t>
      </w:r>
      <w:r>
        <w:rPr>
          <w:rFonts w:hint="eastAsia"/>
          <w:b/>
          <w:bCs/>
          <w:sz w:val="24"/>
          <w:highlight w:val="none"/>
        </w:rPr>
        <w:t>情况表</w:t>
      </w:r>
    </w:p>
    <w:p>
      <w:pPr>
        <w:spacing w:line="460" w:lineRule="exact"/>
        <w:rPr>
          <w:rFonts w:ascii="宋体" w:hAnsi="宋体" w:cs="宋体"/>
          <w:szCs w:val="21"/>
        </w:rPr>
      </w:pPr>
      <w:r>
        <w:rPr>
          <w:rFonts w:hint="eastAsia" w:ascii="宋体" w:hAnsi="宋体" w:cs="宋体"/>
          <w:szCs w:val="21"/>
        </w:rPr>
        <w:t>项目名称：</w:t>
      </w:r>
    </w:p>
    <w:p>
      <w:pPr>
        <w:spacing w:line="460" w:lineRule="exact"/>
        <w:rPr>
          <w:rFonts w:ascii="宋体" w:hAnsi="宋体" w:cs="宋体"/>
          <w:szCs w:val="21"/>
        </w:rPr>
      </w:pPr>
      <w:r>
        <w:rPr>
          <w:rFonts w:hint="eastAsia" w:ascii="宋体" w:hAnsi="宋体" w:cs="宋体"/>
          <w:szCs w:val="21"/>
        </w:rPr>
        <w:t>项目编号：</w:t>
      </w:r>
    </w:p>
    <w:tbl>
      <w:tblPr>
        <w:tblStyle w:val="46"/>
        <w:tblW w:w="8437"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1384"/>
        <w:gridCol w:w="1482"/>
        <w:gridCol w:w="206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7" w:type="dxa"/>
            <w:gridSpan w:val="5"/>
            <w:noWrap w:val="0"/>
            <w:vAlign w:val="center"/>
          </w:tcPr>
          <w:p>
            <w:pPr>
              <w:pStyle w:val="326"/>
              <w:tabs>
                <w:tab w:val="left" w:pos="1260"/>
              </w:tabs>
              <w:adjustRightInd w:val="0"/>
              <w:snapToGrid w:val="0"/>
              <w:jc w:val="center"/>
              <w:rPr>
                <w:rFonts w:ascii="宋体" w:hAnsi="宋体" w:cs="宋体"/>
                <w:sz w:val="24"/>
              </w:rPr>
            </w:pPr>
            <w:r>
              <w:rPr>
                <w:rFonts w:hint="eastAsia" w:ascii="Helvetica" w:hAnsi="Helvetica" w:eastAsia="Helvetica" w:cs="Helvetica"/>
                <w:color w:val="000000"/>
                <w:szCs w:val="21"/>
                <w:shd w:val="clear" w:color="auto" w:fill="FFFFFF"/>
              </w:rPr>
              <w:t>强制节能产品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7" w:type="dxa"/>
            <w:gridSpan w:val="5"/>
            <w:noWrap w:val="0"/>
            <w:vAlign w:val="center"/>
          </w:tcPr>
          <w:p>
            <w:pPr>
              <w:pStyle w:val="326"/>
              <w:tabs>
                <w:tab w:val="left" w:pos="1260"/>
              </w:tabs>
              <w:adjustRightInd w:val="0"/>
              <w:snapToGrid w:val="0"/>
              <w:ind w:firstLine="420" w:firstLineChars="200"/>
              <w:jc w:val="left"/>
              <w:rPr>
                <w:rFonts w:ascii="宋体" w:hAnsi="宋体" w:cs="宋体"/>
                <w:szCs w:val="21"/>
              </w:rPr>
            </w:pPr>
            <w:r>
              <w:rPr>
                <w:rFonts w:hint="eastAsia" w:ascii="宋体" w:hAnsi="宋体" w:cs="宋体"/>
                <w:szCs w:val="21"/>
              </w:rPr>
              <w:t>依照</w:t>
            </w:r>
            <w:r>
              <w:rPr>
                <w:rFonts w:ascii="Helvetica" w:hAnsi="Helvetica" w:eastAsia="Helvetica" w:cs="Helvetica"/>
                <w:color w:val="000000"/>
                <w:szCs w:val="21"/>
                <w:shd w:val="clear" w:color="auto" w:fill="FFFFFF"/>
              </w:rPr>
              <w:t>《关于调整优化节能产品、环境标志产品政府采购执行机制的通知》（财库〔2019〕9号）</w:t>
            </w:r>
            <w:r>
              <w:rPr>
                <w:rFonts w:hint="eastAsia" w:ascii="Helvetica" w:hAnsi="Helvetica" w:cs="Helvetica"/>
                <w:color w:val="000000"/>
                <w:szCs w:val="21"/>
                <w:shd w:val="clear" w:color="auto" w:fill="FFFFFF"/>
              </w:rPr>
              <w:t>及</w:t>
            </w:r>
            <w:r>
              <w:rPr>
                <w:rFonts w:ascii="Helvetica" w:hAnsi="Helvetica" w:eastAsia="Helvetica" w:cs="Helvetica"/>
                <w:color w:val="000000"/>
                <w:szCs w:val="21"/>
                <w:shd w:val="clear" w:color="auto" w:fill="FFFFFF"/>
              </w:rPr>
              <w:t>《</w:t>
            </w:r>
            <w:r>
              <w:rPr>
                <w:rFonts w:hint="eastAsia" w:ascii="Helvetica" w:hAnsi="Helvetica" w:cs="Helvetica"/>
                <w:color w:val="000000"/>
                <w:szCs w:val="21"/>
                <w:shd w:val="clear" w:color="auto" w:fill="FFFFFF"/>
              </w:rPr>
              <w:t>关于印发</w:t>
            </w:r>
            <w:r>
              <w:rPr>
                <w:rFonts w:ascii="Helvetica" w:hAnsi="Helvetica" w:eastAsia="Helvetica" w:cs="Helvetica"/>
                <w:color w:val="000000"/>
                <w:szCs w:val="21"/>
                <w:shd w:val="clear" w:color="auto" w:fill="FFFFFF"/>
              </w:rPr>
              <w:t>节能产品政府采购品目清单</w:t>
            </w:r>
            <w:r>
              <w:rPr>
                <w:rFonts w:hint="eastAsia" w:ascii="Helvetica" w:hAnsi="Helvetica" w:cs="Helvetica"/>
                <w:color w:val="000000"/>
                <w:szCs w:val="21"/>
                <w:shd w:val="clear" w:color="auto" w:fill="FFFFFF"/>
              </w:rPr>
              <w:t>的通知</w:t>
            </w:r>
            <w:r>
              <w:rPr>
                <w:rFonts w:ascii="Helvetica" w:hAnsi="Helvetica" w:eastAsia="Helvetica" w:cs="Helvetica"/>
                <w:color w:val="000000"/>
                <w:szCs w:val="21"/>
                <w:shd w:val="clear" w:color="auto" w:fill="FFFFFF"/>
              </w:rPr>
              <w:t>》（财库〔2019〕</w:t>
            </w:r>
            <w:r>
              <w:rPr>
                <w:rFonts w:hint="eastAsia" w:ascii="Helvetica" w:hAnsi="Helvetica" w:cs="Helvetica"/>
                <w:color w:val="000000"/>
                <w:szCs w:val="21"/>
                <w:shd w:val="clear" w:color="auto" w:fill="FFFFFF"/>
              </w:rPr>
              <w:t>1</w:t>
            </w:r>
            <w:r>
              <w:rPr>
                <w:rFonts w:ascii="Helvetica" w:hAnsi="Helvetica" w:eastAsia="Helvetica" w:cs="Helvetica"/>
                <w:color w:val="000000"/>
                <w:szCs w:val="21"/>
                <w:shd w:val="clear" w:color="auto" w:fill="FFFFFF"/>
              </w:rPr>
              <w:t>9号）规定</w:t>
            </w:r>
            <w:r>
              <w:rPr>
                <w:rFonts w:hint="eastAsia" w:ascii="Helvetica" w:hAnsi="Helvetica" w:cs="Helvetica"/>
                <w:color w:val="000000"/>
                <w:szCs w:val="21"/>
                <w:shd w:val="clear" w:color="auto" w:fill="FFFFFF"/>
              </w:rPr>
              <w:t>，</w:t>
            </w:r>
            <w:r>
              <w:rPr>
                <w:rFonts w:ascii="Helvetica" w:hAnsi="Helvetica" w:eastAsia="Helvetica" w:cs="Helvetica"/>
                <w:color w:val="000000"/>
                <w:szCs w:val="21"/>
                <w:shd w:val="clear" w:color="auto" w:fill="FFFFFF"/>
              </w:rPr>
              <w:t>品目清单中标记</w:t>
            </w:r>
            <w:r>
              <w:rPr>
                <w:rFonts w:hint="eastAsia" w:ascii="Helvetica" w:hAnsi="Helvetica" w:eastAsia="宋体" w:cs="Helvetica"/>
                <w:color w:val="000000"/>
                <w:szCs w:val="21"/>
                <w:shd w:val="clear" w:color="auto" w:fill="FFFFFF"/>
                <w:lang w:eastAsia="zh-CN"/>
              </w:rPr>
              <w:t>“</w:t>
            </w:r>
            <w:r>
              <w:rPr>
                <w:rFonts w:hint="eastAsia" w:ascii="宋体" w:hAnsi="宋体" w:eastAsia="宋体" w:cs="宋体"/>
                <w:color w:val="000000"/>
                <w:szCs w:val="21"/>
                <w:shd w:val="clear" w:color="auto" w:fill="FFFFFF"/>
                <w:lang w:eastAsia="zh-CN"/>
              </w:rPr>
              <w:t>■”</w:t>
            </w:r>
            <w:r>
              <w:rPr>
                <w:rFonts w:ascii="Helvetica" w:hAnsi="Helvetica" w:eastAsia="Helvetica" w:cs="Helvetica"/>
                <w:color w:val="000000"/>
                <w:szCs w:val="21"/>
                <w:shd w:val="clear" w:color="auto" w:fill="FFFFFF"/>
              </w:rPr>
              <w:t>号的为强制采购产品，强制采购产品的投标产品必须有认证证书，否则投标无效。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7" w:type="dxa"/>
            <w:gridSpan w:val="5"/>
            <w:noWrap w:val="0"/>
            <w:vAlign w:val="center"/>
          </w:tcPr>
          <w:p>
            <w:pPr>
              <w:pStyle w:val="326"/>
              <w:tabs>
                <w:tab w:val="left" w:pos="1260"/>
              </w:tabs>
              <w:adjustRightInd w:val="0"/>
              <w:snapToGrid w:val="0"/>
              <w:jc w:val="center"/>
              <w:rPr>
                <w:rFonts w:hint="eastAsia" w:ascii="宋体" w:hAnsi="宋体" w:cs="宋体"/>
                <w:bCs/>
                <w:szCs w:val="21"/>
              </w:rPr>
            </w:pPr>
            <w:r>
              <w:rPr>
                <w:rFonts w:hint="eastAsia" w:ascii="宋体" w:hAnsi="宋体" w:cs="宋体"/>
                <w:b/>
                <w:bCs w:val="0"/>
                <w:szCs w:val="21"/>
                <w:lang w:eastAsia="zh-CN"/>
              </w:rPr>
              <w:t>一、招标文件列明强制节能产品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86" w:type="dxa"/>
            <w:noWrap w:val="0"/>
            <w:vAlign w:val="center"/>
          </w:tcPr>
          <w:p>
            <w:pPr>
              <w:pStyle w:val="326"/>
              <w:tabs>
                <w:tab w:val="left" w:pos="1260"/>
              </w:tabs>
              <w:adjustRightInd w:val="0"/>
              <w:snapToGrid w:val="0"/>
              <w:jc w:val="center"/>
              <w:rPr>
                <w:rFonts w:ascii="宋体" w:hAnsi="宋体" w:cs="宋体"/>
                <w:szCs w:val="21"/>
              </w:rPr>
            </w:pPr>
            <w:r>
              <w:rPr>
                <w:rFonts w:hint="eastAsia" w:ascii="宋体" w:hAnsi="宋体" w:cs="宋体"/>
                <w:szCs w:val="21"/>
              </w:rPr>
              <w:t>序号</w:t>
            </w:r>
          </w:p>
        </w:tc>
        <w:tc>
          <w:tcPr>
            <w:tcW w:w="1384" w:type="dxa"/>
            <w:noWrap w:val="0"/>
            <w:vAlign w:val="center"/>
          </w:tcPr>
          <w:p>
            <w:pPr>
              <w:pStyle w:val="326"/>
              <w:tabs>
                <w:tab w:val="left" w:pos="1260"/>
              </w:tabs>
              <w:adjustRightInd w:val="0"/>
              <w:snapToGrid w:val="0"/>
              <w:jc w:val="center"/>
              <w:rPr>
                <w:rFonts w:ascii="宋体" w:hAnsi="宋体" w:cs="宋体"/>
                <w:szCs w:val="21"/>
              </w:rPr>
            </w:pPr>
            <w:r>
              <w:rPr>
                <w:rFonts w:hint="eastAsia" w:ascii="宋体" w:hAnsi="宋体" w:cs="宋体"/>
                <w:szCs w:val="21"/>
              </w:rPr>
              <w:t>产品名称</w:t>
            </w:r>
          </w:p>
        </w:tc>
        <w:tc>
          <w:tcPr>
            <w:tcW w:w="1482" w:type="dxa"/>
            <w:noWrap w:val="0"/>
            <w:vAlign w:val="center"/>
          </w:tcPr>
          <w:p>
            <w:pPr>
              <w:pStyle w:val="326"/>
              <w:tabs>
                <w:tab w:val="left" w:pos="1260"/>
              </w:tabs>
              <w:adjustRightInd w:val="0"/>
              <w:snapToGrid w:val="0"/>
              <w:jc w:val="center"/>
              <w:rPr>
                <w:rFonts w:ascii="宋体" w:hAnsi="宋体" w:cs="宋体"/>
                <w:szCs w:val="21"/>
              </w:rPr>
            </w:pPr>
            <w:r>
              <w:rPr>
                <w:rFonts w:hint="eastAsia" w:ascii="宋体" w:hAnsi="宋体" w:cs="宋体"/>
                <w:bCs/>
                <w:szCs w:val="21"/>
              </w:rPr>
              <w:t>编码</w:t>
            </w:r>
          </w:p>
        </w:tc>
        <w:tc>
          <w:tcPr>
            <w:tcW w:w="2065" w:type="dxa"/>
            <w:noWrap w:val="0"/>
            <w:vAlign w:val="center"/>
          </w:tcPr>
          <w:p>
            <w:pPr>
              <w:pStyle w:val="326"/>
              <w:tabs>
                <w:tab w:val="left" w:pos="1260"/>
              </w:tabs>
              <w:adjustRightInd w:val="0"/>
              <w:snapToGrid w:val="0"/>
              <w:jc w:val="center"/>
              <w:rPr>
                <w:rFonts w:ascii="宋体" w:hAnsi="宋体" w:cs="宋体"/>
                <w:szCs w:val="21"/>
              </w:rPr>
            </w:pPr>
            <w:r>
              <w:rPr>
                <w:rFonts w:hint="eastAsia" w:ascii="宋体" w:hAnsi="宋体" w:cs="宋体"/>
                <w:szCs w:val="21"/>
                <w:lang w:val="en-GB"/>
              </w:rPr>
              <w:t>节能认证证书编号</w:t>
            </w:r>
          </w:p>
        </w:tc>
        <w:tc>
          <w:tcPr>
            <w:tcW w:w="1620" w:type="dxa"/>
            <w:noWrap w:val="0"/>
            <w:vAlign w:val="center"/>
          </w:tcPr>
          <w:p>
            <w:pPr>
              <w:pStyle w:val="326"/>
              <w:tabs>
                <w:tab w:val="left" w:pos="1260"/>
              </w:tabs>
              <w:adjustRightInd w:val="0"/>
              <w:snapToGrid w:val="0"/>
              <w:jc w:val="center"/>
              <w:rPr>
                <w:rFonts w:ascii="宋体" w:hAnsi="宋体" w:cs="宋体"/>
                <w:szCs w:val="21"/>
              </w:rPr>
            </w:pPr>
            <w:r>
              <w:rPr>
                <w:rFonts w:hint="eastAsia" w:ascii="宋体" w:hAnsi="宋体" w:cs="宋体"/>
                <w:bCs/>
                <w:szCs w:val="21"/>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86" w:type="dxa"/>
            <w:noWrap w:val="0"/>
            <w:vAlign w:val="center"/>
          </w:tcPr>
          <w:p>
            <w:pPr>
              <w:widowControl/>
              <w:jc w:val="center"/>
              <w:textAlignment w:val="center"/>
              <w:rPr>
                <w:rFonts w:hint="default" w:ascii="宋体" w:hAnsi="宋体" w:eastAsia="新宋体" w:cs="宋体"/>
                <w:color w:val="000000"/>
                <w:kern w:val="0"/>
                <w:sz w:val="20"/>
                <w:szCs w:val="20"/>
                <w:lang w:val="en-US" w:eastAsia="zh-CN" w:bidi="ar"/>
              </w:rPr>
            </w:pPr>
            <w:r>
              <w:rPr>
                <w:rFonts w:hint="eastAsia" w:ascii="新宋体" w:hAnsi="新宋体" w:eastAsia="新宋体" w:cs="新宋体"/>
                <w:color w:val="000000"/>
                <w:kern w:val="0"/>
                <w:sz w:val="20"/>
                <w:szCs w:val="20"/>
                <w:lang w:bidi="ar"/>
              </w:rPr>
              <w:t>8</w:t>
            </w: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val="en-US" w:eastAsia="zh-CN" w:bidi="ar"/>
              </w:rPr>
              <w:t>87、95</w:t>
            </w:r>
          </w:p>
        </w:tc>
        <w:tc>
          <w:tcPr>
            <w:tcW w:w="1384" w:type="dxa"/>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bidi="ar"/>
              </w:rPr>
              <w:t>三联水嘴</w:t>
            </w:r>
          </w:p>
        </w:tc>
        <w:tc>
          <w:tcPr>
            <w:tcW w:w="1482" w:type="dxa"/>
            <w:noWrap w:val="0"/>
            <w:vAlign w:val="center"/>
          </w:tcPr>
          <w:p>
            <w:pPr>
              <w:widowControl/>
              <w:jc w:val="center"/>
              <w:rPr>
                <w:rFonts w:hint="eastAsia" w:ascii="宋体" w:hAnsi="宋体" w:cs="宋体"/>
                <w:color w:val="000000"/>
                <w:kern w:val="0"/>
                <w:sz w:val="20"/>
                <w:szCs w:val="20"/>
                <w:lang w:val="en-US" w:eastAsia="zh-CN" w:bidi="ar"/>
              </w:rPr>
            </w:pPr>
            <w:r>
              <w:rPr>
                <w:rFonts w:hint="eastAsia" w:ascii="宋体" w:hAnsi="宋体" w:eastAsia="宋体" w:cs="宋体"/>
                <w:color w:val="000000"/>
                <w:kern w:val="0"/>
                <w:sz w:val="20"/>
                <w:szCs w:val="20"/>
                <w:lang w:bidi="ar"/>
              </w:rPr>
              <w:t>A</w:t>
            </w:r>
            <w:r>
              <w:rPr>
                <w:rFonts w:hint="eastAsia" w:ascii="宋体" w:hAnsi="宋体" w:cs="宋体"/>
                <w:color w:val="000000"/>
                <w:kern w:val="0"/>
                <w:sz w:val="20"/>
                <w:szCs w:val="20"/>
                <w:lang w:val="en-US" w:eastAsia="zh-CN" w:bidi="ar"/>
              </w:rPr>
              <w:t>060806</w:t>
            </w:r>
          </w:p>
          <w:p>
            <w:pPr>
              <w:widowControl/>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水嘴</w:t>
            </w:r>
          </w:p>
        </w:tc>
        <w:tc>
          <w:tcPr>
            <w:tcW w:w="2065" w:type="dxa"/>
            <w:noWrap w:val="0"/>
            <w:vAlign w:val="center"/>
          </w:tcPr>
          <w:p>
            <w:pPr>
              <w:pStyle w:val="326"/>
              <w:tabs>
                <w:tab w:val="left" w:pos="1260"/>
              </w:tabs>
              <w:adjustRightInd w:val="0"/>
              <w:snapToGrid w:val="0"/>
              <w:jc w:val="center"/>
              <w:rPr>
                <w:rFonts w:eastAsia="黑体"/>
                <w:color w:val="000000"/>
                <w:kern w:val="0"/>
                <w:sz w:val="20"/>
                <w:szCs w:val="20"/>
                <w:lang w:bidi="ar"/>
              </w:rPr>
            </w:pPr>
          </w:p>
        </w:tc>
        <w:tc>
          <w:tcPr>
            <w:tcW w:w="1620" w:type="dxa"/>
            <w:noWrap w:val="0"/>
            <w:vAlign w:val="center"/>
          </w:tcPr>
          <w:p>
            <w:pPr>
              <w:pStyle w:val="326"/>
              <w:tabs>
                <w:tab w:val="left" w:pos="1260"/>
              </w:tabs>
              <w:adjustRightInd w:val="0"/>
              <w:snapToGrid w:val="0"/>
              <w:jc w:val="center"/>
              <w:rPr>
                <w:rFonts w:eastAsia="黑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86" w:type="dxa"/>
            <w:noWrap w:val="0"/>
            <w:vAlign w:val="center"/>
          </w:tcPr>
          <w:p>
            <w:pPr>
              <w:widowControl/>
              <w:jc w:val="center"/>
              <w:textAlignment w:val="center"/>
              <w:rPr>
                <w:rFonts w:hint="default" w:ascii="宋体" w:hAnsi="宋体" w:eastAsia="新宋体" w:cs="宋体"/>
                <w:color w:val="000000"/>
                <w:kern w:val="0"/>
                <w:sz w:val="20"/>
                <w:szCs w:val="20"/>
                <w:lang w:val="en-US" w:eastAsia="zh-CN" w:bidi="ar"/>
              </w:rPr>
            </w:pPr>
            <w:r>
              <w:rPr>
                <w:rFonts w:hint="eastAsia" w:ascii="新宋体" w:hAnsi="新宋体" w:eastAsia="新宋体" w:cs="新宋体"/>
                <w:color w:val="000000"/>
                <w:kern w:val="0"/>
                <w:sz w:val="20"/>
                <w:szCs w:val="20"/>
                <w:lang w:bidi="ar"/>
              </w:rPr>
              <w:t>35</w:t>
            </w: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val="en-US" w:eastAsia="zh-CN" w:bidi="ar"/>
              </w:rPr>
              <w:t>65</w:t>
            </w:r>
          </w:p>
        </w:tc>
        <w:tc>
          <w:tcPr>
            <w:tcW w:w="1384" w:type="dxa"/>
            <w:noWrap w:val="0"/>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bidi="ar"/>
              </w:rPr>
              <w:t>示教终端机</w:t>
            </w:r>
          </w:p>
        </w:tc>
        <w:tc>
          <w:tcPr>
            <w:tcW w:w="1482" w:type="dxa"/>
            <w:noWrap w:val="0"/>
            <w:vAlign w:val="center"/>
          </w:tcPr>
          <w:p>
            <w:pPr>
              <w:widowControl/>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A02010104</w:t>
            </w:r>
          </w:p>
          <w:p>
            <w:pPr>
              <w:widowControl/>
              <w:jc w:val="center"/>
              <w:rPr>
                <w:rFonts w:hint="eastAsia" w:ascii="宋体" w:hAnsi="宋体" w:eastAsia="宋体" w:cs="宋体"/>
                <w:sz w:val="20"/>
                <w:szCs w:val="20"/>
                <w:lang w:val="en-US" w:eastAsia="zh-CN"/>
              </w:rPr>
            </w:pPr>
            <w:r>
              <w:rPr>
                <w:rFonts w:hint="eastAsia" w:ascii="宋体" w:hAnsi="宋体" w:eastAsia="宋体" w:cs="宋体"/>
                <w:color w:val="000000"/>
                <w:kern w:val="0"/>
                <w:sz w:val="20"/>
                <w:szCs w:val="20"/>
                <w:lang w:val="en-US" w:eastAsia="zh-CN" w:bidi="ar"/>
              </w:rPr>
              <w:t>台式计算机</w:t>
            </w:r>
          </w:p>
        </w:tc>
        <w:tc>
          <w:tcPr>
            <w:tcW w:w="2065"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86" w:type="dxa"/>
            <w:noWrap w:val="0"/>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新宋体" w:hAnsi="新宋体" w:eastAsia="新宋体" w:cs="新宋体"/>
                <w:color w:val="000000"/>
                <w:kern w:val="0"/>
                <w:sz w:val="20"/>
                <w:szCs w:val="20"/>
                <w:highlight w:val="none"/>
                <w:lang w:bidi="ar"/>
              </w:rPr>
              <w:t>78</w:t>
            </w:r>
          </w:p>
        </w:tc>
        <w:tc>
          <w:tcPr>
            <w:tcW w:w="1384" w:type="dxa"/>
            <w:noWrap w:val="0"/>
            <w:vAlign w:val="center"/>
          </w:tcPr>
          <w:p>
            <w:pPr>
              <w:widowControl/>
              <w:jc w:val="center"/>
              <w:textAlignment w:val="cente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新宋体" w:hAnsi="新宋体" w:eastAsia="新宋体" w:cs="新宋体"/>
                <w:color w:val="000000"/>
                <w:kern w:val="0"/>
                <w:sz w:val="20"/>
                <w:szCs w:val="20"/>
                <w:highlight w:val="none"/>
                <w:lang w:eastAsia="zh-CN" w:bidi="ar"/>
              </w:rPr>
              <w:t>■</w:t>
            </w:r>
            <w:r>
              <w:rPr>
                <w:rFonts w:hint="eastAsia" w:ascii="新宋体" w:hAnsi="新宋体" w:eastAsia="新宋体" w:cs="新宋体"/>
                <w:color w:val="000000"/>
                <w:kern w:val="0"/>
                <w:sz w:val="20"/>
                <w:szCs w:val="20"/>
                <w:highlight w:val="none"/>
                <w:lang w:bidi="ar"/>
              </w:rPr>
              <w:t>理化生智考一体机</w:t>
            </w:r>
          </w:p>
        </w:tc>
        <w:tc>
          <w:tcPr>
            <w:tcW w:w="1482" w:type="dxa"/>
            <w:noWrap w:val="0"/>
            <w:vAlign w:val="center"/>
          </w:tcPr>
          <w:p>
            <w:pPr>
              <w:widowControl/>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A02010104</w:t>
            </w:r>
          </w:p>
          <w:p>
            <w:pPr>
              <w:widowControl/>
              <w:jc w:val="center"/>
              <w:rPr>
                <w:rFonts w:hint="default"/>
                <w:lang w:val="en-US" w:eastAsia="zh-CN"/>
              </w:rPr>
            </w:pPr>
            <w:r>
              <w:rPr>
                <w:rFonts w:hint="eastAsia" w:ascii="宋体" w:hAnsi="宋体" w:eastAsia="宋体" w:cs="宋体"/>
                <w:color w:val="000000"/>
                <w:kern w:val="0"/>
                <w:sz w:val="20"/>
                <w:szCs w:val="20"/>
                <w:lang w:val="en-US" w:eastAsia="zh-CN" w:bidi="ar"/>
              </w:rPr>
              <w:t>台式计算机</w:t>
            </w:r>
          </w:p>
        </w:tc>
        <w:tc>
          <w:tcPr>
            <w:tcW w:w="2065"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86" w:type="dxa"/>
            <w:noWrap w:val="0"/>
            <w:vAlign w:val="center"/>
          </w:tcPr>
          <w:p>
            <w:pPr>
              <w:widowControl/>
              <w:jc w:val="center"/>
              <w:textAlignment w:val="center"/>
              <w:rPr>
                <w:rFonts w:hint="eastAsia" w:ascii="新宋体" w:hAnsi="新宋体" w:eastAsia="新宋体" w:cs="新宋体"/>
                <w:color w:val="000000"/>
                <w:kern w:val="0"/>
                <w:sz w:val="20"/>
                <w:szCs w:val="20"/>
                <w:highlight w:val="none"/>
                <w:lang w:eastAsia="zh-CN" w:bidi="ar"/>
              </w:rPr>
            </w:pPr>
            <w:r>
              <w:rPr>
                <w:rFonts w:hint="eastAsia" w:ascii="新宋体" w:hAnsi="新宋体" w:eastAsia="新宋体" w:cs="新宋体"/>
                <w:color w:val="000000"/>
                <w:kern w:val="0"/>
                <w:sz w:val="20"/>
                <w:szCs w:val="20"/>
                <w:highlight w:val="none"/>
                <w:lang w:eastAsia="zh-CN" w:bidi="ar"/>
              </w:rPr>
              <w:t>……</w:t>
            </w:r>
          </w:p>
        </w:tc>
        <w:tc>
          <w:tcPr>
            <w:tcW w:w="1384" w:type="dxa"/>
            <w:noWrap w:val="0"/>
            <w:vAlign w:val="center"/>
          </w:tcPr>
          <w:p>
            <w:pPr>
              <w:widowControl/>
              <w:jc w:val="center"/>
              <w:textAlignment w:val="center"/>
              <w:rPr>
                <w:rFonts w:hint="eastAsia" w:ascii="新宋体" w:hAnsi="新宋体" w:eastAsia="新宋体" w:cs="新宋体"/>
                <w:color w:val="000000"/>
                <w:kern w:val="0"/>
                <w:sz w:val="20"/>
                <w:szCs w:val="20"/>
                <w:highlight w:val="none"/>
                <w:lang w:eastAsia="zh-CN" w:bidi="ar"/>
              </w:rPr>
            </w:pPr>
          </w:p>
        </w:tc>
        <w:tc>
          <w:tcPr>
            <w:tcW w:w="1482" w:type="dxa"/>
            <w:noWrap w:val="0"/>
            <w:vAlign w:val="center"/>
          </w:tcPr>
          <w:p>
            <w:pPr>
              <w:widowControl/>
              <w:jc w:val="center"/>
              <w:rPr>
                <w:rFonts w:hint="eastAsia" w:ascii="宋体" w:hAnsi="宋体" w:eastAsia="宋体" w:cs="宋体"/>
                <w:color w:val="000000"/>
                <w:kern w:val="0"/>
                <w:sz w:val="20"/>
                <w:szCs w:val="20"/>
                <w:lang w:val="en-US" w:eastAsia="zh-CN" w:bidi="ar"/>
              </w:rPr>
            </w:pPr>
          </w:p>
        </w:tc>
        <w:tc>
          <w:tcPr>
            <w:tcW w:w="2065"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7" w:type="dxa"/>
            <w:gridSpan w:val="5"/>
            <w:noWrap w:val="0"/>
            <w:vAlign w:val="center"/>
          </w:tcPr>
          <w:p>
            <w:pPr>
              <w:pStyle w:val="326"/>
              <w:tabs>
                <w:tab w:val="left" w:pos="1260"/>
              </w:tabs>
              <w:adjustRightInd w:val="0"/>
              <w:snapToGrid w:val="0"/>
              <w:ind w:firstLine="420" w:firstLineChars="200"/>
              <w:jc w:val="center"/>
              <w:rPr>
                <w:rFonts w:eastAsia="黑体"/>
                <w:color w:val="000000"/>
                <w:kern w:val="0"/>
                <w:sz w:val="20"/>
                <w:szCs w:val="20"/>
                <w:lang w:bidi="ar"/>
              </w:rPr>
            </w:pPr>
            <w:r>
              <w:rPr>
                <w:rFonts w:hint="eastAsia" w:ascii="宋体" w:hAnsi="宋体" w:cs="宋体"/>
                <w:szCs w:val="21"/>
              </w:rPr>
              <w:t>后附</w:t>
            </w:r>
            <w:r>
              <w:rPr>
                <w:rFonts w:hint="eastAsia" w:ascii="宋体" w:hAnsi="宋体" w:cs="宋体"/>
                <w:szCs w:val="21"/>
                <w:lang w:val="en-GB"/>
              </w:rPr>
              <w:t>节能产品</w:t>
            </w:r>
            <w:r>
              <w:rPr>
                <w:rFonts w:ascii="Helvetica" w:hAnsi="Helvetica" w:eastAsia="Helvetica" w:cs="Helvetica"/>
                <w:color w:val="000000"/>
                <w:szCs w:val="21"/>
                <w:shd w:val="clear" w:color="auto" w:fill="FFFFFF"/>
              </w:rPr>
              <w:t>认证证书</w:t>
            </w:r>
            <w:r>
              <w:rPr>
                <w:rFonts w:hint="eastAsia" w:ascii="宋体" w:hAnsi="宋体" w:cs="宋体"/>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7" w:type="dxa"/>
            <w:gridSpan w:val="5"/>
            <w:noWrap w:val="0"/>
            <w:vAlign w:val="center"/>
          </w:tcPr>
          <w:p>
            <w:pPr>
              <w:pStyle w:val="326"/>
              <w:tabs>
                <w:tab w:val="left" w:pos="1260"/>
              </w:tabs>
              <w:adjustRightInd w:val="0"/>
              <w:snapToGrid w:val="0"/>
              <w:jc w:val="center"/>
              <w:rPr>
                <w:rFonts w:hint="eastAsia" w:ascii="宋体" w:hAnsi="宋体" w:cs="宋体"/>
                <w:b/>
                <w:bCs/>
                <w:szCs w:val="21"/>
                <w:lang w:eastAsia="zh-CN"/>
              </w:rPr>
            </w:pPr>
            <w:r>
              <w:rPr>
                <w:rFonts w:hint="eastAsia" w:ascii="宋体" w:hAnsi="宋体" w:cs="宋体"/>
                <w:b/>
                <w:bCs/>
                <w:szCs w:val="21"/>
                <w:lang w:eastAsia="zh-CN"/>
              </w:rPr>
              <w:t>二、招标文件未列明但所投产品属国家强制节能认证产品承诺</w:t>
            </w:r>
          </w:p>
          <w:p>
            <w:pPr>
              <w:pStyle w:val="326"/>
              <w:tabs>
                <w:tab w:val="left" w:pos="1260"/>
              </w:tabs>
              <w:adjustRightInd w:val="0"/>
              <w:snapToGrid w:val="0"/>
              <w:ind w:firstLine="420" w:firstLineChars="200"/>
              <w:jc w:val="left"/>
              <w:rPr>
                <w:rFonts w:hint="eastAsia" w:ascii="宋体" w:hAnsi="宋体" w:cs="宋体"/>
                <w:szCs w:val="21"/>
                <w:lang w:eastAsia="zh-CN"/>
              </w:rPr>
            </w:pPr>
            <w:r>
              <w:rPr>
                <w:rFonts w:hint="eastAsia" w:ascii="宋体" w:hAnsi="宋体" w:cs="宋体"/>
                <w:szCs w:val="21"/>
                <w:lang w:eastAsia="zh-CN"/>
              </w:rPr>
              <w:t>我公司承诺，本项目招标文件未要求但我公司所投产品属国家强制节能认证的，我公司在供货时随产品一并提供有效证书，且均能满足国家强制节能认证要求，并对其真实性负责。</w:t>
            </w:r>
          </w:p>
          <w:p>
            <w:pPr>
              <w:pStyle w:val="326"/>
              <w:tabs>
                <w:tab w:val="left" w:pos="1260"/>
              </w:tabs>
              <w:adjustRightInd w:val="0"/>
              <w:snapToGrid w:val="0"/>
              <w:ind w:firstLine="420" w:firstLineChars="200"/>
              <w:jc w:val="left"/>
              <w:rPr>
                <w:rFonts w:hint="eastAsia" w:ascii="宋体" w:hAnsi="宋体" w:cs="宋体"/>
                <w:szCs w:val="21"/>
              </w:rPr>
            </w:pPr>
            <w:r>
              <w:rPr>
                <w:rFonts w:hint="eastAsia"/>
              </w:rPr>
              <w:t>我单位(本人)保证上述承诺事项的真实性。如有弄虚作假或其他违法违规行为，自愿按照规定将违背承诺行为作为失信行为记录到社会信用信息平台，并视同为“提供虚假材料谋取中标、成交”按照法律规定承担</w:t>
            </w:r>
            <w:r>
              <w:rPr>
                <w:rFonts w:hint="eastAsia"/>
                <w:lang w:eastAsia="zh-CN"/>
              </w:rPr>
              <w:t>相应法律</w:t>
            </w:r>
            <w:r>
              <w:rPr>
                <w:rFonts w:hint="eastAsia"/>
              </w:rPr>
              <w:t>责任</w:t>
            </w:r>
            <w:r>
              <w:rPr>
                <w:rFonts w:hint="eastAsia"/>
                <w:lang w:eastAsia="zh-CN"/>
              </w:rPr>
              <w:t>及经济损失补偿</w:t>
            </w:r>
            <w:r>
              <w:rPr>
                <w:rFonts w:hint="eastAsia"/>
              </w:rPr>
              <w:t>。</w:t>
            </w:r>
          </w:p>
        </w:tc>
      </w:tr>
    </w:tbl>
    <w:p>
      <w:pPr>
        <w:spacing w:line="460" w:lineRule="exact"/>
        <w:rPr>
          <w:rFonts w:ascii="宋体" w:hAnsi="宋体" w:cs="宋体"/>
          <w:szCs w:val="21"/>
        </w:rPr>
      </w:pPr>
    </w:p>
    <w:p>
      <w:pPr>
        <w:adjustRightInd w:val="0"/>
        <w:snapToGrid w:val="0"/>
        <w:spacing w:line="360" w:lineRule="auto"/>
        <w:rPr>
          <w:rFonts w:ascii="宋体" w:hAnsi="宋体" w:cs="宋体"/>
          <w:szCs w:val="21"/>
        </w:rPr>
      </w:pPr>
      <w:r>
        <w:rPr>
          <w:rFonts w:hint="eastAsia" w:ascii="宋体" w:hAnsi="宋体" w:cs="宋体"/>
        </w:rPr>
        <w:t>投标人</w:t>
      </w:r>
      <w:r>
        <w:rPr>
          <w:rFonts w:hint="eastAsia" w:ascii="宋体" w:hAnsi="宋体" w:cs="宋体"/>
          <w:szCs w:val="21"/>
        </w:rPr>
        <w:t>（盖单位章）：</w:t>
      </w:r>
    </w:p>
    <w:p>
      <w:pPr>
        <w:adjustRightInd w:val="0"/>
        <w:snapToGrid w:val="0"/>
        <w:spacing w:line="360" w:lineRule="auto"/>
        <w:rPr>
          <w:rFonts w:ascii="宋体" w:hAnsi="宋体" w:cs="宋体"/>
          <w:szCs w:val="21"/>
        </w:rPr>
      </w:pPr>
      <w:r>
        <w:rPr>
          <w:rFonts w:hint="eastAsia" w:ascii="宋体" w:hAnsi="宋体" w:cs="宋体"/>
          <w:szCs w:val="21"/>
        </w:rPr>
        <w:t>法定代表人或其委托代理人签字：</w:t>
      </w:r>
      <w:r>
        <w:rPr>
          <w:rFonts w:hint="eastAsia" w:ascii="宋体" w:hAnsi="宋体" w:cs="宋体"/>
          <w:szCs w:val="21"/>
          <w:u w:val="single"/>
        </w:rPr>
        <w:t xml:space="preserve">       </w:t>
      </w:r>
    </w:p>
    <w:p>
      <w:pPr>
        <w:spacing w:line="460" w:lineRule="exac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b/>
          <w:sz w:val="24"/>
        </w:rPr>
        <w:t xml:space="preserve"> </w:t>
      </w:r>
    </w:p>
    <w:p/>
    <w:p>
      <w:pPr>
        <w:pStyle w:val="35"/>
        <w:rPr>
          <w:rFonts w:hint="eastAsia" w:eastAsia="宋体"/>
          <w:lang w:eastAsia="zh-CN"/>
        </w:rPr>
      </w:pPr>
      <w:r>
        <w:rPr>
          <w:rFonts w:hint="eastAsia"/>
          <w:lang w:eastAsia="zh-CN"/>
        </w:rPr>
        <w:t>注：强制节能产品认证机构应符合《市场监管总局关于发布参与实施政府采购节能产品、环境标志产品认证机构名录的公告》（2019年第16号）中认证机构名录。</w:t>
      </w:r>
    </w:p>
    <w:p>
      <w:pPr>
        <w:pStyle w:val="35"/>
        <w:rPr>
          <w:rFonts w:hint="eastAsia"/>
          <w:lang w:val="en-US" w:eastAsia="zh-CN"/>
        </w:rPr>
      </w:pPr>
    </w:p>
    <w:p>
      <w:pPr>
        <w:pStyle w:val="7"/>
        <w:rPr>
          <w:rFonts w:hint="eastAsia"/>
          <w:lang w:val="en-US" w:eastAsia="zh-CN"/>
        </w:rPr>
      </w:pPr>
      <w:r>
        <w:rPr>
          <w:rFonts w:hint="eastAsia"/>
          <w:lang w:val="en-US" w:eastAsia="zh-CN"/>
        </w:rPr>
        <w:br w:type="page"/>
      </w:r>
      <w:r>
        <w:rPr>
          <w:rFonts w:hint="eastAsia" w:ascii="宋体" w:hAnsi="宋体" w:eastAsia="宋体" w:cs="宋体"/>
          <w:bCs/>
          <w:color w:val="auto"/>
          <w:sz w:val="28"/>
          <w:szCs w:val="28"/>
        </w:rPr>
        <w:t>附件</w:t>
      </w:r>
      <w:r>
        <w:rPr>
          <w:rFonts w:hint="eastAsia" w:ascii="宋体" w:hAnsi="宋体" w:cs="宋体"/>
          <w:bCs/>
          <w:color w:val="auto"/>
          <w:sz w:val="28"/>
          <w:szCs w:val="28"/>
          <w:lang w:val="en-US" w:eastAsia="zh-CN"/>
        </w:rPr>
        <w:t>18</w:t>
      </w:r>
      <w:r>
        <w:rPr>
          <w:rFonts w:hint="eastAsia" w:ascii="宋体" w:hAnsi="宋体" w:eastAsia="宋体" w:cs="宋体"/>
          <w:color w:val="auto"/>
          <w:sz w:val="32"/>
          <w:szCs w:val="32"/>
        </w:rPr>
        <w:t xml:space="preserve">   </w:t>
      </w:r>
    </w:p>
    <w:p>
      <w:pPr>
        <w:autoSpaceDN w:val="0"/>
        <w:spacing w:line="360" w:lineRule="auto"/>
        <w:jc w:val="center"/>
        <w:rPr>
          <w:b/>
          <w:bCs/>
          <w:sz w:val="24"/>
          <w:highlight w:val="none"/>
        </w:rPr>
      </w:pPr>
      <w:r>
        <w:rPr>
          <w:rFonts w:hint="eastAsia"/>
          <w:b/>
          <w:bCs/>
          <w:sz w:val="24"/>
          <w:highlight w:val="none"/>
          <w:lang w:eastAsia="zh-CN"/>
        </w:rPr>
        <w:t>强制认证产品</w:t>
      </w:r>
      <w:r>
        <w:rPr>
          <w:rFonts w:hint="eastAsia"/>
          <w:b/>
          <w:bCs/>
          <w:sz w:val="24"/>
          <w:highlight w:val="none"/>
        </w:rPr>
        <w:t>情况表</w:t>
      </w:r>
    </w:p>
    <w:p>
      <w:pPr>
        <w:spacing w:line="460" w:lineRule="exact"/>
        <w:rPr>
          <w:rFonts w:ascii="宋体" w:hAnsi="宋体" w:cs="宋体"/>
          <w:szCs w:val="21"/>
        </w:rPr>
      </w:pPr>
      <w:r>
        <w:rPr>
          <w:rFonts w:hint="eastAsia" w:ascii="宋体" w:hAnsi="宋体" w:cs="宋体"/>
          <w:szCs w:val="21"/>
        </w:rPr>
        <w:t>项目名称：</w:t>
      </w:r>
    </w:p>
    <w:p>
      <w:pPr>
        <w:spacing w:line="460" w:lineRule="exact"/>
        <w:rPr>
          <w:rFonts w:ascii="宋体" w:hAnsi="宋体" w:cs="宋体"/>
          <w:szCs w:val="21"/>
        </w:rPr>
      </w:pPr>
      <w:r>
        <w:rPr>
          <w:rFonts w:hint="eastAsia" w:ascii="宋体" w:hAnsi="宋体" w:cs="宋体"/>
          <w:szCs w:val="21"/>
        </w:rPr>
        <w:t>项目编号：</w:t>
      </w:r>
    </w:p>
    <w:tbl>
      <w:tblPr>
        <w:tblStyle w:val="46"/>
        <w:tblW w:w="8437"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455"/>
        <w:gridCol w:w="1860"/>
        <w:gridCol w:w="1841"/>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7" w:type="dxa"/>
            <w:gridSpan w:val="5"/>
            <w:noWrap w:val="0"/>
            <w:vAlign w:val="center"/>
          </w:tcPr>
          <w:p>
            <w:pPr>
              <w:pStyle w:val="326"/>
              <w:tabs>
                <w:tab w:val="left" w:pos="1260"/>
              </w:tabs>
              <w:adjustRightInd w:val="0"/>
              <w:snapToGrid w:val="0"/>
              <w:jc w:val="center"/>
              <w:rPr>
                <w:rFonts w:ascii="宋体" w:hAnsi="宋体" w:cs="宋体"/>
                <w:sz w:val="24"/>
              </w:rPr>
            </w:pPr>
            <w:r>
              <w:rPr>
                <w:rFonts w:hint="eastAsia" w:ascii="Helvetica" w:hAnsi="Helvetica" w:eastAsia="宋体" w:cs="Helvetica"/>
                <w:color w:val="000000"/>
                <w:szCs w:val="21"/>
                <w:shd w:val="clear" w:color="auto" w:fill="FFFFFF"/>
                <w:lang w:eastAsia="zh-CN"/>
              </w:rPr>
              <w:t>强制认证</w:t>
            </w:r>
            <w:r>
              <w:rPr>
                <w:rFonts w:hint="eastAsia" w:ascii="Helvetica" w:hAnsi="Helvetica" w:eastAsia="Helvetica" w:cs="Helvetica"/>
                <w:color w:val="000000"/>
                <w:szCs w:val="21"/>
                <w:shd w:val="clear" w:color="auto" w:fill="FFFFFF"/>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7" w:type="dxa"/>
            <w:gridSpan w:val="5"/>
            <w:noWrap w:val="0"/>
            <w:vAlign w:val="center"/>
          </w:tcPr>
          <w:p>
            <w:pPr>
              <w:pStyle w:val="326"/>
              <w:tabs>
                <w:tab w:val="left" w:pos="1260"/>
              </w:tabs>
              <w:adjustRightInd w:val="0"/>
              <w:snapToGrid w:val="0"/>
              <w:ind w:firstLine="420" w:firstLineChars="200"/>
              <w:jc w:val="left"/>
              <w:rPr>
                <w:rFonts w:ascii="宋体" w:hAnsi="宋体" w:cs="宋体"/>
                <w:szCs w:val="21"/>
              </w:rPr>
            </w:pPr>
            <w:r>
              <w:rPr>
                <w:rFonts w:hint="eastAsia" w:ascii="宋体" w:hAnsi="宋体" w:cs="宋体"/>
                <w:szCs w:val="21"/>
              </w:rPr>
              <w:t>依照《强制性产品认证管理规定》（2009年7月3日国家质量监督检验检疫总局令第117号公布 根据2022年9月29日国家市场监督管理总局令第61号修订）、《市场监管总局关于发布强制性产品认证目录描述与界定表的公告》（2023年第36号)</w:t>
            </w:r>
            <w:r>
              <w:rPr>
                <w:rFonts w:ascii="Helvetica" w:hAnsi="Helvetica" w:eastAsia="Helvetica" w:cs="Helvetica"/>
                <w:color w:val="000000"/>
                <w:szCs w:val="21"/>
                <w:shd w:val="clear" w:color="auto" w:fill="FFFFFF"/>
              </w:rPr>
              <w:t>规定</w:t>
            </w:r>
            <w:r>
              <w:rPr>
                <w:rFonts w:hint="eastAsia" w:ascii="Helvetica" w:hAnsi="Helvetica" w:cs="Helvetica"/>
                <w:color w:val="000000"/>
                <w:szCs w:val="21"/>
                <w:shd w:val="clear" w:color="auto" w:fill="FFFFFF"/>
              </w:rPr>
              <w:t>，</w:t>
            </w:r>
            <w:r>
              <w:rPr>
                <w:rFonts w:hint="eastAsia" w:ascii="Helvetica" w:hAnsi="Helvetica" w:eastAsia="宋体" w:cs="Helvetica"/>
                <w:color w:val="000000"/>
                <w:szCs w:val="21"/>
                <w:shd w:val="clear" w:color="auto" w:fill="FFFFFF"/>
                <w:lang w:eastAsia="zh-CN"/>
              </w:rPr>
              <w:t>采购需求</w:t>
            </w:r>
            <w:r>
              <w:rPr>
                <w:rFonts w:ascii="Helvetica" w:hAnsi="Helvetica" w:eastAsia="Helvetica" w:cs="Helvetica"/>
                <w:color w:val="000000"/>
                <w:szCs w:val="21"/>
                <w:shd w:val="clear" w:color="auto" w:fill="FFFFFF"/>
              </w:rPr>
              <w:t>清单中标记</w:t>
            </w:r>
            <w:r>
              <w:rPr>
                <w:rFonts w:hint="eastAsia" w:ascii="Helvetica" w:hAnsi="Helvetica" w:eastAsia="宋体" w:cs="Helvetica"/>
                <w:color w:val="000000"/>
                <w:szCs w:val="21"/>
                <w:shd w:val="clear" w:color="auto" w:fill="FFFFFF"/>
                <w:lang w:eastAsia="zh-CN"/>
              </w:rPr>
              <w:t>“</w:t>
            </w:r>
            <w:r>
              <w:rPr>
                <w:rFonts w:hint="eastAsia" w:ascii="宋体" w:hAnsi="宋体" w:eastAsia="宋体" w:cs="宋体"/>
                <w:color w:val="000000"/>
                <w:szCs w:val="21"/>
                <w:shd w:val="clear" w:color="auto" w:fill="FFFFFF"/>
              </w:rPr>
              <w:t>●</w:t>
            </w:r>
            <w:r>
              <w:rPr>
                <w:rFonts w:hint="eastAsia" w:ascii="宋体" w:hAnsi="宋体" w:eastAsia="宋体" w:cs="宋体"/>
                <w:color w:val="000000"/>
                <w:szCs w:val="21"/>
                <w:shd w:val="clear" w:color="auto" w:fill="FFFFFF"/>
                <w:lang w:eastAsia="zh-CN"/>
              </w:rPr>
              <w:t>”</w:t>
            </w:r>
            <w:r>
              <w:rPr>
                <w:rFonts w:ascii="Helvetica" w:hAnsi="Helvetica" w:eastAsia="Helvetica" w:cs="Helvetica"/>
                <w:color w:val="000000"/>
                <w:szCs w:val="21"/>
                <w:shd w:val="clear" w:color="auto" w:fill="FFFFFF"/>
              </w:rPr>
              <w:t>号的为强制</w:t>
            </w:r>
            <w:r>
              <w:rPr>
                <w:rFonts w:hint="eastAsia" w:ascii="Helvetica" w:hAnsi="Helvetica" w:eastAsia="宋体" w:cs="Helvetica"/>
                <w:color w:val="000000"/>
                <w:szCs w:val="21"/>
                <w:shd w:val="clear" w:color="auto" w:fill="FFFFFF"/>
                <w:lang w:eastAsia="zh-CN"/>
              </w:rPr>
              <w:t>认证</w:t>
            </w:r>
            <w:r>
              <w:rPr>
                <w:rFonts w:ascii="Helvetica" w:hAnsi="Helvetica" w:eastAsia="Helvetica" w:cs="Helvetica"/>
                <w:color w:val="000000"/>
                <w:szCs w:val="21"/>
                <w:shd w:val="clear" w:color="auto" w:fill="FFFFFF"/>
              </w:rPr>
              <w:t>产品，强制</w:t>
            </w:r>
            <w:r>
              <w:rPr>
                <w:rFonts w:hint="eastAsia" w:ascii="Helvetica" w:hAnsi="Helvetica" w:eastAsia="宋体" w:cs="Helvetica"/>
                <w:color w:val="000000"/>
                <w:szCs w:val="21"/>
                <w:shd w:val="clear" w:color="auto" w:fill="FFFFFF"/>
                <w:lang w:eastAsia="zh-CN"/>
              </w:rPr>
              <w:t>认证</w:t>
            </w:r>
            <w:r>
              <w:rPr>
                <w:rFonts w:ascii="Helvetica" w:hAnsi="Helvetica" w:eastAsia="Helvetica" w:cs="Helvetica"/>
                <w:color w:val="000000"/>
                <w:szCs w:val="21"/>
                <w:shd w:val="clear" w:color="auto" w:fill="FFFFFF"/>
              </w:rPr>
              <w:t>产品的投标产品必须有认证证书</w:t>
            </w:r>
            <w:r>
              <w:rPr>
                <w:rFonts w:hint="eastAsia" w:ascii="Helvetica" w:hAnsi="Helvetica" w:eastAsia="宋体" w:cs="Helvetica"/>
                <w:color w:val="000000"/>
                <w:szCs w:val="21"/>
                <w:shd w:val="clear" w:color="auto" w:fill="FFFFFF"/>
                <w:lang w:eastAsia="zh-CN"/>
              </w:rPr>
              <w:t>或相关证明材料</w:t>
            </w:r>
            <w:r>
              <w:rPr>
                <w:rFonts w:ascii="Helvetica" w:hAnsi="Helvetica" w:eastAsia="Helvetica" w:cs="Helvetica"/>
                <w:color w:val="000000"/>
                <w:szCs w:val="21"/>
                <w:shd w:val="clear" w:color="auto" w:fill="FFFFFF"/>
              </w:rPr>
              <w:t>，否则投标无效。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7" w:type="dxa"/>
            <w:gridSpan w:val="5"/>
            <w:noWrap w:val="0"/>
            <w:vAlign w:val="center"/>
          </w:tcPr>
          <w:p>
            <w:pPr>
              <w:pStyle w:val="326"/>
              <w:tabs>
                <w:tab w:val="left" w:pos="1260"/>
              </w:tabs>
              <w:adjustRightInd w:val="0"/>
              <w:snapToGrid w:val="0"/>
              <w:jc w:val="center"/>
              <w:rPr>
                <w:rFonts w:hint="eastAsia" w:ascii="宋体" w:hAnsi="宋体" w:eastAsia="宋体" w:cs="宋体"/>
                <w:bCs/>
                <w:szCs w:val="21"/>
                <w:lang w:eastAsia="zh-CN"/>
              </w:rPr>
            </w:pPr>
            <w:r>
              <w:rPr>
                <w:rFonts w:hint="eastAsia" w:ascii="宋体" w:hAnsi="宋体" w:cs="宋体"/>
                <w:b/>
                <w:bCs w:val="0"/>
                <w:szCs w:val="21"/>
                <w:lang w:eastAsia="zh-CN"/>
              </w:rPr>
              <w:t>一、招标文件列明强制认证产品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noWrap w:val="0"/>
            <w:vAlign w:val="center"/>
          </w:tcPr>
          <w:p>
            <w:pPr>
              <w:pStyle w:val="326"/>
              <w:tabs>
                <w:tab w:val="left" w:pos="1260"/>
              </w:tabs>
              <w:adjustRightInd w:val="0"/>
              <w:snapToGrid w:val="0"/>
              <w:jc w:val="center"/>
              <w:rPr>
                <w:rFonts w:ascii="宋体" w:hAnsi="宋体" w:cs="宋体"/>
                <w:szCs w:val="21"/>
              </w:rPr>
            </w:pPr>
            <w:r>
              <w:rPr>
                <w:rFonts w:hint="eastAsia" w:ascii="宋体" w:hAnsi="宋体" w:cs="宋体"/>
                <w:szCs w:val="21"/>
              </w:rPr>
              <w:t>序号</w:t>
            </w:r>
          </w:p>
        </w:tc>
        <w:tc>
          <w:tcPr>
            <w:tcW w:w="1455" w:type="dxa"/>
            <w:noWrap w:val="0"/>
            <w:vAlign w:val="center"/>
          </w:tcPr>
          <w:p>
            <w:pPr>
              <w:pStyle w:val="326"/>
              <w:tabs>
                <w:tab w:val="left" w:pos="1260"/>
              </w:tabs>
              <w:adjustRightInd w:val="0"/>
              <w:snapToGrid w:val="0"/>
              <w:jc w:val="center"/>
              <w:rPr>
                <w:rFonts w:ascii="宋体" w:hAnsi="宋体" w:cs="宋体"/>
                <w:szCs w:val="21"/>
              </w:rPr>
            </w:pPr>
            <w:r>
              <w:rPr>
                <w:rFonts w:hint="eastAsia" w:ascii="宋体" w:hAnsi="宋体" w:cs="宋体"/>
                <w:szCs w:val="21"/>
              </w:rPr>
              <w:t>产品名称</w:t>
            </w:r>
          </w:p>
        </w:tc>
        <w:tc>
          <w:tcPr>
            <w:tcW w:w="1860" w:type="dxa"/>
            <w:noWrap w:val="0"/>
            <w:vAlign w:val="center"/>
          </w:tcPr>
          <w:p>
            <w:pPr>
              <w:pStyle w:val="326"/>
              <w:tabs>
                <w:tab w:val="left" w:pos="1260"/>
              </w:tabs>
              <w:adjustRightInd w:val="0"/>
              <w:snapToGrid w:val="0"/>
              <w:jc w:val="center"/>
              <w:rPr>
                <w:rFonts w:ascii="宋体" w:hAnsi="宋体" w:cs="宋体"/>
                <w:szCs w:val="21"/>
              </w:rPr>
            </w:pPr>
            <w:r>
              <w:rPr>
                <w:rFonts w:hint="eastAsia" w:ascii="宋体" w:hAnsi="宋体" w:cs="宋体"/>
                <w:bCs/>
                <w:szCs w:val="21"/>
              </w:rPr>
              <w:t>编码</w:t>
            </w:r>
          </w:p>
        </w:tc>
        <w:tc>
          <w:tcPr>
            <w:tcW w:w="1841" w:type="dxa"/>
            <w:noWrap w:val="0"/>
            <w:vAlign w:val="center"/>
          </w:tcPr>
          <w:p>
            <w:pPr>
              <w:pStyle w:val="326"/>
              <w:tabs>
                <w:tab w:val="left" w:pos="1260"/>
              </w:tabs>
              <w:adjustRightInd w:val="0"/>
              <w:snapToGrid w:val="0"/>
              <w:jc w:val="center"/>
              <w:rPr>
                <w:rFonts w:ascii="宋体" w:hAnsi="宋体" w:cs="宋体"/>
                <w:szCs w:val="21"/>
              </w:rPr>
            </w:pPr>
            <w:r>
              <w:rPr>
                <w:rFonts w:hint="eastAsia" w:ascii="宋体" w:hAnsi="宋体" w:cs="宋体"/>
                <w:szCs w:val="21"/>
                <w:lang w:val="en-GB"/>
              </w:rPr>
              <w:t>认证证书编号</w:t>
            </w:r>
          </w:p>
        </w:tc>
        <w:tc>
          <w:tcPr>
            <w:tcW w:w="1620" w:type="dxa"/>
            <w:noWrap w:val="0"/>
            <w:vAlign w:val="center"/>
          </w:tcPr>
          <w:p>
            <w:pPr>
              <w:pStyle w:val="326"/>
              <w:tabs>
                <w:tab w:val="left" w:pos="1260"/>
              </w:tabs>
              <w:adjustRightInd w:val="0"/>
              <w:snapToGrid w:val="0"/>
              <w:jc w:val="center"/>
              <w:rPr>
                <w:rFonts w:ascii="宋体" w:hAnsi="宋体" w:cs="宋体"/>
                <w:szCs w:val="21"/>
              </w:rPr>
            </w:pPr>
            <w:r>
              <w:rPr>
                <w:rFonts w:hint="eastAsia" w:ascii="宋体" w:hAnsi="宋体" w:cs="宋体"/>
                <w:bCs/>
                <w:szCs w:val="21"/>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noWrap w:val="0"/>
            <w:vAlign w:val="center"/>
          </w:tcPr>
          <w:p>
            <w:pPr>
              <w:widowControl/>
              <w:jc w:val="center"/>
              <w:textAlignment w:val="center"/>
              <w:rPr>
                <w:rFonts w:hint="default" w:ascii="宋体" w:hAnsi="宋体" w:eastAsia="新宋体" w:cs="宋体"/>
                <w:color w:val="000000"/>
                <w:kern w:val="0"/>
                <w:sz w:val="20"/>
                <w:szCs w:val="20"/>
                <w:lang w:val="en-US" w:eastAsia="zh-CN" w:bidi="ar"/>
              </w:rPr>
            </w:pPr>
            <w:r>
              <w:rPr>
                <w:rFonts w:hint="eastAsia" w:ascii="新宋体" w:hAnsi="新宋体" w:eastAsia="新宋体" w:cs="新宋体"/>
                <w:color w:val="000000"/>
                <w:kern w:val="0"/>
                <w:sz w:val="20"/>
                <w:szCs w:val="20"/>
                <w:lang w:bidi="ar"/>
              </w:rPr>
              <w:t>18</w:t>
            </w: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val="en-US" w:eastAsia="zh-CN" w:bidi="ar"/>
              </w:rPr>
              <w:t>59</w:t>
            </w:r>
          </w:p>
        </w:tc>
        <w:tc>
          <w:tcPr>
            <w:tcW w:w="1455" w:type="dxa"/>
            <w:noWrap w:val="0"/>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新宋体" w:hAnsi="新宋体" w:eastAsia="新宋体" w:cs="新宋体"/>
                <w:color w:val="000000"/>
                <w:kern w:val="0"/>
                <w:sz w:val="20"/>
                <w:szCs w:val="20"/>
                <w:lang w:bidi="ar"/>
              </w:rPr>
              <w:t>●智能照明</w:t>
            </w:r>
          </w:p>
        </w:tc>
        <w:tc>
          <w:tcPr>
            <w:tcW w:w="18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1001</w:t>
            </w:r>
            <w:r>
              <w:rPr>
                <w:rFonts w:hint="eastAsia" w:ascii="宋体" w:hAnsi="宋体" w:eastAsia="宋体" w:cs="宋体"/>
                <w:color w:val="000000"/>
                <w:kern w:val="0"/>
                <w:sz w:val="20"/>
                <w:szCs w:val="20"/>
                <w:lang w:val="en-US" w:eastAsia="zh-CN" w:bidi="ar"/>
              </w:rPr>
              <w:t xml:space="preserve"> </w:t>
            </w:r>
            <w:r>
              <w:rPr>
                <w:rFonts w:hint="eastAsia" w:ascii="宋体" w:hAnsi="宋体" w:cs="宋体"/>
                <w:color w:val="000000"/>
                <w:kern w:val="0"/>
                <w:sz w:val="20"/>
                <w:szCs w:val="20"/>
                <w:lang w:val="en-US" w:eastAsia="zh-CN" w:bidi="ar"/>
              </w:rPr>
              <w:t>灯具</w:t>
            </w:r>
          </w:p>
        </w:tc>
        <w:tc>
          <w:tcPr>
            <w:tcW w:w="1841" w:type="dxa"/>
            <w:noWrap w:val="0"/>
            <w:vAlign w:val="center"/>
          </w:tcPr>
          <w:p>
            <w:pPr>
              <w:pStyle w:val="326"/>
              <w:tabs>
                <w:tab w:val="left" w:pos="1260"/>
              </w:tabs>
              <w:adjustRightInd w:val="0"/>
              <w:snapToGrid w:val="0"/>
              <w:jc w:val="center"/>
              <w:rPr>
                <w:rFonts w:eastAsia="黑体"/>
                <w:color w:val="000000"/>
                <w:kern w:val="0"/>
                <w:sz w:val="20"/>
                <w:szCs w:val="20"/>
                <w:lang w:bidi="ar"/>
              </w:rPr>
            </w:pPr>
          </w:p>
        </w:tc>
        <w:tc>
          <w:tcPr>
            <w:tcW w:w="1620" w:type="dxa"/>
            <w:noWrap w:val="0"/>
            <w:vAlign w:val="center"/>
          </w:tcPr>
          <w:p>
            <w:pPr>
              <w:pStyle w:val="326"/>
              <w:tabs>
                <w:tab w:val="left" w:pos="1260"/>
              </w:tabs>
              <w:adjustRightInd w:val="0"/>
              <w:snapToGrid w:val="0"/>
              <w:jc w:val="center"/>
              <w:rPr>
                <w:rFonts w:eastAsia="黑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noWrap w:val="0"/>
            <w:vAlign w:val="center"/>
          </w:tcPr>
          <w:p>
            <w:pPr>
              <w:widowControl/>
              <w:jc w:val="center"/>
              <w:textAlignment w:val="center"/>
              <w:rPr>
                <w:rFonts w:hint="default" w:ascii="宋体" w:hAnsi="宋体" w:eastAsia="新宋体" w:cs="宋体"/>
                <w:color w:val="000000"/>
                <w:kern w:val="0"/>
                <w:sz w:val="20"/>
                <w:szCs w:val="20"/>
                <w:lang w:val="en-US" w:eastAsia="zh-CN" w:bidi="ar"/>
              </w:rPr>
            </w:pPr>
            <w:r>
              <w:rPr>
                <w:rFonts w:hint="eastAsia" w:ascii="新宋体" w:hAnsi="新宋体" w:eastAsia="新宋体" w:cs="新宋体"/>
                <w:color w:val="000000"/>
                <w:kern w:val="0"/>
                <w:sz w:val="20"/>
                <w:szCs w:val="20"/>
                <w:lang w:bidi="ar"/>
              </w:rPr>
              <w:t>34</w:t>
            </w: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val="en-US" w:eastAsia="zh-CN" w:bidi="ar"/>
              </w:rPr>
              <w:t>64</w:t>
            </w:r>
          </w:p>
        </w:tc>
        <w:tc>
          <w:tcPr>
            <w:tcW w:w="1455" w:type="dxa"/>
            <w:noWrap w:val="0"/>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新宋体" w:hAnsi="新宋体" w:eastAsia="新宋体" w:cs="新宋体"/>
                <w:color w:val="000000"/>
                <w:kern w:val="0"/>
                <w:sz w:val="20"/>
                <w:szCs w:val="20"/>
                <w:lang w:bidi="ar"/>
              </w:rPr>
              <w:t>●LED格栅灯</w:t>
            </w:r>
          </w:p>
        </w:tc>
        <w:tc>
          <w:tcPr>
            <w:tcW w:w="18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1001</w:t>
            </w:r>
            <w:r>
              <w:rPr>
                <w:rFonts w:hint="eastAsia" w:ascii="宋体" w:hAnsi="宋体" w:eastAsia="宋体" w:cs="宋体"/>
                <w:color w:val="000000"/>
                <w:kern w:val="0"/>
                <w:sz w:val="20"/>
                <w:szCs w:val="20"/>
                <w:lang w:val="en-US" w:eastAsia="zh-CN" w:bidi="ar"/>
              </w:rPr>
              <w:t xml:space="preserve"> </w:t>
            </w:r>
            <w:r>
              <w:rPr>
                <w:rFonts w:hint="eastAsia" w:ascii="宋体" w:hAnsi="宋体" w:cs="宋体"/>
                <w:color w:val="000000"/>
                <w:kern w:val="0"/>
                <w:sz w:val="20"/>
                <w:szCs w:val="20"/>
                <w:lang w:val="en-US" w:eastAsia="zh-CN" w:bidi="ar"/>
              </w:rPr>
              <w:t>灯具</w:t>
            </w:r>
          </w:p>
        </w:tc>
        <w:tc>
          <w:tcPr>
            <w:tcW w:w="1841"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noWrap w:val="0"/>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新宋体" w:hAnsi="新宋体" w:eastAsia="新宋体" w:cs="新宋体"/>
                <w:color w:val="000000"/>
                <w:kern w:val="0"/>
                <w:sz w:val="20"/>
                <w:szCs w:val="20"/>
                <w:lang w:bidi="ar"/>
              </w:rPr>
              <w:t>35</w:t>
            </w: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val="en-US" w:eastAsia="zh-CN" w:bidi="ar"/>
              </w:rPr>
              <w:t>65</w:t>
            </w:r>
          </w:p>
        </w:tc>
        <w:tc>
          <w:tcPr>
            <w:tcW w:w="1455" w:type="dxa"/>
            <w:noWrap w:val="0"/>
            <w:vAlign w:val="center"/>
          </w:tcPr>
          <w:p>
            <w:pPr>
              <w:widowControl/>
              <w:jc w:val="center"/>
              <w:textAlignment w:val="center"/>
              <w:rPr>
                <w:rFonts w:hint="eastAsia" w:ascii="宋体" w:hAnsi="宋体" w:eastAsia="新宋体" w:cs="宋体"/>
                <w:color w:val="000000"/>
                <w:kern w:val="0"/>
                <w:sz w:val="20"/>
                <w:szCs w:val="20"/>
                <w:highlight w:val="none"/>
                <w:lang w:eastAsia="zh-CN" w:bidi="ar"/>
              </w:rPr>
            </w:pPr>
            <w:r>
              <w:rPr>
                <w:rFonts w:hint="eastAsia" w:ascii="新宋体" w:hAnsi="新宋体" w:eastAsia="新宋体" w:cs="新宋体"/>
                <w:color w:val="000000"/>
                <w:kern w:val="0"/>
                <w:sz w:val="20"/>
                <w:szCs w:val="20"/>
                <w:lang w:bidi="ar"/>
              </w:rPr>
              <w:t>●示教终端机</w:t>
            </w:r>
          </w:p>
        </w:tc>
        <w:tc>
          <w:tcPr>
            <w:tcW w:w="18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lang w:val="en-US" w:eastAsia="zh-CN" w:bidi="ar"/>
              </w:rPr>
              <w:t>090</w:t>
            </w:r>
            <w:r>
              <w:rPr>
                <w:rFonts w:hint="eastAsia" w:ascii="宋体" w:hAnsi="宋体" w:cs="宋体"/>
                <w:color w:val="000000"/>
                <w:kern w:val="0"/>
                <w:sz w:val="20"/>
                <w:szCs w:val="20"/>
                <w:lang w:val="en-US" w:eastAsia="zh-CN" w:bidi="ar"/>
              </w:rPr>
              <w:t>1 微型计算机</w:t>
            </w:r>
          </w:p>
        </w:tc>
        <w:tc>
          <w:tcPr>
            <w:tcW w:w="1841"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noWrap w:val="0"/>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新宋体" w:hAnsi="新宋体" w:eastAsia="新宋体" w:cs="新宋体"/>
                <w:color w:val="000000"/>
                <w:kern w:val="0"/>
                <w:sz w:val="20"/>
                <w:szCs w:val="20"/>
                <w:highlight w:val="none"/>
                <w:lang w:bidi="ar"/>
              </w:rPr>
              <w:t>78</w:t>
            </w:r>
          </w:p>
        </w:tc>
        <w:tc>
          <w:tcPr>
            <w:tcW w:w="1455" w:type="dxa"/>
            <w:noWrap w:val="0"/>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新宋体" w:hAnsi="新宋体" w:eastAsia="新宋体" w:cs="新宋体"/>
                <w:color w:val="000000"/>
                <w:kern w:val="0"/>
                <w:sz w:val="20"/>
                <w:szCs w:val="20"/>
                <w:lang w:bidi="ar"/>
              </w:rPr>
              <w:t>●</w:t>
            </w:r>
            <w:r>
              <w:rPr>
                <w:rFonts w:hint="eastAsia" w:ascii="新宋体" w:hAnsi="新宋体" w:eastAsia="新宋体" w:cs="新宋体"/>
                <w:color w:val="000000"/>
                <w:kern w:val="0"/>
                <w:sz w:val="20"/>
                <w:szCs w:val="20"/>
                <w:highlight w:val="none"/>
                <w:lang w:bidi="ar"/>
              </w:rPr>
              <w:t>理化生智考一体机</w:t>
            </w:r>
          </w:p>
        </w:tc>
        <w:tc>
          <w:tcPr>
            <w:tcW w:w="18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090</w:t>
            </w:r>
            <w:r>
              <w:rPr>
                <w:rFonts w:hint="eastAsia" w:ascii="宋体" w:hAnsi="宋体" w:cs="宋体"/>
                <w:color w:val="000000"/>
                <w:kern w:val="0"/>
                <w:sz w:val="20"/>
                <w:szCs w:val="20"/>
                <w:lang w:val="en-US" w:eastAsia="zh-CN" w:bidi="ar"/>
              </w:rPr>
              <w:t>1 微型计算机</w:t>
            </w:r>
          </w:p>
        </w:tc>
        <w:tc>
          <w:tcPr>
            <w:tcW w:w="1841"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7" w:type="dxa"/>
            <w:gridSpan w:val="5"/>
            <w:noWrap w:val="0"/>
            <w:vAlign w:val="center"/>
          </w:tcPr>
          <w:p>
            <w:pPr>
              <w:pStyle w:val="326"/>
              <w:tabs>
                <w:tab w:val="left" w:pos="1260"/>
              </w:tabs>
              <w:adjustRightInd w:val="0"/>
              <w:snapToGrid w:val="0"/>
              <w:ind w:firstLine="420" w:firstLineChars="200"/>
              <w:jc w:val="center"/>
              <w:rPr>
                <w:rFonts w:eastAsia="黑体"/>
                <w:color w:val="000000"/>
                <w:kern w:val="0"/>
                <w:sz w:val="20"/>
                <w:szCs w:val="20"/>
                <w:lang w:bidi="ar"/>
              </w:rPr>
            </w:pPr>
            <w:r>
              <w:rPr>
                <w:rFonts w:hint="eastAsia" w:ascii="宋体" w:hAnsi="宋体" w:cs="宋体"/>
                <w:szCs w:val="21"/>
              </w:rPr>
              <w:t>后附</w:t>
            </w:r>
            <w:r>
              <w:rPr>
                <w:rFonts w:hint="eastAsia" w:ascii="宋体" w:hAnsi="宋体" w:cs="宋体"/>
                <w:szCs w:val="21"/>
                <w:lang w:val="en-GB"/>
              </w:rPr>
              <w:t>产品</w:t>
            </w:r>
            <w:r>
              <w:rPr>
                <w:rFonts w:ascii="Helvetica" w:hAnsi="Helvetica" w:eastAsia="Helvetica" w:cs="Helvetica"/>
                <w:color w:val="000000"/>
                <w:szCs w:val="21"/>
                <w:shd w:val="clear" w:color="auto" w:fill="FFFFFF"/>
              </w:rPr>
              <w:t>认证证书</w:t>
            </w:r>
            <w:r>
              <w:rPr>
                <w:rFonts w:hint="eastAsia" w:ascii="宋体" w:hAnsi="宋体" w:cs="宋体"/>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7" w:type="dxa"/>
            <w:gridSpan w:val="5"/>
            <w:noWrap w:val="0"/>
            <w:vAlign w:val="center"/>
          </w:tcPr>
          <w:p>
            <w:pPr>
              <w:pStyle w:val="326"/>
              <w:tabs>
                <w:tab w:val="left" w:pos="1260"/>
              </w:tabs>
              <w:adjustRightInd w:val="0"/>
              <w:snapToGrid w:val="0"/>
              <w:jc w:val="center"/>
              <w:rPr>
                <w:rFonts w:hint="eastAsia" w:ascii="宋体" w:hAnsi="宋体" w:cs="宋体"/>
                <w:b/>
                <w:bCs/>
                <w:szCs w:val="21"/>
                <w:lang w:eastAsia="zh-CN"/>
              </w:rPr>
            </w:pPr>
            <w:r>
              <w:rPr>
                <w:rFonts w:hint="eastAsia" w:ascii="宋体" w:hAnsi="宋体" w:cs="宋体"/>
                <w:b/>
                <w:bCs/>
                <w:szCs w:val="21"/>
                <w:lang w:eastAsia="zh-CN"/>
              </w:rPr>
              <w:t>二、招标文件未列明但所投产品属国家强制认证产品承诺</w:t>
            </w:r>
          </w:p>
          <w:p>
            <w:pPr>
              <w:pStyle w:val="326"/>
              <w:tabs>
                <w:tab w:val="left" w:pos="1260"/>
              </w:tabs>
              <w:adjustRightInd w:val="0"/>
              <w:snapToGrid w:val="0"/>
              <w:ind w:firstLine="420" w:firstLineChars="200"/>
              <w:jc w:val="left"/>
              <w:rPr>
                <w:rFonts w:hint="eastAsia" w:ascii="宋体" w:hAnsi="宋体" w:cs="宋体"/>
                <w:szCs w:val="21"/>
                <w:lang w:eastAsia="zh-CN"/>
              </w:rPr>
            </w:pPr>
            <w:r>
              <w:rPr>
                <w:rFonts w:hint="eastAsia" w:ascii="宋体" w:hAnsi="宋体" w:cs="宋体"/>
                <w:szCs w:val="21"/>
                <w:lang w:eastAsia="zh-CN"/>
              </w:rPr>
              <w:t>我公司承诺，本项目招标文件未要求但我公司所投产品属国家强制性认证的，我公司在供货时随产品一并提供有效证书，且均能满足国家强制性认证要求，并对其真实性负责。</w:t>
            </w:r>
          </w:p>
          <w:p>
            <w:pPr>
              <w:pStyle w:val="326"/>
              <w:tabs>
                <w:tab w:val="left" w:pos="1260"/>
              </w:tabs>
              <w:adjustRightInd w:val="0"/>
              <w:snapToGrid w:val="0"/>
              <w:ind w:firstLine="420" w:firstLineChars="200"/>
              <w:jc w:val="left"/>
              <w:rPr>
                <w:rFonts w:hint="eastAsia" w:ascii="宋体" w:hAnsi="宋体" w:eastAsia="宋体" w:cs="宋体"/>
                <w:szCs w:val="21"/>
                <w:lang w:eastAsia="zh-CN"/>
              </w:rPr>
            </w:pPr>
            <w:r>
              <w:rPr>
                <w:rFonts w:hint="eastAsia"/>
              </w:rPr>
              <w:t>我单位(本人)保证上述承诺事项的真实性。如有弄虚作假或其他违法违规行为，自愿按照规定将违背承诺行为作为失信行为记录到社会信用信息平台，并视同为“提供虚假材料谋取中标、成交”按照法律规定承担</w:t>
            </w:r>
            <w:r>
              <w:rPr>
                <w:rFonts w:hint="eastAsia"/>
                <w:lang w:eastAsia="zh-CN"/>
              </w:rPr>
              <w:t>相应法律</w:t>
            </w:r>
            <w:r>
              <w:rPr>
                <w:rFonts w:hint="eastAsia"/>
              </w:rPr>
              <w:t>责任</w:t>
            </w:r>
            <w:r>
              <w:rPr>
                <w:rFonts w:hint="eastAsia"/>
                <w:lang w:eastAsia="zh-CN"/>
              </w:rPr>
              <w:t>及经济损失补偿</w:t>
            </w:r>
            <w:r>
              <w:rPr>
                <w:rFonts w:hint="eastAsia"/>
              </w:rPr>
              <w:t>。</w:t>
            </w:r>
          </w:p>
        </w:tc>
      </w:tr>
    </w:tbl>
    <w:p>
      <w:pPr>
        <w:spacing w:line="460" w:lineRule="exact"/>
        <w:rPr>
          <w:rFonts w:ascii="宋体" w:hAnsi="宋体" w:cs="宋体"/>
          <w:szCs w:val="21"/>
        </w:rPr>
      </w:pPr>
    </w:p>
    <w:p>
      <w:pPr>
        <w:adjustRightInd w:val="0"/>
        <w:snapToGrid w:val="0"/>
        <w:spacing w:line="360" w:lineRule="auto"/>
        <w:rPr>
          <w:rFonts w:hint="eastAsia" w:ascii="宋体" w:hAnsi="宋体" w:cs="宋体"/>
        </w:rPr>
      </w:pPr>
    </w:p>
    <w:p>
      <w:pPr>
        <w:adjustRightInd w:val="0"/>
        <w:snapToGrid w:val="0"/>
        <w:spacing w:line="360" w:lineRule="auto"/>
        <w:rPr>
          <w:rFonts w:ascii="宋体" w:hAnsi="宋体" w:cs="宋体"/>
          <w:szCs w:val="21"/>
        </w:rPr>
      </w:pPr>
      <w:r>
        <w:rPr>
          <w:rFonts w:hint="eastAsia" w:ascii="宋体" w:hAnsi="宋体" w:cs="宋体"/>
        </w:rPr>
        <w:t>投标人</w:t>
      </w:r>
      <w:r>
        <w:rPr>
          <w:rFonts w:hint="eastAsia" w:ascii="宋体" w:hAnsi="宋体" w:cs="宋体"/>
          <w:szCs w:val="21"/>
        </w:rPr>
        <w:t>（盖单位章）：</w:t>
      </w:r>
    </w:p>
    <w:p>
      <w:pPr>
        <w:adjustRightInd w:val="0"/>
        <w:snapToGrid w:val="0"/>
        <w:spacing w:line="360" w:lineRule="auto"/>
        <w:rPr>
          <w:rFonts w:ascii="宋体" w:hAnsi="宋体" w:cs="宋体"/>
          <w:szCs w:val="21"/>
        </w:rPr>
      </w:pPr>
      <w:r>
        <w:rPr>
          <w:rFonts w:hint="eastAsia" w:ascii="宋体" w:hAnsi="宋体" w:cs="宋体"/>
          <w:szCs w:val="21"/>
        </w:rPr>
        <w:t>法定代表人或其委托代理人签字：</w:t>
      </w:r>
      <w:r>
        <w:rPr>
          <w:rFonts w:hint="eastAsia" w:ascii="宋体" w:hAnsi="宋体" w:cs="宋体"/>
          <w:szCs w:val="21"/>
          <w:u w:val="single"/>
        </w:rPr>
        <w:t xml:space="preserve">       </w:t>
      </w:r>
    </w:p>
    <w:p>
      <w:pPr>
        <w:spacing w:line="460" w:lineRule="exac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b/>
          <w:sz w:val="24"/>
        </w:rPr>
        <w:t xml:space="preserve"> </w:t>
      </w:r>
    </w:p>
    <w:p/>
    <w:p>
      <w:pPr>
        <w:pStyle w:val="35"/>
        <w:rPr>
          <w:rFonts w:hint="eastAsia" w:eastAsia="宋体"/>
          <w:lang w:eastAsia="zh-CN"/>
        </w:rPr>
      </w:pPr>
      <w:r>
        <w:rPr>
          <w:rFonts w:hint="eastAsia"/>
          <w:lang w:eastAsia="zh-CN"/>
        </w:rPr>
        <w:t>注：强制认证产品认证机构应属于满足条件的强制性产品认证指定认证机构。</w:t>
      </w:r>
    </w:p>
    <w:p>
      <w:pPr>
        <w:pStyle w:val="35"/>
        <w:rPr>
          <w:rFonts w:hint="eastAsia"/>
          <w:lang w:val="en-US" w:eastAsia="zh-CN"/>
        </w:rPr>
      </w:pPr>
    </w:p>
    <w:p>
      <w:pPr>
        <w:pStyle w:val="35"/>
        <w:rPr>
          <w:rFonts w:hint="eastAsia"/>
          <w:lang w:val="en-US" w:eastAsia="zh-CN"/>
        </w:rPr>
      </w:pPr>
    </w:p>
    <w:p>
      <w:pPr>
        <w:rPr>
          <w:rFonts w:hint="eastAsia"/>
          <w:lang w:eastAsia="zh-CN"/>
        </w:rPr>
      </w:pPr>
      <w:r>
        <w:rPr>
          <w:rFonts w:hint="eastAsia"/>
          <w:lang w:eastAsia="zh-CN"/>
        </w:rPr>
        <w:br w:type="page"/>
      </w:r>
    </w:p>
    <w:p>
      <w:pPr>
        <w:pStyle w:val="7"/>
        <w:rPr>
          <w:rFonts w:hint="eastAsia" w:ascii="宋体" w:hAnsi="宋体" w:cs="宋体"/>
          <w:color w:val="auto"/>
          <w:spacing w:val="6"/>
          <w:kern w:val="0"/>
          <w:sz w:val="21"/>
          <w:szCs w:val="21"/>
          <w:highlight w:val="none"/>
          <w:lang w:val="en-US" w:eastAsia="zh-CN" w:bidi="ar-SA"/>
        </w:rPr>
      </w:pPr>
      <w:r>
        <w:rPr>
          <w:rFonts w:hint="eastAsia" w:ascii="宋体" w:hAnsi="宋体" w:eastAsia="宋体" w:cs="Times New Roman"/>
          <w:bCs/>
          <w:i w:val="0"/>
          <w:iCs w:val="0"/>
          <w:color w:val="auto"/>
          <w:kern w:val="2"/>
          <w:sz w:val="28"/>
          <w:szCs w:val="28"/>
          <w:lang w:val="en-US" w:eastAsia="zh-CN" w:bidi="ar-SA"/>
        </w:rPr>
        <w:t>附件1</w:t>
      </w:r>
      <w:r>
        <w:rPr>
          <w:rFonts w:hint="eastAsia" w:ascii="宋体" w:hAnsi="宋体" w:cs="Times New Roman"/>
          <w:bCs/>
          <w:i w:val="0"/>
          <w:iCs w:val="0"/>
          <w:color w:val="auto"/>
          <w:kern w:val="2"/>
          <w:sz w:val="28"/>
          <w:szCs w:val="28"/>
          <w:lang w:val="en-US" w:eastAsia="zh-CN" w:bidi="ar-SA"/>
        </w:rPr>
        <w:t>9</w:t>
      </w:r>
      <w:r>
        <w:rPr>
          <w:rFonts w:hint="eastAsia" w:ascii="宋体" w:hAnsi="宋体" w:cs="宋体"/>
          <w:color w:val="auto"/>
          <w:spacing w:val="6"/>
          <w:kern w:val="0"/>
          <w:sz w:val="21"/>
          <w:szCs w:val="21"/>
          <w:lang w:val="en-US" w:eastAsia="zh-CN" w:bidi="ar-SA"/>
        </w:rPr>
        <w:t xml:space="preserve"> </w:t>
      </w:r>
    </w:p>
    <w:p>
      <w:pPr>
        <w:pStyle w:val="42"/>
        <w:spacing w:beforeAutospacing="0" w:after="0" w:afterAutospacing="0" w:line="27" w:lineRule="atLeast"/>
        <w:jc w:val="center"/>
        <w:rPr>
          <w:rFonts w:ascii="-webkit-standard" w:hAnsi="-webkit-standard" w:eastAsia="-webkit-standard" w:cs="-webkit-standard"/>
          <w:color w:val="000000"/>
          <w:sz w:val="22"/>
          <w:szCs w:val="22"/>
        </w:rPr>
      </w:pPr>
      <w:r>
        <w:rPr>
          <w:rFonts w:ascii="Times New Roman" w:hAnsi="Times New Roman" w:eastAsia="-webkit-standard" w:cs="Times New Roman"/>
          <w:b/>
          <w:color w:val="000000"/>
          <w:sz w:val="22"/>
          <w:szCs w:val="22"/>
        </w:rPr>
        <w:t>政府采购政策情况表</w:t>
      </w:r>
    </w:p>
    <w:p>
      <w:pPr>
        <w:pStyle w:val="42"/>
        <w:spacing w:beforeAutospacing="0" w:after="0" w:afterAutospacing="0" w:line="324" w:lineRule="atLeast"/>
        <w:jc w:val="center"/>
        <w:rPr>
          <w:rFonts w:ascii="-webkit-standard" w:hAnsi="-webkit-standard" w:eastAsia="-webkit-standard" w:cs="-webkit-standard"/>
          <w:color w:val="000000"/>
          <w:sz w:val="22"/>
          <w:szCs w:val="22"/>
        </w:rPr>
      </w:pPr>
      <w:r>
        <w:rPr>
          <w:rFonts w:ascii="-webkit-standard" w:hAnsi="-webkit-standard" w:eastAsia="-webkit-standard" w:cs="-webkit-standard"/>
          <w:color w:val="000000"/>
          <w:sz w:val="22"/>
          <w:szCs w:val="22"/>
        </w:rPr>
        <w:t> </w:t>
      </w:r>
    </w:p>
    <w:p>
      <w:pPr>
        <w:pStyle w:val="42"/>
        <w:spacing w:beforeAutospacing="0" w:after="0" w:afterAutospacing="0" w:line="324" w:lineRule="atLeast"/>
        <w:jc w:val="both"/>
        <w:rPr>
          <w:rFonts w:ascii="-webkit-standard" w:hAnsi="-webkit-standard" w:eastAsia="-webkit-standard" w:cs="-webkit-standard"/>
          <w:color w:val="000000"/>
          <w:sz w:val="22"/>
          <w:szCs w:val="22"/>
        </w:rPr>
      </w:pPr>
      <w:r>
        <w:rPr>
          <w:rFonts w:hint="eastAsia"/>
          <w:color w:val="000000"/>
          <w:sz w:val="22"/>
          <w:szCs w:val="22"/>
        </w:rPr>
        <w:t>项目名称：</w:t>
      </w:r>
    </w:p>
    <w:p>
      <w:pPr>
        <w:pStyle w:val="42"/>
        <w:spacing w:beforeAutospacing="0" w:after="0" w:afterAutospacing="0" w:line="324" w:lineRule="atLeast"/>
        <w:jc w:val="both"/>
        <w:rPr>
          <w:rFonts w:ascii="-webkit-standard" w:hAnsi="-webkit-standard" w:eastAsia="-webkit-standard" w:cs="-webkit-standard"/>
          <w:color w:val="000000"/>
          <w:sz w:val="22"/>
          <w:szCs w:val="22"/>
        </w:rPr>
      </w:pPr>
      <w:r>
        <w:rPr>
          <w:rFonts w:hint="eastAsia"/>
          <w:color w:val="000000"/>
          <w:sz w:val="22"/>
          <w:szCs w:val="22"/>
        </w:rPr>
        <w:t>项目编号：</w:t>
      </w:r>
    </w:p>
    <w:p>
      <w:pPr>
        <w:pStyle w:val="42"/>
        <w:spacing w:beforeAutospacing="0" w:after="0" w:afterAutospacing="0" w:line="324" w:lineRule="atLeast"/>
        <w:jc w:val="both"/>
        <w:rPr>
          <w:rFonts w:ascii="-webkit-standard" w:hAnsi="-webkit-standard" w:eastAsia="-webkit-standard" w:cs="-webkit-standard"/>
          <w:color w:val="000000"/>
          <w:sz w:val="22"/>
          <w:szCs w:val="22"/>
        </w:rPr>
      </w:pPr>
      <w:r>
        <w:rPr>
          <w:rFonts w:hint="eastAsia"/>
          <w:color w:val="000000"/>
          <w:sz w:val="22"/>
          <w:szCs w:val="22"/>
        </w:rPr>
        <w:t>填报要求：</w:t>
      </w:r>
    </w:p>
    <w:p>
      <w:pPr>
        <w:pStyle w:val="42"/>
        <w:spacing w:beforeAutospacing="0" w:after="0" w:afterAutospacing="0" w:line="324" w:lineRule="atLeast"/>
        <w:jc w:val="both"/>
        <w:rPr>
          <w:rFonts w:ascii="-webkit-standard" w:hAnsi="-webkit-standard" w:eastAsia="-webkit-standard" w:cs="-webkit-standard"/>
          <w:color w:val="000000"/>
          <w:sz w:val="22"/>
          <w:szCs w:val="22"/>
        </w:rPr>
      </w:pPr>
      <w:r>
        <w:rPr>
          <w:rFonts w:hint="eastAsia"/>
          <w:color w:val="000000"/>
          <w:sz w:val="22"/>
          <w:szCs w:val="22"/>
        </w:rPr>
        <w:t>1.本表的产品名称、品牌型号、金额应与《投标报价明细表》一致。</w:t>
      </w:r>
    </w:p>
    <w:p>
      <w:pPr>
        <w:pStyle w:val="42"/>
        <w:spacing w:beforeAutospacing="0" w:after="0" w:afterAutospacing="0" w:line="324" w:lineRule="atLeast"/>
        <w:jc w:val="both"/>
        <w:rPr>
          <w:rFonts w:ascii="-webkit-standard" w:hAnsi="-webkit-standard" w:eastAsia="-webkit-standard" w:cs="-webkit-standard"/>
          <w:color w:val="000000"/>
          <w:sz w:val="22"/>
          <w:szCs w:val="22"/>
        </w:rPr>
      </w:pPr>
      <w:r>
        <w:rPr>
          <w:rFonts w:hint="eastAsia"/>
          <w:color w:val="000000"/>
          <w:sz w:val="22"/>
          <w:szCs w:val="22"/>
          <w:lang w:val="en-US" w:eastAsia="zh-CN"/>
        </w:rPr>
        <w:t>2</w:t>
      </w:r>
      <w:r>
        <w:rPr>
          <w:rFonts w:hint="eastAsia"/>
          <w:color w:val="000000"/>
          <w:sz w:val="22"/>
          <w:szCs w:val="22"/>
        </w:rPr>
        <w:t>. 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pPr>
        <w:pStyle w:val="42"/>
        <w:spacing w:beforeAutospacing="0" w:after="0" w:afterAutospacing="0" w:line="324" w:lineRule="atLeast"/>
        <w:jc w:val="both"/>
        <w:rPr>
          <w:rFonts w:hint="eastAsia" w:ascii="-webkit-standard" w:hAnsi="-webkit-standard" w:cs="-webkit-standard"/>
          <w:color w:val="000000"/>
          <w:sz w:val="22"/>
          <w:szCs w:val="22"/>
        </w:rPr>
      </w:pPr>
      <w:r>
        <w:rPr>
          <w:rFonts w:hint="eastAsia"/>
          <w:color w:val="000000"/>
          <w:sz w:val="22"/>
          <w:szCs w:val="22"/>
          <w:lang w:val="en-US" w:eastAsia="zh-CN"/>
        </w:rPr>
        <w:t>3</w:t>
      </w:r>
      <w:r>
        <w:rPr>
          <w:rFonts w:hint="eastAsia"/>
          <w:color w:val="000000"/>
          <w:sz w:val="22"/>
          <w:szCs w:val="22"/>
        </w:rPr>
        <w:t>. 请投标人正确填写本表，所填内容将作为评审及符合性审查的依据。其内容或数据应与对应的证明资料相符，如果第一、第二部分填写不完整或填写有误，不再享受上述政策优惠。</w:t>
      </w:r>
    </w:p>
    <w:p>
      <w:pPr>
        <w:pStyle w:val="42"/>
        <w:spacing w:beforeAutospacing="0" w:after="0" w:afterAutospacing="0" w:line="324" w:lineRule="atLeast"/>
        <w:ind w:firstLine="4725"/>
        <w:jc w:val="both"/>
        <w:rPr>
          <w:rFonts w:ascii="-webkit-standard" w:hAnsi="-webkit-standard" w:eastAsia="-webkit-standard" w:cs="-webkit-standard"/>
          <w:color w:val="000000"/>
          <w:sz w:val="22"/>
          <w:szCs w:val="22"/>
        </w:rPr>
      </w:pPr>
      <w:r>
        <w:rPr>
          <w:rFonts w:hint="eastAsia"/>
          <w:color w:val="000000"/>
          <w:sz w:val="22"/>
          <w:szCs w:val="22"/>
        </w:rPr>
        <w:t>单位：元</w:t>
      </w:r>
    </w:p>
    <w:tbl>
      <w:tblPr>
        <w:tblStyle w:val="46"/>
        <w:tblW w:w="8640"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40"/>
        <w:gridCol w:w="1440"/>
        <w:gridCol w:w="1440"/>
        <w:gridCol w:w="1440"/>
        <w:gridCol w:w="1440"/>
        <w:gridCol w:w="144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440" w:type="dxa"/>
            <w:vMerge w:val="restart"/>
            <w:tcBorders>
              <w:top w:val="single" w:color="000000" w:sz="2" w:space="0"/>
              <w:left w:val="single" w:color="000000" w:sz="2" w:space="0"/>
              <w:right w:val="single" w:color="000000" w:sz="2" w:space="0"/>
            </w:tcBorders>
            <w:shd w:val="clear" w:color="auto" w:fill="auto"/>
            <w:vAlign w:val="center"/>
          </w:tcPr>
          <w:p>
            <w:pPr>
              <w:pStyle w:val="42"/>
              <w:spacing w:before="0" w:beforeAutospacing="0" w:after="0" w:afterAutospacing="0" w:line="216" w:lineRule="atLeast"/>
              <w:jc w:val="center"/>
              <w:rPr>
                <w:sz w:val="22"/>
                <w:szCs w:val="22"/>
              </w:rPr>
            </w:pPr>
            <w:r>
              <w:rPr>
                <w:rFonts w:hint="eastAsia"/>
                <w:sz w:val="22"/>
                <w:szCs w:val="22"/>
              </w:rPr>
              <w:t>第一部分：环境标志产品</w:t>
            </w:r>
          </w:p>
          <w:p>
            <w:pPr>
              <w:pStyle w:val="42"/>
              <w:spacing w:before="0" w:beforeAutospacing="0" w:after="0" w:afterAutospacing="0" w:line="216" w:lineRule="atLeast"/>
              <w:jc w:val="center"/>
              <w:rPr>
                <w:sz w:val="22"/>
                <w:szCs w:val="22"/>
              </w:rPr>
            </w:pPr>
          </w:p>
          <w:p>
            <w:pPr>
              <w:pStyle w:val="42"/>
              <w:spacing w:before="0" w:beforeAutospacing="0" w:after="0" w:afterAutospacing="0" w:line="216" w:lineRule="atLeast"/>
              <w:jc w:val="center"/>
              <w:rPr>
                <w:sz w:val="22"/>
                <w:szCs w:val="22"/>
              </w:rPr>
            </w:pPr>
          </w:p>
          <w:p>
            <w:pPr>
              <w:pStyle w:val="42"/>
              <w:spacing w:before="0" w:beforeAutospacing="0" w:after="0" w:afterAutospacing="0" w:line="216" w:lineRule="atLeast"/>
              <w:jc w:val="center"/>
              <w:rPr>
                <w:sz w:val="22"/>
                <w:szCs w:val="22"/>
              </w:rPr>
            </w:pPr>
          </w:p>
          <w:p>
            <w:pPr>
              <w:pStyle w:val="42"/>
              <w:spacing w:before="0" w:beforeAutospacing="0" w:after="0" w:afterAutospacing="0" w:line="216" w:lineRule="atLeast"/>
              <w:jc w:val="center"/>
              <w:rPr>
                <w:sz w:val="22"/>
                <w:szCs w:val="22"/>
              </w:rPr>
            </w:pPr>
          </w:p>
          <w:p>
            <w:pPr>
              <w:pStyle w:val="42"/>
              <w:spacing w:before="0" w:beforeAutospacing="0" w:after="0" w:afterAutospacing="0" w:line="216" w:lineRule="atLeast"/>
              <w:jc w:val="center"/>
              <w:rPr>
                <w:sz w:val="22"/>
                <w:szCs w:val="22"/>
              </w:rPr>
            </w:pP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产品名称</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品牌型号</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制造商</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环境标志认证证书编号</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金额</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440" w:type="dxa"/>
            <w:vMerge w:val="continue"/>
            <w:tcBorders>
              <w:left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440" w:type="dxa"/>
            <w:vMerge w:val="continue"/>
            <w:tcBorders>
              <w:left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440" w:type="dxa"/>
            <w:vMerge w:val="continue"/>
            <w:tcBorders>
              <w:left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p>
        </w:tc>
        <w:tc>
          <w:tcPr>
            <w:tcW w:w="576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环境标志产品金额合计</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元</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440" w:type="dxa"/>
            <w:vMerge w:val="continue"/>
            <w:tcBorders>
              <w:left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p>
        </w:tc>
        <w:tc>
          <w:tcPr>
            <w:tcW w:w="576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lang w:eastAsia="zh-CN"/>
              </w:rPr>
              <w:t>产品价值权重</w:t>
            </w:r>
            <w:r>
              <w:rPr>
                <w:rFonts w:hint="eastAsia"/>
                <w:sz w:val="22"/>
                <w:szCs w:val="22"/>
              </w:rPr>
              <w:t>（环境标志产品金额/所投包投标总价）*100%</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440" w:type="dxa"/>
            <w:vMerge w:val="continue"/>
            <w:tcBorders>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p>
        </w:tc>
        <w:tc>
          <w:tcPr>
            <w:tcW w:w="7200" w:type="dxa"/>
            <w:gridSpan w:val="5"/>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环境标志产品证明材料见投标文件第至页。</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440" w:type="dxa"/>
            <w:vMerge w:val="restart"/>
            <w:tcBorders>
              <w:top w:val="single" w:color="000000" w:sz="2" w:space="0"/>
              <w:left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第二部分：节能产品（非强制节能产品）</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产品名称</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品牌型号</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制造商</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节能认证证书编号</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金额</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440" w:type="dxa"/>
            <w:vMerge w:val="continue"/>
            <w:tcBorders>
              <w:left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1440" w:type="dxa"/>
            <w:vMerge w:val="continue"/>
            <w:tcBorders>
              <w:left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440" w:type="dxa"/>
            <w:vMerge w:val="continue"/>
            <w:tcBorders>
              <w:left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p>
        </w:tc>
        <w:tc>
          <w:tcPr>
            <w:tcW w:w="576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节能产品（不包括强制节能产品）金额合计</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元</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440" w:type="dxa"/>
            <w:vMerge w:val="continue"/>
            <w:tcBorders>
              <w:left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p>
        </w:tc>
        <w:tc>
          <w:tcPr>
            <w:tcW w:w="576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lang w:eastAsia="zh-CN"/>
              </w:rPr>
              <w:t>产品价值权重</w:t>
            </w:r>
            <w:r>
              <w:rPr>
                <w:rFonts w:hint="eastAsia"/>
                <w:sz w:val="22"/>
                <w:szCs w:val="22"/>
              </w:rPr>
              <w:t>（节能产品金额/投标所投包总价）*100%</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440" w:type="dxa"/>
            <w:vMerge w:val="continue"/>
            <w:tcBorders>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p>
        </w:tc>
        <w:tc>
          <w:tcPr>
            <w:tcW w:w="7200" w:type="dxa"/>
            <w:gridSpan w:val="5"/>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节能产品证明材料见投标文件第至页。</w:t>
            </w:r>
          </w:p>
        </w:tc>
      </w:tr>
    </w:tbl>
    <w:p>
      <w:pPr>
        <w:pStyle w:val="42"/>
        <w:spacing w:beforeAutospacing="0" w:after="0" w:afterAutospacing="0" w:line="27" w:lineRule="atLeast"/>
        <w:jc w:val="both"/>
        <w:rPr>
          <w:kern w:val="2"/>
          <w:sz w:val="21"/>
          <w:szCs w:val="21"/>
        </w:rPr>
      </w:pPr>
    </w:p>
    <w:p>
      <w:pPr>
        <w:pStyle w:val="42"/>
        <w:spacing w:beforeAutospacing="0" w:after="0" w:afterAutospacing="0" w:line="27" w:lineRule="atLeast"/>
        <w:jc w:val="both"/>
        <w:rPr>
          <w:kern w:val="2"/>
          <w:sz w:val="21"/>
          <w:szCs w:val="21"/>
        </w:rPr>
      </w:pPr>
      <w:r>
        <w:rPr>
          <w:rFonts w:hint="eastAsia"/>
          <w:kern w:val="2"/>
          <w:sz w:val="21"/>
          <w:szCs w:val="21"/>
        </w:rPr>
        <w:t>投标人（盖单位章）：</w:t>
      </w: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u w:val="single"/>
        </w:rPr>
      </w:pPr>
      <w:r>
        <w:rPr>
          <w:rFonts w:hint="eastAsia" w:ascii="宋体" w:hAnsi="宋体" w:cs="宋体"/>
          <w:szCs w:val="21"/>
        </w:rPr>
        <w:t>法定代表人或其委托代理人签字：</w:t>
      </w:r>
      <w:r>
        <w:rPr>
          <w:rFonts w:hint="eastAsia" w:ascii="宋体" w:hAnsi="宋体" w:cs="宋体"/>
          <w:szCs w:val="21"/>
          <w:u w:val="single"/>
        </w:rPr>
        <w:t xml:space="preserve">       </w:t>
      </w:r>
    </w:p>
    <w:p>
      <w:pPr>
        <w:adjustRightInd w:val="0"/>
        <w:snapToGrid w:val="0"/>
        <w:spacing w:line="360" w:lineRule="auto"/>
        <w:rPr>
          <w:rFonts w:ascii="宋体" w:hAnsi="宋体" w:cs="宋体"/>
          <w:szCs w:val="21"/>
        </w:rPr>
      </w:pPr>
    </w:p>
    <w:p>
      <w:pPr>
        <w:adjustRightInd w:val="0"/>
        <w:snapToGrid w:val="0"/>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35"/>
        <w:rPr>
          <w:rFonts w:hint="eastAsia"/>
        </w:rPr>
      </w:pPr>
    </w:p>
    <w:p>
      <w:pPr>
        <w:rPr>
          <w:rFonts w:hint="eastAsia" w:ascii="宋体" w:hAnsi="宋体" w:eastAsia="宋体" w:cs="Times New Roman"/>
          <w:color w:val="000000"/>
          <w:szCs w:val="21"/>
          <w:highlight w:val="none"/>
          <w:lang w:val="en-US" w:eastAsia="zh-CN"/>
        </w:rPr>
      </w:pPr>
    </w:p>
    <w:sectPr>
      <w:headerReference r:id="rId15" w:type="default"/>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4-11-14T17:16:02Z" w:initials="A">
    <w:p w14:paraId="2066521B">
      <w:pPr>
        <w:pStyle w:val="18"/>
      </w:pPr>
      <w:r>
        <w:rPr>
          <w:rFonts w:hint="eastAsia"/>
          <w:lang w:eastAsia="zh-CN"/>
        </w:rPr>
        <w:t>更正前：</w:t>
      </w:r>
      <w:r>
        <w:rPr>
          <w:rFonts w:hint="eastAsia"/>
        </w:rPr>
        <w:t>2024年11月5日</w:t>
      </w:r>
    </w:p>
    <w:p w14:paraId="21673742">
      <w:pPr>
        <w:pStyle w:val="18"/>
      </w:pPr>
    </w:p>
  </w:comment>
  <w:comment w:id="1" w:author="Administrator" w:date="2024-11-14T17:16:37Z" w:initials="A">
    <w:p w14:paraId="79BA7AF8">
      <w:pPr>
        <w:pStyle w:val="18"/>
      </w:pPr>
      <w:r>
        <w:rPr>
          <w:rFonts w:hint="eastAsia"/>
          <w:lang w:eastAsia="zh-CN"/>
        </w:rPr>
        <w:t>更正前：</w:t>
      </w:r>
      <w:r>
        <w:rPr>
          <w:rFonts w:hint="eastAsia"/>
        </w:rPr>
        <w:t>2024年11月5日</w:t>
      </w:r>
    </w:p>
    <w:p w14:paraId="30AC20C3">
      <w:pPr>
        <w:pStyle w:val="18"/>
        <w:rPr>
          <w:b/>
          <w:bCs/>
        </w:rPr>
      </w:pPr>
    </w:p>
  </w:comment>
  <w:comment w:id="2" w:author="Administrator" w:date="2024-11-14T17:16:50Z" w:initials="A">
    <w:p w14:paraId="01D56516">
      <w:pPr>
        <w:pStyle w:val="18"/>
      </w:pPr>
      <w:r>
        <w:rPr>
          <w:rFonts w:hint="eastAsia"/>
          <w:lang w:eastAsia="zh-CN"/>
        </w:rPr>
        <w:t>更正前：</w:t>
      </w:r>
      <w:r>
        <w:rPr>
          <w:rFonts w:hint="eastAsia"/>
        </w:rPr>
        <w:t>2024年11月5日</w:t>
      </w:r>
    </w:p>
    <w:p w14:paraId="6E880A56">
      <w:pPr>
        <w:pStyle w:val="18"/>
      </w:pPr>
    </w:p>
  </w:comment>
  <w:comment w:id="3" w:author="Administrator" w:date="2024-11-14T17:16:56Z" w:initials="A">
    <w:p w14:paraId="53EC3AFD">
      <w:pPr>
        <w:pStyle w:val="18"/>
      </w:pPr>
      <w:r>
        <w:rPr>
          <w:rFonts w:hint="eastAsia"/>
          <w:lang w:eastAsia="zh-CN"/>
        </w:rPr>
        <w:t>更正前：</w:t>
      </w:r>
      <w:r>
        <w:rPr>
          <w:rFonts w:hint="eastAsia"/>
        </w:rPr>
        <w:t>2024年11月5日</w:t>
      </w:r>
    </w:p>
    <w:p w14:paraId="728711E9">
      <w:pPr>
        <w:pStyle w:val="1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1673742" w15:done="0"/>
  <w15:commentEx w15:paraId="30AC20C3" w15:done="0"/>
  <w15:commentEx w15:paraId="6E880A56" w15:done="0"/>
  <w15:commentEx w15:paraId="728711E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A21F71B-C95A-45DD-AF36-820D0D7B1447}"/>
  </w:font>
  <w:font w:name="Arial">
    <w:panose1 w:val="020B0604020202020204"/>
    <w:charset w:val="01"/>
    <w:family w:val="swiss"/>
    <w:pitch w:val="default"/>
    <w:sig w:usb0="E0002AFF" w:usb1="C0007843" w:usb2="00000009" w:usb3="00000000" w:csb0="400001FF" w:csb1="FFFF0000"/>
    <w:embedRegular r:id="rId2" w:fontKey="{FB058891-A59C-4D22-9204-5D3588EE1587}"/>
  </w:font>
  <w:font w:name="黑体">
    <w:panose1 w:val="02010609060101010101"/>
    <w:charset w:val="86"/>
    <w:family w:val="auto"/>
    <w:pitch w:val="default"/>
    <w:sig w:usb0="800002BF" w:usb1="38CF7CFA" w:usb2="00000016" w:usb3="00000000" w:csb0="00040001" w:csb1="00000000"/>
    <w:embedRegular r:id="rId3" w:fontKey="{4F329A80-61FD-4878-9FA6-316251F745EF}"/>
  </w:font>
  <w:font w:name="Courier New">
    <w:panose1 w:val="02070309020205020404"/>
    <w:charset w:val="01"/>
    <w:family w:val="modern"/>
    <w:pitch w:val="default"/>
    <w:sig w:usb0="E0002AFF" w:usb1="C0007843" w:usb2="00000009" w:usb3="00000000" w:csb0="400001FF" w:csb1="FFFF0000"/>
    <w:embedRegular r:id="rId4" w:fontKey="{679ED0E7-AF8E-47DC-8644-D16F08D6568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embedRegular r:id="rId5" w:fontKey="{02F29682-F4F0-4150-8949-C2AF9197161C}"/>
  </w:font>
  <w:font w:name="仿宋_GB2312">
    <w:panose1 w:val="02010609030101010101"/>
    <w:charset w:val="86"/>
    <w:family w:val="modern"/>
    <w:pitch w:val="default"/>
    <w:sig w:usb0="00000001" w:usb1="080E0000" w:usb2="00000000" w:usb3="00000000" w:csb0="00040000" w:csb1="00000000"/>
    <w:embedRegular r:id="rId6" w:fontKey="{929F1935-5CEA-4FEF-A45E-47D08ECFD905}"/>
  </w:font>
  <w:font w:name="楷体_GB2312">
    <w:panose1 w:val="02010609030101010101"/>
    <w:charset w:val="86"/>
    <w:family w:val="modern"/>
    <w:pitch w:val="default"/>
    <w:sig w:usb0="00000001" w:usb1="080E0000" w:usb2="00000000" w:usb3="00000000" w:csb0="00040000" w:csb1="00000000"/>
    <w:embedRegular r:id="rId7" w:fontKey="{73FA3B84-6E3A-4DAD-8E34-A01C2AE9961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长城仿宋">
    <w:altName w:val="黑体"/>
    <w:panose1 w:val="00000000000000000000"/>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Arail">
    <w:altName w:val="Times New Roman"/>
    <w:panose1 w:val="00000000000000000000"/>
    <w:charset w:val="00"/>
    <w:family w:val="roman"/>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00" w:usb3="00000000" w:csb0="00000000" w:csb1="00000000"/>
  </w:font>
  <w:font w:name="华文楷体">
    <w:panose1 w:val="02010600040101010101"/>
    <w:charset w:val="86"/>
    <w:family w:val="auto"/>
    <w:pitch w:val="default"/>
    <w:sig w:usb0="00000000" w:usb1="00000000" w:usb2="00000000" w:usb3="00000000" w:csb0="00000000" w:csb1="00000000"/>
    <w:embedRegular r:id="rId8" w:fontKey="{224B77BE-5958-46B6-8FB0-1CAB0DFD4343}"/>
  </w:font>
  <w:font w:name="华文中宋">
    <w:panose1 w:val="02010600040101010101"/>
    <w:charset w:val="86"/>
    <w:family w:val="auto"/>
    <w:pitch w:val="default"/>
    <w:sig w:usb0="00000000" w:usb1="00000000" w:usb2="00000000" w:usb3="00000000" w:csb0="00000000" w:csb1="00000000"/>
    <w:embedRegular r:id="rId9" w:fontKey="{D14B56DD-383E-423B-9F6B-FA13E405B9FE}"/>
  </w:font>
  <w:font w:name="汉仪书宋二S">
    <w:altName w:val="宋体"/>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embedRegular r:id="rId10" w:fontKey="{8A661AB9-1FFA-4CEC-8325-4689B750BB97}"/>
  </w:font>
  <w:font w:name="方正仿宋简体">
    <w:panose1 w:val="02010601030101010101"/>
    <w:charset w:val="86"/>
    <w:family w:val="auto"/>
    <w:pitch w:val="default"/>
    <w:sig w:usb0="00000001" w:usb1="080E0000" w:usb2="00000000" w:usb3="00000000" w:csb0="00040000" w:csb1="00000000"/>
    <w:embedRegular r:id="rId11" w:fontKey="{13937B6C-80E2-4121-9641-DF68EF62C9C3}"/>
  </w:font>
  <w:font w:name="Helvetica">
    <w:altName w:val="Arial"/>
    <w:panose1 w:val="020B0604020202020204"/>
    <w:charset w:val="00"/>
    <w:family w:val="auto"/>
    <w:pitch w:val="default"/>
    <w:sig w:usb0="00000000" w:usb1="00000000" w:usb2="00000000" w:usb3="00000000" w:csb0="00040001" w:csb1="00000000"/>
    <w:embedRegular r:id="rId12" w:fontKey="{B12E1109-4FBA-4E79-A76F-D6B40FE1612E}"/>
  </w:font>
  <w:font w:name="-webkit-standar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left="180" w:hanging="180" w:hangingChars="100"/>
      <w:jc w:val="center"/>
      <w:rPr>
        <w:rFonts w:eastAsia="楷体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ind w:left="180" w:hanging="180" w:hangingChars="100"/>
                            <w:jc w:val="center"/>
                          </w:pPr>
                          <w:r>
                            <w:rPr>
                              <w:rFonts w:eastAsia="楷体_GB2312"/>
                            </w:rPr>
                            <w:tab/>
                          </w:r>
                          <w:r>
                            <w:rPr>
                              <w:rFonts w:eastAsia="楷体_GB2312"/>
                            </w:rPr>
                            <w:t xml:space="preserve">- </w:t>
                          </w:r>
                          <w:r>
                            <w:rPr>
                              <w:rFonts w:eastAsia="楷体_GB2312"/>
                            </w:rPr>
                            <w:fldChar w:fldCharType="begin"/>
                          </w:r>
                          <w:r>
                            <w:rPr>
                              <w:rFonts w:eastAsia="楷体_GB2312"/>
                            </w:rPr>
                            <w:instrText xml:space="preserve"> PAGE </w:instrText>
                          </w:r>
                          <w:r>
                            <w:rPr>
                              <w:rFonts w:eastAsia="楷体_GB2312"/>
                            </w:rPr>
                            <w:fldChar w:fldCharType="separate"/>
                          </w:r>
                          <w:r>
                            <w:rPr>
                              <w:rFonts w:eastAsia="楷体_GB2312"/>
                            </w:rPr>
                            <w:t>21</w:t>
                          </w:r>
                          <w:r>
                            <w:rPr>
                              <w:rFonts w:eastAsia="楷体_GB2312"/>
                            </w:rPr>
                            <w:fldChar w:fldCharType="end"/>
                          </w:r>
                          <w:r>
                            <w:rPr>
                              <w:rFonts w:eastAsia="楷体_GB2312"/>
                            </w:rPr>
                            <w:t xml:space="preserve"> -</w:t>
                          </w:r>
                        </w:p>
                      </w:txbxContent>
                    </wps:txbx>
                    <wps:bodyPr wrap="none" lIns="0" tIns="0" rIns="0" bIns="0">
                      <a:spAutoFit/>
                    </wps:bodyPr>
                  </wps:wsp>
                </a:graphicData>
              </a:graphic>
            </wp:anchor>
          </w:drawing>
        </mc:Choice>
        <mc:Fallback>
          <w:pict>
            <v:shape id="文本框 51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GmCS9MA&#10;AAAFAQAADwAAAAAAAAABACAAAAAiAAAAZHJzL2Rvd25yZXYueG1sUEsBAhQAFAAAAAgAh07iQPOu&#10;5sKyAQAATAMAAA4AAAAAAAAAAQAgAAAAIgEAAGRycy9lMm9Eb2MueG1sUEsFBgAAAAAGAAYAWQEA&#10;AEYFAAAAAA==&#10;">
              <v:fill on="f" focussize="0,0"/>
              <v:stroke on="f" weight="1.25pt"/>
              <v:imagedata o:title=""/>
              <o:lock v:ext="edit" aspectratio="f"/>
              <v:textbox inset="0mm,0mm,0mm,0mm" style="mso-fit-shape-to-text:t;">
                <w:txbxContent>
                  <w:p>
                    <w:pPr>
                      <w:pStyle w:val="31"/>
                      <w:ind w:left="180" w:hanging="180" w:hangingChars="100"/>
                      <w:jc w:val="center"/>
                    </w:pPr>
                    <w:r>
                      <w:rPr>
                        <w:rFonts w:eastAsia="楷体_GB2312"/>
                      </w:rPr>
                      <w:tab/>
                    </w:r>
                    <w:r>
                      <w:rPr>
                        <w:rFonts w:eastAsia="楷体_GB2312"/>
                      </w:rPr>
                      <w:t xml:space="preserve">- </w:t>
                    </w:r>
                    <w:r>
                      <w:rPr>
                        <w:rFonts w:eastAsia="楷体_GB2312"/>
                      </w:rPr>
                      <w:fldChar w:fldCharType="begin"/>
                    </w:r>
                    <w:r>
                      <w:rPr>
                        <w:rFonts w:eastAsia="楷体_GB2312"/>
                      </w:rPr>
                      <w:instrText xml:space="preserve"> PAGE </w:instrText>
                    </w:r>
                    <w:r>
                      <w:rPr>
                        <w:rFonts w:eastAsia="楷体_GB2312"/>
                      </w:rPr>
                      <w:fldChar w:fldCharType="separate"/>
                    </w:r>
                    <w:r>
                      <w:rPr>
                        <w:rFonts w:eastAsia="楷体_GB2312"/>
                      </w:rPr>
                      <w:t>21</w:t>
                    </w:r>
                    <w:r>
                      <w:rPr>
                        <w:rFonts w:eastAsia="楷体_GB2312"/>
                      </w:rPr>
                      <w:fldChar w:fldCharType="end"/>
                    </w:r>
                    <w:r>
                      <w:rPr>
                        <w:rFonts w:eastAsia="楷体_GB231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99"/>
        <w:tab w:val="clear" w:pos="4153"/>
        <w:tab w:val="clear" w:pos="8306"/>
      </w:tabs>
      <w:ind w:right="360"/>
      <w:rPr>
        <w:rFonts w:ascii="仿宋_GB2312" w:eastAsia="仿宋_GB2312"/>
        <w:b/>
        <w:i/>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wrap="none" lIns="0" tIns="0" rIns="0" bIns="0">
                      <a:spAutoFit/>
                    </wps:bodyPr>
                  </wps:wsp>
                </a:graphicData>
              </a:graphic>
            </wp:anchor>
          </w:drawing>
        </mc:Choice>
        <mc:Fallback>
          <w:pict>
            <v:shape id="文本框 513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oaYJL&#10;0wAAAAUBAAAPAAAAAAAAAAEAIAAAACIAAABkcnMvZG93bnJldi54bWxQSwECFAAUAAAACACHTuJA&#10;JuDYibQBAABMAwAADgAAAAAAAAABACAAAAAiAQAAZHJzL2Uyb0RvYy54bWxQSwUGAAAAAAYABgBZ&#10;AQAASAUAAAAA&#10;">
              <v:fill on="f" focussize="0,0"/>
              <v:stroke on="f" weight="1.25pt"/>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r>
      <w:rPr>
        <w:rFonts w:ascii="仿宋_GB2312" w:eastAsia="仿宋_GB2312"/>
        <w:b/>
        <w:i/>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677"/>
        <w:tab w:val="clear" w:pos="4153"/>
      </w:tabs>
      <w:ind w:right="-6"/>
      <w:rPr>
        <w:rFonts w:ascii="仿宋_GB2312" w:eastAsia="仿宋_GB2312"/>
        <w:b/>
        <w:i/>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513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oaYJL&#10;0wAAAAUBAAAPAAAAAAAAAAEAIAAAACIAAABkcnMvZG93bnJldi54bWxQSwECFAAUAAAACACHTuJA&#10;FOBlTrQBAABMAwAADgAAAAAAAAABACAAAAAiAQAAZHJzL2Uyb0RvYy54bWxQSwUGAAAAAAYABgBZ&#10;AQAASAUAAAAA&#10;">
              <v:fill on="f" focussize="0,0"/>
              <v:stroke on="f" weight="1.25pt"/>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99"/>
        <w:tab w:val="clear" w:pos="4153"/>
        <w:tab w:val="clear" w:pos="8306"/>
      </w:tabs>
      <w:ind w:right="360"/>
      <w:rPr>
        <w:rFonts w:ascii="仿宋_GB2312" w:eastAsia="仿宋_GB2312"/>
        <w:b/>
        <w: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wrap="none" lIns="0" tIns="0" rIns="0" bIns="0">
                      <a:spAutoFit/>
                    </wps:bodyPr>
                  </wps:wsp>
                </a:graphicData>
              </a:graphic>
            </wp:anchor>
          </w:drawing>
        </mc:Choice>
        <mc:Fallback>
          <w:pict>
            <v:shape id="文本框 51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hpgkvT&#10;AAAABQEAAA8AAAAAAAAAAQAgAAAAIgAAAGRycy9kb3ducmV2LnhtbFBLAQIUABQAAAAIAIdO4kAu&#10;uXDTswEAAEwDAAAOAAAAAAAAAAEAIAAAACIBAABkcnMvZTJvRG9jLnhtbFBLBQYAAAAABgAGAFkB&#10;AABHBQAAAAA=&#10;">
              <v:fill on="f" focussize="0,0"/>
              <v:stroke on="f" weight="1.25pt"/>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shape>
          </w:pict>
        </mc:Fallback>
      </mc:AlternateContent>
    </w:r>
    <w:r>
      <w:rPr>
        <w:rFonts w:ascii="仿宋_GB2312" w:eastAsia="仿宋_GB2312"/>
        <w:b/>
        <w:i/>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99"/>
        <w:tab w:val="clear" w:pos="4153"/>
        <w:tab w:val="clear" w:pos="8306"/>
      </w:tabs>
      <w:ind w:right="360"/>
      <w:rPr>
        <w:rFonts w:ascii="仿宋_GB2312" w:eastAsia="仿宋_GB2312"/>
        <w:b/>
        <w:i/>
      </w:rPr>
    </w:pPr>
    <w:r>
      <w:rPr>
        <w:rFonts w:ascii="仿宋_GB2312" w:eastAsia="仿宋_GB2312"/>
        <w:b/>
        <w:i/>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ind w:right="-82" w:rightChars="-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C52C7"/>
    <w:multiLevelType w:val="singleLevel"/>
    <w:tmpl w:val="883C52C7"/>
    <w:lvl w:ilvl="0" w:tentative="0">
      <w:start w:val="5"/>
      <w:numFmt w:val="chineseCounting"/>
      <w:suff w:val="space"/>
      <w:lvlText w:val="第%1章"/>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E6ED2771"/>
    <w:multiLevelType w:val="singleLevel"/>
    <w:tmpl w:val="E6ED2771"/>
    <w:lvl w:ilvl="0" w:tentative="0">
      <w:start w:val="1"/>
      <w:numFmt w:val="decimal"/>
      <w:suff w:val="nothing"/>
      <w:lvlText w:val="%1、"/>
      <w:lvlJc w:val="left"/>
    </w:lvl>
  </w:abstractNum>
  <w:abstractNum w:abstractNumId="7">
    <w:nsid w:val="F5255CF4"/>
    <w:multiLevelType w:val="singleLevel"/>
    <w:tmpl w:val="F5255CF4"/>
    <w:lvl w:ilvl="0" w:tentative="0">
      <w:start w:val="5"/>
      <w:numFmt w:val="decimal"/>
      <w:suff w:val="nothing"/>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24E409BB"/>
    <w:multiLevelType w:val="multilevel"/>
    <w:tmpl w:val="24E409BB"/>
    <w:lvl w:ilvl="0" w:tentative="0">
      <w:start w:val="1"/>
      <w:numFmt w:val="decimal"/>
      <w:pStyle w:val="74"/>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294424DF"/>
    <w:multiLevelType w:val="multilevel"/>
    <w:tmpl w:val="294424DF"/>
    <w:lvl w:ilvl="0" w:tentative="0">
      <w:start w:val="1"/>
      <w:numFmt w:val="chineseCountingThousand"/>
      <w:lvlText w:val="%1、"/>
      <w:lvlJc w:val="left"/>
      <w:pPr>
        <w:tabs>
          <w:tab w:val="left" w:pos="893"/>
        </w:tabs>
        <w:ind w:left="893" w:hanging="413"/>
      </w:pPr>
      <w:rPr>
        <w:rFonts w:cs="Times New Roman"/>
      </w:rPr>
    </w:lvl>
    <w:lvl w:ilvl="1" w:tentative="0">
      <w:start w:val="1"/>
      <w:numFmt w:val="lowerLetter"/>
      <w:pStyle w:val="189"/>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1">
    <w:nsid w:val="46987AA2"/>
    <w:multiLevelType w:val="multilevel"/>
    <w:tmpl w:val="46987AA2"/>
    <w:lvl w:ilvl="0" w:tentative="0">
      <w:start w:val="1"/>
      <w:numFmt w:val="decimal"/>
      <w:pStyle w:val="150"/>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69552D7"/>
    <w:multiLevelType w:val="singleLevel"/>
    <w:tmpl w:val="569552D7"/>
    <w:lvl w:ilvl="0" w:tentative="0">
      <w:start w:val="1"/>
      <w:numFmt w:val="decimal"/>
      <w:suff w:val="nothing"/>
      <w:lvlText w:val="%1、"/>
      <w:lvlJc w:val="left"/>
    </w:lvl>
  </w:abstractNum>
  <w:abstractNum w:abstractNumId="13">
    <w:nsid w:val="7A0F6431"/>
    <w:multiLevelType w:val="singleLevel"/>
    <w:tmpl w:val="7A0F6431"/>
    <w:lvl w:ilvl="0" w:tentative="0">
      <w:start w:val="1"/>
      <w:numFmt w:val="decimal"/>
      <w:suff w:val="space"/>
      <w:lvlText w:val="%1."/>
      <w:lvlJc w:val="left"/>
    </w:lvl>
  </w:abstractNum>
  <w:num w:numId="1">
    <w:abstractNumId w:val="9"/>
  </w:num>
  <w:num w:numId="2">
    <w:abstractNumId w:val="11"/>
  </w:num>
  <w:num w:numId="3">
    <w:abstractNumId w:val="10"/>
  </w:num>
  <w:num w:numId="4">
    <w:abstractNumId w:val="6"/>
  </w:num>
  <w:num w:numId="5">
    <w:abstractNumId w:val="13"/>
  </w:num>
  <w:num w:numId="6">
    <w:abstractNumId w:val="2"/>
  </w:num>
  <w:num w:numId="7">
    <w:abstractNumId w:val="8"/>
  </w:num>
  <w:num w:numId="8">
    <w:abstractNumId w:val="4"/>
  </w:num>
  <w:num w:numId="9">
    <w:abstractNumId w:val="3"/>
  </w:num>
  <w:num w:numId="10">
    <w:abstractNumId w:val="1"/>
  </w:num>
  <w:num w:numId="11">
    <w:abstractNumId w:val="5"/>
  </w:num>
  <w:num w:numId="12">
    <w:abstractNumId w:val="0"/>
  </w:num>
  <w:num w:numId="13">
    <w:abstractNumId w:val="7"/>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4ZGE2ZTI0MDUyMDYzMmFmMmNlNDdlOTlmOGRhOTQifQ=="/>
  </w:docVars>
  <w:rsids>
    <w:rsidRoot w:val="00172A27"/>
    <w:rsid w:val="0000022B"/>
    <w:rsid w:val="000002CE"/>
    <w:rsid w:val="00000685"/>
    <w:rsid w:val="00000B93"/>
    <w:rsid w:val="000012F9"/>
    <w:rsid w:val="000017CA"/>
    <w:rsid w:val="00002158"/>
    <w:rsid w:val="00002173"/>
    <w:rsid w:val="00002E2E"/>
    <w:rsid w:val="00003195"/>
    <w:rsid w:val="000039F2"/>
    <w:rsid w:val="00004FCD"/>
    <w:rsid w:val="00005167"/>
    <w:rsid w:val="00005D6C"/>
    <w:rsid w:val="00005F2F"/>
    <w:rsid w:val="0000640D"/>
    <w:rsid w:val="0001006F"/>
    <w:rsid w:val="00010D3E"/>
    <w:rsid w:val="00010E2F"/>
    <w:rsid w:val="00010F49"/>
    <w:rsid w:val="00011478"/>
    <w:rsid w:val="0001151E"/>
    <w:rsid w:val="00011C89"/>
    <w:rsid w:val="0001229E"/>
    <w:rsid w:val="00012934"/>
    <w:rsid w:val="00012CDE"/>
    <w:rsid w:val="00013303"/>
    <w:rsid w:val="0001367A"/>
    <w:rsid w:val="00013EA1"/>
    <w:rsid w:val="0001412A"/>
    <w:rsid w:val="00014CDC"/>
    <w:rsid w:val="000153FB"/>
    <w:rsid w:val="00015587"/>
    <w:rsid w:val="000155BE"/>
    <w:rsid w:val="00015750"/>
    <w:rsid w:val="00015A5C"/>
    <w:rsid w:val="00015C1F"/>
    <w:rsid w:val="0001658F"/>
    <w:rsid w:val="000166B6"/>
    <w:rsid w:val="00016DC7"/>
    <w:rsid w:val="000170A0"/>
    <w:rsid w:val="0001749B"/>
    <w:rsid w:val="000174C5"/>
    <w:rsid w:val="0001790E"/>
    <w:rsid w:val="00020CF9"/>
    <w:rsid w:val="0002118E"/>
    <w:rsid w:val="000211C9"/>
    <w:rsid w:val="0002220D"/>
    <w:rsid w:val="000225BF"/>
    <w:rsid w:val="000226BF"/>
    <w:rsid w:val="00022987"/>
    <w:rsid w:val="00023705"/>
    <w:rsid w:val="00023865"/>
    <w:rsid w:val="0002390D"/>
    <w:rsid w:val="000247DC"/>
    <w:rsid w:val="000253CD"/>
    <w:rsid w:val="00025C73"/>
    <w:rsid w:val="00027050"/>
    <w:rsid w:val="0002731F"/>
    <w:rsid w:val="0002754D"/>
    <w:rsid w:val="000276D8"/>
    <w:rsid w:val="00027B0F"/>
    <w:rsid w:val="00027CA3"/>
    <w:rsid w:val="00027FCB"/>
    <w:rsid w:val="0003019E"/>
    <w:rsid w:val="0003119A"/>
    <w:rsid w:val="00031920"/>
    <w:rsid w:val="00032514"/>
    <w:rsid w:val="0003291E"/>
    <w:rsid w:val="00032A18"/>
    <w:rsid w:val="00032C96"/>
    <w:rsid w:val="000336BA"/>
    <w:rsid w:val="00034A7B"/>
    <w:rsid w:val="00034E41"/>
    <w:rsid w:val="00034FB2"/>
    <w:rsid w:val="00035749"/>
    <w:rsid w:val="00035875"/>
    <w:rsid w:val="00035972"/>
    <w:rsid w:val="000361C9"/>
    <w:rsid w:val="00036D22"/>
    <w:rsid w:val="00036DB0"/>
    <w:rsid w:val="00036DB5"/>
    <w:rsid w:val="00036E1D"/>
    <w:rsid w:val="0003754E"/>
    <w:rsid w:val="000377EF"/>
    <w:rsid w:val="00037B47"/>
    <w:rsid w:val="000403A5"/>
    <w:rsid w:val="000403EE"/>
    <w:rsid w:val="00040453"/>
    <w:rsid w:val="00040AF0"/>
    <w:rsid w:val="000411A9"/>
    <w:rsid w:val="000415A2"/>
    <w:rsid w:val="00042388"/>
    <w:rsid w:val="000425E3"/>
    <w:rsid w:val="000428F2"/>
    <w:rsid w:val="00042B9E"/>
    <w:rsid w:val="00042DC9"/>
    <w:rsid w:val="00043251"/>
    <w:rsid w:val="000436A7"/>
    <w:rsid w:val="00043B4A"/>
    <w:rsid w:val="00043BAB"/>
    <w:rsid w:val="00043C90"/>
    <w:rsid w:val="000443EB"/>
    <w:rsid w:val="00044E73"/>
    <w:rsid w:val="00044F59"/>
    <w:rsid w:val="0004548D"/>
    <w:rsid w:val="000454DD"/>
    <w:rsid w:val="0004564E"/>
    <w:rsid w:val="0004648F"/>
    <w:rsid w:val="00046779"/>
    <w:rsid w:val="00046DE6"/>
    <w:rsid w:val="00047940"/>
    <w:rsid w:val="00047956"/>
    <w:rsid w:val="00047B7A"/>
    <w:rsid w:val="00047E38"/>
    <w:rsid w:val="00051796"/>
    <w:rsid w:val="0005243C"/>
    <w:rsid w:val="000524B2"/>
    <w:rsid w:val="00052E15"/>
    <w:rsid w:val="0005314D"/>
    <w:rsid w:val="00053812"/>
    <w:rsid w:val="00053C33"/>
    <w:rsid w:val="00053F6A"/>
    <w:rsid w:val="000540A7"/>
    <w:rsid w:val="0005441F"/>
    <w:rsid w:val="00054D4B"/>
    <w:rsid w:val="00054EC4"/>
    <w:rsid w:val="00056248"/>
    <w:rsid w:val="00056AE3"/>
    <w:rsid w:val="00056C4B"/>
    <w:rsid w:val="00057CFA"/>
    <w:rsid w:val="00060536"/>
    <w:rsid w:val="000607E0"/>
    <w:rsid w:val="00060C52"/>
    <w:rsid w:val="00060F83"/>
    <w:rsid w:val="00061300"/>
    <w:rsid w:val="00062839"/>
    <w:rsid w:val="0006285B"/>
    <w:rsid w:val="000629B1"/>
    <w:rsid w:val="00062BB5"/>
    <w:rsid w:val="00062CC1"/>
    <w:rsid w:val="00062CF4"/>
    <w:rsid w:val="00063CBA"/>
    <w:rsid w:val="00063E10"/>
    <w:rsid w:val="000651BD"/>
    <w:rsid w:val="000651DE"/>
    <w:rsid w:val="0006565B"/>
    <w:rsid w:val="0006581A"/>
    <w:rsid w:val="000658A3"/>
    <w:rsid w:val="000664B1"/>
    <w:rsid w:val="00066B81"/>
    <w:rsid w:val="000675D1"/>
    <w:rsid w:val="00067742"/>
    <w:rsid w:val="00067928"/>
    <w:rsid w:val="000679D0"/>
    <w:rsid w:val="0007008A"/>
    <w:rsid w:val="00070B35"/>
    <w:rsid w:val="00070C3D"/>
    <w:rsid w:val="00070EA7"/>
    <w:rsid w:val="000711EB"/>
    <w:rsid w:val="000722C5"/>
    <w:rsid w:val="00072B11"/>
    <w:rsid w:val="000733F7"/>
    <w:rsid w:val="00073A9F"/>
    <w:rsid w:val="00074442"/>
    <w:rsid w:val="00074D0A"/>
    <w:rsid w:val="00075A16"/>
    <w:rsid w:val="00075B5C"/>
    <w:rsid w:val="00075C29"/>
    <w:rsid w:val="00075C90"/>
    <w:rsid w:val="00075DB6"/>
    <w:rsid w:val="00076D6D"/>
    <w:rsid w:val="00077040"/>
    <w:rsid w:val="00077C06"/>
    <w:rsid w:val="000805A3"/>
    <w:rsid w:val="00081568"/>
    <w:rsid w:val="000815C8"/>
    <w:rsid w:val="000816E5"/>
    <w:rsid w:val="00081E25"/>
    <w:rsid w:val="000835A8"/>
    <w:rsid w:val="000835D0"/>
    <w:rsid w:val="00083F94"/>
    <w:rsid w:val="00084490"/>
    <w:rsid w:val="00084EEF"/>
    <w:rsid w:val="0008548E"/>
    <w:rsid w:val="00085DD7"/>
    <w:rsid w:val="00085E2E"/>
    <w:rsid w:val="00085F2D"/>
    <w:rsid w:val="00086E68"/>
    <w:rsid w:val="00087941"/>
    <w:rsid w:val="00087EB3"/>
    <w:rsid w:val="0009031A"/>
    <w:rsid w:val="00090AD0"/>
    <w:rsid w:val="00091A7C"/>
    <w:rsid w:val="00091B1E"/>
    <w:rsid w:val="0009244B"/>
    <w:rsid w:val="00092623"/>
    <w:rsid w:val="00093228"/>
    <w:rsid w:val="00094DA6"/>
    <w:rsid w:val="0009521D"/>
    <w:rsid w:val="000958A3"/>
    <w:rsid w:val="00095A71"/>
    <w:rsid w:val="00095DAA"/>
    <w:rsid w:val="00096252"/>
    <w:rsid w:val="00096356"/>
    <w:rsid w:val="0009666B"/>
    <w:rsid w:val="00096941"/>
    <w:rsid w:val="00096998"/>
    <w:rsid w:val="00096B1F"/>
    <w:rsid w:val="0009714B"/>
    <w:rsid w:val="00097379"/>
    <w:rsid w:val="000975C3"/>
    <w:rsid w:val="000976AB"/>
    <w:rsid w:val="000A09F1"/>
    <w:rsid w:val="000A0A84"/>
    <w:rsid w:val="000A0B23"/>
    <w:rsid w:val="000A1134"/>
    <w:rsid w:val="000A11C6"/>
    <w:rsid w:val="000A25B6"/>
    <w:rsid w:val="000A2A55"/>
    <w:rsid w:val="000A3369"/>
    <w:rsid w:val="000A3457"/>
    <w:rsid w:val="000A4671"/>
    <w:rsid w:val="000A4CBC"/>
    <w:rsid w:val="000A553E"/>
    <w:rsid w:val="000A577D"/>
    <w:rsid w:val="000A6C5F"/>
    <w:rsid w:val="000A6DE1"/>
    <w:rsid w:val="000A721C"/>
    <w:rsid w:val="000A7435"/>
    <w:rsid w:val="000A7A59"/>
    <w:rsid w:val="000B0383"/>
    <w:rsid w:val="000B0454"/>
    <w:rsid w:val="000B107C"/>
    <w:rsid w:val="000B10DC"/>
    <w:rsid w:val="000B1B99"/>
    <w:rsid w:val="000B23A1"/>
    <w:rsid w:val="000B25A0"/>
    <w:rsid w:val="000B2990"/>
    <w:rsid w:val="000B2BBE"/>
    <w:rsid w:val="000B2D05"/>
    <w:rsid w:val="000B36A1"/>
    <w:rsid w:val="000B37AD"/>
    <w:rsid w:val="000B3EEF"/>
    <w:rsid w:val="000B426D"/>
    <w:rsid w:val="000B521E"/>
    <w:rsid w:val="000B5821"/>
    <w:rsid w:val="000B5A30"/>
    <w:rsid w:val="000B6078"/>
    <w:rsid w:val="000B6466"/>
    <w:rsid w:val="000B749E"/>
    <w:rsid w:val="000C02AE"/>
    <w:rsid w:val="000C08A5"/>
    <w:rsid w:val="000C0B7C"/>
    <w:rsid w:val="000C0C40"/>
    <w:rsid w:val="000C0D7B"/>
    <w:rsid w:val="000C1035"/>
    <w:rsid w:val="000C1C73"/>
    <w:rsid w:val="000C1CF2"/>
    <w:rsid w:val="000C1ECD"/>
    <w:rsid w:val="000C2374"/>
    <w:rsid w:val="000C23E5"/>
    <w:rsid w:val="000C26FE"/>
    <w:rsid w:val="000C2A35"/>
    <w:rsid w:val="000C3020"/>
    <w:rsid w:val="000C331F"/>
    <w:rsid w:val="000C3961"/>
    <w:rsid w:val="000C3A92"/>
    <w:rsid w:val="000C44A1"/>
    <w:rsid w:val="000C526B"/>
    <w:rsid w:val="000C59B4"/>
    <w:rsid w:val="000C63F6"/>
    <w:rsid w:val="000C6A29"/>
    <w:rsid w:val="000C71A7"/>
    <w:rsid w:val="000C72D0"/>
    <w:rsid w:val="000C78B7"/>
    <w:rsid w:val="000C7EA8"/>
    <w:rsid w:val="000C7EB3"/>
    <w:rsid w:val="000D00B1"/>
    <w:rsid w:val="000D00BF"/>
    <w:rsid w:val="000D048E"/>
    <w:rsid w:val="000D080D"/>
    <w:rsid w:val="000D15C6"/>
    <w:rsid w:val="000D1AA9"/>
    <w:rsid w:val="000D20DD"/>
    <w:rsid w:val="000D21BA"/>
    <w:rsid w:val="000D2371"/>
    <w:rsid w:val="000D29E3"/>
    <w:rsid w:val="000D34C7"/>
    <w:rsid w:val="000D3BDE"/>
    <w:rsid w:val="000D3CDA"/>
    <w:rsid w:val="000D50BC"/>
    <w:rsid w:val="000D5122"/>
    <w:rsid w:val="000D5ADF"/>
    <w:rsid w:val="000D5EE9"/>
    <w:rsid w:val="000D5F2E"/>
    <w:rsid w:val="000D683C"/>
    <w:rsid w:val="000D6FFB"/>
    <w:rsid w:val="000D71C0"/>
    <w:rsid w:val="000D73E2"/>
    <w:rsid w:val="000D7B50"/>
    <w:rsid w:val="000D7DF3"/>
    <w:rsid w:val="000E0357"/>
    <w:rsid w:val="000E0E69"/>
    <w:rsid w:val="000E1AC6"/>
    <w:rsid w:val="000E1F64"/>
    <w:rsid w:val="000E1FF8"/>
    <w:rsid w:val="000E23F0"/>
    <w:rsid w:val="000E2C07"/>
    <w:rsid w:val="000E2E99"/>
    <w:rsid w:val="000E3313"/>
    <w:rsid w:val="000E3335"/>
    <w:rsid w:val="000E4B89"/>
    <w:rsid w:val="000E5A27"/>
    <w:rsid w:val="000E60C1"/>
    <w:rsid w:val="000E650B"/>
    <w:rsid w:val="000E6F9A"/>
    <w:rsid w:val="000F05ED"/>
    <w:rsid w:val="000F1AF8"/>
    <w:rsid w:val="000F1F95"/>
    <w:rsid w:val="000F21BB"/>
    <w:rsid w:val="000F2C4A"/>
    <w:rsid w:val="000F33E3"/>
    <w:rsid w:val="000F3414"/>
    <w:rsid w:val="000F3D41"/>
    <w:rsid w:val="000F3F69"/>
    <w:rsid w:val="000F495B"/>
    <w:rsid w:val="000F55E9"/>
    <w:rsid w:val="000F5812"/>
    <w:rsid w:val="000F5AC2"/>
    <w:rsid w:val="000F5FFC"/>
    <w:rsid w:val="000F6082"/>
    <w:rsid w:val="000F6975"/>
    <w:rsid w:val="000F6AA7"/>
    <w:rsid w:val="000F77ED"/>
    <w:rsid w:val="000F7853"/>
    <w:rsid w:val="000F7880"/>
    <w:rsid w:val="000F78BD"/>
    <w:rsid w:val="001000C9"/>
    <w:rsid w:val="001002E4"/>
    <w:rsid w:val="001007D3"/>
    <w:rsid w:val="001008A5"/>
    <w:rsid w:val="00100C3B"/>
    <w:rsid w:val="00101736"/>
    <w:rsid w:val="00101EE8"/>
    <w:rsid w:val="001020E5"/>
    <w:rsid w:val="00102679"/>
    <w:rsid w:val="00102A12"/>
    <w:rsid w:val="00102B86"/>
    <w:rsid w:val="00102C7A"/>
    <w:rsid w:val="00103AED"/>
    <w:rsid w:val="00103C82"/>
    <w:rsid w:val="0010407A"/>
    <w:rsid w:val="00104EF5"/>
    <w:rsid w:val="0010567F"/>
    <w:rsid w:val="00105760"/>
    <w:rsid w:val="00106632"/>
    <w:rsid w:val="00106BC4"/>
    <w:rsid w:val="00107D40"/>
    <w:rsid w:val="0011047F"/>
    <w:rsid w:val="001107DC"/>
    <w:rsid w:val="00110AC0"/>
    <w:rsid w:val="0011341D"/>
    <w:rsid w:val="001140D5"/>
    <w:rsid w:val="0011476A"/>
    <w:rsid w:val="001148C0"/>
    <w:rsid w:val="00114968"/>
    <w:rsid w:val="00114D67"/>
    <w:rsid w:val="001153CF"/>
    <w:rsid w:val="0011551C"/>
    <w:rsid w:val="00115695"/>
    <w:rsid w:val="00115BB1"/>
    <w:rsid w:val="00116794"/>
    <w:rsid w:val="0011728A"/>
    <w:rsid w:val="001177A7"/>
    <w:rsid w:val="00117F2A"/>
    <w:rsid w:val="00120980"/>
    <w:rsid w:val="00120E06"/>
    <w:rsid w:val="00121127"/>
    <w:rsid w:val="00121842"/>
    <w:rsid w:val="00121CCB"/>
    <w:rsid w:val="00121D08"/>
    <w:rsid w:val="00121E0D"/>
    <w:rsid w:val="00122028"/>
    <w:rsid w:val="0012255C"/>
    <w:rsid w:val="001229BB"/>
    <w:rsid w:val="00122D60"/>
    <w:rsid w:val="00122E86"/>
    <w:rsid w:val="00123508"/>
    <w:rsid w:val="001244D4"/>
    <w:rsid w:val="00124B2F"/>
    <w:rsid w:val="00124F64"/>
    <w:rsid w:val="001250E4"/>
    <w:rsid w:val="001255AD"/>
    <w:rsid w:val="00126166"/>
    <w:rsid w:val="0012655C"/>
    <w:rsid w:val="00126A18"/>
    <w:rsid w:val="00126BEE"/>
    <w:rsid w:val="00126E91"/>
    <w:rsid w:val="001274CF"/>
    <w:rsid w:val="00127DF7"/>
    <w:rsid w:val="001300F1"/>
    <w:rsid w:val="00130212"/>
    <w:rsid w:val="00130C2F"/>
    <w:rsid w:val="0013122D"/>
    <w:rsid w:val="001317A7"/>
    <w:rsid w:val="00131C2C"/>
    <w:rsid w:val="00131FEB"/>
    <w:rsid w:val="0013201C"/>
    <w:rsid w:val="001332E2"/>
    <w:rsid w:val="0013386C"/>
    <w:rsid w:val="00133E51"/>
    <w:rsid w:val="0013488C"/>
    <w:rsid w:val="001348F0"/>
    <w:rsid w:val="00135197"/>
    <w:rsid w:val="0013522C"/>
    <w:rsid w:val="001356BD"/>
    <w:rsid w:val="001357D2"/>
    <w:rsid w:val="001360F2"/>
    <w:rsid w:val="0013629A"/>
    <w:rsid w:val="00136572"/>
    <w:rsid w:val="001369CD"/>
    <w:rsid w:val="00136CC3"/>
    <w:rsid w:val="001371B7"/>
    <w:rsid w:val="00137BF7"/>
    <w:rsid w:val="00137D02"/>
    <w:rsid w:val="00140D3C"/>
    <w:rsid w:val="00141171"/>
    <w:rsid w:val="00141421"/>
    <w:rsid w:val="0014173A"/>
    <w:rsid w:val="00141F23"/>
    <w:rsid w:val="0014244B"/>
    <w:rsid w:val="0014270E"/>
    <w:rsid w:val="001429E4"/>
    <w:rsid w:val="00142B17"/>
    <w:rsid w:val="00142E67"/>
    <w:rsid w:val="00143196"/>
    <w:rsid w:val="00143A7E"/>
    <w:rsid w:val="00143E3B"/>
    <w:rsid w:val="0014405D"/>
    <w:rsid w:val="00144316"/>
    <w:rsid w:val="001443BC"/>
    <w:rsid w:val="00144A8C"/>
    <w:rsid w:val="00144C8D"/>
    <w:rsid w:val="00144C8E"/>
    <w:rsid w:val="00145163"/>
    <w:rsid w:val="0014530A"/>
    <w:rsid w:val="00145EC3"/>
    <w:rsid w:val="00145F94"/>
    <w:rsid w:val="0014649A"/>
    <w:rsid w:val="0014680A"/>
    <w:rsid w:val="00146B20"/>
    <w:rsid w:val="00146E7D"/>
    <w:rsid w:val="00146E8D"/>
    <w:rsid w:val="00147365"/>
    <w:rsid w:val="00147AA5"/>
    <w:rsid w:val="00150F49"/>
    <w:rsid w:val="00150FE9"/>
    <w:rsid w:val="0015146F"/>
    <w:rsid w:val="001519E9"/>
    <w:rsid w:val="00151DFE"/>
    <w:rsid w:val="00152395"/>
    <w:rsid w:val="00152579"/>
    <w:rsid w:val="00153487"/>
    <w:rsid w:val="001535D0"/>
    <w:rsid w:val="0015384A"/>
    <w:rsid w:val="00153BBE"/>
    <w:rsid w:val="00153C19"/>
    <w:rsid w:val="00154132"/>
    <w:rsid w:val="001543DD"/>
    <w:rsid w:val="00154823"/>
    <w:rsid w:val="00154E78"/>
    <w:rsid w:val="00155431"/>
    <w:rsid w:val="00155AEC"/>
    <w:rsid w:val="0015652D"/>
    <w:rsid w:val="0015694A"/>
    <w:rsid w:val="00156AA3"/>
    <w:rsid w:val="0015703B"/>
    <w:rsid w:val="00157A88"/>
    <w:rsid w:val="0016042D"/>
    <w:rsid w:val="00160B76"/>
    <w:rsid w:val="0016118A"/>
    <w:rsid w:val="0016196B"/>
    <w:rsid w:val="00161AA2"/>
    <w:rsid w:val="0016279F"/>
    <w:rsid w:val="001630AC"/>
    <w:rsid w:val="00163233"/>
    <w:rsid w:val="00163B4D"/>
    <w:rsid w:val="00163D30"/>
    <w:rsid w:val="00163D62"/>
    <w:rsid w:val="001642D0"/>
    <w:rsid w:val="00164DBB"/>
    <w:rsid w:val="0016512D"/>
    <w:rsid w:val="001661D9"/>
    <w:rsid w:val="00166611"/>
    <w:rsid w:val="00166FCC"/>
    <w:rsid w:val="00167554"/>
    <w:rsid w:val="001703CD"/>
    <w:rsid w:val="00170B58"/>
    <w:rsid w:val="00170B92"/>
    <w:rsid w:val="00171B6F"/>
    <w:rsid w:val="00172054"/>
    <w:rsid w:val="0017238B"/>
    <w:rsid w:val="001728FE"/>
    <w:rsid w:val="00172949"/>
    <w:rsid w:val="00172A27"/>
    <w:rsid w:val="0017340A"/>
    <w:rsid w:val="00174599"/>
    <w:rsid w:val="00174C60"/>
    <w:rsid w:val="00175AD9"/>
    <w:rsid w:val="0017688B"/>
    <w:rsid w:val="00177836"/>
    <w:rsid w:val="00177BE6"/>
    <w:rsid w:val="00180CB3"/>
    <w:rsid w:val="00180D7B"/>
    <w:rsid w:val="00181798"/>
    <w:rsid w:val="00181E0A"/>
    <w:rsid w:val="00182F53"/>
    <w:rsid w:val="0018308D"/>
    <w:rsid w:val="00184111"/>
    <w:rsid w:val="0018421C"/>
    <w:rsid w:val="00184CA7"/>
    <w:rsid w:val="001857F7"/>
    <w:rsid w:val="00185E1E"/>
    <w:rsid w:val="00185F11"/>
    <w:rsid w:val="0018682B"/>
    <w:rsid w:val="00186A30"/>
    <w:rsid w:val="00186E80"/>
    <w:rsid w:val="00187E98"/>
    <w:rsid w:val="00190A41"/>
    <w:rsid w:val="00191BE5"/>
    <w:rsid w:val="001922FB"/>
    <w:rsid w:val="00192941"/>
    <w:rsid w:val="00192E0E"/>
    <w:rsid w:val="00192E45"/>
    <w:rsid w:val="001930CB"/>
    <w:rsid w:val="00193269"/>
    <w:rsid w:val="0019353A"/>
    <w:rsid w:val="00193B9C"/>
    <w:rsid w:val="00194524"/>
    <w:rsid w:val="00194E94"/>
    <w:rsid w:val="0019547D"/>
    <w:rsid w:val="00196246"/>
    <w:rsid w:val="00196471"/>
    <w:rsid w:val="0019664F"/>
    <w:rsid w:val="00196E02"/>
    <w:rsid w:val="00196ED5"/>
    <w:rsid w:val="00197CB5"/>
    <w:rsid w:val="001A1854"/>
    <w:rsid w:val="001A1B7A"/>
    <w:rsid w:val="001A1C57"/>
    <w:rsid w:val="001A1F5E"/>
    <w:rsid w:val="001A3493"/>
    <w:rsid w:val="001A3932"/>
    <w:rsid w:val="001A397A"/>
    <w:rsid w:val="001A3BFA"/>
    <w:rsid w:val="001A42A2"/>
    <w:rsid w:val="001A4494"/>
    <w:rsid w:val="001A4736"/>
    <w:rsid w:val="001A51C1"/>
    <w:rsid w:val="001A6062"/>
    <w:rsid w:val="001A64D9"/>
    <w:rsid w:val="001A688D"/>
    <w:rsid w:val="001A6E2A"/>
    <w:rsid w:val="001A73ED"/>
    <w:rsid w:val="001A7739"/>
    <w:rsid w:val="001A7E66"/>
    <w:rsid w:val="001B0481"/>
    <w:rsid w:val="001B0539"/>
    <w:rsid w:val="001B06D1"/>
    <w:rsid w:val="001B0DC9"/>
    <w:rsid w:val="001B0EE0"/>
    <w:rsid w:val="001B1CAB"/>
    <w:rsid w:val="001B2BB2"/>
    <w:rsid w:val="001B2BFF"/>
    <w:rsid w:val="001B347B"/>
    <w:rsid w:val="001B3B74"/>
    <w:rsid w:val="001B4EE5"/>
    <w:rsid w:val="001B5044"/>
    <w:rsid w:val="001B563F"/>
    <w:rsid w:val="001B5DA3"/>
    <w:rsid w:val="001B5F62"/>
    <w:rsid w:val="001B61D2"/>
    <w:rsid w:val="001B62CA"/>
    <w:rsid w:val="001B643A"/>
    <w:rsid w:val="001B6A09"/>
    <w:rsid w:val="001B6BDA"/>
    <w:rsid w:val="001B6C2D"/>
    <w:rsid w:val="001B6D58"/>
    <w:rsid w:val="001B70D5"/>
    <w:rsid w:val="001B760B"/>
    <w:rsid w:val="001B77C2"/>
    <w:rsid w:val="001C0603"/>
    <w:rsid w:val="001C09D4"/>
    <w:rsid w:val="001C1080"/>
    <w:rsid w:val="001C209E"/>
    <w:rsid w:val="001C21A9"/>
    <w:rsid w:val="001C2461"/>
    <w:rsid w:val="001C2465"/>
    <w:rsid w:val="001C2D80"/>
    <w:rsid w:val="001C3493"/>
    <w:rsid w:val="001C3C92"/>
    <w:rsid w:val="001C485B"/>
    <w:rsid w:val="001C4EEA"/>
    <w:rsid w:val="001C53CC"/>
    <w:rsid w:val="001C540C"/>
    <w:rsid w:val="001C5A8C"/>
    <w:rsid w:val="001C5E47"/>
    <w:rsid w:val="001C633D"/>
    <w:rsid w:val="001C65C3"/>
    <w:rsid w:val="001C74EA"/>
    <w:rsid w:val="001C79A4"/>
    <w:rsid w:val="001D003F"/>
    <w:rsid w:val="001D1846"/>
    <w:rsid w:val="001D1AC9"/>
    <w:rsid w:val="001D2450"/>
    <w:rsid w:val="001D2938"/>
    <w:rsid w:val="001D323E"/>
    <w:rsid w:val="001D333A"/>
    <w:rsid w:val="001D3E3A"/>
    <w:rsid w:val="001D3EEC"/>
    <w:rsid w:val="001D3EEE"/>
    <w:rsid w:val="001D4178"/>
    <w:rsid w:val="001D4235"/>
    <w:rsid w:val="001D430C"/>
    <w:rsid w:val="001D513E"/>
    <w:rsid w:val="001D52EA"/>
    <w:rsid w:val="001D57AA"/>
    <w:rsid w:val="001D5FEE"/>
    <w:rsid w:val="001D6246"/>
    <w:rsid w:val="001D628D"/>
    <w:rsid w:val="001D64D4"/>
    <w:rsid w:val="001D64ED"/>
    <w:rsid w:val="001D72F7"/>
    <w:rsid w:val="001D7934"/>
    <w:rsid w:val="001D79CF"/>
    <w:rsid w:val="001E05BB"/>
    <w:rsid w:val="001E0821"/>
    <w:rsid w:val="001E15D2"/>
    <w:rsid w:val="001E208C"/>
    <w:rsid w:val="001E2910"/>
    <w:rsid w:val="001E2C6A"/>
    <w:rsid w:val="001E2DE0"/>
    <w:rsid w:val="001E3506"/>
    <w:rsid w:val="001E3740"/>
    <w:rsid w:val="001E4290"/>
    <w:rsid w:val="001E4649"/>
    <w:rsid w:val="001E48DD"/>
    <w:rsid w:val="001E49DE"/>
    <w:rsid w:val="001E566B"/>
    <w:rsid w:val="001E5C47"/>
    <w:rsid w:val="001E5FED"/>
    <w:rsid w:val="001E723B"/>
    <w:rsid w:val="001E7460"/>
    <w:rsid w:val="001E79C1"/>
    <w:rsid w:val="001F0356"/>
    <w:rsid w:val="001F06A4"/>
    <w:rsid w:val="001F0835"/>
    <w:rsid w:val="001F0B0B"/>
    <w:rsid w:val="001F104F"/>
    <w:rsid w:val="001F1089"/>
    <w:rsid w:val="001F15B1"/>
    <w:rsid w:val="001F17A3"/>
    <w:rsid w:val="001F1BD3"/>
    <w:rsid w:val="001F2789"/>
    <w:rsid w:val="001F2840"/>
    <w:rsid w:val="001F2C63"/>
    <w:rsid w:val="001F305A"/>
    <w:rsid w:val="001F381B"/>
    <w:rsid w:val="001F3984"/>
    <w:rsid w:val="001F3CC2"/>
    <w:rsid w:val="001F449A"/>
    <w:rsid w:val="001F4F0B"/>
    <w:rsid w:val="001F5B3A"/>
    <w:rsid w:val="001F5DB6"/>
    <w:rsid w:val="001F63F4"/>
    <w:rsid w:val="001F6DC7"/>
    <w:rsid w:val="0020016C"/>
    <w:rsid w:val="00200360"/>
    <w:rsid w:val="0020095F"/>
    <w:rsid w:val="00200F78"/>
    <w:rsid w:val="00200F7E"/>
    <w:rsid w:val="00201226"/>
    <w:rsid w:val="00201547"/>
    <w:rsid w:val="00201951"/>
    <w:rsid w:val="0020286B"/>
    <w:rsid w:val="00202E45"/>
    <w:rsid w:val="002034C2"/>
    <w:rsid w:val="00203869"/>
    <w:rsid w:val="00203E28"/>
    <w:rsid w:val="00204B56"/>
    <w:rsid w:val="00205077"/>
    <w:rsid w:val="00205095"/>
    <w:rsid w:val="00205B75"/>
    <w:rsid w:val="00207439"/>
    <w:rsid w:val="0020767D"/>
    <w:rsid w:val="0020783A"/>
    <w:rsid w:val="002109E1"/>
    <w:rsid w:val="0021113D"/>
    <w:rsid w:val="00211955"/>
    <w:rsid w:val="0021216A"/>
    <w:rsid w:val="00212189"/>
    <w:rsid w:val="00214A67"/>
    <w:rsid w:val="00214ECD"/>
    <w:rsid w:val="00216173"/>
    <w:rsid w:val="0021657A"/>
    <w:rsid w:val="00216701"/>
    <w:rsid w:val="00216EB5"/>
    <w:rsid w:val="002171FC"/>
    <w:rsid w:val="00217845"/>
    <w:rsid w:val="00217AB7"/>
    <w:rsid w:val="00217ACB"/>
    <w:rsid w:val="00217F2F"/>
    <w:rsid w:val="00220046"/>
    <w:rsid w:val="00220738"/>
    <w:rsid w:val="002218ED"/>
    <w:rsid w:val="00221DD1"/>
    <w:rsid w:val="00222444"/>
    <w:rsid w:val="00223437"/>
    <w:rsid w:val="00223E3C"/>
    <w:rsid w:val="002251D5"/>
    <w:rsid w:val="002259C0"/>
    <w:rsid w:val="00225D86"/>
    <w:rsid w:val="00225DEE"/>
    <w:rsid w:val="00226A10"/>
    <w:rsid w:val="00226A74"/>
    <w:rsid w:val="00226F13"/>
    <w:rsid w:val="00227044"/>
    <w:rsid w:val="00227089"/>
    <w:rsid w:val="00227DEC"/>
    <w:rsid w:val="00230B66"/>
    <w:rsid w:val="00230CA3"/>
    <w:rsid w:val="00230F89"/>
    <w:rsid w:val="0023179B"/>
    <w:rsid w:val="00231D52"/>
    <w:rsid w:val="002321E0"/>
    <w:rsid w:val="00232261"/>
    <w:rsid w:val="0023273E"/>
    <w:rsid w:val="00232817"/>
    <w:rsid w:val="00233173"/>
    <w:rsid w:val="002339D6"/>
    <w:rsid w:val="00233CB3"/>
    <w:rsid w:val="00234404"/>
    <w:rsid w:val="0023466D"/>
    <w:rsid w:val="00234DB4"/>
    <w:rsid w:val="002356B2"/>
    <w:rsid w:val="0023621D"/>
    <w:rsid w:val="00236532"/>
    <w:rsid w:val="00236875"/>
    <w:rsid w:val="00236AC0"/>
    <w:rsid w:val="00236B90"/>
    <w:rsid w:val="00237058"/>
    <w:rsid w:val="002370F0"/>
    <w:rsid w:val="002375DA"/>
    <w:rsid w:val="002400FD"/>
    <w:rsid w:val="00240139"/>
    <w:rsid w:val="00240860"/>
    <w:rsid w:val="00240B56"/>
    <w:rsid w:val="00240E63"/>
    <w:rsid w:val="002419CE"/>
    <w:rsid w:val="00241B5F"/>
    <w:rsid w:val="00243037"/>
    <w:rsid w:val="00243077"/>
    <w:rsid w:val="00243E2E"/>
    <w:rsid w:val="002443C5"/>
    <w:rsid w:val="00244D22"/>
    <w:rsid w:val="00244E2F"/>
    <w:rsid w:val="00245C3F"/>
    <w:rsid w:val="00245D70"/>
    <w:rsid w:val="00245F43"/>
    <w:rsid w:val="0024649F"/>
    <w:rsid w:val="00246855"/>
    <w:rsid w:val="00246DB5"/>
    <w:rsid w:val="002473AA"/>
    <w:rsid w:val="00247ABC"/>
    <w:rsid w:val="00247BE5"/>
    <w:rsid w:val="00247C10"/>
    <w:rsid w:val="00247D73"/>
    <w:rsid w:val="00250134"/>
    <w:rsid w:val="002507CF"/>
    <w:rsid w:val="00250AF7"/>
    <w:rsid w:val="00250BB5"/>
    <w:rsid w:val="00251552"/>
    <w:rsid w:val="00251ADE"/>
    <w:rsid w:val="00251CCD"/>
    <w:rsid w:val="00252072"/>
    <w:rsid w:val="00252EBA"/>
    <w:rsid w:val="00253A75"/>
    <w:rsid w:val="0025467E"/>
    <w:rsid w:val="002546E2"/>
    <w:rsid w:val="00255587"/>
    <w:rsid w:val="00255916"/>
    <w:rsid w:val="00256B46"/>
    <w:rsid w:val="00256BD3"/>
    <w:rsid w:val="00257AEA"/>
    <w:rsid w:val="00257CF1"/>
    <w:rsid w:val="0026079B"/>
    <w:rsid w:val="00260B55"/>
    <w:rsid w:val="00261C3A"/>
    <w:rsid w:val="002621C9"/>
    <w:rsid w:val="00262719"/>
    <w:rsid w:val="00262D8B"/>
    <w:rsid w:val="00263081"/>
    <w:rsid w:val="0026336B"/>
    <w:rsid w:val="002633CC"/>
    <w:rsid w:val="002637CC"/>
    <w:rsid w:val="0026392A"/>
    <w:rsid w:val="00263949"/>
    <w:rsid w:val="00263982"/>
    <w:rsid w:val="0026425B"/>
    <w:rsid w:val="0026489D"/>
    <w:rsid w:val="00265646"/>
    <w:rsid w:val="00265B9F"/>
    <w:rsid w:val="00265D61"/>
    <w:rsid w:val="00265F20"/>
    <w:rsid w:val="00266117"/>
    <w:rsid w:val="00266F8D"/>
    <w:rsid w:val="00267502"/>
    <w:rsid w:val="00267699"/>
    <w:rsid w:val="00267C61"/>
    <w:rsid w:val="00267F21"/>
    <w:rsid w:val="0027059C"/>
    <w:rsid w:val="00270BE0"/>
    <w:rsid w:val="002716DA"/>
    <w:rsid w:val="002741D6"/>
    <w:rsid w:val="002750B5"/>
    <w:rsid w:val="0027568A"/>
    <w:rsid w:val="00275AD1"/>
    <w:rsid w:val="00276828"/>
    <w:rsid w:val="0027733D"/>
    <w:rsid w:val="002774FF"/>
    <w:rsid w:val="002777FE"/>
    <w:rsid w:val="002779DA"/>
    <w:rsid w:val="00277CEA"/>
    <w:rsid w:val="0028022B"/>
    <w:rsid w:val="002806FA"/>
    <w:rsid w:val="00281005"/>
    <w:rsid w:val="002815E7"/>
    <w:rsid w:val="002816B1"/>
    <w:rsid w:val="00281D3C"/>
    <w:rsid w:val="0028207E"/>
    <w:rsid w:val="00282DA4"/>
    <w:rsid w:val="002836EB"/>
    <w:rsid w:val="00283A8C"/>
    <w:rsid w:val="00284653"/>
    <w:rsid w:val="002846AE"/>
    <w:rsid w:val="00284820"/>
    <w:rsid w:val="00284D0C"/>
    <w:rsid w:val="00285284"/>
    <w:rsid w:val="002862F2"/>
    <w:rsid w:val="00286933"/>
    <w:rsid w:val="00286CAB"/>
    <w:rsid w:val="002907B5"/>
    <w:rsid w:val="00291923"/>
    <w:rsid w:val="00291D79"/>
    <w:rsid w:val="0029255D"/>
    <w:rsid w:val="00292A6D"/>
    <w:rsid w:val="00292B25"/>
    <w:rsid w:val="00292DDF"/>
    <w:rsid w:val="00292EE5"/>
    <w:rsid w:val="002934A2"/>
    <w:rsid w:val="002937CF"/>
    <w:rsid w:val="00293BAF"/>
    <w:rsid w:val="00294254"/>
    <w:rsid w:val="0029460C"/>
    <w:rsid w:val="00294A38"/>
    <w:rsid w:val="00295401"/>
    <w:rsid w:val="00295EA9"/>
    <w:rsid w:val="002961C8"/>
    <w:rsid w:val="00296797"/>
    <w:rsid w:val="00296D71"/>
    <w:rsid w:val="002975F8"/>
    <w:rsid w:val="002A00D3"/>
    <w:rsid w:val="002A0326"/>
    <w:rsid w:val="002A0ECC"/>
    <w:rsid w:val="002A18BE"/>
    <w:rsid w:val="002A1D89"/>
    <w:rsid w:val="002A1D91"/>
    <w:rsid w:val="002A2189"/>
    <w:rsid w:val="002A2FA1"/>
    <w:rsid w:val="002A34E1"/>
    <w:rsid w:val="002A3EE7"/>
    <w:rsid w:val="002A4409"/>
    <w:rsid w:val="002A4F71"/>
    <w:rsid w:val="002A53A7"/>
    <w:rsid w:val="002A5563"/>
    <w:rsid w:val="002A57A7"/>
    <w:rsid w:val="002A5A83"/>
    <w:rsid w:val="002A5C35"/>
    <w:rsid w:val="002A5DDE"/>
    <w:rsid w:val="002A5FCD"/>
    <w:rsid w:val="002A6815"/>
    <w:rsid w:val="002B00DA"/>
    <w:rsid w:val="002B177B"/>
    <w:rsid w:val="002B1CBE"/>
    <w:rsid w:val="002B1F7E"/>
    <w:rsid w:val="002B24FB"/>
    <w:rsid w:val="002B252B"/>
    <w:rsid w:val="002B2B7C"/>
    <w:rsid w:val="002B2D57"/>
    <w:rsid w:val="002B394B"/>
    <w:rsid w:val="002B3BB0"/>
    <w:rsid w:val="002B3CC8"/>
    <w:rsid w:val="002B4282"/>
    <w:rsid w:val="002B43D0"/>
    <w:rsid w:val="002B484D"/>
    <w:rsid w:val="002B488E"/>
    <w:rsid w:val="002B6308"/>
    <w:rsid w:val="002B642F"/>
    <w:rsid w:val="002B64EC"/>
    <w:rsid w:val="002B6500"/>
    <w:rsid w:val="002B65CB"/>
    <w:rsid w:val="002B6620"/>
    <w:rsid w:val="002B6785"/>
    <w:rsid w:val="002B6911"/>
    <w:rsid w:val="002B6CF7"/>
    <w:rsid w:val="002B77C1"/>
    <w:rsid w:val="002C01E9"/>
    <w:rsid w:val="002C03C1"/>
    <w:rsid w:val="002C03D8"/>
    <w:rsid w:val="002C0432"/>
    <w:rsid w:val="002C061A"/>
    <w:rsid w:val="002C2580"/>
    <w:rsid w:val="002C3464"/>
    <w:rsid w:val="002C380E"/>
    <w:rsid w:val="002C39F7"/>
    <w:rsid w:val="002C4E1D"/>
    <w:rsid w:val="002C50D1"/>
    <w:rsid w:val="002C568B"/>
    <w:rsid w:val="002C596A"/>
    <w:rsid w:val="002C64BB"/>
    <w:rsid w:val="002C6C1E"/>
    <w:rsid w:val="002C6F3C"/>
    <w:rsid w:val="002C7731"/>
    <w:rsid w:val="002C79C0"/>
    <w:rsid w:val="002C7F56"/>
    <w:rsid w:val="002D03A6"/>
    <w:rsid w:val="002D04D4"/>
    <w:rsid w:val="002D0759"/>
    <w:rsid w:val="002D0A50"/>
    <w:rsid w:val="002D0C21"/>
    <w:rsid w:val="002D0ED6"/>
    <w:rsid w:val="002D190F"/>
    <w:rsid w:val="002D204F"/>
    <w:rsid w:val="002D2071"/>
    <w:rsid w:val="002D26E9"/>
    <w:rsid w:val="002D2B02"/>
    <w:rsid w:val="002D2D55"/>
    <w:rsid w:val="002D30A9"/>
    <w:rsid w:val="002D3461"/>
    <w:rsid w:val="002D3922"/>
    <w:rsid w:val="002D3B16"/>
    <w:rsid w:val="002D3C33"/>
    <w:rsid w:val="002D42B8"/>
    <w:rsid w:val="002D42FA"/>
    <w:rsid w:val="002D4751"/>
    <w:rsid w:val="002D4B91"/>
    <w:rsid w:val="002D5D3B"/>
    <w:rsid w:val="002D60F3"/>
    <w:rsid w:val="002D62F3"/>
    <w:rsid w:val="002D6B1C"/>
    <w:rsid w:val="002D6F3E"/>
    <w:rsid w:val="002D73E8"/>
    <w:rsid w:val="002D78FD"/>
    <w:rsid w:val="002D7B43"/>
    <w:rsid w:val="002E0193"/>
    <w:rsid w:val="002E03D3"/>
    <w:rsid w:val="002E096B"/>
    <w:rsid w:val="002E196F"/>
    <w:rsid w:val="002E1A39"/>
    <w:rsid w:val="002E1BFF"/>
    <w:rsid w:val="002E1D0D"/>
    <w:rsid w:val="002E1E15"/>
    <w:rsid w:val="002E1E8E"/>
    <w:rsid w:val="002E24A2"/>
    <w:rsid w:val="002E2A66"/>
    <w:rsid w:val="002E308A"/>
    <w:rsid w:val="002E3160"/>
    <w:rsid w:val="002E3B61"/>
    <w:rsid w:val="002E409E"/>
    <w:rsid w:val="002E4549"/>
    <w:rsid w:val="002E4633"/>
    <w:rsid w:val="002E480C"/>
    <w:rsid w:val="002E4F1A"/>
    <w:rsid w:val="002E5A29"/>
    <w:rsid w:val="002E601E"/>
    <w:rsid w:val="002E636E"/>
    <w:rsid w:val="002E6557"/>
    <w:rsid w:val="002E690C"/>
    <w:rsid w:val="002E776F"/>
    <w:rsid w:val="002E77FE"/>
    <w:rsid w:val="002E7D7D"/>
    <w:rsid w:val="002E7E83"/>
    <w:rsid w:val="002F0249"/>
    <w:rsid w:val="002F03D8"/>
    <w:rsid w:val="002F0579"/>
    <w:rsid w:val="002F09E3"/>
    <w:rsid w:val="002F0D1B"/>
    <w:rsid w:val="002F1390"/>
    <w:rsid w:val="002F2272"/>
    <w:rsid w:val="002F2A6E"/>
    <w:rsid w:val="002F2ABC"/>
    <w:rsid w:val="002F3856"/>
    <w:rsid w:val="002F3F7C"/>
    <w:rsid w:val="002F41C9"/>
    <w:rsid w:val="002F42C6"/>
    <w:rsid w:val="002F52DB"/>
    <w:rsid w:val="002F54F7"/>
    <w:rsid w:val="002F5CDE"/>
    <w:rsid w:val="002F6031"/>
    <w:rsid w:val="002F604F"/>
    <w:rsid w:val="002F6FBE"/>
    <w:rsid w:val="00300062"/>
    <w:rsid w:val="00300465"/>
    <w:rsid w:val="00300A29"/>
    <w:rsid w:val="00300D47"/>
    <w:rsid w:val="003013FB"/>
    <w:rsid w:val="00301726"/>
    <w:rsid w:val="00302053"/>
    <w:rsid w:val="0030244D"/>
    <w:rsid w:val="00303758"/>
    <w:rsid w:val="003038C4"/>
    <w:rsid w:val="0030412F"/>
    <w:rsid w:val="00304C61"/>
    <w:rsid w:val="00305616"/>
    <w:rsid w:val="00305A10"/>
    <w:rsid w:val="00305D78"/>
    <w:rsid w:val="0030614D"/>
    <w:rsid w:val="003065D1"/>
    <w:rsid w:val="00306A67"/>
    <w:rsid w:val="00306C38"/>
    <w:rsid w:val="00306EDB"/>
    <w:rsid w:val="00307517"/>
    <w:rsid w:val="00307A86"/>
    <w:rsid w:val="003100BB"/>
    <w:rsid w:val="00310BC1"/>
    <w:rsid w:val="00310C82"/>
    <w:rsid w:val="00310F4B"/>
    <w:rsid w:val="003112C0"/>
    <w:rsid w:val="00311852"/>
    <w:rsid w:val="003118F7"/>
    <w:rsid w:val="00311920"/>
    <w:rsid w:val="00311FB0"/>
    <w:rsid w:val="00312C64"/>
    <w:rsid w:val="003134C6"/>
    <w:rsid w:val="003145DD"/>
    <w:rsid w:val="00315111"/>
    <w:rsid w:val="00315522"/>
    <w:rsid w:val="0031574B"/>
    <w:rsid w:val="00315FEB"/>
    <w:rsid w:val="00317157"/>
    <w:rsid w:val="00317AED"/>
    <w:rsid w:val="00317F92"/>
    <w:rsid w:val="003202B2"/>
    <w:rsid w:val="003202DD"/>
    <w:rsid w:val="003204BE"/>
    <w:rsid w:val="003205C6"/>
    <w:rsid w:val="00320CE8"/>
    <w:rsid w:val="0032172C"/>
    <w:rsid w:val="003218D0"/>
    <w:rsid w:val="00321A5A"/>
    <w:rsid w:val="00321CDA"/>
    <w:rsid w:val="00321E07"/>
    <w:rsid w:val="00321EBF"/>
    <w:rsid w:val="00322281"/>
    <w:rsid w:val="003227CA"/>
    <w:rsid w:val="00322822"/>
    <w:rsid w:val="00323211"/>
    <w:rsid w:val="00323471"/>
    <w:rsid w:val="00323633"/>
    <w:rsid w:val="00323BF9"/>
    <w:rsid w:val="00323D56"/>
    <w:rsid w:val="00324BE0"/>
    <w:rsid w:val="00325334"/>
    <w:rsid w:val="00325FBF"/>
    <w:rsid w:val="00326625"/>
    <w:rsid w:val="00326EE0"/>
    <w:rsid w:val="003301AE"/>
    <w:rsid w:val="00330270"/>
    <w:rsid w:val="003304C6"/>
    <w:rsid w:val="00330A2D"/>
    <w:rsid w:val="00330EC1"/>
    <w:rsid w:val="00331242"/>
    <w:rsid w:val="0033134A"/>
    <w:rsid w:val="0033307D"/>
    <w:rsid w:val="003332B3"/>
    <w:rsid w:val="00333754"/>
    <w:rsid w:val="003337B3"/>
    <w:rsid w:val="00333AFD"/>
    <w:rsid w:val="003344AA"/>
    <w:rsid w:val="00334E2F"/>
    <w:rsid w:val="00335A83"/>
    <w:rsid w:val="00335C5F"/>
    <w:rsid w:val="00336190"/>
    <w:rsid w:val="00336272"/>
    <w:rsid w:val="0033635A"/>
    <w:rsid w:val="00336509"/>
    <w:rsid w:val="00336B82"/>
    <w:rsid w:val="00336EFA"/>
    <w:rsid w:val="00337BE2"/>
    <w:rsid w:val="00337CA5"/>
    <w:rsid w:val="00337EB8"/>
    <w:rsid w:val="0034040C"/>
    <w:rsid w:val="003406E4"/>
    <w:rsid w:val="00340955"/>
    <w:rsid w:val="00340D28"/>
    <w:rsid w:val="00340F1E"/>
    <w:rsid w:val="0034155F"/>
    <w:rsid w:val="003418D8"/>
    <w:rsid w:val="00341F0B"/>
    <w:rsid w:val="003426F2"/>
    <w:rsid w:val="00342717"/>
    <w:rsid w:val="003429DE"/>
    <w:rsid w:val="00342F59"/>
    <w:rsid w:val="00343067"/>
    <w:rsid w:val="00343239"/>
    <w:rsid w:val="00343A70"/>
    <w:rsid w:val="00344169"/>
    <w:rsid w:val="00344740"/>
    <w:rsid w:val="0034499B"/>
    <w:rsid w:val="00344CD6"/>
    <w:rsid w:val="003453FA"/>
    <w:rsid w:val="003458AF"/>
    <w:rsid w:val="00345C2F"/>
    <w:rsid w:val="00345DCA"/>
    <w:rsid w:val="00346301"/>
    <w:rsid w:val="0034697C"/>
    <w:rsid w:val="00346BC8"/>
    <w:rsid w:val="00346F67"/>
    <w:rsid w:val="0034768B"/>
    <w:rsid w:val="00347CCF"/>
    <w:rsid w:val="003505AD"/>
    <w:rsid w:val="0035099F"/>
    <w:rsid w:val="00350CE4"/>
    <w:rsid w:val="003513C2"/>
    <w:rsid w:val="0035147D"/>
    <w:rsid w:val="003516EF"/>
    <w:rsid w:val="003519F4"/>
    <w:rsid w:val="00351A3D"/>
    <w:rsid w:val="00351FE4"/>
    <w:rsid w:val="00352A50"/>
    <w:rsid w:val="00352D1B"/>
    <w:rsid w:val="00352D7D"/>
    <w:rsid w:val="003538E5"/>
    <w:rsid w:val="00353A8F"/>
    <w:rsid w:val="003545BE"/>
    <w:rsid w:val="00354BCE"/>
    <w:rsid w:val="00354EB3"/>
    <w:rsid w:val="003553C1"/>
    <w:rsid w:val="00355B35"/>
    <w:rsid w:val="00355B9E"/>
    <w:rsid w:val="00356955"/>
    <w:rsid w:val="00356AA6"/>
    <w:rsid w:val="003570E5"/>
    <w:rsid w:val="00357FA6"/>
    <w:rsid w:val="003602EA"/>
    <w:rsid w:val="0036039A"/>
    <w:rsid w:val="00362812"/>
    <w:rsid w:val="0036291F"/>
    <w:rsid w:val="0036300E"/>
    <w:rsid w:val="00363297"/>
    <w:rsid w:val="00363341"/>
    <w:rsid w:val="00363667"/>
    <w:rsid w:val="00363ACA"/>
    <w:rsid w:val="00364764"/>
    <w:rsid w:val="00364786"/>
    <w:rsid w:val="00364A33"/>
    <w:rsid w:val="0036558B"/>
    <w:rsid w:val="00365DA0"/>
    <w:rsid w:val="003664F6"/>
    <w:rsid w:val="003667E2"/>
    <w:rsid w:val="00366F6A"/>
    <w:rsid w:val="00367237"/>
    <w:rsid w:val="0036769B"/>
    <w:rsid w:val="00367759"/>
    <w:rsid w:val="003707AC"/>
    <w:rsid w:val="0037115B"/>
    <w:rsid w:val="00371216"/>
    <w:rsid w:val="0037199E"/>
    <w:rsid w:val="00372102"/>
    <w:rsid w:val="003723B4"/>
    <w:rsid w:val="00372439"/>
    <w:rsid w:val="00372B4E"/>
    <w:rsid w:val="003737EE"/>
    <w:rsid w:val="00373AAB"/>
    <w:rsid w:val="00374430"/>
    <w:rsid w:val="00374470"/>
    <w:rsid w:val="0037490C"/>
    <w:rsid w:val="0037537E"/>
    <w:rsid w:val="003758FA"/>
    <w:rsid w:val="00375BF2"/>
    <w:rsid w:val="00375D5C"/>
    <w:rsid w:val="00375DB1"/>
    <w:rsid w:val="0037649F"/>
    <w:rsid w:val="00376A83"/>
    <w:rsid w:val="00376C48"/>
    <w:rsid w:val="00377051"/>
    <w:rsid w:val="0037742C"/>
    <w:rsid w:val="003777E6"/>
    <w:rsid w:val="00377859"/>
    <w:rsid w:val="00377C94"/>
    <w:rsid w:val="00380044"/>
    <w:rsid w:val="003807FD"/>
    <w:rsid w:val="003808C3"/>
    <w:rsid w:val="00380EEB"/>
    <w:rsid w:val="00381A2C"/>
    <w:rsid w:val="00381A75"/>
    <w:rsid w:val="00381F71"/>
    <w:rsid w:val="00382188"/>
    <w:rsid w:val="00382FBE"/>
    <w:rsid w:val="003837F6"/>
    <w:rsid w:val="00384070"/>
    <w:rsid w:val="0038472D"/>
    <w:rsid w:val="003849E7"/>
    <w:rsid w:val="00384D4D"/>
    <w:rsid w:val="003854FF"/>
    <w:rsid w:val="003865FC"/>
    <w:rsid w:val="003866D7"/>
    <w:rsid w:val="00386854"/>
    <w:rsid w:val="00386A14"/>
    <w:rsid w:val="00387540"/>
    <w:rsid w:val="003877C1"/>
    <w:rsid w:val="00390676"/>
    <w:rsid w:val="003917DF"/>
    <w:rsid w:val="00391E4F"/>
    <w:rsid w:val="00392022"/>
    <w:rsid w:val="00392755"/>
    <w:rsid w:val="003928E2"/>
    <w:rsid w:val="00393C23"/>
    <w:rsid w:val="00393F26"/>
    <w:rsid w:val="00393FA8"/>
    <w:rsid w:val="00394AA6"/>
    <w:rsid w:val="0039502E"/>
    <w:rsid w:val="003955E8"/>
    <w:rsid w:val="003956EF"/>
    <w:rsid w:val="0039596F"/>
    <w:rsid w:val="00396A46"/>
    <w:rsid w:val="00396EC8"/>
    <w:rsid w:val="00396FB6"/>
    <w:rsid w:val="00397D83"/>
    <w:rsid w:val="00397E4E"/>
    <w:rsid w:val="003A005A"/>
    <w:rsid w:val="003A15C2"/>
    <w:rsid w:val="003A18D0"/>
    <w:rsid w:val="003A212F"/>
    <w:rsid w:val="003A21D1"/>
    <w:rsid w:val="003A22C3"/>
    <w:rsid w:val="003A22D6"/>
    <w:rsid w:val="003A27A7"/>
    <w:rsid w:val="003A2D96"/>
    <w:rsid w:val="003A2DFB"/>
    <w:rsid w:val="003A3523"/>
    <w:rsid w:val="003A3BFC"/>
    <w:rsid w:val="003A3FDE"/>
    <w:rsid w:val="003A52B2"/>
    <w:rsid w:val="003A5C66"/>
    <w:rsid w:val="003A63D4"/>
    <w:rsid w:val="003A6403"/>
    <w:rsid w:val="003A6782"/>
    <w:rsid w:val="003A6FED"/>
    <w:rsid w:val="003A7ACB"/>
    <w:rsid w:val="003A7B62"/>
    <w:rsid w:val="003B02A2"/>
    <w:rsid w:val="003B0727"/>
    <w:rsid w:val="003B0773"/>
    <w:rsid w:val="003B07B5"/>
    <w:rsid w:val="003B1626"/>
    <w:rsid w:val="003B1E5B"/>
    <w:rsid w:val="003B2386"/>
    <w:rsid w:val="003B25AA"/>
    <w:rsid w:val="003B2A96"/>
    <w:rsid w:val="003B3257"/>
    <w:rsid w:val="003B3760"/>
    <w:rsid w:val="003B3D9C"/>
    <w:rsid w:val="003B4C62"/>
    <w:rsid w:val="003B4D13"/>
    <w:rsid w:val="003B4EFC"/>
    <w:rsid w:val="003B4F4F"/>
    <w:rsid w:val="003B511D"/>
    <w:rsid w:val="003B5648"/>
    <w:rsid w:val="003B57CE"/>
    <w:rsid w:val="003B59D4"/>
    <w:rsid w:val="003B5CB3"/>
    <w:rsid w:val="003B5D59"/>
    <w:rsid w:val="003B707E"/>
    <w:rsid w:val="003B7E63"/>
    <w:rsid w:val="003C0051"/>
    <w:rsid w:val="003C02DF"/>
    <w:rsid w:val="003C1326"/>
    <w:rsid w:val="003C17AF"/>
    <w:rsid w:val="003C2340"/>
    <w:rsid w:val="003C3141"/>
    <w:rsid w:val="003C3258"/>
    <w:rsid w:val="003C3D39"/>
    <w:rsid w:val="003C40A4"/>
    <w:rsid w:val="003C4759"/>
    <w:rsid w:val="003C4A64"/>
    <w:rsid w:val="003C54D8"/>
    <w:rsid w:val="003C5A27"/>
    <w:rsid w:val="003C6091"/>
    <w:rsid w:val="003C69AB"/>
    <w:rsid w:val="003C6B14"/>
    <w:rsid w:val="003C70D3"/>
    <w:rsid w:val="003D04D6"/>
    <w:rsid w:val="003D0718"/>
    <w:rsid w:val="003D0FE3"/>
    <w:rsid w:val="003D1312"/>
    <w:rsid w:val="003D1BAC"/>
    <w:rsid w:val="003D2ED1"/>
    <w:rsid w:val="003D4295"/>
    <w:rsid w:val="003D47CC"/>
    <w:rsid w:val="003D6225"/>
    <w:rsid w:val="003D6404"/>
    <w:rsid w:val="003D727C"/>
    <w:rsid w:val="003D74F3"/>
    <w:rsid w:val="003E013E"/>
    <w:rsid w:val="003E09D9"/>
    <w:rsid w:val="003E0B5B"/>
    <w:rsid w:val="003E0C2B"/>
    <w:rsid w:val="003E1186"/>
    <w:rsid w:val="003E1498"/>
    <w:rsid w:val="003E16D1"/>
    <w:rsid w:val="003E1933"/>
    <w:rsid w:val="003E19D0"/>
    <w:rsid w:val="003E2FC8"/>
    <w:rsid w:val="003E30F5"/>
    <w:rsid w:val="003E3EE3"/>
    <w:rsid w:val="003E4180"/>
    <w:rsid w:val="003E43BA"/>
    <w:rsid w:val="003E44FB"/>
    <w:rsid w:val="003E4653"/>
    <w:rsid w:val="003E4D3B"/>
    <w:rsid w:val="003E5218"/>
    <w:rsid w:val="003E5338"/>
    <w:rsid w:val="003E5362"/>
    <w:rsid w:val="003E53D0"/>
    <w:rsid w:val="003E6249"/>
    <w:rsid w:val="003F099B"/>
    <w:rsid w:val="003F0DFF"/>
    <w:rsid w:val="003F0F80"/>
    <w:rsid w:val="003F1093"/>
    <w:rsid w:val="003F1F0E"/>
    <w:rsid w:val="003F2270"/>
    <w:rsid w:val="003F287C"/>
    <w:rsid w:val="003F2B95"/>
    <w:rsid w:val="003F380A"/>
    <w:rsid w:val="003F3B47"/>
    <w:rsid w:val="003F3C73"/>
    <w:rsid w:val="003F3DBB"/>
    <w:rsid w:val="003F4654"/>
    <w:rsid w:val="003F48AE"/>
    <w:rsid w:val="003F523D"/>
    <w:rsid w:val="003F562D"/>
    <w:rsid w:val="003F61D1"/>
    <w:rsid w:val="003F6233"/>
    <w:rsid w:val="003F64CF"/>
    <w:rsid w:val="003F6761"/>
    <w:rsid w:val="003F726A"/>
    <w:rsid w:val="003F73D3"/>
    <w:rsid w:val="003F777E"/>
    <w:rsid w:val="00401649"/>
    <w:rsid w:val="0040269A"/>
    <w:rsid w:val="004026C3"/>
    <w:rsid w:val="0040291F"/>
    <w:rsid w:val="00403D4E"/>
    <w:rsid w:val="004046C5"/>
    <w:rsid w:val="0040586C"/>
    <w:rsid w:val="00405C87"/>
    <w:rsid w:val="00405F07"/>
    <w:rsid w:val="00406249"/>
    <w:rsid w:val="004062E4"/>
    <w:rsid w:val="004067BC"/>
    <w:rsid w:val="004067FE"/>
    <w:rsid w:val="00406EFD"/>
    <w:rsid w:val="00407567"/>
    <w:rsid w:val="004078A8"/>
    <w:rsid w:val="0040792C"/>
    <w:rsid w:val="00407AE5"/>
    <w:rsid w:val="00407CED"/>
    <w:rsid w:val="00407D53"/>
    <w:rsid w:val="0041076C"/>
    <w:rsid w:val="0041082C"/>
    <w:rsid w:val="004111AA"/>
    <w:rsid w:val="00411941"/>
    <w:rsid w:val="00411C1F"/>
    <w:rsid w:val="00412205"/>
    <w:rsid w:val="004126F5"/>
    <w:rsid w:val="004130FA"/>
    <w:rsid w:val="004135CF"/>
    <w:rsid w:val="004138BA"/>
    <w:rsid w:val="004144D9"/>
    <w:rsid w:val="00414C53"/>
    <w:rsid w:val="00414FD8"/>
    <w:rsid w:val="004150E9"/>
    <w:rsid w:val="00415CCC"/>
    <w:rsid w:val="00415FC2"/>
    <w:rsid w:val="00417087"/>
    <w:rsid w:val="00420EDD"/>
    <w:rsid w:val="004212D4"/>
    <w:rsid w:val="00421F56"/>
    <w:rsid w:val="00422A96"/>
    <w:rsid w:val="00422D45"/>
    <w:rsid w:val="00422E2D"/>
    <w:rsid w:val="004231F8"/>
    <w:rsid w:val="004240DB"/>
    <w:rsid w:val="004251C7"/>
    <w:rsid w:val="004266D2"/>
    <w:rsid w:val="00426A21"/>
    <w:rsid w:val="00427B59"/>
    <w:rsid w:val="004300AA"/>
    <w:rsid w:val="004302B2"/>
    <w:rsid w:val="00430820"/>
    <w:rsid w:val="00430A33"/>
    <w:rsid w:val="00430C9D"/>
    <w:rsid w:val="00431669"/>
    <w:rsid w:val="00431798"/>
    <w:rsid w:val="00431A42"/>
    <w:rsid w:val="00431BB0"/>
    <w:rsid w:val="00432106"/>
    <w:rsid w:val="0043271F"/>
    <w:rsid w:val="004333C3"/>
    <w:rsid w:val="0043343E"/>
    <w:rsid w:val="00433501"/>
    <w:rsid w:val="00433814"/>
    <w:rsid w:val="0043415C"/>
    <w:rsid w:val="0043437D"/>
    <w:rsid w:val="00434700"/>
    <w:rsid w:val="00434CC0"/>
    <w:rsid w:val="00434DF7"/>
    <w:rsid w:val="00434EB0"/>
    <w:rsid w:val="00434F16"/>
    <w:rsid w:val="00435104"/>
    <w:rsid w:val="00436836"/>
    <w:rsid w:val="00436C32"/>
    <w:rsid w:val="00437498"/>
    <w:rsid w:val="00437710"/>
    <w:rsid w:val="00437E54"/>
    <w:rsid w:val="00437E6B"/>
    <w:rsid w:val="00440B3A"/>
    <w:rsid w:val="00440DF2"/>
    <w:rsid w:val="0044135A"/>
    <w:rsid w:val="00441F65"/>
    <w:rsid w:val="004424DB"/>
    <w:rsid w:val="00442857"/>
    <w:rsid w:val="00442C48"/>
    <w:rsid w:val="00442D2A"/>
    <w:rsid w:val="004433A4"/>
    <w:rsid w:val="00443792"/>
    <w:rsid w:val="00443C0E"/>
    <w:rsid w:val="00444038"/>
    <w:rsid w:val="00444162"/>
    <w:rsid w:val="00444607"/>
    <w:rsid w:val="0044465E"/>
    <w:rsid w:val="0044483C"/>
    <w:rsid w:val="004456F5"/>
    <w:rsid w:val="00445863"/>
    <w:rsid w:val="00446294"/>
    <w:rsid w:val="00446862"/>
    <w:rsid w:val="00447028"/>
    <w:rsid w:val="00447912"/>
    <w:rsid w:val="00450A4D"/>
    <w:rsid w:val="00451B77"/>
    <w:rsid w:val="00451CAF"/>
    <w:rsid w:val="00451EC0"/>
    <w:rsid w:val="00452792"/>
    <w:rsid w:val="004528F5"/>
    <w:rsid w:val="00452A30"/>
    <w:rsid w:val="00452B14"/>
    <w:rsid w:val="004532E7"/>
    <w:rsid w:val="00454013"/>
    <w:rsid w:val="0045449E"/>
    <w:rsid w:val="0045452E"/>
    <w:rsid w:val="0045495C"/>
    <w:rsid w:val="00454D3E"/>
    <w:rsid w:val="00455069"/>
    <w:rsid w:val="0045545A"/>
    <w:rsid w:val="00455692"/>
    <w:rsid w:val="00455908"/>
    <w:rsid w:val="0045596E"/>
    <w:rsid w:val="004564A5"/>
    <w:rsid w:val="004567BB"/>
    <w:rsid w:val="0045700D"/>
    <w:rsid w:val="004570FC"/>
    <w:rsid w:val="004605CC"/>
    <w:rsid w:val="004608B5"/>
    <w:rsid w:val="00460E06"/>
    <w:rsid w:val="00460F15"/>
    <w:rsid w:val="00461CF2"/>
    <w:rsid w:val="00461EF9"/>
    <w:rsid w:val="00462F67"/>
    <w:rsid w:val="004632DE"/>
    <w:rsid w:val="004636C7"/>
    <w:rsid w:val="004639A8"/>
    <w:rsid w:val="0046416A"/>
    <w:rsid w:val="00464392"/>
    <w:rsid w:val="0046479F"/>
    <w:rsid w:val="00465260"/>
    <w:rsid w:val="004652F9"/>
    <w:rsid w:val="00465314"/>
    <w:rsid w:val="0046535E"/>
    <w:rsid w:val="00465A92"/>
    <w:rsid w:val="0046643D"/>
    <w:rsid w:val="00466E57"/>
    <w:rsid w:val="00467079"/>
    <w:rsid w:val="00467844"/>
    <w:rsid w:val="00470201"/>
    <w:rsid w:val="00471D13"/>
    <w:rsid w:val="00471DED"/>
    <w:rsid w:val="00472900"/>
    <w:rsid w:val="00472E5B"/>
    <w:rsid w:val="00472EBF"/>
    <w:rsid w:val="00473175"/>
    <w:rsid w:val="00473DE8"/>
    <w:rsid w:val="00473F6E"/>
    <w:rsid w:val="004743B3"/>
    <w:rsid w:val="00474C27"/>
    <w:rsid w:val="00474F97"/>
    <w:rsid w:val="0047697F"/>
    <w:rsid w:val="00476C17"/>
    <w:rsid w:val="00476D0D"/>
    <w:rsid w:val="004771B2"/>
    <w:rsid w:val="00477243"/>
    <w:rsid w:val="00477522"/>
    <w:rsid w:val="004801DB"/>
    <w:rsid w:val="004807DE"/>
    <w:rsid w:val="00480953"/>
    <w:rsid w:val="00480984"/>
    <w:rsid w:val="004809D9"/>
    <w:rsid w:val="0048171B"/>
    <w:rsid w:val="00481990"/>
    <w:rsid w:val="004824CB"/>
    <w:rsid w:val="00482800"/>
    <w:rsid w:val="00482858"/>
    <w:rsid w:val="00483856"/>
    <w:rsid w:val="0048440B"/>
    <w:rsid w:val="004846A1"/>
    <w:rsid w:val="00484852"/>
    <w:rsid w:val="00485BB6"/>
    <w:rsid w:val="00486313"/>
    <w:rsid w:val="004876E9"/>
    <w:rsid w:val="004877E5"/>
    <w:rsid w:val="004903E7"/>
    <w:rsid w:val="00490428"/>
    <w:rsid w:val="004905DD"/>
    <w:rsid w:val="00490DC9"/>
    <w:rsid w:val="004911D8"/>
    <w:rsid w:val="00491295"/>
    <w:rsid w:val="0049156D"/>
    <w:rsid w:val="00491898"/>
    <w:rsid w:val="00491A1E"/>
    <w:rsid w:val="00491C00"/>
    <w:rsid w:val="00491D7B"/>
    <w:rsid w:val="00491D96"/>
    <w:rsid w:val="00491DD3"/>
    <w:rsid w:val="004929E2"/>
    <w:rsid w:val="00492FAE"/>
    <w:rsid w:val="0049306F"/>
    <w:rsid w:val="00493142"/>
    <w:rsid w:val="00493E79"/>
    <w:rsid w:val="00496C7A"/>
    <w:rsid w:val="00496CF4"/>
    <w:rsid w:val="00497811"/>
    <w:rsid w:val="004978AC"/>
    <w:rsid w:val="00497EED"/>
    <w:rsid w:val="004A003D"/>
    <w:rsid w:val="004A04AF"/>
    <w:rsid w:val="004A05C6"/>
    <w:rsid w:val="004A0941"/>
    <w:rsid w:val="004A0C09"/>
    <w:rsid w:val="004A2B16"/>
    <w:rsid w:val="004A2BAD"/>
    <w:rsid w:val="004A304A"/>
    <w:rsid w:val="004A3A22"/>
    <w:rsid w:val="004A3BCC"/>
    <w:rsid w:val="004A3BFF"/>
    <w:rsid w:val="004A59CB"/>
    <w:rsid w:val="004A5D86"/>
    <w:rsid w:val="004A5E2A"/>
    <w:rsid w:val="004A6752"/>
    <w:rsid w:val="004A761A"/>
    <w:rsid w:val="004A7AAD"/>
    <w:rsid w:val="004A7FBF"/>
    <w:rsid w:val="004B007C"/>
    <w:rsid w:val="004B04FF"/>
    <w:rsid w:val="004B0D35"/>
    <w:rsid w:val="004B1F8C"/>
    <w:rsid w:val="004B26BE"/>
    <w:rsid w:val="004B27D0"/>
    <w:rsid w:val="004B2A66"/>
    <w:rsid w:val="004B2AEF"/>
    <w:rsid w:val="004B3517"/>
    <w:rsid w:val="004B416F"/>
    <w:rsid w:val="004B4883"/>
    <w:rsid w:val="004B52F6"/>
    <w:rsid w:val="004B59FF"/>
    <w:rsid w:val="004B5CBB"/>
    <w:rsid w:val="004B5EE6"/>
    <w:rsid w:val="004B5FEB"/>
    <w:rsid w:val="004B61DC"/>
    <w:rsid w:val="004B66F4"/>
    <w:rsid w:val="004B7263"/>
    <w:rsid w:val="004B7750"/>
    <w:rsid w:val="004B7B41"/>
    <w:rsid w:val="004B7D56"/>
    <w:rsid w:val="004B7EA2"/>
    <w:rsid w:val="004C01D3"/>
    <w:rsid w:val="004C02CF"/>
    <w:rsid w:val="004C0357"/>
    <w:rsid w:val="004C09B7"/>
    <w:rsid w:val="004C0D54"/>
    <w:rsid w:val="004C1C68"/>
    <w:rsid w:val="004C22DF"/>
    <w:rsid w:val="004C2525"/>
    <w:rsid w:val="004C257F"/>
    <w:rsid w:val="004C2844"/>
    <w:rsid w:val="004C2E6C"/>
    <w:rsid w:val="004C32C1"/>
    <w:rsid w:val="004C342E"/>
    <w:rsid w:val="004C3B77"/>
    <w:rsid w:val="004C3FFF"/>
    <w:rsid w:val="004C424F"/>
    <w:rsid w:val="004C452A"/>
    <w:rsid w:val="004C4C01"/>
    <w:rsid w:val="004C57A6"/>
    <w:rsid w:val="004C59F3"/>
    <w:rsid w:val="004C5A0D"/>
    <w:rsid w:val="004C6320"/>
    <w:rsid w:val="004C6466"/>
    <w:rsid w:val="004C66E1"/>
    <w:rsid w:val="004C6784"/>
    <w:rsid w:val="004C68BB"/>
    <w:rsid w:val="004C7C74"/>
    <w:rsid w:val="004D0442"/>
    <w:rsid w:val="004D0F58"/>
    <w:rsid w:val="004D120E"/>
    <w:rsid w:val="004D14BC"/>
    <w:rsid w:val="004D16A7"/>
    <w:rsid w:val="004D170E"/>
    <w:rsid w:val="004D1EC8"/>
    <w:rsid w:val="004D227B"/>
    <w:rsid w:val="004D2296"/>
    <w:rsid w:val="004D2E13"/>
    <w:rsid w:val="004D3142"/>
    <w:rsid w:val="004D3231"/>
    <w:rsid w:val="004D385E"/>
    <w:rsid w:val="004D3AD6"/>
    <w:rsid w:val="004D3BBA"/>
    <w:rsid w:val="004D461C"/>
    <w:rsid w:val="004D4C1A"/>
    <w:rsid w:val="004D5637"/>
    <w:rsid w:val="004D61E3"/>
    <w:rsid w:val="004D630D"/>
    <w:rsid w:val="004D6970"/>
    <w:rsid w:val="004D69BE"/>
    <w:rsid w:val="004D6A81"/>
    <w:rsid w:val="004D798C"/>
    <w:rsid w:val="004D7E85"/>
    <w:rsid w:val="004D7F44"/>
    <w:rsid w:val="004E0253"/>
    <w:rsid w:val="004E0619"/>
    <w:rsid w:val="004E07D7"/>
    <w:rsid w:val="004E08F3"/>
    <w:rsid w:val="004E1052"/>
    <w:rsid w:val="004E19FC"/>
    <w:rsid w:val="004E1F5F"/>
    <w:rsid w:val="004E27DC"/>
    <w:rsid w:val="004E2B52"/>
    <w:rsid w:val="004E2B7B"/>
    <w:rsid w:val="004E3A28"/>
    <w:rsid w:val="004E3C88"/>
    <w:rsid w:val="004E45F6"/>
    <w:rsid w:val="004E4804"/>
    <w:rsid w:val="004E489A"/>
    <w:rsid w:val="004E4B31"/>
    <w:rsid w:val="004E4B88"/>
    <w:rsid w:val="004E5469"/>
    <w:rsid w:val="004E55B3"/>
    <w:rsid w:val="004E61BF"/>
    <w:rsid w:val="004E62B2"/>
    <w:rsid w:val="004E666D"/>
    <w:rsid w:val="004E6CA7"/>
    <w:rsid w:val="004E6D02"/>
    <w:rsid w:val="004E6DA8"/>
    <w:rsid w:val="004E6F0A"/>
    <w:rsid w:val="004F022E"/>
    <w:rsid w:val="004F05EA"/>
    <w:rsid w:val="004F0C89"/>
    <w:rsid w:val="004F22A3"/>
    <w:rsid w:val="004F2538"/>
    <w:rsid w:val="004F2F5D"/>
    <w:rsid w:val="004F3430"/>
    <w:rsid w:val="004F371F"/>
    <w:rsid w:val="004F372D"/>
    <w:rsid w:val="004F3CB8"/>
    <w:rsid w:val="004F409A"/>
    <w:rsid w:val="004F5684"/>
    <w:rsid w:val="004F574C"/>
    <w:rsid w:val="004F5AF5"/>
    <w:rsid w:val="004F5B01"/>
    <w:rsid w:val="004F5B7A"/>
    <w:rsid w:val="004F73AF"/>
    <w:rsid w:val="004F7618"/>
    <w:rsid w:val="004F7EEC"/>
    <w:rsid w:val="00500E06"/>
    <w:rsid w:val="00501915"/>
    <w:rsid w:val="005024D9"/>
    <w:rsid w:val="00502BDF"/>
    <w:rsid w:val="00502E6A"/>
    <w:rsid w:val="00503051"/>
    <w:rsid w:val="00503754"/>
    <w:rsid w:val="00503B04"/>
    <w:rsid w:val="00503F82"/>
    <w:rsid w:val="005040E8"/>
    <w:rsid w:val="00504245"/>
    <w:rsid w:val="00504BD4"/>
    <w:rsid w:val="00505203"/>
    <w:rsid w:val="00505981"/>
    <w:rsid w:val="00506635"/>
    <w:rsid w:val="00506877"/>
    <w:rsid w:val="00507018"/>
    <w:rsid w:val="005075F4"/>
    <w:rsid w:val="0050775A"/>
    <w:rsid w:val="00507B7C"/>
    <w:rsid w:val="0051051F"/>
    <w:rsid w:val="005111D9"/>
    <w:rsid w:val="005114F4"/>
    <w:rsid w:val="005116B9"/>
    <w:rsid w:val="00511949"/>
    <w:rsid w:val="00511AB3"/>
    <w:rsid w:val="00511BC9"/>
    <w:rsid w:val="0051242E"/>
    <w:rsid w:val="00512532"/>
    <w:rsid w:val="005125FE"/>
    <w:rsid w:val="00512912"/>
    <w:rsid w:val="00513079"/>
    <w:rsid w:val="005136C8"/>
    <w:rsid w:val="00513AD9"/>
    <w:rsid w:val="005148DA"/>
    <w:rsid w:val="0051490F"/>
    <w:rsid w:val="00514A51"/>
    <w:rsid w:val="00514D45"/>
    <w:rsid w:val="00514EE3"/>
    <w:rsid w:val="00514EFC"/>
    <w:rsid w:val="00515584"/>
    <w:rsid w:val="0051573D"/>
    <w:rsid w:val="00515D27"/>
    <w:rsid w:val="00515DF5"/>
    <w:rsid w:val="00515FF2"/>
    <w:rsid w:val="00516270"/>
    <w:rsid w:val="00516475"/>
    <w:rsid w:val="00516A8F"/>
    <w:rsid w:val="00516AAA"/>
    <w:rsid w:val="005173C9"/>
    <w:rsid w:val="005206D4"/>
    <w:rsid w:val="00520C9B"/>
    <w:rsid w:val="00522106"/>
    <w:rsid w:val="00522555"/>
    <w:rsid w:val="00522853"/>
    <w:rsid w:val="00522961"/>
    <w:rsid w:val="00522B3A"/>
    <w:rsid w:val="00523354"/>
    <w:rsid w:val="00523E5B"/>
    <w:rsid w:val="00523F2F"/>
    <w:rsid w:val="005255DC"/>
    <w:rsid w:val="00525FD5"/>
    <w:rsid w:val="00526D95"/>
    <w:rsid w:val="00526F4F"/>
    <w:rsid w:val="00527BD0"/>
    <w:rsid w:val="00530AA4"/>
    <w:rsid w:val="00530CBF"/>
    <w:rsid w:val="005317A9"/>
    <w:rsid w:val="00531DC3"/>
    <w:rsid w:val="00531E5F"/>
    <w:rsid w:val="005322F4"/>
    <w:rsid w:val="00533566"/>
    <w:rsid w:val="00533A41"/>
    <w:rsid w:val="00533AD6"/>
    <w:rsid w:val="00533CB5"/>
    <w:rsid w:val="00533CD5"/>
    <w:rsid w:val="00533FD1"/>
    <w:rsid w:val="0053416B"/>
    <w:rsid w:val="005352BD"/>
    <w:rsid w:val="00535354"/>
    <w:rsid w:val="0053567C"/>
    <w:rsid w:val="0053584E"/>
    <w:rsid w:val="00535C81"/>
    <w:rsid w:val="00535F21"/>
    <w:rsid w:val="00535F62"/>
    <w:rsid w:val="005364CD"/>
    <w:rsid w:val="00536BF4"/>
    <w:rsid w:val="00537552"/>
    <w:rsid w:val="005377F7"/>
    <w:rsid w:val="00540246"/>
    <w:rsid w:val="0054042D"/>
    <w:rsid w:val="00540525"/>
    <w:rsid w:val="00540876"/>
    <w:rsid w:val="00540920"/>
    <w:rsid w:val="00540BA7"/>
    <w:rsid w:val="00540CDC"/>
    <w:rsid w:val="00541088"/>
    <w:rsid w:val="0054145F"/>
    <w:rsid w:val="0054151F"/>
    <w:rsid w:val="005418BD"/>
    <w:rsid w:val="00541B21"/>
    <w:rsid w:val="00541C8A"/>
    <w:rsid w:val="00542936"/>
    <w:rsid w:val="0054317E"/>
    <w:rsid w:val="0054369D"/>
    <w:rsid w:val="0054418E"/>
    <w:rsid w:val="00544A2E"/>
    <w:rsid w:val="00544D48"/>
    <w:rsid w:val="00544E7D"/>
    <w:rsid w:val="00544E91"/>
    <w:rsid w:val="00545372"/>
    <w:rsid w:val="00545E25"/>
    <w:rsid w:val="00546068"/>
    <w:rsid w:val="00546271"/>
    <w:rsid w:val="00546448"/>
    <w:rsid w:val="00546B5D"/>
    <w:rsid w:val="0054763B"/>
    <w:rsid w:val="005478EF"/>
    <w:rsid w:val="00547B29"/>
    <w:rsid w:val="00547BD1"/>
    <w:rsid w:val="00550373"/>
    <w:rsid w:val="00550C08"/>
    <w:rsid w:val="005510A7"/>
    <w:rsid w:val="005519F2"/>
    <w:rsid w:val="00552062"/>
    <w:rsid w:val="0055255B"/>
    <w:rsid w:val="005534A3"/>
    <w:rsid w:val="005536E8"/>
    <w:rsid w:val="00553788"/>
    <w:rsid w:val="00553ED9"/>
    <w:rsid w:val="005546C5"/>
    <w:rsid w:val="00555062"/>
    <w:rsid w:val="00555273"/>
    <w:rsid w:val="00555EF6"/>
    <w:rsid w:val="0055637D"/>
    <w:rsid w:val="00557657"/>
    <w:rsid w:val="00557E03"/>
    <w:rsid w:val="00557ED6"/>
    <w:rsid w:val="00560245"/>
    <w:rsid w:val="0056040C"/>
    <w:rsid w:val="00560676"/>
    <w:rsid w:val="00560F3E"/>
    <w:rsid w:val="005612A6"/>
    <w:rsid w:val="00561354"/>
    <w:rsid w:val="0056176E"/>
    <w:rsid w:val="005627A3"/>
    <w:rsid w:val="00562802"/>
    <w:rsid w:val="00563A15"/>
    <w:rsid w:val="005641D6"/>
    <w:rsid w:val="005648D3"/>
    <w:rsid w:val="0056522E"/>
    <w:rsid w:val="005654A5"/>
    <w:rsid w:val="00565945"/>
    <w:rsid w:val="00565DA1"/>
    <w:rsid w:val="005667E5"/>
    <w:rsid w:val="00566986"/>
    <w:rsid w:val="00566999"/>
    <w:rsid w:val="00566EC4"/>
    <w:rsid w:val="00567FC1"/>
    <w:rsid w:val="005703A1"/>
    <w:rsid w:val="00570558"/>
    <w:rsid w:val="00570843"/>
    <w:rsid w:val="005710BF"/>
    <w:rsid w:val="0057110A"/>
    <w:rsid w:val="00572EB0"/>
    <w:rsid w:val="005730EE"/>
    <w:rsid w:val="005731B4"/>
    <w:rsid w:val="00573D63"/>
    <w:rsid w:val="00574C01"/>
    <w:rsid w:val="00574C52"/>
    <w:rsid w:val="00574F45"/>
    <w:rsid w:val="00574FD3"/>
    <w:rsid w:val="005751AD"/>
    <w:rsid w:val="0057523B"/>
    <w:rsid w:val="005758DE"/>
    <w:rsid w:val="0057598F"/>
    <w:rsid w:val="00575BA2"/>
    <w:rsid w:val="00575FBC"/>
    <w:rsid w:val="005766C8"/>
    <w:rsid w:val="005777DD"/>
    <w:rsid w:val="00580136"/>
    <w:rsid w:val="00580145"/>
    <w:rsid w:val="00580673"/>
    <w:rsid w:val="00580823"/>
    <w:rsid w:val="005814BE"/>
    <w:rsid w:val="00581667"/>
    <w:rsid w:val="00581F77"/>
    <w:rsid w:val="00581F9F"/>
    <w:rsid w:val="00582949"/>
    <w:rsid w:val="00582D2D"/>
    <w:rsid w:val="00583223"/>
    <w:rsid w:val="005835C3"/>
    <w:rsid w:val="00583606"/>
    <w:rsid w:val="00584333"/>
    <w:rsid w:val="00584347"/>
    <w:rsid w:val="005845C6"/>
    <w:rsid w:val="00584939"/>
    <w:rsid w:val="005851AD"/>
    <w:rsid w:val="0058537C"/>
    <w:rsid w:val="00585444"/>
    <w:rsid w:val="00585768"/>
    <w:rsid w:val="00585ECA"/>
    <w:rsid w:val="00586C71"/>
    <w:rsid w:val="00587365"/>
    <w:rsid w:val="00587481"/>
    <w:rsid w:val="00587E54"/>
    <w:rsid w:val="00590104"/>
    <w:rsid w:val="0059040D"/>
    <w:rsid w:val="00590967"/>
    <w:rsid w:val="00590DB2"/>
    <w:rsid w:val="00591111"/>
    <w:rsid w:val="00591E89"/>
    <w:rsid w:val="00591EB8"/>
    <w:rsid w:val="0059297F"/>
    <w:rsid w:val="00592C87"/>
    <w:rsid w:val="00594347"/>
    <w:rsid w:val="0059496C"/>
    <w:rsid w:val="005949BE"/>
    <w:rsid w:val="00594FD2"/>
    <w:rsid w:val="00595285"/>
    <w:rsid w:val="00595E67"/>
    <w:rsid w:val="005960E5"/>
    <w:rsid w:val="00596C92"/>
    <w:rsid w:val="00596DD1"/>
    <w:rsid w:val="005972FC"/>
    <w:rsid w:val="00597767"/>
    <w:rsid w:val="00597AEE"/>
    <w:rsid w:val="005A0589"/>
    <w:rsid w:val="005A11EE"/>
    <w:rsid w:val="005A1E5E"/>
    <w:rsid w:val="005A1F6F"/>
    <w:rsid w:val="005A25AB"/>
    <w:rsid w:val="005A299E"/>
    <w:rsid w:val="005A3325"/>
    <w:rsid w:val="005A3585"/>
    <w:rsid w:val="005A393A"/>
    <w:rsid w:val="005A40BF"/>
    <w:rsid w:val="005A441A"/>
    <w:rsid w:val="005A47D6"/>
    <w:rsid w:val="005A5C4A"/>
    <w:rsid w:val="005A629D"/>
    <w:rsid w:val="005A78BD"/>
    <w:rsid w:val="005A7B86"/>
    <w:rsid w:val="005A7D7C"/>
    <w:rsid w:val="005B00F0"/>
    <w:rsid w:val="005B08D3"/>
    <w:rsid w:val="005B0AA1"/>
    <w:rsid w:val="005B0FBD"/>
    <w:rsid w:val="005B1420"/>
    <w:rsid w:val="005B15A6"/>
    <w:rsid w:val="005B1E6D"/>
    <w:rsid w:val="005B2A16"/>
    <w:rsid w:val="005B2B3A"/>
    <w:rsid w:val="005B31F1"/>
    <w:rsid w:val="005B328C"/>
    <w:rsid w:val="005B361A"/>
    <w:rsid w:val="005B3730"/>
    <w:rsid w:val="005B3EDE"/>
    <w:rsid w:val="005B3F30"/>
    <w:rsid w:val="005B3F84"/>
    <w:rsid w:val="005B4101"/>
    <w:rsid w:val="005B46AD"/>
    <w:rsid w:val="005B4971"/>
    <w:rsid w:val="005B49B5"/>
    <w:rsid w:val="005B5084"/>
    <w:rsid w:val="005B5290"/>
    <w:rsid w:val="005B5D01"/>
    <w:rsid w:val="005B5E7F"/>
    <w:rsid w:val="005B5F33"/>
    <w:rsid w:val="005B61A0"/>
    <w:rsid w:val="005B63DA"/>
    <w:rsid w:val="005B6F23"/>
    <w:rsid w:val="005B7195"/>
    <w:rsid w:val="005B7209"/>
    <w:rsid w:val="005B742D"/>
    <w:rsid w:val="005B7522"/>
    <w:rsid w:val="005B796D"/>
    <w:rsid w:val="005B7C49"/>
    <w:rsid w:val="005B7F3A"/>
    <w:rsid w:val="005C037B"/>
    <w:rsid w:val="005C0477"/>
    <w:rsid w:val="005C060F"/>
    <w:rsid w:val="005C19BD"/>
    <w:rsid w:val="005C1B75"/>
    <w:rsid w:val="005C1DD3"/>
    <w:rsid w:val="005C1F5D"/>
    <w:rsid w:val="005C2A60"/>
    <w:rsid w:val="005C2BC7"/>
    <w:rsid w:val="005C3189"/>
    <w:rsid w:val="005C318E"/>
    <w:rsid w:val="005C3836"/>
    <w:rsid w:val="005C3B4B"/>
    <w:rsid w:val="005C418D"/>
    <w:rsid w:val="005C445F"/>
    <w:rsid w:val="005C4C37"/>
    <w:rsid w:val="005C5252"/>
    <w:rsid w:val="005C53AA"/>
    <w:rsid w:val="005C5614"/>
    <w:rsid w:val="005C5DB3"/>
    <w:rsid w:val="005C5EB9"/>
    <w:rsid w:val="005C789D"/>
    <w:rsid w:val="005D0B3D"/>
    <w:rsid w:val="005D0D40"/>
    <w:rsid w:val="005D11A2"/>
    <w:rsid w:val="005D11AB"/>
    <w:rsid w:val="005D145B"/>
    <w:rsid w:val="005D219D"/>
    <w:rsid w:val="005D2345"/>
    <w:rsid w:val="005D23FA"/>
    <w:rsid w:val="005D2511"/>
    <w:rsid w:val="005D2667"/>
    <w:rsid w:val="005D2882"/>
    <w:rsid w:val="005D342D"/>
    <w:rsid w:val="005D3845"/>
    <w:rsid w:val="005D3B9E"/>
    <w:rsid w:val="005D4AD2"/>
    <w:rsid w:val="005D4EC6"/>
    <w:rsid w:val="005D4F35"/>
    <w:rsid w:val="005D552F"/>
    <w:rsid w:val="005D614C"/>
    <w:rsid w:val="005D6541"/>
    <w:rsid w:val="005D7830"/>
    <w:rsid w:val="005E00E4"/>
    <w:rsid w:val="005E176A"/>
    <w:rsid w:val="005E2607"/>
    <w:rsid w:val="005E3CF8"/>
    <w:rsid w:val="005E46B0"/>
    <w:rsid w:val="005E47DB"/>
    <w:rsid w:val="005E508C"/>
    <w:rsid w:val="005E536C"/>
    <w:rsid w:val="005E57F6"/>
    <w:rsid w:val="005E5953"/>
    <w:rsid w:val="005E6C96"/>
    <w:rsid w:val="005E7376"/>
    <w:rsid w:val="005E7445"/>
    <w:rsid w:val="005E7870"/>
    <w:rsid w:val="005E7ADF"/>
    <w:rsid w:val="005F076D"/>
    <w:rsid w:val="005F0AB4"/>
    <w:rsid w:val="005F1360"/>
    <w:rsid w:val="005F1479"/>
    <w:rsid w:val="005F1481"/>
    <w:rsid w:val="005F1DF6"/>
    <w:rsid w:val="005F2343"/>
    <w:rsid w:val="005F2679"/>
    <w:rsid w:val="005F2946"/>
    <w:rsid w:val="005F342A"/>
    <w:rsid w:val="005F37AB"/>
    <w:rsid w:val="005F42B1"/>
    <w:rsid w:val="005F47A1"/>
    <w:rsid w:val="005F5017"/>
    <w:rsid w:val="005F5317"/>
    <w:rsid w:val="005F54B6"/>
    <w:rsid w:val="005F6675"/>
    <w:rsid w:val="005F697B"/>
    <w:rsid w:val="005F6BF7"/>
    <w:rsid w:val="005F6E0F"/>
    <w:rsid w:val="005F72B3"/>
    <w:rsid w:val="0060002E"/>
    <w:rsid w:val="0060086A"/>
    <w:rsid w:val="00602303"/>
    <w:rsid w:val="00603343"/>
    <w:rsid w:val="00603419"/>
    <w:rsid w:val="006038AE"/>
    <w:rsid w:val="00603DDC"/>
    <w:rsid w:val="00604077"/>
    <w:rsid w:val="006042E7"/>
    <w:rsid w:val="00604CAF"/>
    <w:rsid w:val="006050F2"/>
    <w:rsid w:val="006051E9"/>
    <w:rsid w:val="0060643C"/>
    <w:rsid w:val="00606581"/>
    <w:rsid w:val="00606D61"/>
    <w:rsid w:val="006079E8"/>
    <w:rsid w:val="00607B4B"/>
    <w:rsid w:val="00607D2D"/>
    <w:rsid w:val="00610064"/>
    <w:rsid w:val="0061010B"/>
    <w:rsid w:val="00610ED7"/>
    <w:rsid w:val="00611580"/>
    <w:rsid w:val="00611721"/>
    <w:rsid w:val="00611FA4"/>
    <w:rsid w:val="006124FC"/>
    <w:rsid w:val="00612921"/>
    <w:rsid w:val="0061300A"/>
    <w:rsid w:val="006130C4"/>
    <w:rsid w:val="00613298"/>
    <w:rsid w:val="006134CB"/>
    <w:rsid w:val="00613A4B"/>
    <w:rsid w:val="00613CC7"/>
    <w:rsid w:val="00614203"/>
    <w:rsid w:val="0061424A"/>
    <w:rsid w:val="006144AC"/>
    <w:rsid w:val="006148FF"/>
    <w:rsid w:val="00615376"/>
    <w:rsid w:val="006153A3"/>
    <w:rsid w:val="00615747"/>
    <w:rsid w:val="00616195"/>
    <w:rsid w:val="0061660F"/>
    <w:rsid w:val="0061673F"/>
    <w:rsid w:val="006171E1"/>
    <w:rsid w:val="00617399"/>
    <w:rsid w:val="00617ACB"/>
    <w:rsid w:val="00617B6C"/>
    <w:rsid w:val="00620422"/>
    <w:rsid w:val="00621D3D"/>
    <w:rsid w:val="006233B0"/>
    <w:rsid w:val="00623C67"/>
    <w:rsid w:val="00623CAB"/>
    <w:rsid w:val="006243B6"/>
    <w:rsid w:val="00624B74"/>
    <w:rsid w:val="00625873"/>
    <w:rsid w:val="0062688C"/>
    <w:rsid w:val="00627EC6"/>
    <w:rsid w:val="00627EF5"/>
    <w:rsid w:val="006300A9"/>
    <w:rsid w:val="00630333"/>
    <w:rsid w:val="006305F3"/>
    <w:rsid w:val="00630DD4"/>
    <w:rsid w:val="006310F1"/>
    <w:rsid w:val="0063133C"/>
    <w:rsid w:val="00631503"/>
    <w:rsid w:val="0063167C"/>
    <w:rsid w:val="00631F98"/>
    <w:rsid w:val="006343F4"/>
    <w:rsid w:val="006347F9"/>
    <w:rsid w:val="006348F2"/>
    <w:rsid w:val="00634A10"/>
    <w:rsid w:val="00635108"/>
    <w:rsid w:val="006355D0"/>
    <w:rsid w:val="00635E1C"/>
    <w:rsid w:val="006366D9"/>
    <w:rsid w:val="00636F56"/>
    <w:rsid w:val="00637311"/>
    <w:rsid w:val="0063767B"/>
    <w:rsid w:val="00637936"/>
    <w:rsid w:val="0064050C"/>
    <w:rsid w:val="0064071B"/>
    <w:rsid w:val="006414AE"/>
    <w:rsid w:val="006419D5"/>
    <w:rsid w:val="00641CD4"/>
    <w:rsid w:val="00642881"/>
    <w:rsid w:val="00642973"/>
    <w:rsid w:val="00643891"/>
    <w:rsid w:val="00644875"/>
    <w:rsid w:val="0064494A"/>
    <w:rsid w:val="0064583C"/>
    <w:rsid w:val="006458CE"/>
    <w:rsid w:val="00645B95"/>
    <w:rsid w:val="00646266"/>
    <w:rsid w:val="00646389"/>
    <w:rsid w:val="00646861"/>
    <w:rsid w:val="00646AEA"/>
    <w:rsid w:val="00646C15"/>
    <w:rsid w:val="00647183"/>
    <w:rsid w:val="0064724D"/>
    <w:rsid w:val="0064739F"/>
    <w:rsid w:val="00647BD2"/>
    <w:rsid w:val="00647DFE"/>
    <w:rsid w:val="006504D7"/>
    <w:rsid w:val="006508C3"/>
    <w:rsid w:val="00650B11"/>
    <w:rsid w:val="006515A9"/>
    <w:rsid w:val="00651841"/>
    <w:rsid w:val="00651C47"/>
    <w:rsid w:val="00651F2B"/>
    <w:rsid w:val="006525A0"/>
    <w:rsid w:val="00653B67"/>
    <w:rsid w:val="00653E0B"/>
    <w:rsid w:val="00654048"/>
    <w:rsid w:val="00654FD2"/>
    <w:rsid w:val="006550FE"/>
    <w:rsid w:val="00655C36"/>
    <w:rsid w:val="00656180"/>
    <w:rsid w:val="00656556"/>
    <w:rsid w:val="00657F0C"/>
    <w:rsid w:val="0066021F"/>
    <w:rsid w:val="006602BC"/>
    <w:rsid w:val="006605AA"/>
    <w:rsid w:val="0066083A"/>
    <w:rsid w:val="00660874"/>
    <w:rsid w:val="006608D0"/>
    <w:rsid w:val="00660A55"/>
    <w:rsid w:val="00660A6E"/>
    <w:rsid w:val="00661BDF"/>
    <w:rsid w:val="00663ADB"/>
    <w:rsid w:val="00663D22"/>
    <w:rsid w:val="00663E0C"/>
    <w:rsid w:val="00663EC5"/>
    <w:rsid w:val="00664175"/>
    <w:rsid w:val="006643DE"/>
    <w:rsid w:val="00664FA9"/>
    <w:rsid w:val="006650FF"/>
    <w:rsid w:val="00665153"/>
    <w:rsid w:val="006656FA"/>
    <w:rsid w:val="0066589A"/>
    <w:rsid w:val="00665A75"/>
    <w:rsid w:val="00665D50"/>
    <w:rsid w:val="00666370"/>
    <w:rsid w:val="00666471"/>
    <w:rsid w:val="00666BFE"/>
    <w:rsid w:val="00666F24"/>
    <w:rsid w:val="00667548"/>
    <w:rsid w:val="00667FCA"/>
    <w:rsid w:val="00670478"/>
    <w:rsid w:val="00670645"/>
    <w:rsid w:val="00670BC6"/>
    <w:rsid w:val="00671742"/>
    <w:rsid w:val="00671744"/>
    <w:rsid w:val="00671CD7"/>
    <w:rsid w:val="00671F82"/>
    <w:rsid w:val="0067264F"/>
    <w:rsid w:val="00672F69"/>
    <w:rsid w:val="0067304F"/>
    <w:rsid w:val="006739F7"/>
    <w:rsid w:val="00673B9C"/>
    <w:rsid w:val="00673CDE"/>
    <w:rsid w:val="00674416"/>
    <w:rsid w:val="00674AAA"/>
    <w:rsid w:val="00674BF4"/>
    <w:rsid w:val="00675563"/>
    <w:rsid w:val="006755AF"/>
    <w:rsid w:val="006760B8"/>
    <w:rsid w:val="0067610F"/>
    <w:rsid w:val="006764F0"/>
    <w:rsid w:val="006765E0"/>
    <w:rsid w:val="00676651"/>
    <w:rsid w:val="00676A66"/>
    <w:rsid w:val="00676BA4"/>
    <w:rsid w:val="0067749E"/>
    <w:rsid w:val="00677D13"/>
    <w:rsid w:val="00677D61"/>
    <w:rsid w:val="00680478"/>
    <w:rsid w:val="00680782"/>
    <w:rsid w:val="00681050"/>
    <w:rsid w:val="00681834"/>
    <w:rsid w:val="00681865"/>
    <w:rsid w:val="00681E82"/>
    <w:rsid w:val="00681F66"/>
    <w:rsid w:val="0068255B"/>
    <w:rsid w:val="00682F59"/>
    <w:rsid w:val="00683056"/>
    <w:rsid w:val="006833D3"/>
    <w:rsid w:val="0068390A"/>
    <w:rsid w:val="00683B78"/>
    <w:rsid w:val="0068403E"/>
    <w:rsid w:val="00684565"/>
    <w:rsid w:val="00684BDE"/>
    <w:rsid w:val="00685266"/>
    <w:rsid w:val="0068572D"/>
    <w:rsid w:val="00686055"/>
    <w:rsid w:val="00686259"/>
    <w:rsid w:val="00686708"/>
    <w:rsid w:val="0068687B"/>
    <w:rsid w:val="0068751B"/>
    <w:rsid w:val="00687C68"/>
    <w:rsid w:val="0069009F"/>
    <w:rsid w:val="00690293"/>
    <w:rsid w:val="00690806"/>
    <w:rsid w:val="00690F53"/>
    <w:rsid w:val="006928C8"/>
    <w:rsid w:val="00692A0A"/>
    <w:rsid w:val="00692B5F"/>
    <w:rsid w:val="006941BA"/>
    <w:rsid w:val="00694563"/>
    <w:rsid w:val="0069497C"/>
    <w:rsid w:val="0069612D"/>
    <w:rsid w:val="00697FCC"/>
    <w:rsid w:val="006A00FA"/>
    <w:rsid w:val="006A0374"/>
    <w:rsid w:val="006A062F"/>
    <w:rsid w:val="006A088E"/>
    <w:rsid w:val="006A0B56"/>
    <w:rsid w:val="006A1376"/>
    <w:rsid w:val="006A1CE7"/>
    <w:rsid w:val="006A3344"/>
    <w:rsid w:val="006A3F2B"/>
    <w:rsid w:val="006A4A61"/>
    <w:rsid w:val="006A6097"/>
    <w:rsid w:val="006A6EB3"/>
    <w:rsid w:val="006A6F18"/>
    <w:rsid w:val="006A72FC"/>
    <w:rsid w:val="006A731D"/>
    <w:rsid w:val="006A76B1"/>
    <w:rsid w:val="006B0A9D"/>
    <w:rsid w:val="006B0DEA"/>
    <w:rsid w:val="006B1C8D"/>
    <w:rsid w:val="006B337F"/>
    <w:rsid w:val="006B456F"/>
    <w:rsid w:val="006B4C9E"/>
    <w:rsid w:val="006B543D"/>
    <w:rsid w:val="006B55A9"/>
    <w:rsid w:val="006B55D2"/>
    <w:rsid w:val="006B67DB"/>
    <w:rsid w:val="006B72AA"/>
    <w:rsid w:val="006B76D3"/>
    <w:rsid w:val="006B7D69"/>
    <w:rsid w:val="006C02FC"/>
    <w:rsid w:val="006C18BB"/>
    <w:rsid w:val="006C1BFB"/>
    <w:rsid w:val="006C25C3"/>
    <w:rsid w:val="006C281C"/>
    <w:rsid w:val="006C28D0"/>
    <w:rsid w:val="006C5B17"/>
    <w:rsid w:val="006C6605"/>
    <w:rsid w:val="006C699B"/>
    <w:rsid w:val="006C724C"/>
    <w:rsid w:val="006C74FD"/>
    <w:rsid w:val="006C7505"/>
    <w:rsid w:val="006C7A4F"/>
    <w:rsid w:val="006C7A73"/>
    <w:rsid w:val="006C7B1E"/>
    <w:rsid w:val="006C7DA8"/>
    <w:rsid w:val="006D02A2"/>
    <w:rsid w:val="006D15C8"/>
    <w:rsid w:val="006D1F9E"/>
    <w:rsid w:val="006D2189"/>
    <w:rsid w:val="006D28A3"/>
    <w:rsid w:val="006D3469"/>
    <w:rsid w:val="006D3E85"/>
    <w:rsid w:val="006D40EF"/>
    <w:rsid w:val="006D4776"/>
    <w:rsid w:val="006D488C"/>
    <w:rsid w:val="006D4A55"/>
    <w:rsid w:val="006D584C"/>
    <w:rsid w:val="006D6054"/>
    <w:rsid w:val="006D6AB9"/>
    <w:rsid w:val="006D75AA"/>
    <w:rsid w:val="006D75FC"/>
    <w:rsid w:val="006D77AB"/>
    <w:rsid w:val="006D7FD9"/>
    <w:rsid w:val="006E0583"/>
    <w:rsid w:val="006E076D"/>
    <w:rsid w:val="006E08C4"/>
    <w:rsid w:val="006E08D6"/>
    <w:rsid w:val="006E0E38"/>
    <w:rsid w:val="006E1CC2"/>
    <w:rsid w:val="006E1D6D"/>
    <w:rsid w:val="006E1E58"/>
    <w:rsid w:val="006E1EE5"/>
    <w:rsid w:val="006E1F53"/>
    <w:rsid w:val="006E2095"/>
    <w:rsid w:val="006E2171"/>
    <w:rsid w:val="006E2588"/>
    <w:rsid w:val="006E2628"/>
    <w:rsid w:val="006E2642"/>
    <w:rsid w:val="006E3099"/>
    <w:rsid w:val="006E35AA"/>
    <w:rsid w:val="006E4C00"/>
    <w:rsid w:val="006E51FC"/>
    <w:rsid w:val="006E572B"/>
    <w:rsid w:val="006E5A86"/>
    <w:rsid w:val="006E5AD0"/>
    <w:rsid w:val="006E6376"/>
    <w:rsid w:val="006E6AB5"/>
    <w:rsid w:val="006E7155"/>
    <w:rsid w:val="006E77DF"/>
    <w:rsid w:val="006E7B9B"/>
    <w:rsid w:val="006E7C1A"/>
    <w:rsid w:val="006E7DE8"/>
    <w:rsid w:val="006F0179"/>
    <w:rsid w:val="006F0702"/>
    <w:rsid w:val="006F0EC2"/>
    <w:rsid w:val="006F0ED0"/>
    <w:rsid w:val="006F2C4D"/>
    <w:rsid w:val="006F2C95"/>
    <w:rsid w:val="006F3045"/>
    <w:rsid w:val="006F3217"/>
    <w:rsid w:val="006F348E"/>
    <w:rsid w:val="006F377A"/>
    <w:rsid w:val="006F3947"/>
    <w:rsid w:val="006F3CEA"/>
    <w:rsid w:val="006F426B"/>
    <w:rsid w:val="006F4A94"/>
    <w:rsid w:val="006F4BCE"/>
    <w:rsid w:val="006F4CF9"/>
    <w:rsid w:val="006F4FD3"/>
    <w:rsid w:val="006F5C69"/>
    <w:rsid w:val="006F5EDC"/>
    <w:rsid w:val="006F60F6"/>
    <w:rsid w:val="006F6396"/>
    <w:rsid w:val="006F696B"/>
    <w:rsid w:val="006F69E0"/>
    <w:rsid w:val="006F6B62"/>
    <w:rsid w:val="006F7595"/>
    <w:rsid w:val="00701745"/>
    <w:rsid w:val="00702A73"/>
    <w:rsid w:val="00702D4C"/>
    <w:rsid w:val="00703952"/>
    <w:rsid w:val="007044B1"/>
    <w:rsid w:val="00705A02"/>
    <w:rsid w:val="00706122"/>
    <w:rsid w:val="00706402"/>
    <w:rsid w:val="007064B3"/>
    <w:rsid w:val="00707D03"/>
    <w:rsid w:val="0071013E"/>
    <w:rsid w:val="00710150"/>
    <w:rsid w:val="00710AAA"/>
    <w:rsid w:val="00711ABD"/>
    <w:rsid w:val="00711DEA"/>
    <w:rsid w:val="007123AF"/>
    <w:rsid w:val="00712943"/>
    <w:rsid w:val="00712AE7"/>
    <w:rsid w:val="00713500"/>
    <w:rsid w:val="00713C95"/>
    <w:rsid w:val="00713E51"/>
    <w:rsid w:val="00714133"/>
    <w:rsid w:val="00714440"/>
    <w:rsid w:val="00714778"/>
    <w:rsid w:val="007147DA"/>
    <w:rsid w:val="00714DE2"/>
    <w:rsid w:val="007151BE"/>
    <w:rsid w:val="007154A5"/>
    <w:rsid w:val="0071576F"/>
    <w:rsid w:val="00716420"/>
    <w:rsid w:val="00716531"/>
    <w:rsid w:val="00716DB9"/>
    <w:rsid w:val="00716DEA"/>
    <w:rsid w:val="00716E37"/>
    <w:rsid w:val="0071729F"/>
    <w:rsid w:val="00717858"/>
    <w:rsid w:val="00717956"/>
    <w:rsid w:val="00717D3A"/>
    <w:rsid w:val="0072020F"/>
    <w:rsid w:val="00720EA4"/>
    <w:rsid w:val="00721CB5"/>
    <w:rsid w:val="00722134"/>
    <w:rsid w:val="00722B0F"/>
    <w:rsid w:val="007234E0"/>
    <w:rsid w:val="0072451E"/>
    <w:rsid w:val="00724699"/>
    <w:rsid w:val="00724740"/>
    <w:rsid w:val="00724DF6"/>
    <w:rsid w:val="007251F6"/>
    <w:rsid w:val="00725293"/>
    <w:rsid w:val="00725742"/>
    <w:rsid w:val="007262CD"/>
    <w:rsid w:val="007264CC"/>
    <w:rsid w:val="00726D2B"/>
    <w:rsid w:val="007279A5"/>
    <w:rsid w:val="00727DD1"/>
    <w:rsid w:val="007308ED"/>
    <w:rsid w:val="00731743"/>
    <w:rsid w:val="00731E9B"/>
    <w:rsid w:val="007326C4"/>
    <w:rsid w:val="0073289A"/>
    <w:rsid w:val="00732B92"/>
    <w:rsid w:val="0073305E"/>
    <w:rsid w:val="0073444B"/>
    <w:rsid w:val="007345B1"/>
    <w:rsid w:val="007352A9"/>
    <w:rsid w:val="0073535C"/>
    <w:rsid w:val="007355A4"/>
    <w:rsid w:val="007355D4"/>
    <w:rsid w:val="007360B0"/>
    <w:rsid w:val="007360EA"/>
    <w:rsid w:val="00736C01"/>
    <w:rsid w:val="00736E36"/>
    <w:rsid w:val="00737203"/>
    <w:rsid w:val="007408EC"/>
    <w:rsid w:val="00740FB5"/>
    <w:rsid w:val="007413C8"/>
    <w:rsid w:val="007418BE"/>
    <w:rsid w:val="00741A10"/>
    <w:rsid w:val="00741AEE"/>
    <w:rsid w:val="00741F5F"/>
    <w:rsid w:val="007439F3"/>
    <w:rsid w:val="00743C2E"/>
    <w:rsid w:val="0074450B"/>
    <w:rsid w:val="007445F8"/>
    <w:rsid w:val="00744ACF"/>
    <w:rsid w:val="00744F86"/>
    <w:rsid w:val="0074518A"/>
    <w:rsid w:val="00745395"/>
    <w:rsid w:val="00745C8F"/>
    <w:rsid w:val="007461AC"/>
    <w:rsid w:val="00746CC5"/>
    <w:rsid w:val="00747ACA"/>
    <w:rsid w:val="00747C99"/>
    <w:rsid w:val="00747EB5"/>
    <w:rsid w:val="007500E6"/>
    <w:rsid w:val="00751F8C"/>
    <w:rsid w:val="007522D4"/>
    <w:rsid w:val="007528B2"/>
    <w:rsid w:val="00752BDC"/>
    <w:rsid w:val="00753B88"/>
    <w:rsid w:val="007546EB"/>
    <w:rsid w:val="007554A7"/>
    <w:rsid w:val="00755661"/>
    <w:rsid w:val="00755D59"/>
    <w:rsid w:val="007562DC"/>
    <w:rsid w:val="00756E18"/>
    <w:rsid w:val="0075755C"/>
    <w:rsid w:val="00757678"/>
    <w:rsid w:val="00757BA4"/>
    <w:rsid w:val="00757FB8"/>
    <w:rsid w:val="007603E3"/>
    <w:rsid w:val="00760707"/>
    <w:rsid w:val="007608FD"/>
    <w:rsid w:val="00760AD7"/>
    <w:rsid w:val="00761680"/>
    <w:rsid w:val="00761744"/>
    <w:rsid w:val="00762135"/>
    <w:rsid w:val="00762378"/>
    <w:rsid w:val="007623A3"/>
    <w:rsid w:val="007633E1"/>
    <w:rsid w:val="0076359B"/>
    <w:rsid w:val="00763859"/>
    <w:rsid w:val="00763A92"/>
    <w:rsid w:val="00763CA0"/>
    <w:rsid w:val="00764135"/>
    <w:rsid w:val="00764317"/>
    <w:rsid w:val="00764731"/>
    <w:rsid w:val="007650F1"/>
    <w:rsid w:val="00765C04"/>
    <w:rsid w:val="00765C6B"/>
    <w:rsid w:val="0076649C"/>
    <w:rsid w:val="00766555"/>
    <w:rsid w:val="00766F30"/>
    <w:rsid w:val="007672DE"/>
    <w:rsid w:val="007673BD"/>
    <w:rsid w:val="00770332"/>
    <w:rsid w:val="00770450"/>
    <w:rsid w:val="00770F1F"/>
    <w:rsid w:val="0077111A"/>
    <w:rsid w:val="007711B8"/>
    <w:rsid w:val="00771597"/>
    <w:rsid w:val="00771CE8"/>
    <w:rsid w:val="00771CFA"/>
    <w:rsid w:val="00771E3B"/>
    <w:rsid w:val="00772937"/>
    <w:rsid w:val="007736E7"/>
    <w:rsid w:val="00773F36"/>
    <w:rsid w:val="00774294"/>
    <w:rsid w:val="007745EC"/>
    <w:rsid w:val="00774D0F"/>
    <w:rsid w:val="0077502C"/>
    <w:rsid w:val="0077547F"/>
    <w:rsid w:val="00775ACE"/>
    <w:rsid w:val="007765D6"/>
    <w:rsid w:val="00776BC7"/>
    <w:rsid w:val="00777AA1"/>
    <w:rsid w:val="00777B97"/>
    <w:rsid w:val="00780292"/>
    <w:rsid w:val="0078073E"/>
    <w:rsid w:val="00781511"/>
    <w:rsid w:val="0078178F"/>
    <w:rsid w:val="007819EC"/>
    <w:rsid w:val="0078201C"/>
    <w:rsid w:val="00782841"/>
    <w:rsid w:val="00782B48"/>
    <w:rsid w:val="0078332B"/>
    <w:rsid w:val="00783A68"/>
    <w:rsid w:val="00785242"/>
    <w:rsid w:val="00785889"/>
    <w:rsid w:val="00786C85"/>
    <w:rsid w:val="007877BE"/>
    <w:rsid w:val="007878A7"/>
    <w:rsid w:val="00787B24"/>
    <w:rsid w:val="00787CC3"/>
    <w:rsid w:val="0079038F"/>
    <w:rsid w:val="00790DF8"/>
    <w:rsid w:val="007910F3"/>
    <w:rsid w:val="0079117D"/>
    <w:rsid w:val="00791C3D"/>
    <w:rsid w:val="00792773"/>
    <w:rsid w:val="00793263"/>
    <w:rsid w:val="00793468"/>
    <w:rsid w:val="007934A2"/>
    <w:rsid w:val="007935AF"/>
    <w:rsid w:val="00793610"/>
    <w:rsid w:val="00793AB5"/>
    <w:rsid w:val="00794C94"/>
    <w:rsid w:val="00794CDD"/>
    <w:rsid w:val="00794D54"/>
    <w:rsid w:val="00794D83"/>
    <w:rsid w:val="00794E53"/>
    <w:rsid w:val="00795836"/>
    <w:rsid w:val="0079648C"/>
    <w:rsid w:val="00796A13"/>
    <w:rsid w:val="00797184"/>
    <w:rsid w:val="00797757"/>
    <w:rsid w:val="007977B7"/>
    <w:rsid w:val="007A0694"/>
    <w:rsid w:val="007A1704"/>
    <w:rsid w:val="007A186E"/>
    <w:rsid w:val="007A1A12"/>
    <w:rsid w:val="007A1BCF"/>
    <w:rsid w:val="007A2E3A"/>
    <w:rsid w:val="007A497C"/>
    <w:rsid w:val="007A4997"/>
    <w:rsid w:val="007A4CFF"/>
    <w:rsid w:val="007A61AE"/>
    <w:rsid w:val="007A6275"/>
    <w:rsid w:val="007A6496"/>
    <w:rsid w:val="007A6583"/>
    <w:rsid w:val="007A689D"/>
    <w:rsid w:val="007A6BE0"/>
    <w:rsid w:val="007A740D"/>
    <w:rsid w:val="007A76D4"/>
    <w:rsid w:val="007A7975"/>
    <w:rsid w:val="007B03A6"/>
    <w:rsid w:val="007B08DE"/>
    <w:rsid w:val="007B0AD4"/>
    <w:rsid w:val="007B0BB6"/>
    <w:rsid w:val="007B0DC4"/>
    <w:rsid w:val="007B1098"/>
    <w:rsid w:val="007B16BD"/>
    <w:rsid w:val="007B1A74"/>
    <w:rsid w:val="007B1C5C"/>
    <w:rsid w:val="007B2345"/>
    <w:rsid w:val="007B27A6"/>
    <w:rsid w:val="007B314E"/>
    <w:rsid w:val="007B35C6"/>
    <w:rsid w:val="007B375B"/>
    <w:rsid w:val="007B3B8C"/>
    <w:rsid w:val="007B3F9B"/>
    <w:rsid w:val="007B4188"/>
    <w:rsid w:val="007B455C"/>
    <w:rsid w:val="007B47B1"/>
    <w:rsid w:val="007B4912"/>
    <w:rsid w:val="007B4A70"/>
    <w:rsid w:val="007B51CE"/>
    <w:rsid w:val="007B556B"/>
    <w:rsid w:val="007B57AA"/>
    <w:rsid w:val="007B5C8E"/>
    <w:rsid w:val="007B624D"/>
    <w:rsid w:val="007B627C"/>
    <w:rsid w:val="007B6493"/>
    <w:rsid w:val="007B6A98"/>
    <w:rsid w:val="007B6A9F"/>
    <w:rsid w:val="007B6EA1"/>
    <w:rsid w:val="007B6EB5"/>
    <w:rsid w:val="007B7677"/>
    <w:rsid w:val="007B79AD"/>
    <w:rsid w:val="007B7BAC"/>
    <w:rsid w:val="007C0121"/>
    <w:rsid w:val="007C036E"/>
    <w:rsid w:val="007C03E9"/>
    <w:rsid w:val="007C062C"/>
    <w:rsid w:val="007C0725"/>
    <w:rsid w:val="007C0986"/>
    <w:rsid w:val="007C0AA9"/>
    <w:rsid w:val="007C0F4C"/>
    <w:rsid w:val="007C1461"/>
    <w:rsid w:val="007C1B36"/>
    <w:rsid w:val="007C228E"/>
    <w:rsid w:val="007C2420"/>
    <w:rsid w:val="007C2607"/>
    <w:rsid w:val="007C31E9"/>
    <w:rsid w:val="007C407A"/>
    <w:rsid w:val="007C4D10"/>
    <w:rsid w:val="007C5176"/>
    <w:rsid w:val="007C5209"/>
    <w:rsid w:val="007C5F7A"/>
    <w:rsid w:val="007C6885"/>
    <w:rsid w:val="007C6E5B"/>
    <w:rsid w:val="007C7D26"/>
    <w:rsid w:val="007C7DF6"/>
    <w:rsid w:val="007C7DF7"/>
    <w:rsid w:val="007D0960"/>
    <w:rsid w:val="007D1306"/>
    <w:rsid w:val="007D18F6"/>
    <w:rsid w:val="007D2B31"/>
    <w:rsid w:val="007D2D45"/>
    <w:rsid w:val="007D33A0"/>
    <w:rsid w:val="007D4304"/>
    <w:rsid w:val="007D4C14"/>
    <w:rsid w:val="007D66F1"/>
    <w:rsid w:val="007D6D73"/>
    <w:rsid w:val="007D7005"/>
    <w:rsid w:val="007D71E7"/>
    <w:rsid w:val="007D734E"/>
    <w:rsid w:val="007D73A8"/>
    <w:rsid w:val="007D7537"/>
    <w:rsid w:val="007D7E7A"/>
    <w:rsid w:val="007E004D"/>
    <w:rsid w:val="007E0D47"/>
    <w:rsid w:val="007E1166"/>
    <w:rsid w:val="007E1E1D"/>
    <w:rsid w:val="007E2217"/>
    <w:rsid w:val="007E2BF3"/>
    <w:rsid w:val="007E2C5A"/>
    <w:rsid w:val="007E2C5F"/>
    <w:rsid w:val="007E3219"/>
    <w:rsid w:val="007E3730"/>
    <w:rsid w:val="007E475E"/>
    <w:rsid w:val="007E57D8"/>
    <w:rsid w:val="007E57FF"/>
    <w:rsid w:val="007E7433"/>
    <w:rsid w:val="007E7929"/>
    <w:rsid w:val="007F09E3"/>
    <w:rsid w:val="007F0A2D"/>
    <w:rsid w:val="007F0DF2"/>
    <w:rsid w:val="007F12D6"/>
    <w:rsid w:val="007F1995"/>
    <w:rsid w:val="007F1A96"/>
    <w:rsid w:val="007F1E88"/>
    <w:rsid w:val="007F242D"/>
    <w:rsid w:val="007F2DD6"/>
    <w:rsid w:val="007F2EC8"/>
    <w:rsid w:val="007F31B3"/>
    <w:rsid w:val="007F3214"/>
    <w:rsid w:val="007F32FB"/>
    <w:rsid w:val="007F35FB"/>
    <w:rsid w:val="007F387B"/>
    <w:rsid w:val="007F428F"/>
    <w:rsid w:val="007F4A20"/>
    <w:rsid w:val="007F5142"/>
    <w:rsid w:val="007F524F"/>
    <w:rsid w:val="007F547C"/>
    <w:rsid w:val="007F54FC"/>
    <w:rsid w:val="007F6132"/>
    <w:rsid w:val="007F7D9F"/>
    <w:rsid w:val="007F7FF0"/>
    <w:rsid w:val="00800695"/>
    <w:rsid w:val="008006D1"/>
    <w:rsid w:val="00801B23"/>
    <w:rsid w:val="00801F7A"/>
    <w:rsid w:val="00802705"/>
    <w:rsid w:val="00802C34"/>
    <w:rsid w:val="00802CE0"/>
    <w:rsid w:val="00802D1E"/>
    <w:rsid w:val="008031A9"/>
    <w:rsid w:val="00803BA0"/>
    <w:rsid w:val="00803BF6"/>
    <w:rsid w:val="00803E02"/>
    <w:rsid w:val="00803F9F"/>
    <w:rsid w:val="00804467"/>
    <w:rsid w:val="00804942"/>
    <w:rsid w:val="00804C51"/>
    <w:rsid w:val="00805362"/>
    <w:rsid w:val="008055F6"/>
    <w:rsid w:val="00805657"/>
    <w:rsid w:val="00806FB0"/>
    <w:rsid w:val="00810250"/>
    <w:rsid w:val="00810415"/>
    <w:rsid w:val="00810748"/>
    <w:rsid w:val="00810A0B"/>
    <w:rsid w:val="00810B49"/>
    <w:rsid w:val="00811635"/>
    <w:rsid w:val="0081196F"/>
    <w:rsid w:val="00811C2D"/>
    <w:rsid w:val="00811C87"/>
    <w:rsid w:val="00811F41"/>
    <w:rsid w:val="00812A7C"/>
    <w:rsid w:val="00812BBA"/>
    <w:rsid w:val="00812C25"/>
    <w:rsid w:val="00812FA0"/>
    <w:rsid w:val="00813047"/>
    <w:rsid w:val="0081385A"/>
    <w:rsid w:val="0081389A"/>
    <w:rsid w:val="0081391A"/>
    <w:rsid w:val="008139FD"/>
    <w:rsid w:val="00813F60"/>
    <w:rsid w:val="00813FF6"/>
    <w:rsid w:val="00814195"/>
    <w:rsid w:val="0081466D"/>
    <w:rsid w:val="00815603"/>
    <w:rsid w:val="008158F4"/>
    <w:rsid w:val="00817155"/>
    <w:rsid w:val="0081717A"/>
    <w:rsid w:val="00817260"/>
    <w:rsid w:val="00820201"/>
    <w:rsid w:val="008203F0"/>
    <w:rsid w:val="00820C8F"/>
    <w:rsid w:val="0082279F"/>
    <w:rsid w:val="00822A35"/>
    <w:rsid w:val="00822F75"/>
    <w:rsid w:val="00823DF8"/>
    <w:rsid w:val="00823F04"/>
    <w:rsid w:val="008240C5"/>
    <w:rsid w:val="00824F8C"/>
    <w:rsid w:val="008259F3"/>
    <w:rsid w:val="00825D79"/>
    <w:rsid w:val="00825DE3"/>
    <w:rsid w:val="008261D2"/>
    <w:rsid w:val="0082629E"/>
    <w:rsid w:val="008266D8"/>
    <w:rsid w:val="008269AC"/>
    <w:rsid w:val="00830AC8"/>
    <w:rsid w:val="00831B3D"/>
    <w:rsid w:val="00831DF8"/>
    <w:rsid w:val="00832065"/>
    <w:rsid w:val="00832AA2"/>
    <w:rsid w:val="00832B4C"/>
    <w:rsid w:val="00832EEF"/>
    <w:rsid w:val="008335FF"/>
    <w:rsid w:val="00833BE3"/>
    <w:rsid w:val="00834659"/>
    <w:rsid w:val="008346BE"/>
    <w:rsid w:val="008349D6"/>
    <w:rsid w:val="00834F73"/>
    <w:rsid w:val="00835410"/>
    <w:rsid w:val="00836387"/>
    <w:rsid w:val="00836685"/>
    <w:rsid w:val="0083679F"/>
    <w:rsid w:val="00837169"/>
    <w:rsid w:val="0083736E"/>
    <w:rsid w:val="008373AF"/>
    <w:rsid w:val="0084009C"/>
    <w:rsid w:val="0084058C"/>
    <w:rsid w:val="00840A4E"/>
    <w:rsid w:val="00841C17"/>
    <w:rsid w:val="00841F77"/>
    <w:rsid w:val="00842FEB"/>
    <w:rsid w:val="00843669"/>
    <w:rsid w:val="00843FD0"/>
    <w:rsid w:val="00844D24"/>
    <w:rsid w:val="00845954"/>
    <w:rsid w:val="00845E22"/>
    <w:rsid w:val="008462D6"/>
    <w:rsid w:val="00846E99"/>
    <w:rsid w:val="0084717A"/>
    <w:rsid w:val="008474D3"/>
    <w:rsid w:val="00847D4C"/>
    <w:rsid w:val="00850180"/>
    <w:rsid w:val="008509D2"/>
    <w:rsid w:val="00850CAD"/>
    <w:rsid w:val="00851409"/>
    <w:rsid w:val="008514C2"/>
    <w:rsid w:val="00851703"/>
    <w:rsid w:val="00851D9F"/>
    <w:rsid w:val="0085245C"/>
    <w:rsid w:val="0085358B"/>
    <w:rsid w:val="0085382A"/>
    <w:rsid w:val="00854187"/>
    <w:rsid w:val="00854371"/>
    <w:rsid w:val="008545E3"/>
    <w:rsid w:val="0085490C"/>
    <w:rsid w:val="008554D7"/>
    <w:rsid w:val="008555FE"/>
    <w:rsid w:val="00855BBD"/>
    <w:rsid w:val="00855ED0"/>
    <w:rsid w:val="00856329"/>
    <w:rsid w:val="0085633E"/>
    <w:rsid w:val="008569CD"/>
    <w:rsid w:val="00856C2D"/>
    <w:rsid w:val="00856C9A"/>
    <w:rsid w:val="008574BF"/>
    <w:rsid w:val="00857AB5"/>
    <w:rsid w:val="00857D35"/>
    <w:rsid w:val="0086116E"/>
    <w:rsid w:val="00861BED"/>
    <w:rsid w:val="00861D28"/>
    <w:rsid w:val="00861DEF"/>
    <w:rsid w:val="00862519"/>
    <w:rsid w:val="0086258E"/>
    <w:rsid w:val="0086305C"/>
    <w:rsid w:val="008633D3"/>
    <w:rsid w:val="008637FC"/>
    <w:rsid w:val="0086410F"/>
    <w:rsid w:val="008642F0"/>
    <w:rsid w:val="0086451B"/>
    <w:rsid w:val="00865147"/>
    <w:rsid w:val="0086585F"/>
    <w:rsid w:val="00865C6E"/>
    <w:rsid w:val="00865D56"/>
    <w:rsid w:val="00865DE6"/>
    <w:rsid w:val="00866197"/>
    <w:rsid w:val="00866305"/>
    <w:rsid w:val="008667A8"/>
    <w:rsid w:val="00866D23"/>
    <w:rsid w:val="008675D6"/>
    <w:rsid w:val="00870577"/>
    <w:rsid w:val="00870BBE"/>
    <w:rsid w:val="00871299"/>
    <w:rsid w:val="00871405"/>
    <w:rsid w:val="00871518"/>
    <w:rsid w:val="00872844"/>
    <w:rsid w:val="00872A52"/>
    <w:rsid w:val="00872B4C"/>
    <w:rsid w:val="00872C7C"/>
    <w:rsid w:val="00872CE8"/>
    <w:rsid w:val="008743FB"/>
    <w:rsid w:val="008745C3"/>
    <w:rsid w:val="0087465F"/>
    <w:rsid w:val="00874E6C"/>
    <w:rsid w:val="00874EFF"/>
    <w:rsid w:val="0087528C"/>
    <w:rsid w:val="008756F2"/>
    <w:rsid w:val="00875AC1"/>
    <w:rsid w:val="00876097"/>
    <w:rsid w:val="00876181"/>
    <w:rsid w:val="008763D2"/>
    <w:rsid w:val="00877670"/>
    <w:rsid w:val="00877707"/>
    <w:rsid w:val="0087793D"/>
    <w:rsid w:val="008779A8"/>
    <w:rsid w:val="00877C9F"/>
    <w:rsid w:val="008806CA"/>
    <w:rsid w:val="00880BBA"/>
    <w:rsid w:val="00880D8D"/>
    <w:rsid w:val="00880DA4"/>
    <w:rsid w:val="00881057"/>
    <w:rsid w:val="00881126"/>
    <w:rsid w:val="00881354"/>
    <w:rsid w:val="00881A3A"/>
    <w:rsid w:val="00881BBF"/>
    <w:rsid w:val="00881C66"/>
    <w:rsid w:val="008821E8"/>
    <w:rsid w:val="00882575"/>
    <w:rsid w:val="0088284F"/>
    <w:rsid w:val="00882E4B"/>
    <w:rsid w:val="00883011"/>
    <w:rsid w:val="0088314D"/>
    <w:rsid w:val="00883A1D"/>
    <w:rsid w:val="00883A80"/>
    <w:rsid w:val="00883F49"/>
    <w:rsid w:val="008845D5"/>
    <w:rsid w:val="00885DAC"/>
    <w:rsid w:val="00886514"/>
    <w:rsid w:val="00886D43"/>
    <w:rsid w:val="0088742E"/>
    <w:rsid w:val="00887B7C"/>
    <w:rsid w:val="00887E62"/>
    <w:rsid w:val="00890E19"/>
    <w:rsid w:val="008910BE"/>
    <w:rsid w:val="00891A81"/>
    <w:rsid w:val="00891B61"/>
    <w:rsid w:val="0089202F"/>
    <w:rsid w:val="008922B0"/>
    <w:rsid w:val="008925C9"/>
    <w:rsid w:val="00892D32"/>
    <w:rsid w:val="008932CA"/>
    <w:rsid w:val="00894093"/>
    <w:rsid w:val="00894417"/>
    <w:rsid w:val="00894445"/>
    <w:rsid w:val="00894C83"/>
    <w:rsid w:val="00894CC7"/>
    <w:rsid w:val="00895420"/>
    <w:rsid w:val="0089552B"/>
    <w:rsid w:val="008962CA"/>
    <w:rsid w:val="00896789"/>
    <w:rsid w:val="00896A21"/>
    <w:rsid w:val="00897B89"/>
    <w:rsid w:val="008A00AA"/>
    <w:rsid w:val="008A00FC"/>
    <w:rsid w:val="008A02BC"/>
    <w:rsid w:val="008A0BA7"/>
    <w:rsid w:val="008A0C10"/>
    <w:rsid w:val="008A0D6F"/>
    <w:rsid w:val="008A1405"/>
    <w:rsid w:val="008A199B"/>
    <w:rsid w:val="008A25DE"/>
    <w:rsid w:val="008A28B7"/>
    <w:rsid w:val="008A2E04"/>
    <w:rsid w:val="008A3E32"/>
    <w:rsid w:val="008A3FD2"/>
    <w:rsid w:val="008A510B"/>
    <w:rsid w:val="008A562A"/>
    <w:rsid w:val="008A5C6E"/>
    <w:rsid w:val="008A5CD8"/>
    <w:rsid w:val="008A641F"/>
    <w:rsid w:val="008A647C"/>
    <w:rsid w:val="008A6E98"/>
    <w:rsid w:val="008B026C"/>
    <w:rsid w:val="008B0E5D"/>
    <w:rsid w:val="008B128B"/>
    <w:rsid w:val="008B162C"/>
    <w:rsid w:val="008B1A4E"/>
    <w:rsid w:val="008B1E93"/>
    <w:rsid w:val="008B2C75"/>
    <w:rsid w:val="008B2F6D"/>
    <w:rsid w:val="008B2F75"/>
    <w:rsid w:val="008B30B2"/>
    <w:rsid w:val="008B3240"/>
    <w:rsid w:val="008B449B"/>
    <w:rsid w:val="008B48AE"/>
    <w:rsid w:val="008B4911"/>
    <w:rsid w:val="008B52B4"/>
    <w:rsid w:val="008B54AA"/>
    <w:rsid w:val="008B5D73"/>
    <w:rsid w:val="008B6430"/>
    <w:rsid w:val="008B65F4"/>
    <w:rsid w:val="008B717D"/>
    <w:rsid w:val="008B7862"/>
    <w:rsid w:val="008C045A"/>
    <w:rsid w:val="008C0781"/>
    <w:rsid w:val="008C0796"/>
    <w:rsid w:val="008C0DDF"/>
    <w:rsid w:val="008C1530"/>
    <w:rsid w:val="008C161F"/>
    <w:rsid w:val="008C1797"/>
    <w:rsid w:val="008C1D3F"/>
    <w:rsid w:val="008C22C7"/>
    <w:rsid w:val="008C28D8"/>
    <w:rsid w:val="008C2B69"/>
    <w:rsid w:val="008C2F0C"/>
    <w:rsid w:val="008C375E"/>
    <w:rsid w:val="008C3CD7"/>
    <w:rsid w:val="008C4A61"/>
    <w:rsid w:val="008C4DF1"/>
    <w:rsid w:val="008C575A"/>
    <w:rsid w:val="008C5C3E"/>
    <w:rsid w:val="008C5FE4"/>
    <w:rsid w:val="008C6498"/>
    <w:rsid w:val="008C6C2B"/>
    <w:rsid w:val="008C719D"/>
    <w:rsid w:val="008C73C1"/>
    <w:rsid w:val="008D0684"/>
    <w:rsid w:val="008D09EA"/>
    <w:rsid w:val="008D107D"/>
    <w:rsid w:val="008D1412"/>
    <w:rsid w:val="008D1A48"/>
    <w:rsid w:val="008D218A"/>
    <w:rsid w:val="008D2369"/>
    <w:rsid w:val="008D23A4"/>
    <w:rsid w:val="008D2565"/>
    <w:rsid w:val="008D29F3"/>
    <w:rsid w:val="008D3403"/>
    <w:rsid w:val="008D3D6F"/>
    <w:rsid w:val="008D3F89"/>
    <w:rsid w:val="008D40F3"/>
    <w:rsid w:val="008D445C"/>
    <w:rsid w:val="008D4485"/>
    <w:rsid w:val="008D479B"/>
    <w:rsid w:val="008D50D2"/>
    <w:rsid w:val="008D653D"/>
    <w:rsid w:val="008D664A"/>
    <w:rsid w:val="008D6BC0"/>
    <w:rsid w:val="008D6EFF"/>
    <w:rsid w:val="008D7080"/>
    <w:rsid w:val="008D70AE"/>
    <w:rsid w:val="008D7261"/>
    <w:rsid w:val="008D7964"/>
    <w:rsid w:val="008D7C50"/>
    <w:rsid w:val="008E0521"/>
    <w:rsid w:val="008E0BEE"/>
    <w:rsid w:val="008E0E51"/>
    <w:rsid w:val="008E132B"/>
    <w:rsid w:val="008E1715"/>
    <w:rsid w:val="008E1B59"/>
    <w:rsid w:val="008E2271"/>
    <w:rsid w:val="008E259E"/>
    <w:rsid w:val="008E2731"/>
    <w:rsid w:val="008E2B35"/>
    <w:rsid w:val="008E2C63"/>
    <w:rsid w:val="008E2E31"/>
    <w:rsid w:val="008E2E7A"/>
    <w:rsid w:val="008E43D8"/>
    <w:rsid w:val="008E45E4"/>
    <w:rsid w:val="008E4606"/>
    <w:rsid w:val="008E518C"/>
    <w:rsid w:val="008E5F0C"/>
    <w:rsid w:val="008E5F25"/>
    <w:rsid w:val="008E6831"/>
    <w:rsid w:val="008E6869"/>
    <w:rsid w:val="008E7407"/>
    <w:rsid w:val="008E74CB"/>
    <w:rsid w:val="008E76FF"/>
    <w:rsid w:val="008E7B91"/>
    <w:rsid w:val="008F138A"/>
    <w:rsid w:val="008F15E2"/>
    <w:rsid w:val="008F1D6B"/>
    <w:rsid w:val="008F2108"/>
    <w:rsid w:val="008F25AC"/>
    <w:rsid w:val="008F2BA8"/>
    <w:rsid w:val="008F2FD4"/>
    <w:rsid w:val="008F30CE"/>
    <w:rsid w:val="008F3C2A"/>
    <w:rsid w:val="008F4426"/>
    <w:rsid w:val="008F57E3"/>
    <w:rsid w:val="008F5A89"/>
    <w:rsid w:val="008F616E"/>
    <w:rsid w:val="008F6606"/>
    <w:rsid w:val="008F6913"/>
    <w:rsid w:val="008F6C7A"/>
    <w:rsid w:val="008F6C7E"/>
    <w:rsid w:val="008F77B0"/>
    <w:rsid w:val="008F784A"/>
    <w:rsid w:val="008F79DA"/>
    <w:rsid w:val="008F7A5F"/>
    <w:rsid w:val="00900246"/>
    <w:rsid w:val="009009FC"/>
    <w:rsid w:val="00900C4F"/>
    <w:rsid w:val="009028CC"/>
    <w:rsid w:val="00902975"/>
    <w:rsid w:val="00902AF4"/>
    <w:rsid w:val="0090389D"/>
    <w:rsid w:val="00903DE6"/>
    <w:rsid w:val="00903FC6"/>
    <w:rsid w:val="009040EA"/>
    <w:rsid w:val="00904271"/>
    <w:rsid w:val="00904A3A"/>
    <w:rsid w:val="00904C28"/>
    <w:rsid w:val="00905612"/>
    <w:rsid w:val="0090572E"/>
    <w:rsid w:val="00905AA2"/>
    <w:rsid w:val="00905CE1"/>
    <w:rsid w:val="00906166"/>
    <w:rsid w:val="009061C8"/>
    <w:rsid w:val="00906619"/>
    <w:rsid w:val="00907292"/>
    <w:rsid w:val="0090771C"/>
    <w:rsid w:val="009107A5"/>
    <w:rsid w:val="009108E3"/>
    <w:rsid w:val="00910948"/>
    <w:rsid w:val="009113E0"/>
    <w:rsid w:val="00911ACC"/>
    <w:rsid w:val="00912119"/>
    <w:rsid w:val="00912814"/>
    <w:rsid w:val="00912FAC"/>
    <w:rsid w:val="00913DFB"/>
    <w:rsid w:val="00913FA4"/>
    <w:rsid w:val="00914235"/>
    <w:rsid w:val="009142AC"/>
    <w:rsid w:val="0091437D"/>
    <w:rsid w:val="009148A6"/>
    <w:rsid w:val="00914E41"/>
    <w:rsid w:val="00914EAA"/>
    <w:rsid w:val="00914FA5"/>
    <w:rsid w:val="009152B1"/>
    <w:rsid w:val="009152E2"/>
    <w:rsid w:val="009156BC"/>
    <w:rsid w:val="00915A76"/>
    <w:rsid w:val="0091607B"/>
    <w:rsid w:val="00916507"/>
    <w:rsid w:val="00916EF2"/>
    <w:rsid w:val="009171E7"/>
    <w:rsid w:val="0091745E"/>
    <w:rsid w:val="009175A4"/>
    <w:rsid w:val="00917DF2"/>
    <w:rsid w:val="00920A2B"/>
    <w:rsid w:val="00920ACA"/>
    <w:rsid w:val="00921634"/>
    <w:rsid w:val="00922382"/>
    <w:rsid w:val="00922CD4"/>
    <w:rsid w:val="0092358C"/>
    <w:rsid w:val="0092372B"/>
    <w:rsid w:val="00923A35"/>
    <w:rsid w:val="00923CF0"/>
    <w:rsid w:val="00923E78"/>
    <w:rsid w:val="0092411D"/>
    <w:rsid w:val="0092458E"/>
    <w:rsid w:val="00924A10"/>
    <w:rsid w:val="00924B79"/>
    <w:rsid w:val="00924E75"/>
    <w:rsid w:val="00925114"/>
    <w:rsid w:val="00925D74"/>
    <w:rsid w:val="00925FC6"/>
    <w:rsid w:val="00926925"/>
    <w:rsid w:val="00927160"/>
    <w:rsid w:val="00927293"/>
    <w:rsid w:val="00927C16"/>
    <w:rsid w:val="00927F88"/>
    <w:rsid w:val="009303BA"/>
    <w:rsid w:val="00930900"/>
    <w:rsid w:val="00930A86"/>
    <w:rsid w:val="009314D5"/>
    <w:rsid w:val="00931B20"/>
    <w:rsid w:val="00931DD4"/>
    <w:rsid w:val="00932A61"/>
    <w:rsid w:val="00932AAA"/>
    <w:rsid w:val="00932BC0"/>
    <w:rsid w:val="009338DB"/>
    <w:rsid w:val="00934CAC"/>
    <w:rsid w:val="00935790"/>
    <w:rsid w:val="0093588D"/>
    <w:rsid w:val="009358FA"/>
    <w:rsid w:val="009359E9"/>
    <w:rsid w:val="00935D45"/>
    <w:rsid w:val="00935E49"/>
    <w:rsid w:val="00936359"/>
    <w:rsid w:val="009366EE"/>
    <w:rsid w:val="00936E78"/>
    <w:rsid w:val="00937652"/>
    <w:rsid w:val="00937754"/>
    <w:rsid w:val="00937F10"/>
    <w:rsid w:val="0094034C"/>
    <w:rsid w:val="009404EC"/>
    <w:rsid w:val="00940699"/>
    <w:rsid w:val="009407DB"/>
    <w:rsid w:val="00940CF6"/>
    <w:rsid w:val="0094132D"/>
    <w:rsid w:val="00941574"/>
    <w:rsid w:val="009421F7"/>
    <w:rsid w:val="00942249"/>
    <w:rsid w:val="00942713"/>
    <w:rsid w:val="009432C9"/>
    <w:rsid w:val="0094432C"/>
    <w:rsid w:val="0094444A"/>
    <w:rsid w:val="00944466"/>
    <w:rsid w:val="009444CF"/>
    <w:rsid w:val="00945275"/>
    <w:rsid w:val="00946222"/>
    <w:rsid w:val="0094688E"/>
    <w:rsid w:val="0094690D"/>
    <w:rsid w:val="0094751E"/>
    <w:rsid w:val="0094775A"/>
    <w:rsid w:val="00947986"/>
    <w:rsid w:val="009505AF"/>
    <w:rsid w:val="0095083D"/>
    <w:rsid w:val="0095109B"/>
    <w:rsid w:val="00951109"/>
    <w:rsid w:val="0095124A"/>
    <w:rsid w:val="009513E4"/>
    <w:rsid w:val="00951666"/>
    <w:rsid w:val="009517A1"/>
    <w:rsid w:val="00951E25"/>
    <w:rsid w:val="00951E85"/>
    <w:rsid w:val="00952B18"/>
    <w:rsid w:val="00954EBD"/>
    <w:rsid w:val="00955605"/>
    <w:rsid w:val="00955958"/>
    <w:rsid w:val="009559AD"/>
    <w:rsid w:val="009560F5"/>
    <w:rsid w:val="0095649A"/>
    <w:rsid w:val="00956E66"/>
    <w:rsid w:val="009574DE"/>
    <w:rsid w:val="009576D6"/>
    <w:rsid w:val="00957C3B"/>
    <w:rsid w:val="00957FFC"/>
    <w:rsid w:val="00960557"/>
    <w:rsid w:val="00960955"/>
    <w:rsid w:val="0096099B"/>
    <w:rsid w:val="00960B72"/>
    <w:rsid w:val="00961B99"/>
    <w:rsid w:val="0096297A"/>
    <w:rsid w:val="009629F7"/>
    <w:rsid w:val="00963DBB"/>
    <w:rsid w:val="009644A0"/>
    <w:rsid w:val="00965A42"/>
    <w:rsid w:val="00965FEB"/>
    <w:rsid w:val="00966201"/>
    <w:rsid w:val="00966D53"/>
    <w:rsid w:val="00966EE3"/>
    <w:rsid w:val="009707FF"/>
    <w:rsid w:val="00970AB5"/>
    <w:rsid w:val="0097135D"/>
    <w:rsid w:val="00971384"/>
    <w:rsid w:val="00971912"/>
    <w:rsid w:val="00971B61"/>
    <w:rsid w:val="0097327E"/>
    <w:rsid w:val="009738F3"/>
    <w:rsid w:val="00973916"/>
    <w:rsid w:val="009739F6"/>
    <w:rsid w:val="009748C6"/>
    <w:rsid w:val="009754DC"/>
    <w:rsid w:val="00975858"/>
    <w:rsid w:val="00975A1C"/>
    <w:rsid w:val="00975B14"/>
    <w:rsid w:val="009761DA"/>
    <w:rsid w:val="00977A5C"/>
    <w:rsid w:val="009810BC"/>
    <w:rsid w:val="009818D5"/>
    <w:rsid w:val="00981FF3"/>
    <w:rsid w:val="00982DFB"/>
    <w:rsid w:val="00982F08"/>
    <w:rsid w:val="00983502"/>
    <w:rsid w:val="009835CA"/>
    <w:rsid w:val="009840CB"/>
    <w:rsid w:val="009857BA"/>
    <w:rsid w:val="00985B13"/>
    <w:rsid w:val="00985B40"/>
    <w:rsid w:val="00985FCC"/>
    <w:rsid w:val="00985FDB"/>
    <w:rsid w:val="009866FC"/>
    <w:rsid w:val="00987212"/>
    <w:rsid w:val="0098789C"/>
    <w:rsid w:val="00990085"/>
    <w:rsid w:val="00990431"/>
    <w:rsid w:val="00990543"/>
    <w:rsid w:val="0099070E"/>
    <w:rsid w:val="009907C5"/>
    <w:rsid w:val="00990C87"/>
    <w:rsid w:val="00990F10"/>
    <w:rsid w:val="00991695"/>
    <w:rsid w:val="00991A61"/>
    <w:rsid w:val="00991D99"/>
    <w:rsid w:val="00991DD4"/>
    <w:rsid w:val="0099269F"/>
    <w:rsid w:val="00992C2B"/>
    <w:rsid w:val="009932AF"/>
    <w:rsid w:val="00993A5F"/>
    <w:rsid w:val="00993B05"/>
    <w:rsid w:val="00993C96"/>
    <w:rsid w:val="00993EFA"/>
    <w:rsid w:val="0099448E"/>
    <w:rsid w:val="00994DAD"/>
    <w:rsid w:val="00995411"/>
    <w:rsid w:val="009959B3"/>
    <w:rsid w:val="00995A47"/>
    <w:rsid w:val="00995F5D"/>
    <w:rsid w:val="0099668E"/>
    <w:rsid w:val="009968C0"/>
    <w:rsid w:val="00996AB5"/>
    <w:rsid w:val="009970A8"/>
    <w:rsid w:val="009970DD"/>
    <w:rsid w:val="00997167"/>
    <w:rsid w:val="0099726D"/>
    <w:rsid w:val="00997A9C"/>
    <w:rsid w:val="00997C33"/>
    <w:rsid w:val="00997CE0"/>
    <w:rsid w:val="00997DED"/>
    <w:rsid w:val="009A0B61"/>
    <w:rsid w:val="009A0FD0"/>
    <w:rsid w:val="009A124B"/>
    <w:rsid w:val="009A14C7"/>
    <w:rsid w:val="009A2C54"/>
    <w:rsid w:val="009A307B"/>
    <w:rsid w:val="009A30FB"/>
    <w:rsid w:val="009A39D2"/>
    <w:rsid w:val="009A3E3D"/>
    <w:rsid w:val="009A45B4"/>
    <w:rsid w:val="009A46EA"/>
    <w:rsid w:val="009A4F4E"/>
    <w:rsid w:val="009A5429"/>
    <w:rsid w:val="009A5D9E"/>
    <w:rsid w:val="009A63D6"/>
    <w:rsid w:val="009A69C9"/>
    <w:rsid w:val="009A6D9C"/>
    <w:rsid w:val="009A7632"/>
    <w:rsid w:val="009A7AD1"/>
    <w:rsid w:val="009A7F9E"/>
    <w:rsid w:val="009B15BD"/>
    <w:rsid w:val="009B1B1E"/>
    <w:rsid w:val="009B1ED8"/>
    <w:rsid w:val="009B2042"/>
    <w:rsid w:val="009B28F0"/>
    <w:rsid w:val="009B32AA"/>
    <w:rsid w:val="009B3D33"/>
    <w:rsid w:val="009B3EE5"/>
    <w:rsid w:val="009B4FBB"/>
    <w:rsid w:val="009B5204"/>
    <w:rsid w:val="009B52C4"/>
    <w:rsid w:val="009B55B3"/>
    <w:rsid w:val="009B5C4E"/>
    <w:rsid w:val="009B645B"/>
    <w:rsid w:val="009B686B"/>
    <w:rsid w:val="009B6CE2"/>
    <w:rsid w:val="009B7386"/>
    <w:rsid w:val="009B771C"/>
    <w:rsid w:val="009C0077"/>
    <w:rsid w:val="009C05E7"/>
    <w:rsid w:val="009C0700"/>
    <w:rsid w:val="009C0754"/>
    <w:rsid w:val="009C0A6C"/>
    <w:rsid w:val="009C0D21"/>
    <w:rsid w:val="009C12CD"/>
    <w:rsid w:val="009C16AF"/>
    <w:rsid w:val="009C16FD"/>
    <w:rsid w:val="009C1A13"/>
    <w:rsid w:val="009C24D7"/>
    <w:rsid w:val="009C2B97"/>
    <w:rsid w:val="009C3182"/>
    <w:rsid w:val="009C3327"/>
    <w:rsid w:val="009C3A2A"/>
    <w:rsid w:val="009C444C"/>
    <w:rsid w:val="009C4DD1"/>
    <w:rsid w:val="009C575D"/>
    <w:rsid w:val="009C5774"/>
    <w:rsid w:val="009C5C55"/>
    <w:rsid w:val="009C5C66"/>
    <w:rsid w:val="009C5CCE"/>
    <w:rsid w:val="009C5D24"/>
    <w:rsid w:val="009C5FDF"/>
    <w:rsid w:val="009C611F"/>
    <w:rsid w:val="009C6CBC"/>
    <w:rsid w:val="009C7632"/>
    <w:rsid w:val="009C7637"/>
    <w:rsid w:val="009C79EB"/>
    <w:rsid w:val="009C7CDA"/>
    <w:rsid w:val="009D015D"/>
    <w:rsid w:val="009D0A97"/>
    <w:rsid w:val="009D1410"/>
    <w:rsid w:val="009D1578"/>
    <w:rsid w:val="009D18E6"/>
    <w:rsid w:val="009D2137"/>
    <w:rsid w:val="009D38E7"/>
    <w:rsid w:val="009D3BFF"/>
    <w:rsid w:val="009D3DDF"/>
    <w:rsid w:val="009D3E8F"/>
    <w:rsid w:val="009D4329"/>
    <w:rsid w:val="009D4C7D"/>
    <w:rsid w:val="009D4DA1"/>
    <w:rsid w:val="009D522D"/>
    <w:rsid w:val="009D5A0B"/>
    <w:rsid w:val="009D5A60"/>
    <w:rsid w:val="009D5C3D"/>
    <w:rsid w:val="009D5F44"/>
    <w:rsid w:val="009D6322"/>
    <w:rsid w:val="009D697F"/>
    <w:rsid w:val="009D69E3"/>
    <w:rsid w:val="009D6CDF"/>
    <w:rsid w:val="009D6FC8"/>
    <w:rsid w:val="009D7060"/>
    <w:rsid w:val="009D73D5"/>
    <w:rsid w:val="009D7E8F"/>
    <w:rsid w:val="009E0AD0"/>
    <w:rsid w:val="009E1275"/>
    <w:rsid w:val="009E1421"/>
    <w:rsid w:val="009E188D"/>
    <w:rsid w:val="009E1F6F"/>
    <w:rsid w:val="009E2245"/>
    <w:rsid w:val="009E2C79"/>
    <w:rsid w:val="009E2D29"/>
    <w:rsid w:val="009E2D85"/>
    <w:rsid w:val="009E3A2E"/>
    <w:rsid w:val="009E3E06"/>
    <w:rsid w:val="009E4975"/>
    <w:rsid w:val="009E646F"/>
    <w:rsid w:val="009E67F0"/>
    <w:rsid w:val="009E68D3"/>
    <w:rsid w:val="009E6BE3"/>
    <w:rsid w:val="009E6CD6"/>
    <w:rsid w:val="009E6EA9"/>
    <w:rsid w:val="009E734B"/>
    <w:rsid w:val="009E7807"/>
    <w:rsid w:val="009F08F4"/>
    <w:rsid w:val="009F0C56"/>
    <w:rsid w:val="009F1536"/>
    <w:rsid w:val="009F169F"/>
    <w:rsid w:val="009F1DD3"/>
    <w:rsid w:val="009F2AE7"/>
    <w:rsid w:val="009F30E9"/>
    <w:rsid w:val="009F321D"/>
    <w:rsid w:val="009F323A"/>
    <w:rsid w:val="009F381B"/>
    <w:rsid w:val="009F3964"/>
    <w:rsid w:val="009F41AC"/>
    <w:rsid w:val="009F4323"/>
    <w:rsid w:val="009F4F31"/>
    <w:rsid w:val="009F55BC"/>
    <w:rsid w:val="009F7829"/>
    <w:rsid w:val="009F7867"/>
    <w:rsid w:val="009F7E68"/>
    <w:rsid w:val="009F7F50"/>
    <w:rsid w:val="00A00002"/>
    <w:rsid w:val="00A00286"/>
    <w:rsid w:val="00A0066F"/>
    <w:rsid w:val="00A00C94"/>
    <w:rsid w:val="00A00F61"/>
    <w:rsid w:val="00A01D8C"/>
    <w:rsid w:val="00A01DFC"/>
    <w:rsid w:val="00A02341"/>
    <w:rsid w:val="00A02770"/>
    <w:rsid w:val="00A028E8"/>
    <w:rsid w:val="00A029B9"/>
    <w:rsid w:val="00A037AD"/>
    <w:rsid w:val="00A03F2B"/>
    <w:rsid w:val="00A047EF"/>
    <w:rsid w:val="00A05425"/>
    <w:rsid w:val="00A05496"/>
    <w:rsid w:val="00A0557E"/>
    <w:rsid w:val="00A06054"/>
    <w:rsid w:val="00A067B5"/>
    <w:rsid w:val="00A06924"/>
    <w:rsid w:val="00A06C39"/>
    <w:rsid w:val="00A06C5D"/>
    <w:rsid w:val="00A07AD5"/>
    <w:rsid w:val="00A10355"/>
    <w:rsid w:val="00A1070C"/>
    <w:rsid w:val="00A10A16"/>
    <w:rsid w:val="00A10B67"/>
    <w:rsid w:val="00A10B8F"/>
    <w:rsid w:val="00A113FB"/>
    <w:rsid w:val="00A11CCD"/>
    <w:rsid w:val="00A12ABA"/>
    <w:rsid w:val="00A12C3A"/>
    <w:rsid w:val="00A12E31"/>
    <w:rsid w:val="00A1340F"/>
    <w:rsid w:val="00A13AAC"/>
    <w:rsid w:val="00A13BDD"/>
    <w:rsid w:val="00A13FDD"/>
    <w:rsid w:val="00A142D6"/>
    <w:rsid w:val="00A143D3"/>
    <w:rsid w:val="00A14776"/>
    <w:rsid w:val="00A14FB5"/>
    <w:rsid w:val="00A15305"/>
    <w:rsid w:val="00A15D9A"/>
    <w:rsid w:val="00A16A9E"/>
    <w:rsid w:val="00A16E85"/>
    <w:rsid w:val="00A17839"/>
    <w:rsid w:val="00A20F6E"/>
    <w:rsid w:val="00A20FFF"/>
    <w:rsid w:val="00A210A4"/>
    <w:rsid w:val="00A213E6"/>
    <w:rsid w:val="00A22BC0"/>
    <w:rsid w:val="00A22EC7"/>
    <w:rsid w:val="00A23057"/>
    <w:rsid w:val="00A2324C"/>
    <w:rsid w:val="00A236C0"/>
    <w:rsid w:val="00A2383F"/>
    <w:rsid w:val="00A23EF9"/>
    <w:rsid w:val="00A24D9A"/>
    <w:rsid w:val="00A25411"/>
    <w:rsid w:val="00A25C2A"/>
    <w:rsid w:val="00A266E2"/>
    <w:rsid w:val="00A2671D"/>
    <w:rsid w:val="00A26CBB"/>
    <w:rsid w:val="00A26CD4"/>
    <w:rsid w:val="00A26D7F"/>
    <w:rsid w:val="00A26FAD"/>
    <w:rsid w:val="00A270C3"/>
    <w:rsid w:val="00A301D3"/>
    <w:rsid w:val="00A30241"/>
    <w:rsid w:val="00A30733"/>
    <w:rsid w:val="00A31050"/>
    <w:rsid w:val="00A31435"/>
    <w:rsid w:val="00A31B2E"/>
    <w:rsid w:val="00A32012"/>
    <w:rsid w:val="00A321DA"/>
    <w:rsid w:val="00A322A2"/>
    <w:rsid w:val="00A322EE"/>
    <w:rsid w:val="00A325E2"/>
    <w:rsid w:val="00A32B27"/>
    <w:rsid w:val="00A3342E"/>
    <w:rsid w:val="00A33AE7"/>
    <w:rsid w:val="00A34171"/>
    <w:rsid w:val="00A34D26"/>
    <w:rsid w:val="00A35194"/>
    <w:rsid w:val="00A35392"/>
    <w:rsid w:val="00A3563E"/>
    <w:rsid w:val="00A35ABA"/>
    <w:rsid w:val="00A35BFC"/>
    <w:rsid w:val="00A366AF"/>
    <w:rsid w:val="00A37BF5"/>
    <w:rsid w:val="00A37D96"/>
    <w:rsid w:val="00A37F84"/>
    <w:rsid w:val="00A40182"/>
    <w:rsid w:val="00A40253"/>
    <w:rsid w:val="00A40D12"/>
    <w:rsid w:val="00A41B32"/>
    <w:rsid w:val="00A4273C"/>
    <w:rsid w:val="00A42869"/>
    <w:rsid w:val="00A4366B"/>
    <w:rsid w:val="00A45408"/>
    <w:rsid w:val="00A45E00"/>
    <w:rsid w:val="00A46912"/>
    <w:rsid w:val="00A46BAD"/>
    <w:rsid w:val="00A470D4"/>
    <w:rsid w:val="00A47175"/>
    <w:rsid w:val="00A473CC"/>
    <w:rsid w:val="00A5075D"/>
    <w:rsid w:val="00A5077D"/>
    <w:rsid w:val="00A50819"/>
    <w:rsid w:val="00A510E9"/>
    <w:rsid w:val="00A51728"/>
    <w:rsid w:val="00A519DE"/>
    <w:rsid w:val="00A51DBE"/>
    <w:rsid w:val="00A52B55"/>
    <w:rsid w:val="00A5304F"/>
    <w:rsid w:val="00A5309A"/>
    <w:rsid w:val="00A535ED"/>
    <w:rsid w:val="00A54274"/>
    <w:rsid w:val="00A54ABE"/>
    <w:rsid w:val="00A54BBA"/>
    <w:rsid w:val="00A553E7"/>
    <w:rsid w:val="00A5578A"/>
    <w:rsid w:val="00A55946"/>
    <w:rsid w:val="00A56044"/>
    <w:rsid w:val="00A56435"/>
    <w:rsid w:val="00A5664C"/>
    <w:rsid w:val="00A5669F"/>
    <w:rsid w:val="00A56C7D"/>
    <w:rsid w:val="00A57715"/>
    <w:rsid w:val="00A57EC5"/>
    <w:rsid w:val="00A57F81"/>
    <w:rsid w:val="00A6104B"/>
    <w:rsid w:val="00A61832"/>
    <w:rsid w:val="00A61C89"/>
    <w:rsid w:val="00A620C9"/>
    <w:rsid w:val="00A62715"/>
    <w:rsid w:val="00A62E44"/>
    <w:rsid w:val="00A62F40"/>
    <w:rsid w:val="00A634F3"/>
    <w:rsid w:val="00A63AC1"/>
    <w:rsid w:val="00A64467"/>
    <w:rsid w:val="00A65900"/>
    <w:rsid w:val="00A6625B"/>
    <w:rsid w:val="00A66722"/>
    <w:rsid w:val="00A668DD"/>
    <w:rsid w:val="00A669CC"/>
    <w:rsid w:val="00A66AAD"/>
    <w:rsid w:val="00A66B24"/>
    <w:rsid w:val="00A66DEB"/>
    <w:rsid w:val="00A672C2"/>
    <w:rsid w:val="00A674E1"/>
    <w:rsid w:val="00A676FD"/>
    <w:rsid w:val="00A67FEF"/>
    <w:rsid w:val="00A709BB"/>
    <w:rsid w:val="00A70ACE"/>
    <w:rsid w:val="00A7294D"/>
    <w:rsid w:val="00A744CC"/>
    <w:rsid w:val="00A74B5A"/>
    <w:rsid w:val="00A7577D"/>
    <w:rsid w:val="00A75841"/>
    <w:rsid w:val="00A76042"/>
    <w:rsid w:val="00A760A0"/>
    <w:rsid w:val="00A761E0"/>
    <w:rsid w:val="00A76A06"/>
    <w:rsid w:val="00A7734B"/>
    <w:rsid w:val="00A801CB"/>
    <w:rsid w:val="00A80E67"/>
    <w:rsid w:val="00A80F6A"/>
    <w:rsid w:val="00A8165F"/>
    <w:rsid w:val="00A81C2D"/>
    <w:rsid w:val="00A81D52"/>
    <w:rsid w:val="00A83619"/>
    <w:rsid w:val="00A83673"/>
    <w:rsid w:val="00A836A3"/>
    <w:rsid w:val="00A83C89"/>
    <w:rsid w:val="00A84220"/>
    <w:rsid w:val="00A845AE"/>
    <w:rsid w:val="00A85040"/>
    <w:rsid w:val="00A851BC"/>
    <w:rsid w:val="00A85937"/>
    <w:rsid w:val="00A861FF"/>
    <w:rsid w:val="00A866B1"/>
    <w:rsid w:val="00A86725"/>
    <w:rsid w:val="00A86ABA"/>
    <w:rsid w:val="00A86CD4"/>
    <w:rsid w:val="00A87511"/>
    <w:rsid w:val="00A87743"/>
    <w:rsid w:val="00A87B3F"/>
    <w:rsid w:val="00A87D4D"/>
    <w:rsid w:val="00A90128"/>
    <w:rsid w:val="00A90470"/>
    <w:rsid w:val="00A90784"/>
    <w:rsid w:val="00A915BD"/>
    <w:rsid w:val="00A93D73"/>
    <w:rsid w:val="00A9460C"/>
    <w:rsid w:val="00A94AC8"/>
    <w:rsid w:val="00A9581B"/>
    <w:rsid w:val="00A95AC9"/>
    <w:rsid w:val="00A95BB2"/>
    <w:rsid w:val="00A96CF8"/>
    <w:rsid w:val="00A970E9"/>
    <w:rsid w:val="00A9721C"/>
    <w:rsid w:val="00A977A7"/>
    <w:rsid w:val="00AA0147"/>
    <w:rsid w:val="00AA0BB6"/>
    <w:rsid w:val="00AA0E70"/>
    <w:rsid w:val="00AA11F4"/>
    <w:rsid w:val="00AA1391"/>
    <w:rsid w:val="00AA16C1"/>
    <w:rsid w:val="00AA2A17"/>
    <w:rsid w:val="00AA3048"/>
    <w:rsid w:val="00AA342F"/>
    <w:rsid w:val="00AA3A97"/>
    <w:rsid w:val="00AA439B"/>
    <w:rsid w:val="00AA4960"/>
    <w:rsid w:val="00AA55E5"/>
    <w:rsid w:val="00AA57E1"/>
    <w:rsid w:val="00AA5A14"/>
    <w:rsid w:val="00AA5C4A"/>
    <w:rsid w:val="00AA627C"/>
    <w:rsid w:val="00AA65BE"/>
    <w:rsid w:val="00AA6879"/>
    <w:rsid w:val="00AA69C0"/>
    <w:rsid w:val="00AA6FA6"/>
    <w:rsid w:val="00AA7AA9"/>
    <w:rsid w:val="00AA7CF0"/>
    <w:rsid w:val="00AA7D47"/>
    <w:rsid w:val="00AB0CEB"/>
    <w:rsid w:val="00AB0D59"/>
    <w:rsid w:val="00AB1204"/>
    <w:rsid w:val="00AB195E"/>
    <w:rsid w:val="00AB2E27"/>
    <w:rsid w:val="00AB34ED"/>
    <w:rsid w:val="00AB42D4"/>
    <w:rsid w:val="00AB49B0"/>
    <w:rsid w:val="00AB4CFE"/>
    <w:rsid w:val="00AB55F5"/>
    <w:rsid w:val="00AB57D2"/>
    <w:rsid w:val="00AB57E6"/>
    <w:rsid w:val="00AB5870"/>
    <w:rsid w:val="00AB5A2F"/>
    <w:rsid w:val="00AB5AD7"/>
    <w:rsid w:val="00AB5B42"/>
    <w:rsid w:val="00AB5C14"/>
    <w:rsid w:val="00AB6333"/>
    <w:rsid w:val="00AB6F21"/>
    <w:rsid w:val="00AB7664"/>
    <w:rsid w:val="00AB7DE5"/>
    <w:rsid w:val="00AB7E01"/>
    <w:rsid w:val="00AC16C9"/>
    <w:rsid w:val="00AC1B2F"/>
    <w:rsid w:val="00AC23D8"/>
    <w:rsid w:val="00AC354D"/>
    <w:rsid w:val="00AC37B0"/>
    <w:rsid w:val="00AC3F34"/>
    <w:rsid w:val="00AC4341"/>
    <w:rsid w:val="00AC451E"/>
    <w:rsid w:val="00AC4785"/>
    <w:rsid w:val="00AC4ABE"/>
    <w:rsid w:val="00AC4C52"/>
    <w:rsid w:val="00AC4FCF"/>
    <w:rsid w:val="00AC4FE7"/>
    <w:rsid w:val="00AC5182"/>
    <w:rsid w:val="00AC5723"/>
    <w:rsid w:val="00AC6FF5"/>
    <w:rsid w:val="00AC7155"/>
    <w:rsid w:val="00AC77B7"/>
    <w:rsid w:val="00AC7C6D"/>
    <w:rsid w:val="00AC7FDA"/>
    <w:rsid w:val="00AD0FCF"/>
    <w:rsid w:val="00AD1026"/>
    <w:rsid w:val="00AD350B"/>
    <w:rsid w:val="00AD37D9"/>
    <w:rsid w:val="00AD3ABF"/>
    <w:rsid w:val="00AD4442"/>
    <w:rsid w:val="00AD4A0A"/>
    <w:rsid w:val="00AD4B29"/>
    <w:rsid w:val="00AD5008"/>
    <w:rsid w:val="00AD5FA3"/>
    <w:rsid w:val="00AD6C02"/>
    <w:rsid w:val="00AD6D7F"/>
    <w:rsid w:val="00AD6FC5"/>
    <w:rsid w:val="00AD7013"/>
    <w:rsid w:val="00AE03A5"/>
    <w:rsid w:val="00AE0B05"/>
    <w:rsid w:val="00AE101C"/>
    <w:rsid w:val="00AE121B"/>
    <w:rsid w:val="00AE1759"/>
    <w:rsid w:val="00AE205B"/>
    <w:rsid w:val="00AE22B7"/>
    <w:rsid w:val="00AE26AD"/>
    <w:rsid w:val="00AE278C"/>
    <w:rsid w:val="00AE27D0"/>
    <w:rsid w:val="00AE3506"/>
    <w:rsid w:val="00AE351D"/>
    <w:rsid w:val="00AE36A5"/>
    <w:rsid w:val="00AE3715"/>
    <w:rsid w:val="00AE3EFD"/>
    <w:rsid w:val="00AE4610"/>
    <w:rsid w:val="00AE4D72"/>
    <w:rsid w:val="00AE4EC1"/>
    <w:rsid w:val="00AE4F59"/>
    <w:rsid w:val="00AE4FEE"/>
    <w:rsid w:val="00AE544C"/>
    <w:rsid w:val="00AE5AD8"/>
    <w:rsid w:val="00AE5BDE"/>
    <w:rsid w:val="00AE5C3A"/>
    <w:rsid w:val="00AE64CF"/>
    <w:rsid w:val="00AE6626"/>
    <w:rsid w:val="00AE73E9"/>
    <w:rsid w:val="00AF0DBC"/>
    <w:rsid w:val="00AF2575"/>
    <w:rsid w:val="00AF2C4A"/>
    <w:rsid w:val="00AF2E6E"/>
    <w:rsid w:val="00AF3059"/>
    <w:rsid w:val="00AF3060"/>
    <w:rsid w:val="00AF3684"/>
    <w:rsid w:val="00AF381E"/>
    <w:rsid w:val="00AF40D0"/>
    <w:rsid w:val="00AF431E"/>
    <w:rsid w:val="00AF4B49"/>
    <w:rsid w:val="00AF4E42"/>
    <w:rsid w:val="00AF51C3"/>
    <w:rsid w:val="00AF543F"/>
    <w:rsid w:val="00AF58B8"/>
    <w:rsid w:val="00AF633F"/>
    <w:rsid w:val="00AF6B41"/>
    <w:rsid w:val="00AF6E8C"/>
    <w:rsid w:val="00AF6EC8"/>
    <w:rsid w:val="00AF6F23"/>
    <w:rsid w:val="00B0014B"/>
    <w:rsid w:val="00B00601"/>
    <w:rsid w:val="00B00E6F"/>
    <w:rsid w:val="00B010B7"/>
    <w:rsid w:val="00B01743"/>
    <w:rsid w:val="00B02EE5"/>
    <w:rsid w:val="00B030A4"/>
    <w:rsid w:val="00B04075"/>
    <w:rsid w:val="00B04A48"/>
    <w:rsid w:val="00B04C17"/>
    <w:rsid w:val="00B05027"/>
    <w:rsid w:val="00B05505"/>
    <w:rsid w:val="00B05BC8"/>
    <w:rsid w:val="00B05E50"/>
    <w:rsid w:val="00B05F1D"/>
    <w:rsid w:val="00B05F2E"/>
    <w:rsid w:val="00B060F2"/>
    <w:rsid w:val="00B06183"/>
    <w:rsid w:val="00B068A6"/>
    <w:rsid w:val="00B069BA"/>
    <w:rsid w:val="00B06D29"/>
    <w:rsid w:val="00B1015E"/>
    <w:rsid w:val="00B101D6"/>
    <w:rsid w:val="00B10E91"/>
    <w:rsid w:val="00B11485"/>
    <w:rsid w:val="00B1160E"/>
    <w:rsid w:val="00B12421"/>
    <w:rsid w:val="00B12513"/>
    <w:rsid w:val="00B1285C"/>
    <w:rsid w:val="00B12860"/>
    <w:rsid w:val="00B12885"/>
    <w:rsid w:val="00B129E0"/>
    <w:rsid w:val="00B137BB"/>
    <w:rsid w:val="00B13AF7"/>
    <w:rsid w:val="00B13C7A"/>
    <w:rsid w:val="00B13E24"/>
    <w:rsid w:val="00B140A1"/>
    <w:rsid w:val="00B1430A"/>
    <w:rsid w:val="00B145CC"/>
    <w:rsid w:val="00B1486C"/>
    <w:rsid w:val="00B148D0"/>
    <w:rsid w:val="00B15216"/>
    <w:rsid w:val="00B15B27"/>
    <w:rsid w:val="00B17039"/>
    <w:rsid w:val="00B174C6"/>
    <w:rsid w:val="00B17C9E"/>
    <w:rsid w:val="00B207C1"/>
    <w:rsid w:val="00B20EAE"/>
    <w:rsid w:val="00B2131C"/>
    <w:rsid w:val="00B213C6"/>
    <w:rsid w:val="00B21902"/>
    <w:rsid w:val="00B21E85"/>
    <w:rsid w:val="00B2205F"/>
    <w:rsid w:val="00B22A9D"/>
    <w:rsid w:val="00B23252"/>
    <w:rsid w:val="00B2328A"/>
    <w:rsid w:val="00B23324"/>
    <w:rsid w:val="00B234EB"/>
    <w:rsid w:val="00B242C6"/>
    <w:rsid w:val="00B2450E"/>
    <w:rsid w:val="00B24EAB"/>
    <w:rsid w:val="00B2567C"/>
    <w:rsid w:val="00B25894"/>
    <w:rsid w:val="00B25A5A"/>
    <w:rsid w:val="00B26123"/>
    <w:rsid w:val="00B261A7"/>
    <w:rsid w:val="00B26A22"/>
    <w:rsid w:val="00B26F98"/>
    <w:rsid w:val="00B27A6F"/>
    <w:rsid w:val="00B27B83"/>
    <w:rsid w:val="00B30475"/>
    <w:rsid w:val="00B304F4"/>
    <w:rsid w:val="00B30EEC"/>
    <w:rsid w:val="00B3165C"/>
    <w:rsid w:val="00B31A62"/>
    <w:rsid w:val="00B31AB7"/>
    <w:rsid w:val="00B31FFE"/>
    <w:rsid w:val="00B32113"/>
    <w:rsid w:val="00B33861"/>
    <w:rsid w:val="00B340D5"/>
    <w:rsid w:val="00B34689"/>
    <w:rsid w:val="00B34A84"/>
    <w:rsid w:val="00B3503F"/>
    <w:rsid w:val="00B352F1"/>
    <w:rsid w:val="00B35514"/>
    <w:rsid w:val="00B3642B"/>
    <w:rsid w:val="00B365CC"/>
    <w:rsid w:val="00B36BCB"/>
    <w:rsid w:val="00B36FDC"/>
    <w:rsid w:val="00B37097"/>
    <w:rsid w:val="00B37618"/>
    <w:rsid w:val="00B37AB3"/>
    <w:rsid w:val="00B40BAF"/>
    <w:rsid w:val="00B425F1"/>
    <w:rsid w:val="00B42AD4"/>
    <w:rsid w:val="00B42EC0"/>
    <w:rsid w:val="00B4432C"/>
    <w:rsid w:val="00B44958"/>
    <w:rsid w:val="00B451E6"/>
    <w:rsid w:val="00B45220"/>
    <w:rsid w:val="00B45330"/>
    <w:rsid w:val="00B45AE9"/>
    <w:rsid w:val="00B45EC7"/>
    <w:rsid w:val="00B46384"/>
    <w:rsid w:val="00B47149"/>
    <w:rsid w:val="00B47A7D"/>
    <w:rsid w:val="00B47D66"/>
    <w:rsid w:val="00B47EAA"/>
    <w:rsid w:val="00B5022C"/>
    <w:rsid w:val="00B50BD8"/>
    <w:rsid w:val="00B50EAF"/>
    <w:rsid w:val="00B51E04"/>
    <w:rsid w:val="00B52045"/>
    <w:rsid w:val="00B521AB"/>
    <w:rsid w:val="00B52D47"/>
    <w:rsid w:val="00B53762"/>
    <w:rsid w:val="00B53C9A"/>
    <w:rsid w:val="00B54D4E"/>
    <w:rsid w:val="00B54FC1"/>
    <w:rsid w:val="00B5500B"/>
    <w:rsid w:val="00B55199"/>
    <w:rsid w:val="00B5553B"/>
    <w:rsid w:val="00B558CE"/>
    <w:rsid w:val="00B55C59"/>
    <w:rsid w:val="00B56544"/>
    <w:rsid w:val="00B56A08"/>
    <w:rsid w:val="00B56A34"/>
    <w:rsid w:val="00B570D9"/>
    <w:rsid w:val="00B577D0"/>
    <w:rsid w:val="00B578E7"/>
    <w:rsid w:val="00B57952"/>
    <w:rsid w:val="00B6007F"/>
    <w:rsid w:val="00B60B2E"/>
    <w:rsid w:val="00B61127"/>
    <w:rsid w:val="00B614AE"/>
    <w:rsid w:val="00B61B6B"/>
    <w:rsid w:val="00B61CB0"/>
    <w:rsid w:val="00B61FB3"/>
    <w:rsid w:val="00B628B1"/>
    <w:rsid w:val="00B637C7"/>
    <w:rsid w:val="00B639D7"/>
    <w:rsid w:val="00B63A2C"/>
    <w:rsid w:val="00B63B9E"/>
    <w:rsid w:val="00B63CE9"/>
    <w:rsid w:val="00B64CB0"/>
    <w:rsid w:val="00B64FDF"/>
    <w:rsid w:val="00B652BB"/>
    <w:rsid w:val="00B65BF4"/>
    <w:rsid w:val="00B65EA4"/>
    <w:rsid w:val="00B663E3"/>
    <w:rsid w:val="00B66692"/>
    <w:rsid w:val="00B66F51"/>
    <w:rsid w:val="00B6739C"/>
    <w:rsid w:val="00B70815"/>
    <w:rsid w:val="00B70BE3"/>
    <w:rsid w:val="00B712CD"/>
    <w:rsid w:val="00B719A9"/>
    <w:rsid w:val="00B71A75"/>
    <w:rsid w:val="00B71D3A"/>
    <w:rsid w:val="00B71DFC"/>
    <w:rsid w:val="00B71F1F"/>
    <w:rsid w:val="00B720CF"/>
    <w:rsid w:val="00B72343"/>
    <w:rsid w:val="00B72684"/>
    <w:rsid w:val="00B73A3D"/>
    <w:rsid w:val="00B73E3F"/>
    <w:rsid w:val="00B742C5"/>
    <w:rsid w:val="00B769CE"/>
    <w:rsid w:val="00B769F5"/>
    <w:rsid w:val="00B76AF7"/>
    <w:rsid w:val="00B76E5C"/>
    <w:rsid w:val="00B76EF5"/>
    <w:rsid w:val="00B7702B"/>
    <w:rsid w:val="00B80470"/>
    <w:rsid w:val="00B808F9"/>
    <w:rsid w:val="00B80EA9"/>
    <w:rsid w:val="00B825DE"/>
    <w:rsid w:val="00B828AB"/>
    <w:rsid w:val="00B83692"/>
    <w:rsid w:val="00B83F50"/>
    <w:rsid w:val="00B84200"/>
    <w:rsid w:val="00B84865"/>
    <w:rsid w:val="00B84FB3"/>
    <w:rsid w:val="00B85882"/>
    <w:rsid w:val="00B86F38"/>
    <w:rsid w:val="00B87AF2"/>
    <w:rsid w:val="00B87D3E"/>
    <w:rsid w:val="00B90283"/>
    <w:rsid w:val="00B906A5"/>
    <w:rsid w:val="00B9138E"/>
    <w:rsid w:val="00B91BBC"/>
    <w:rsid w:val="00B920B1"/>
    <w:rsid w:val="00B926F4"/>
    <w:rsid w:val="00B935D1"/>
    <w:rsid w:val="00B93FDD"/>
    <w:rsid w:val="00B94575"/>
    <w:rsid w:val="00B94B9E"/>
    <w:rsid w:val="00B95CB5"/>
    <w:rsid w:val="00B95ED8"/>
    <w:rsid w:val="00B96754"/>
    <w:rsid w:val="00B9685E"/>
    <w:rsid w:val="00B96A99"/>
    <w:rsid w:val="00B96C81"/>
    <w:rsid w:val="00B96E3A"/>
    <w:rsid w:val="00B97079"/>
    <w:rsid w:val="00B97894"/>
    <w:rsid w:val="00B979C7"/>
    <w:rsid w:val="00B97B88"/>
    <w:rsid w:val="00B97D5A"/>
    <w:rsid w:val="00B97F2E"/>
    <w:rsid w:val="00BA02A3"/>
    <w:rsid w:val="00BA031A"/>
    <w:rsid w:val="00BA06F4"/>
    <w:rsid w:val="00BA0DA2"/>
    <w:rsid w:val="00BA1272"/>
    <w:rsid w:val="00BA1D73"/>
    <w:rsid w:val="00BA27C5"/>
    <w:rsid w:val="00BA3CA7"/>
    <w:rsid w:val="00BA4AF9"/>
    <w:rsid w:val="00BA4EDB"/>
    <w:rsid w:val="00BA512E"/>
    <w:rsid w:val="00BA52F1"/>
    <w:rsid w:val="00BA53A2"/>
    <w:rsid w:val="00BA5823"/>
    <w:rsid w:val="00BA58D9"/>
    <w:rsid w:val="00BA65EC"/>
    <w:rsid w:val="00BA69E0"/>
    <w:rsid w:val="00BA7CB2"/>
    <w:rsid w:val="00BA7DDF"/>
    <w:rsid w:val="00BA7EDD"/>
    <w:rsid w:val="00BA7FBA"/>
    <w:rsid w:val="00BB11CF"/>
    <w:rsid w:val="00BB1590"/>
    <w:rsid w:val="00BB1E2A"/>
    <w:rsid w:val="00BB21E1"/>
    <w:rsid w:val="00BB2FEC"/>
    <w:rsid w:val="00BB45F8"/>
    <w:rsid w:val="00BB5C0C"/>
    <w:rsid w:val="00BB5DD9"/>
    <w:rsid w:val="00BB6278"/>
    <w:rsid w:val="00BB68E5"/>
    <w:rsid w:val="00BB6AB9"/>
    <w:rsid w:val="00BB6CC3"/>
    <w:rsid w:val="00BB6D97"/>
    <w:rsid w:val="00BB701E"/>
    <w:rsid w:val="00BB72A4"/>
    <w:rsid w:val="00BB7A98"/>
    <w:rsid w:val="00BB7AE4"/>
    <w:rsid w:val="00BB7E92"/>
    <w:rsid w:val="00BC0E1B"/>
    <w:rsid w:val="00BC0F72"/>
    <w:rsid w:val="00BC1758"/>
    <w:rsid w:val="00BC1854"/>
    <w:rsid w:val="00BC218F"/>
    <w:rsid w:val="00BC23A9"/>
    <w:rsid w:val="00BC2869"/>
    <w:rsid w:val="00BC2E2A"/>
    <w:rsid w:val="00BC30BD"/>
    <w:rsid w:val="00BC34E3"/>
    <w:rsid w:val="00BC38E0"/>
    <w:rsid w:val="00BC3EF2"/>
    <w:rsid w:val="00BC4073"/>
    <w:rsid w:val="00BC47C6"/>
    <w:rsid w:val="00BC4D86"/>
    <w:rsid w:val="00BC52F1"/>
    <w:rsid w:val="00BC5848"/>
    <w:rsid w:val="00BC58B1"/>
    <w:rsid w:val="00BC64F0"/>
    <w:rsid w:val="00BC6C35"/>
    <w:rsid w:val="00BC73F7"/>
    <w:rsid w:val="00BC7912"/>
    <w:rsid w:val="00BC7A20"/>
    <w:rsid w:val="00BD0095"/>
    <w:rsid w:val="00BD0271"/>
    <w:rsid w:val="00BD0B9D"/>
    <w:rsid w:val="00BD17DD"/>
    <w:rsid w:val="00BD1B2C"/>
    <w:rsid w:val="00BD1FB2"/>
    <w:rsid w:val="00BD211E"/>
    <w:rsid w:val="00BD22A7"/>
    <w:rsid w:val="00BD22EF"/>
    <w:rsid w:val="00BD253A"/>
    <w:rsid w:val="00BD2901"/>
    <w:rsid w:val="00BD3428"/>
    <w:rsid w:val="00BD3593"/>
    <w:rsid w:val="00BD5286"/>
    <w:rsid w:val="00BD52D7"/>
    <w:rsid w:val="00BD6FBB"/>
    <w:rsid w:val="00BE0B5F"/>
    <w:rsid w:val="00BE100D"/>
    <w:rsid w:val="00BE233C"/>
    <w:rsid w:val="00BE2DEA"/>
    <w:rsid w:val="00BE30E0"/>
    <w:rsid w:val="00BE31D7"/>
    <w:rsid w:val="00BE3452"/>
    <w:rsid w:val="00BE3F3D"/>
    <w:rsid w:val="00BE4068"/>
    <w:rsid w:val="00BE42E4"/>
    <w:rsid w:val="00BE444E"/>
    <w:rsid w:val="00BE47E6"/>
    <w:rsid w:val="00BE50C9"/>
    <w:rsid w:val="00BE51CC"/>
    <w:rsid w:val="00BE5431"/>
    <w:rsid w:val="00BE5793"/>
    <w:rsid w:val="00BE5B6B"/>
    <w:rsid w:val="00BE5EB0"/>
    <w:rsid w:val="00BE5F79"/>
    <w:rsid w:val="00BE65B8"/>
    <w:rsid w:val="00BE6B5D"/>
    <w:rsid w:val="00BE7054"/>
    <w:rsid w:val="00BE778A"/>
    <w:rsid w:val="00BE7994"/>
    <w:rsid w:val="00BE7BF5"/>
    <w:rsid w:val="00BE7ECF"/>
    <w:rsid w:val="00BF075E"/>
    <w:rsid w:val="00BF08A2"/>
    <w:rsid w:val="00BF0A0B"/>
    <w:rsid w:val="00BF0BF6"/>
    <w:rsid w:val="00BF0C80"/>
    <w:rsid w:val="00BF0C9D"/>
    <w:rsid w:val="00BF0D06"/>
    <w:rsid w:val="00BF13F4"/>
    <w:rsid w:val="00BF1721"/>
    <w:rsid w:val="00BF1930"/>
    <w:rsid w:val="00BF1B8D"/>
    <w:rsid w:val="00BF1D4E"/>
    <w:rsid w:val="00BF2268"/>
    <w:rsid w:val="00BF24B4"/>
    <w:rsid w:val="00BF2EF4"/>
    <w:rsid w:val="00BF3033"/>
    <w:rsid w:val="00BF31C8"/>
    <w:rsid w:val="00BF3521"/>
    <w:rsid w:val="00BF3955"/>
    <w:rsid w:val="00BF39EB"/>
    <w:rsid w:val="00BF3F94"/>
    <w:rsid w:val="00BF410F"/>
    <w:rsid w:val="00BF4312"/>
    <w:rsid w:val="00BF503C"/>
    <w:rsid w:val="00BF52FA"/>
    <w:rsid w:val="00BF5713"/>
    <w:rsid w:val="00BF5D6A"/>
    <w:rsid w:val="00BF5DF7"/>
    <w:rsid w:val="00BF77A3"/>
    <w:rsid w:val="00BF7922"/>
    <w:rsid w:val="00BF79AF"/>
    <w:rsid w:val="00BF79CA"/>
    <w:rsid w:val="00BF7CAF"/>
    <w:rsid w:val="00C00388"/>
    <w:rsid w:val="00C005A1"/>
    <w:rsid w:val="00C01363"/>
    <w:rsid w:val="00C0145B"/>
    <w:rsid w:val="00C018F9"/>
    <w:rsid w:val="00C01F56"/>
    <w:rsid w:val="00C02038"/>
    <w:rsid w:val="00C023DF"/>
    <w:rsid w:val="00C028F0"/>
    <w:rsid w:val="00C02EE9"/>
    <w:rsid w:val="00C03001"/>
    <w:rsid w:val="00C03306"/>
    <w:rsid w:val="00C035C5"/>
    <w:rsid w:val="00C037DE"/>
    <w:rsid w:val="00C03EA4"/>
    <w:rsid w:val="00C040EA"/>
    <w:rsid w:val="00C04887"/>
    <w:rsid w:val="00C0502B"/>
    <w:rsid w:val="00C05118"/>
    <w:rsid w:val="00C05159"/>
    <w:rsid w:val="00C077F0"/>
    <w:rsid w:val="00C1027A"/>
    <w:rsid w:val="00C11686"/>
    <w:rsid w:val="00C11CB6"/>
    <w:rsid w:val="00C11DFB"/>
    <w:rsid w:val="00C12160"/>
    <w:rsid w:val="00C1238A"/>
    <w:rsid w:val="00C1255C"/>
    <w:rsid w:val="00C12666"/>
    <w:rsid w:val="00C128FD"/>
    <w:rsid w:val="00C1312C"/>
    <w:rsid w:val="00C1385A"/>
    <w:rsid w:val="00C13931"/>
    <w:rsid w:val="00C140CF"/>
    <w:rsid w:val="00C14428"/>
    <w:rsid w:val="00C14FE7"/>
    <w:rsid w:val="00C15025"/>
    <w:rsid w:val="00C159BB"/>
    <w:rsid w:val="00C15CEA"/>
    <w:rsid w:val="00C15D47"/>
    <w:rsid w:val="00C15EFA"/>
    <w:rsid w:val="00C15F2E"/>
    <w:rsid w:val="00C163DB"/>
    <w:rsid w:val="00C17604"/>
    <w:rsid w:val="00C17A1F"/>
    <w:rsid w:val="00C20349"/>
    <w:rsid w:val="00C2096F"/>
    <w:rsid w:val="00C20B6F"/>
    <w:rsid w:val="00C20F95"/>
    <w:rsid w:val="00C2184E"/>
    <w:rsid w:val="00C2197D"/>
    <w:rsid w:val="00C222A2"/>
    <w:rsid w:val="00C2275A"/>
    <w:rsid w:val="00C22FF8"/>
    <w:rsid w:val="00C23001"/>
    <w:rsid w:val="00C23034"/>
    <w:rsid w:val="00C2309E"/>
    <w:rsid w:val="00C23516"/>
    <w:rsid w:val="00C23A76"/>
    <w:rsid w:val="00C23B84"/>
    <w:rsid w:val="00C2438D"/>
    <w:rsid w:val="00C246C3"/>
    <w:rsid w:val="00C24813"/>
    <w:rsid w:val="00C24878"/>
    <w:rsid w:val="00C25350"/>
    <w:rsid w:val="00C254A5"/>
    <w:rsid w:val="00C257F8"/>
    <w:rsid w:val="00C25B19"/>
    <w:rsid w:val="00C25D92"/>
    <w:rsid w:val="00C26821"/>
    <w:rsid w:val="00C2742E"/>
    <w:rsid w:val="00C2780C"/>
    <w:rsid w:val="00C27EDB"/>
    <w:rsid w:val="00C30241"/>
    <w:rsid w:val="00C3029C"/>
    <w:rsid w:val="00C30567"/>
    <w:rsid w:val="00C30AEE"/>
    <w:rsid w:val="00C30D51"/>
    <w:rsid w:val="00C31545"/>
    <w:rsid w:val="00C31C59"/>
    <w:rsid w:val="00C31CE9"/>
    <w:rsid w:val="00C31F4A"/>
    <w:rsid w:val="00C3205F"/>
    <w:rsid w:val="00C326A7"/>
    <w:rsid w:val="00C33D30"/>
    <w:rsid w:val="00C342B1"/>
    <w:rsid w:val="00C34554"/>
    <w:rsid w:val="00C34696"/>
    <w:rsid w:val="00C34B8E"/>
    <w:rsid w:val="00C35790"/>
    <w:rsid w:val="00C357E3"/>
    <w:rsid w:val="00C360F7"/>
    <w:rsid w:val="00C365EA"/>
    <w:rsid w:val="00C3668A"/>
    <w:rsid w:val="00C36E43"/>
    <w:rsid w:val="00C37560"/>
    <w:rsid w:val="00C37F1F"/>
    <w:rsid w:val="00C40210"/>
    <w:rsid w:val="00C403E8"/>
    <w:rsid w:val="00C40DF9"/>
    <w:rsid w:val="00C42229"/>
    <w:rsid w:val="00C4264A"/>
    <w:rsid w:val="00C4299D"/>
    <w:rsid w:val="00C429D2"/>
    <w:rsid w:val="00C4321D"/>
    <w:rsid w:val="00C44346"/>
    <w:rsid w:val="00C447EA"/>
    <w:rsid w:val="00C4497A"/>
    <w:rsid w:val="00C44CB0"/>
    <w:rsid w:val="00C45343"/>
    <w:rsid w:val="00C455FE"/>
    <w:rsid w:val="00C45652"/>
    <w:rsid w:val="00C45B12"/>
    <w:rsid w:val="00C462C7"/>
    <w:rsid w:val="00C470CD"/>
    <w:rsid w:val="00C50518"/>
    <w:rsid w:val="00C50A24"/>
    <w:rsid w:val="00C511C2"/>
    <w:rsid w:val="00C52589"/>
    <w:rsid w:val="00C52654"/>
    <w:rsid w:val="00C53005"/>
    <w:rsid w:val="00C54088"/>
    <w:rsid w:val="00C5496F"/>
    <w:rsid w:val="00C54CC0"/>
    <w:rsid w:val="00C54E36"/>
    <w:rsid w:val="00C55408"/>
    <w:rsid w:val="00C5593E"/>
    <w:rsid w:val="00C55F5E"/>
    <w:rsid w:val="00C55FAE"/>
    <w:rsid w:val="00C55FC1"/>
    <w:rsid w:val="00C5608B"/>
    <w:rsid w:val="00C56732"/>
    <w:rsid w:val="00C56DE9"/>
    <w:rsid w:val="00C57A35"/>
    <w:rsid w:val="00C600E0"/>
    <w:rsid w:val="00C603A8"/>
    <w:rsid w:val="00C607A4"/>
    <w:rsid w:val="00C60BE0"/>
    <w:rsid w:val="00C61757"/>
    <w:rsid w:val="00C626DC"/>
    <w:rsid w:val="00C62FD6"/>
    <w:rsid w:val="00C630AF"/>
    <w:rsid w:val="00C63183"/>
    <w:rsid w:val="00C63323"/>
    <w:rsid w:val="00C638D0"/>
    <w:rsid w:val="00C64A7A"/>
    <w:rsid w:val="00C658AB"/>
    <w:rsid w:val="00C66410"/>
    <w:rsid w:val="00C6688C"/>
    <w:rsid w:val="00C66CE4"/>
    <w:rsid w:val="00C671AB"/>
    <w:rsid w:val="00C67972"/>
    <w:rsid w:val="00C67DF1"/>
    <w:rsid w:val="00C67E3F"/>
    <w:rsid w:val="00C67EC2"/>
    <w:rsid w:val="00C7025C"/>
    <w:rsid w:val="00C71287"/>
    <w:rsid w:val="00C7157E"/>
    <w:rsid w:val="00C71A5F"/>
    <w:rsid w:val="00C71BE1"/>
    <w:rsid w:val="00C71D23"/>
    <w:rsid w:val="00C721B6"/>
    <w:rsid w:val="00C72429"/>
    <w:rsid w:val="00C726A7"/>
    <w:rsid w:val="00C73780"/>
    <w:rsid w:val="00C73985"/>
    <w:rsid w:val="00C7434B"/>
    <w:rsid w:val="00C74B91"/>
    <w:rsid w:val="00C74CD3"/>
    <w:rsid w:val="00C74EB8"/>
    <w:rsid w:val="00C75CF1"/>
    <w:rsid w:val="00C75D87"/>
    <w:rsid w:val="00C75ED5"/>
    <w:rsid w:val="00C760EB"/>
    <w:rsid w:val="00C7650B"/>
    <w:rsid w:val="00C76654"/>
    <w:rsid w:val="00C76914"/>
    <w:rsid w:val="00C769D1"/>
    <w:rsid w:val="00C76B48"/>
    <w:rsid w:val="00C803B5"/>
    <w:rsid w:val="00C806F4"/>
    <w:rsid w:val="00C8093F"/>
    <w:rsid w:val="00C80AAE"/>
    <w:rsid w:val="00C81998"/>
    <w:rsid w:val="00C81C85"/>
    <w:rsid w:val="00C81C9A"/>
    <w:rsid w:val="00C81DDD"/>
    <w:rsid w:val="00C82B00"/>
    <w:rsid w:val="00C82BFB"/>
    <w:rsid w:val="00C846B4"/>
    <w:rsid w:val="00C84990"/>
    <w:rsid w:val="00C8551F"/>
    <w:rsid w:val="00C85623"/>
    <w:rsid w:val="00C85807"/>
    <w:rsid w:val="00C861A3"/>
    <w:rsid w:val="00C86883"/>
    <w:rsid w:val="00C868E0"/>
    <w:rsid w:val="00C86B2F"/>
    <w:rsid w:val="00C86DE0"/>
    <w:rsid w:val="00C870AE"/>
    <w:rsid w:val="00C87954"/>
    <w:rsid w:val="00C87AA9"/>
    <w:rsid w:val="00C87E59"/>
    <w:rsid w:val="00C9004D"/>
    <w:rsid w:val="00C900CF"/>
    <w:rsid w:val="00C903D9"/>
    <w:rsid w:val="00C9063E"/>
    <w:rsid w:val="00C90A85"/>
    <w:rsid w:val="00C90B76"/>
    <w:rsid w:val="00C912E0"/>
    <w:rsid w:val="00C9140D"/>
    <w:rsid w:val="00C91431"/>
    <w:rsid w:val="00C9149A"/>
    <w:rsid w:val="00C920AC"/>
    <w:rsid w:val="00C9211D"/>
    <w:rsid w:val="00C921C4"/>
    <w:rsid w:val="00C9247A"/>
    <w:rsid w:val="00C92771"/>
    <w:rsid w:val="00C92773"/>
    <w:rsid w:val="00C92933"/>
    <w:rsid w:val="00C92B89"/>
    <w:rsid w:val="00C9310C"/>
    <w:rsid w:val="00C93202"/>
    <w:rsid w:val="00C93473"/>
    <w:rsid w:val="00C93541"/>
    <w:rsid w:val="00C93951"/>
    <w:rsid w:val="00C93E2C"/>
    <w:rsid w:val="00C93E4A"/>
    <w:rsid w:val="00C93FA0"/>
    <w:rsid w:val="00C94863"/>
    <w:rsid w:val="00C94A27"/>
    <w:rsid w:val="00C94C6D"/>
    <w:rsid w:val="00C94F07"/>
    <w:rsid w:val="00C95A48"/>
    <w:rsid w:val="00C95B23"/>
    <w:rsid w:val="00C95EFE"/>
    <w:rsid w:val="00C95F5E"/>
    <w:rsid w:val="00C96073"/>
    <w:rsid w:val="00C964BD"/>
    <w:rsid w:val="00C969C6"/>
    <w:rsid w:val="00C96F15"/>
    <w:rsid w:val="00C97D93"/>
    <w:rsid w:val="00CA05BE"/>
    <w:rsid w:val="00CA1816"/>
    <w:rsid w:val="00CA24B3"/>
    <w:rsid w:val="00CA2BE5"/>
    <w:rsid w:val="00CA2FC4"/>
    <w:rsid w:val="00CA3A85"/>
    <w:rsid w:val="00CA3E17"/>
    <w:rsid w:val="00CA44C8"/>
    <w:rsid w:val="00CA4BE1"/>
    <w:rsid w:val="00CA55AE"/>
    <w:rsid w:val="00CA572C"/>
    <w:rsid w:val="00CA5A10"/>
    <w:rsid w:val="00CA5AB1"/>
    <w:rsid w:val="00CA60AD"/>
    <w:rsid w:val="00CA63A1"/>
    <w:rsid w:val="00CB0895"/>
    <w:rsid w:val="00CB1101"/>
    <w:rsid w:val="00CB13D2"/>
    <w:rsid w:val="00CB22FB"/>
    <w:rsid w:val="00CB26F6"/>
    <w:rsid w:val="00CB2CE8"/>
    <w:rsid w:val="00CB398A"/>
    <w:rsid w:val="00CB49CD"/>
    <w:rsid w:val="00CB5239"/>
    <w:rsid w:val="00CB5DE2"/>
    <w:rsid w:val="00CB5FBC"/>
    <w:rsid w:val="00CB76F4"/>
    <w:rsid w:val="00CB7BF7"/>
    <w:rsid w:val="00CB7BF9"/>
    <w:rsid w:val="00CC026B"/>
    <w:rsid w:val="00CC09E8"/>
    <w:rsid w:val="00CC0AFF"/>
    <w:rsid w:val="00CC0C1E"/>
    <w:rsid w:val="00CC0E2F"/>
    <w:rsid w:val="00CC1B50"/>
    <w:rsid w:val="00CC1C89"/>
    <w:rsid w:val="00CC1DF1"/>
    <w:rsid w:val="00CC257D"/>
    <w:rsid w:val="00CC27D3"/>
    <w:rsid w:val="00CC3D96"/>
    <w:rsid w:val="00CC461F"/>
    <w:rsid w:val="00CC47C1"/>
    <w:rsid w:val="00CC4A33"/>
    <w:rsid w:val="00CC4B62"/>
    <w:rsid w:val="00CC58DE"/>
    <w:rsid w:val="00CC5CC2"/>
    <w:rsid w:val="00CC5E99"/>
    <w:rsid w:val="00CC6F66"/>
    <w:rsid w:val="00CC6FAB"/>
    <w:rsid w:val="00CC7103"/>
    <w:rsid w:val="00CC78C8"/>
    <w:rsid w:val="00CC7B82"/>
    <w:rsid w:val="00CC7C72"/>
    <w:rsid w:val="00CC7F7B"/>
    <w:rsid w:val="00CD0590"/>
    <w:rsid w:val="00CD05A7"/>
    <w:rsid w:val="00CD06CF"/>
    <w:rsid w:val="00CD0B90"/>
    <w:rsid w:val="00CD16AF"/>
    <w:rsid w:val="00CD1A2C"/>
    <w:rsid w:val="00CD1D80"/>
    <w:rsid w:val="00CD2650"/>
    <w:rsid w:val="00CD2FD5"/>
    <w:rsid w:val="00CD35A8"/>
    <w:rsid w:val="00CD3C50"/>
    <w:rsid w:val="00CD3E5D"/>
    <w:rsid w:val="00CD4489"/>
    <w:rsid w:val="00CD4762"/>
    <w:rsid w:val="00CD4B4E"/>
    <w:rsid w:val="00CD4FF2"/>
    <w:rsid w:val="00CD5231"/>
    <w:rsid w:val="00CD58C4"/>
    <w:rsid w:val="00CD5B3D"/>
    <w:rsid w:val="00CD5B55"/>
    <w:rsid w:val="00CD68DB"/>
    <w:rsid w:val="00CD7049"/>
    <w:rsid w:val="00CD7D4D"/>
    <w:rsid w:val="00CE088F"/>
    <w:rsid w:val="00CE0FF6"/>
    <w:rsid w:val="00CE15E8"/>
    <w:rsid w:val="00CE1CB7"/>
    <w:rsid w:val="00CE231A"/>
    <w:rsid w:val="00CE28E1"/>
    <w:rsid w:val="00CE2A5F"/>
    <w:rsid w:val="00CE2D9A"/>
    <w:rsid w:val="00CE2DDB"/>
    <w:rsid w:val="00CE3586"/>
    <w:rsid w:val="00CE36FB"/>
    <w:rsid w:val="00CE416C"/>
    <w:rsid w:val="00CE4514"/>
    <w:rsid w:val="00CE45A5"/>
    <w:rsid w:val="00CE5223"/>
    <w:rsid w:val="00CE542E"/>
    <w:rsid w:val="00CE59F3"/>
    <w:rsid w:val="00CE5EE5"/>
    <w:rsid w:val="00CE64A3"/>
    <w:rsid w:val="00CE6B2E"/>
    <w:rsid w:val="00CE7B9E"/>
    <w:rsid w:val="00CF00AB"/>
    <w:rsid w:val="00CF0408"/>
    <w:rsid w:val="00CF12CA"/>
    <w:rsid w:val="00CF2956"/>
    <w:rsid w:val="00CF3328"/>
    <w:rsid w:val="00CF33A1"/>
    <w:rsid w:val="00CF34DA"/>
    <w:rsid w:val="00CF3C26"/>
    <w:rsid w:val="00CF3F13"/>
    <w:rsid w:val="00CF40AC"/>
    <w:rsid w:val="00CF45A9"/>
    <w:rsid w:val="00CF4D79"/>
    <w:rsid w:val="00CF50AE"/>
    <w:rsid w:val="00CF5548"/>
    <w:rsid w:val="00CF61F4"/>
    <w:rsid w:val="00CF671E"/>
    <w:rsid w:val="00CF6817"/>
    <w:rsid w:val="00CF6853"/>
    <w:rsid w:val="00CF7A66"/>
    <w:rsid w:val="00CF7B88"/>
    <w:rsid w:val="00CF7C95"/>
    <w:rsid w:val="00CF7F9A"/>
    <w:rsid w:val="00D00F66"/>
    <w:rsid w:val="00D01537"/>
    <w:rsid w:val="00D01FCC"/>
    <w:rsid w:val="00D0200B"/>
    <w:rsid w:val="00D0208D"/>
    <w:rsid w:val="00D02261"/>
    <w:rsid w:val="00D02729"/>
    <w:rsid w:val="00D02F1D"/>
    <w:rsid w:val="00D03D20"/>
    <w:rsid w:val="00D04B0A"/>
    <w:rsid w:val="00D04E9D"/>
    <w:rsid w:val="00D05E45"/>
    <w:rsid w:val="00D05E9B"/>
    <w:rsid w:val="00D05F15"/>
    <w:rsid w:val="00D061E8"/>
    <w:rsid w:val="00D06F40"/>
    <w:rsid w:val="00D07D3C"/>
    <w:rsid w:val="00D07EB6"/>
    <w:rsid w:val="00D100BD"/>
    <w:rsid w:val="00D10A4C"/>
    <w:rsid w:val="00D10FBA"/>
    <w:rsid w:val="00D11B3E"/>
    <w:rsid w:val="00D128CA"/>
    <w:rsid w:val="00D12B37"/>
    <w:rsid w:val="00D12B7B"/>
    <w:rsid w:val="00D12E8A"/>
    <w:rsid w:val="00D134B0"/>
    <w:rsid w:val="00D1365C"/>
    <w:rsid w:val="00D139A2"/>
    <w:rsid w:val="00D13D45"/>
    <w:rsid w:val="00D13FA4"/>
    <w:rsid w:val="00D142ED"/>
    <w:rsid w:val="00D14771"/>
    <w:rsid w:val="00D14BF1"/>
    <w:rsid w:val="00D16606"/>
    <w:rsid w:val="00D16D54"/>
    <w:rsid w:val="00D17520"/>
    <w:rsid w:val="00D17A2D"/>
    <w:rsid w:val="00D17E50"/>
    <w:rsid w:val="00D205B3"/>
    <w:rsid w:val="00D205CE"/>
    <w:rsid w:val="00D209AB"/>
    <w:rsid w:val="00D20CC9"/>
    <w:rsid w:val="00D21E80"/>
    <w:rsid w:val="00D22152"/>
    <w:rsid w:val="00D22271"/>
    <w:rsid w:val="00D226DD"/>
    <w:rsid w:val="00D22E70"/>
    <w:rsid w:val="00D22EAB"/>
    <w:rsid w:val="00D23008"/>
    <w:rsid w:val="00D235C9"/>
    <w:rsid w:val="00D23F86"/>
    <w:rsid w:val="00D240BE"/>
    <w:rsid w:val="00D244BF"/>
    <w:rsid w:val="00D248A8"/>
    <w:rsid w:val="00D24A26"/>
    <w:rsid w:val="00D24FB7"/>
    <w:rsid w:val="00D25061"/>
    <w:rsid w:val="00D25950"/>
    <w:rsid w:val="00D26598"/>
    <w:rsid w:val="00D26A2A"/>
    <w:rsid w:val="00D26DFA"/>
    <w:rsid w:val="00D27260"/>
    <w:rsid w:val="00D2781D"/>
    <w:rsid w:val="00D3007B"/>
    <w:rsid w:val="00D3014D"/>
    <w:rsid w:val="00D31194"/>
    <w:rsid w:val="00D31225"/>
    <w:rsid w:val="00D3135E"/>
    <w:rsid w:val="00D32542"/>
    <w:rsid w:val="00D3327C"/>
    <w:rsid w:val="00D33303"/>
    <w:rsid w:val="00D3352F"/>
    <w:rsid w:val="00D33578"/>
    <w:rsid w:val="00D33773"/>
    <w:rsid w:val="00D3387D"/>
    <w:rsid w:val="00D3426F"/>
    <w:rsid w:val="00D3494C"/>
    <w:rsid w:val="00D35077"/>
    <w:rsid w:val="00D352BC"/>
    <w:rsid w:val="00D36778"/>
    <w:rsid w:val="00D36D4C"/>
    <w:rsid w:val="00D36D50"/>
    <w:rsid w:val="00D37674"/>
    <w:rsid w:val="00D37860"/>
    <w:rsid w:val="00D37989"/>
    <w:rsid w:val="00D37A15"/>
    <w:rsid w:val="00D37B8C"/>
    <w:rsid w:val="00D37D9D"/>
    <w:rsid w:val="00D37E97"/>
    <w:rsid w:val="00D40142"/>
    <w:rsid w:val="00D401B1"/>
    <w:rsid w:val="00D40D82"/>
    <w:rsid w:val="00D413B1"/>
    <w:rsid w:val="00D41C58"/>
    <w:rsid w:val="00D41CB2"/>
    <w:rsid w:val="00D430D4"/>
    <w:rsid w:val="00D43B7B"/>
    <w:rsid w:val="00D44463"/>
    <w:rsid w:val="00D448C9"/>
    <w:rsid w:val="00D44B62"/>
    <w:rsid w:val="00D44CAC"/>
    <w:rsid w:val="00D461B4"/>
    <w:rsid w:val="00D464FA"/>
    <w:rsid w:val="00D46799"/>
    <w:rsid w:val="00D468A4"/>
    <w:rsid w:val="00D46CB6"/>
    <w:rsid w:val="00D46CD0"/>
    <w:rsid w:val="00D46EF8"/>
    <w:rsid w:val="00D47095"/>
    <w:rsid w:val="00D470B2"/>
    <w:rsid w:val="00D47458"/>
    <w:rsid w:val="00D478FA"/>
    <w:rsid w:val="00D50648"/>
    <w:rsid w:val="00D51977"/>
    <w:rsid w:val="00D523F3"/>
    <w:rsid w:val="00D52F0D"/>
    <w:rsid w:val="00D5351B"/>
    <w:rsid w:val="00D53913"/>
    <w:rsid w:val="00D53CA2"/>
    <w:rsid w:val="00D5413A"/>
    <w:rsid w:val="00D5434E"/>
    <w:rsid w:val="00D54727"/>
    <w:rsid w:val="00D54D04"/>
    <w:rsid w:val="00D54D46"/>
    <w:rsid w:val="00D54D5E"/>
    <w:rsid w:val="00D54E7A"/>
    <w:rsid w:val="00D5516B"/>
    <w:rsid w:val="00D555B5"/>
    <w:rsid w:val="00D560B7"/>
    <w:rsid w:val="00D5646F"/>
    <w:rsid w:val="00D56657"/>
    <w:rsid w:val="00D56DA8"/>
    <w:rsid w:val="00D5706B"/>
    <w:rsid w:val="00D570BB"/>
    <w:rsid w:val="00D575C4"/>
    <w:rsid w:val="00D606C7"/>
    <w:rsid w:val="00D608C8"/>
    <w:rsid w:val="00D609E9"/>
    <w:rsid w:val="00D61C88"/>
    <w:rsid w:val="00D62220"/>
    <w:rsid w:val="00D62725"/>
    <w:rsid w:val="00D6287C"/>
    <w:rsid w:val="00D63FCB"/>
    <w:rsid w:val="00D64593"/>
    <w:rsid w:val="00D64A76"/>
    <w:rsid w:val="00D64BB3"/>
    <w:rsid w:val="00D64DB6"/>
    <w:rsid w:val="00D659EA"/>
    <w:rsid w:val="00D664A4"/>
    <w:rsid w:val="00D6719B"/>
    <w:rsid w:val="00D67D91"/>
    <w:rsid w:val="00D67E0E"/>
    <w:rsid w:val="00D7081F"/>
    <w:rsid w:val="00D72150"/>
    <w:rsid w:val="00D723AF"/>
    <w:rsid w:val="00D72CA4"/>
    <w:rsid w:val="00D7362C"/>
    <w:rsid w:val="00D74C06"/>
    <w:rsid w:val="00D74E22"/>
    <w:rsid w:val="00D75166"/>
    <w:rsid w:val="00D75381"/>
    <w:rsid w:val="00D75E2E"/>
    <w:rsid w:val="00D7639F"/>
    <w:rsid w:val="00D764C2"/>
    <w:rsid w:val="00D76542"/>
    <w:rsid w:val="00D76DD3"/>
    <w:rsid w:val="00D77776"/>
    <w:rsid w:val="00D77BAB"/>
    <w:rsid w:val="00D801B7"/>
    <w:rsid w:val="00D80AD9"/>
    <w:rsid w:val="00D81075"/>
    <w:rsid w:val="00D816BE"/>
    <w:rsid w:val="00D8188E"/>
    <w:rsid w:val="00D828EA"/>
    <w:rsid w:val="00D8314F"/>
    <w:rsid w:val="00D837EB"/>
    <w:rsid w:val="00D83889"/>
    <w:rsid w:val="00D83C79"/>
    <w:rsid w:val="00D83CDA"/>
    <w:rsid w:val="00D844A0"/>
    <w:rsid w:val="00D84A30"/>
    <w:rsid w:val="00D84E6D"/>
    <w:rsid w:val="00D84F35"/>
    <w:rsid w:val="00D8523B"/>
    <w:rsid w:val="00D854CE"/>
    <w:rsid w:val="00D85847"/>
    <w:rsid w:val="00D858FC"/>
    <w:rsid w:val="00D85E40"/>
    <w:rsid w:val="00D861A2"/>
    <w:rsid w:val="00D86559"/>
    <w:rsid w:val="00D86717"/>
    <w:rsid w:val="00D86DB3"/>
    <w:rsid w:val="00D86E9C"/>
    <w:rsid w:val="00D873BF"/>
    <w:rsid w:val="00D87C49"/>
    <w:rsid w:val="00D87DDA"/>
    <w:rsid w:val="00D906D4"/>
    <w:rsid w:val="00D906D5"/>
    <w:rsid w:val="00D90A8B"/>
    <w:rsid w:val="00D90AEF"/>
    <w:rsid w:val="00D90D0C"/>
    <w:rsid w:val="00D90DF1"/>
    <w:rsid w:val="00D90F24"/>
    <w:rsid w:val="00D910A5"/>
    <w:rsid w:val="00D910B7"/>
    <w:rsid w:val="00D9128B"/>
    <w:rsid w:val="00D91769"/>
    <w:rsid w:val="00D9220D"/>
    <w:rsid w:val="00D926CD"/>
    <w:rsid w:val="00D933B7"/>
    <w:rsid w:val="00D93615"/>
    <w:rsid w:val="00D9371A"/>
    <w:rsid w:val="00D93E1A"/>
    <w:rsid w:val="00D9413B"/>
    <w:rsid w:val="00D941A9"/>
    <w:rsid w:val="00D947EC"/>
    <w:rsid w:val="00D9485D"/>
    <w:rsid w:val="00D948DA"/>
    <w:rsid w:val="00D94B32"/>
    <w:rsid w:val="00D95442"/>
    <w:rsid w:val="00D95798"/>
    <w:rsid w:val="00D960C5"/>
    <w:rsid w:val="00D97221"/>
    <w:rsid w:val="00D97B7C"/>
    <w:rsid w:val="00D97C77"/>
    <w:rsid w:val="00D97DE5"/>
    <w:rsid w:val="00DA032C"/>
    <w:rsid w:val="00DA04F6"/>
    <w:rsid w:val="00DA09FF"/>
    <w:rsid w:val="00DA16A6"/>
    <w:rsid w:val="00DA1F94"/>
    <w:rsid w:val="00DA2656"/>
    <w:rsid w:val="00DA28CF"/>
    <w:rsid w:val="00DA2CB8"/>
    <w:rsid w:val="00DA2F11"/>
    <w:rsid w:val="00DA2F17"/>
    <w:rsid w:val="00DA2F9B"/>
    <w:rsid w:val="00DA3201"/>
    <w:rsid w:val="00DA39A9"/>
    <w:rsid w:val="00DA3C0B"/>
    <w:rsid w:val="00DA3F84"/>
    <w:rsid w:val="00DA41C9"/>
    <w:rsid w:val="00DA44FA"/>
    <w:rsid w:val="00DA4960"/>
    <w:rsid w:val="00DA4E15"/>
    <w:rsid w:val="00DA5018"/>
    <w:rsid w:val="00DA51F5"/>
    <w:rsid w:val="00DA5220"/>
    <w:rsid w:val="00DA55FE"/>
    <w:rsid w:val="00DA586A"/>
    <w:rsid w:val="00DA5CB0"/>
    <w:rsid w:val="00DA5E46"/>
    <w:rsid w:val="00DA63F6"/>
    <w:rsid w:val="00DA6DD0"/>
    <w:rsid w:val="00DA7958"/>
    <w:rsid w:val="00DA7B1D"/>
    <w:rsid w:val="00DA7DBC"/>
    <w:rsid w:val="00DA7FA4"/>
    <w:rsid w:val="00DB071F"/>
    <w:rsid w:val="00DB0761"/>
    <w:rsid w:val="00DB0821"/>
    <w:rsid w:val="00DB0921"/>
    <w:rsid w:val="00DB0F52"/>
    <w:rsid w:val="00DB1939"/>
    <w:rsid w:val="00DB19FF"/>
    <w:rsid w:val="00DB26B0"/>
    <w:rsid w:val="00DB2FE1"/>
    <w:rsid w:val="00DB34A9"/>
    <w:rsid w:val="00DB395F"/>
    <w:rsid w:val="00DB3C91"/>
    <w:rsid w:val="00DB4592"/>
    <w:rsid w:val="00DB52D1"/>
    <w:rsid w:val="00DB55F2"/>
    <w:rsid w:val="00DB68C6"/>
    <w:rsid w:val="00DB6BA1"/>
    <w:rsid w:val="00DB7977"/>
    <w:rsid w:val="00DB7A04"/>
    <w:rsid w:val="00DC10A1"/>
    <w:rsid w:val="00DC1A07"/>
    <w:rsid w:val="00DC1A81"/>
    <w:rsid w:val="00DC1ABC"/>
    <w:rsid w:val="00DC1D6E"/>
    <w:rsid w:val="00DC1F24"/>
    <w:rsid w:val="00DC28C7"/>
    <w:rsid w:val="00DC2A74"/>
    <w:rsid w:val="00DC2B5B"/>
    <w:rsid w:val="00DC3521"/>
    <w:rsid w:val="00DC358B"/>
    <w:rsid w:val="00DC36CF"/>
    <w:rsid w:val="00DC3708"/>
    <w:rsid w:val="00DC42B2"/>
    <w:rsid w:val="00DC4354"/>
    <w:rsid w:val="00DC4398"/>
    <w:rsid w:val="00DC4C13"/>
    <w:rsid w:val="00DC5A10"/>
    <w:rsid w:val="00DC6DB0"/>
    <w:rsid w:val="00DC77AC"/>
    <w:rsid w:val="00DC7DD7"/>
    <w:rsid w:val="00DD05E4"/>
    <w:rsid w:val="00DD0683"/>
    <w:rsid w:val="00DD0B3A"/>
    <w:rsid w:val="00DD0F2C"/>
    <w:rsid w:val="00DD0F3F"/>
    <w:rsid w:val="00DD0F91"/>
    <w:rsid w:val="00DD1B29"/>
    <w:rsid w:val="00DD2317"/>
    <w:rsid w:val="00DD4496"/>
    <w:rsid w:val="00DD49C9"/>
    <w:rsid w:val="00DD4CE1"/>
    <w:rsid w:val="00DD5015"/>
    <w:rsid w:val="00DD5538"/>
    <w:rsid w:val="00DD55D1"/>
    <w:rsid w:val="00DD6AF7"/>
    <w:rsid w:val="00DD6B82"/>
    <w:rsid w:val="00DD6C03"/>
    <w:rsid w:val="00DD71C3"/>
    <w:rsid w:val="00DD72FE"/>
    <w:rsid w:val="00DD735B"/>
    <w:rsid w:val="00DD7401"/>
    <w:rsid w:val="00DE014C"/>
    <w:rsid w:val="00DE0715"/>
    <w:rsid w:val="00DE078E"/>
    <w:rsid w:val="00DE09DF"/>
    <w:rsid w:val="00DE0E53"/>
    <w:rsid w:val="00DE13E6"/>
    <w:rsid w:val="00DE1995"/>
    <w:rsid w:val="00DE2193"/>
    <w:rsid w:val="00DE2784"/>
    <w:rsid w:val="00DE34D6"/>
    <w:rsid w:val="00DE3788"/>
    <w:rsid w:val="00DE3B14"/>
    <w:rsid w:val="00DE40CD"/>
    <w:rsid w:val="00DE443C"/>
    <w:rsid w:val="00DE450E"/>
    <w:rsid w:val="00DE45C3"/>
    <w:rsid w:val="00DE4A10"/>
    <w:rsid w:val="00DE4E3B"/>
    <w:rsid w:val="00DE4EF1"/>
    <w:rsid w:val="00DE66E6"/>
    <w:rsid w:val="00DE6AA9"/>
    <w:rsid w:val="00DE6BE6"/>
    <w:rsid w:val="00DF0488"/>
    <w:rsid w:val="00DF05FD"/>
    <w:rsid w:val="00DF121E"/>
    <w:rsid w:val="00DF1BF5"/>
    <w:rsid w:val="00DF1F93"/>
    <w:rsid w:val="00DF2785"/>
    <w:rsid w:val="00DF289A"/>
    <w:rsid w:val="00DF2A55"/>
    <w:rsid w:val="00DF2DDA"/>
    <w:rsid w:val="00DF342D"/>
    <w:rsid w:val="00DF3847"/>
    <w:rsid w:val="00DF39E5"/>
    <w:rsid w:val="00DF409B"/>
    <w:rsid w:val="00DF48A6"/>
    <w:rsid w:val="00DF4EF7"/>
    <w:rsid w:val="00DF5331"/>
    <w:rsid w:val="00DF59ED"/>
    <w:rsid w:val="00DF6DC7"/>
    <w:rsid w:val="00DF7447"/>
    <w:rsid w:val="00DF7548"/>
    <w:rsid w:val="00DF7977"/>
    <w:rsid w:val="00DF7AF3"/>
    <w:rsid w:val="00DF7C0C"/>
    <w:rsid w:val="00E00D93"/>
    <w:rsid w:val="00E00DF6"/>
    <w:rsid w:val="00E00EE1"/>
    <w:rsid w:val="00E01775"/>
    <w:rsid w:val="00E017FE"/>
    <w:rsid w:val="00E01941"/>
    <w:rsid w:val="00E01A71"/>
    <w:rsid w:val="00E01BCF"/>
    <w:rsid w:val="00E01E1A"/>
    <w:rsid w:val="00E01E72"/>
    <w:rsid w:val="00E02272"/>
    <w:rsid w:val="00E025F2"/>
    <w:rsid w:val="00E02F22"/>
    <w:rsid w:val="00E02FAB"/>
    <w:rsid w:val="00E038A7"/>
    <w:rsid w:val="00E03BA6"/>
    <w:rsid w:val="00E042B9"/>
    <w:rsid w:val="00E044C5"/>
    <w:rsid w:val="00E04F41"/>
    <w:rsid w:val="00E05E4B"/>
    <w:rsid w:val="00E05E7F"/>
    <w:rsid w:val="00E065C7"/>
    <w:rsid w:val="00E065EE"/>
    <w:rsid w:val="00E06D17"/>
    <w:rsid w:val="00E06E20"/>
    <w:rsid w:val="00E07D17"/>
    <w:rsid w:val="00E106F2"/>
    <w:rsid w:val="00E10746"/>
    <w:rsid w:val="00E1077B"/>
    <w:rsid w:val="00E1131F"/>
    <w:rsid w:val="00E11414"/>
    <w:rsid w:val="00E11572"/>
    <w:rsid w:val="00E11EE4"/>
    <w:rsid w:val="00E12C64"/>
    <w:rsid w:val="00E12F67"/>
    <w:rsid w:val="00E13614"/>
    <w:rsid w:val="00E136F6"/>
    <w:rsid w:val="00E144B1"/>
    <w:rsid w:val="00E14529"/>
    <w:rsid w:val="00E148BD"/>
    <w:rsid w:val="00E14DE7"/>
    <w:rsid w:val="00E14E4F"/>
    <w:rsid w:val="00E1543B"/>
    <w:rsid w:val="00E15AC2"/>
    <w:rsid w:val="00E15F44"/>
    <w:rsid w:val="00E15FF3"/>
    <w:rsid w:val="00E1610D"/>
    <w:rsid w:val="00E1629F"/>
    <w:rsid w:val="00E172F7"/>
    <w:rsid w:val="00E17A48"/>
    <w:rsid w:val="00E20533"/>
    <w:rsid w:val="00E20F1C"/>
    <w:rsid w:val="00E211AB"/>
    <w:rsid w:val="00E21832"/>
    <w:rsid w:val="00E22DB8"/>
    <w:rsid w:val="00E23259"/>
    <w:rsid w:val="00E23608"/>
    <w:rsid w:val="00E24FA7"/>
    <w:rsid w:val="00E2560C"/>
    <w:rsid w:val="00E256D6"/>
    <w:rsid w:val="00E25955"/>
    <w:rsid w:val="00E26274"/>
    <w:rsid w:val="00E2664F"/>
    <w:rsid w:val="00E269CC"/>
    <w:rsid w:val="00E279A7"/>
    <w:rsid w:val="00E303B0"/>
    <w:rsid w:val="00E303D0"/>
    <w:rsid w:val="00E3062C"/>
    <w:rsid w:val="00E30EBD"/>
    <w:rsid w:val="00E3153C"/>
    <w:rsid w:val="00E31627"/>
    <w:rsid w:val="00E31D1F"/>
    <w:rsid w:val="00E3273E"/>
    <w:rsid w:val="00E32D4D"/>
    <w:rsid w:val="00E332A4"/>
    <w:rsid w:val="00E3345E"/>
    <w:rsid w:val="00E34297"/>
    <w:rsid w:val="00E34976"/>
    <w:rsid w:val="00E35941"/>
    <w:rsid w:val="00E3664D"/>
    <w:rsid w:val="00E36AF5"/>
    <w:rsid w:val="00E3743A"/>
    <w:rsid w:val="00E37E38"/>
    <w:rsid w:val="00E409AA"/>
    <w:rsid w:val="00E40D2D"/>
    <w:rsid w:val="00E4103B"/>
    <w:rsid w:val="00E41382"/>
    <w:rsid w:val="00E4138B"/>
    <w:rsid w:val="00E42CA1"/>
    <w:rsid w:val="00E4393B"/>
    <w:rsid w:val="00E44036"/>
    <w:rsid w:val="00E44680"/>
    <w:rsid w:val="00E446D2"/>
    <w:rsid w:val="00E448FD"/>
    <w:rsid w:val="00E44A13"/>
    <w:rsid w:val="00E44BC6"/>
    <w:rsid w:val="00E44C0B"/>
    <w:rsid w:val="00E4543F"/>
    <w:rsid w:val="00E4583E"/>
    <w:rsid w:val="00E4666A"/>
    <w:rsid w:val="00E46A18"/>
    <w:rsid w:val="00E472A1"/>
    <w:rsid w:val="00E4735E"/>
    <w:rsid w:val="00E47CFA"/>
    <w:rsid w:val="00E47D9C"/>
    <w:rsid w:val="00E47E8D"/>
    <w:rsid w:val="00E50E48"/>
    <w:rsid w:val="00E514EC"/>
    <w:rsid w:val="00E51A7D"/>
    <w:rsid w:val="00E524B4"/>
    <w:rsid w:val="00E524DF"/>
    <w:rsid w:val="00E528D3"/>
    <w:rsid w:val="00E52E39"/>
    <w:rsid w:val="00E53070"/>
    <w:rsid w:val="00E5315B"/>
    <w:rsid w:val="00E531A6"/>
    <w:rsid w:val="00E53640"/>
    <w:rsid w:val="00E53C50"/>
    <w:rsid w:val="00E540C3"/>
    <w:rsid w:val="00E5466C"/>
    <w:rsid w:val="00E54678"/>
    <w:rsid w:val="00E55948"/>
    <w:rsid w:val="00E55A64"/>
    <w:rsid w:val="00E56792"/>
    <w:rsid w:val="00E56852"/>
    <w:rsid w:val="00E56D6C"/>
    <w:rsid w:val="00E570AF"/>
    <w:rsid w:val="00E577F3"/>
    <w:rsid w:val="00E607D6"/>
    <w:rsid w:val="00E609FC"/>
    <w:rsid w:val="00E60B79"/>
    <w:rsid w:val="00E61049"/>
    <w:rsid w:val="00E616B8"/>
    <w:rsid w:val="00E61A2C"/>
    <w:rsid w:val="00E61B1D"/>
    <w:rsid w:val="00E61D42"/>
    <w:rsid w:val="00E61E1B"/>
    <w:rsid w:val="00E6288E"/>
    <w:rsid w:val="00E628A7"/>
    <w:rsid w:val="00E62B99"/>
    <w:rsid w:val="00E63028"/>
    <w:rsid w:val="00E63792"/>
    <w:rsid w:val="00E6379C"/>
    <w:rsid w:val="00E638BD"/>
    <w:rsid w:val="00E638C0"/>
    <w:rsid w:val="00E66E9D"/>
    <w:rsid w:val="00E67914"/>
    <w:rsid w:val="00E7029C"/>
    <w:rsid w:val="00E704A6"/>
    <w:rsid w:val="00E705A2"/>
    <w:rsid w:val="00E70717"/>
    <w:rsid w:val="00E70951"/>
    <w:rsid w:val="00E71260"/>
    <w:rsid w:val="00E71774"/>
    <w:rsid w:val="00E71996"/>
    <w:rsid w:val="00E72D3A"/>
    <w:rsid w:val="00E72F61"/>
    <w:rsid w:val="00E73102"/>
    <w:rsid w:val="00E73126"/>
    <w:rsid w:val="00E7370A"/>
    <w:rsid w:val="00E739C8"/>
    <w:rsid w:val="00E73E36"/>
    <w:rsid w:val="00E73E3C"/>
    <w:rsid w:val="00E7483F"/>
    <w:rsid w:val="00E75802"/>
    <w:rsid w:val="00E75B2F"/>
    <w:rsid w:val="00E75EA4"/>
    <w:rsid w:val="00E75FF9"/>
    <w:rsid w:val="00E76403"/>
    <w:rsid w:val="00E7692E"/>
    <w:rsid w:val="00E76D61"/>
    <w:rsid w:val="00E772E3"/>
    <w:rsid w:val="00E779D2"/>
    <w:rsid w:val="00E77E74"/>
    <w:rsid w:val="00E77F2F"/>
    <w:rsid w:val="00E801DA"/>
    <w:rsid w:val="00E80369"/>
    <w:rsid w:val="00E8071E"/>
    <w:rsid w:val="00E81087"/>
    <w:rsid w:val="00E81B64"/>
    <w:rsid w:val="00E81C71"/>
    <w:rsid w:val="00E81CE3"/>
    <w:rsid w:val="00E81E91"/>
    <w:rsid w:val="00E8222E"/>
    <w:rsid w:val="00E82830"/>
    <w:rsid w:val="00E82EBE"/>
    <w:rsid w:val="00E837D5"/>
    <w:rsid w:val="00E846F1"/>
    <w:rsid w:val="00E84C41"/>
    <w:rsid w:val="00E851EC"/>
    <w:rsid w:val="00E8541B"/>
    <w:rsid w:val="00E8546A"/>
    <w:rsid w:val="00E855ED"/>
    <w:rsid w:val="00E8577D"/>
    <w:rsid w:val="00E85807"/>
    <w:rsid w:val="00E85D55"/>
    <w:rsid w:val="00E85E15"/>
    <w:rsid w:val="00E86014"/>
    <w:rsid w:val="00E860CC"/>
    <w:rsid w:val="00E869A1"/>
    <w:rsid w:val="00E86D71"/>
    <w:rsid w:val="00E86F30"/>
    <w:rsid w:val="00E86F35"/>
    <w:rsid w:val="00E87114"/>
    <w:rsid w:val="00E8798B"/>
    <w:rsid w:val="00E87C6B"/>
    <w:rsid w:val="00E87F46"/>
    <w:rsid w:val="00E90042"/>
    <w:rsid w:val="00E905DF"/>
    <w:rsid w:val="00E90C68"/>
    <w:rsid w:val="00E914BC"/>
    <w:rsid w:val="00E91568"/>
    <w:rsid w:val="00E916B8"/>
    <w:rsid w:val="00E917D5"/>
    <w:rsid w:val="00E92141"/>
    <w:rsid w:val="00E9219E"/>
    <w:rsid w:val="00E92675"/>
    <w:rsid w:val="00E93043"/>
    <w:rsid w:val="00E93C86"/>
    <w:rsid w:val="00E94117"/>
    <w:rsid w:val="00E941D8"/>
    <w:rsid w:val="00E9482D"/>
    <w:rsid w:val="00E949A1"/>
    <w:rsid w:val="00E951FE"/>
    <w:rsid w:val="00E953F3"/>
    <w:rsid w:val="00E954E3"/>
    <w:rsid w:val="00E95D4C"/>
    <w:rsid w:val="00E96051"/>
    <w:rsid w:val="00E96196"/>
    <w:rsid w:val="00E97083"/>
    <w:rsid w:val="00E97AA4"/>
    <w:rsid w:val="00EA03A9"/>
    <w:rsid w:val="00EA0D7F"/>
    <w:rsid w:val="00EA159C"/>
    <w:rsid w:val="00EA1B8F"/>
    <w:rsid w:val="00EA1D3E"/>
    <w:rsid w:val="00EA236E"/>
    <w:rsid w:val="00EA239D"/>
    <w:rsid w:val="00EA24A1"/>
    <w:rsid w:val="00EA2504"/>
    <w:rsid w:val="00EA2CE1"/>
    <w:rsid w:val="00EA3B0D"/>
    <w:rsid w:val="00EA3B11"/>
    <w:rsid w:val="00EA3C3E"/>
    <w:rsid w:val="00EA3E40"/>
    <w:rsid w:val="00EA3EAC"/>
    <w:rsid w:val="00EA46F0"/>
    <w:rsid w:val="00EA48A4"/>
    <w:rsid w:val="00EA49A0"/>
    <w:rsid w:val="00EA4AFF"/>
    <w:rsid w:val="00EA5589"/>
    <w:rsid w:val="00EA59C4"/>
    <w:rsid w:val="00EA5F48"/>
    <w:rsid w:val="00EA6155"/>
    <w:rsid w:val="00EA680C"/>
    <w:rsid w:val="00EA6B2C"/>
    <w:rsid w:val="00EA6DE9"/>
    <w:rsid w:val="00EA6EB0"/>
    <w:rsid w:val="00EA787E"/>
    <w:rsid w:val="00EA7FE3"/>
    <w:rsid w:val="00EB03DB"/>
    <w:rsid w:val="00EB0A83"/>
    <w:rsid w:val="00EB0D63"/>
    <w:rsid w:val="00EB1167"/>
    <w:rsid w:val="00EB154D"/>
    <w:rsid w:val="00EB181E"/>
    <w:rsid w:val="00EB1B33"/>
    <w:rsid w:val="00EB1D89"/>
    <w:rsid w:val="00EB1DB0"/>
    <w:rsid w:val="00EB2393"/>
    <w:rsid w:val="00EB2616"/>
    <w:rsid w:val="00EB26D9"/>
    <w:rsid w:val="00EB2900"/>
    <w:rsid w:val="00EB2D69"/>
    <w:rsid w:val="00EB2ED8"/>
    <w:rsid w:val="00EB375C"/>
    <w:rsid w:val="00EB4184"/>
    <w:rsid w:val="00EB4803"/>
    <w:rsid w:val="00EB4A0D"/>
    <w:rsid w:val="00EB612A"/>
    <w:rsid w:val="00EB673D"/>
    <w:rsid w:val="00EB6C51"/>
    <w:rsid w:val="00EB783A"/>
    <w:rsid w:val="00EC0D79"/>
    <w:rsid w:val="00EC12E2"/>
    <w:rsid w:val="00EC155E"/>
    <w:rsid w:val="00EC1AD8"/>
    <w:rsid w:val="00EC1D7B"/>
    <w:rsid w:val="00EC234D"/>
    <w:rsid w:val="00EC3364"/>
    <w:rsid w:val="00EC44D8"/>
    <w:rsid w:val="00EC44FA"/>
    <w:rsid w:val="00EC462F"/>
    <w:rsid w:val="00EC4BBE"/>
    <w:rsid w:val="00EC56DE"/>
    <w:rsid w:val="00EC5CB9"/>
    <w:rsid w:val="00EC6001"/>
    <w:rsid w:val="00EC68DB"/>
    <w:rsid w:val="00EC6BEF"/>
    <w:rsid w:val="00EC7383"/>
    <w:rsid w:val="00EC7AF9"/>
    <w:rsid w:val="00EC7F43"/>
    <w:rsid w:val="00ED075F"/>
    <w:rsid w:val="00ED08A1"/>
    <w:rsid w:val="00ED09EA"/>
    <w:rsid w:val="00ED0A66"/>
    <w:rsid w:val="00ED0F24"/>
    <w:rsid w:val="00ED1653"/>
    <w:rsid w:val="00ED16EB"/>
    <w:rsid w:val="00ED1880"/>
    <w:rsid w:val="00ED22FD"/>
    <w:rsid w:val="00ED25C4"/>
    <w:rsid w:val="00ED3504"/>
    <w:rsid w:val="00ED3825"/>
    <w:rsid w:val="00ED438D"/>
    <w:rsid w:val="00ED5139"/>
    <w:rsid w:val="00ED51CA"/>
    <w:rsid w:val="00ED610E"/>
    <w:rsid w:val="00ED6E86"/>
    <w:rsid w:val="00ED71D3"/>
    <w:rsid w:val="00ED7AFA"/>
    <w:rsid w:val="00ED7EEF"/>
    <w:rsid w:val="00EE0225"/>
    <w:rsid w:val="00EE0BCF"/>
    <w:rsid w:val="00EE0CB6"/>
    <w:rsid w:val="00EE0D91"/>
    <w:rsid w:val="00EE195C"/>
    <w:rsid w:val="00EE1A68"/>
    <w:rsid w:val="00EE1C17"/>
    <w:rsid w:val="00EE1DB5"/>
    <w:rsid w:val="00EE21A6"/>
    <w:rsid w:val="00EE21D5"/>
    <w:rsid w:val="00EE2365"/>
    <w:rsid w:val="00EE39C9"/>
    <w:rsid w:val="00EE3B09"/>
    <w:rsid w:val="00EE3EBF"/>
    <w:rsid w:val="00EE3FCC"/>
    <w:rsid w:val="00EE42FE"/>
    <w:rsid w:val="00EE46AD"/>
    <w:rsid w:val="00EE470B"/>
    <w:rsid w:val="00EE5573"/>
    <w:rsid w:val="00EE5F1E"/>
    <w:rsid w:val="00EE6594"/>
    <w:rsid w:val="00EE69A4"/>
    <w:rsid w:val="00EE6A16"/>
    <w:rsid w:val="00EE7732"/>
    <w:rsid w:val="00EF000C"/>
    <w:rsid w:val="00EF064E"/>
    <w:rsid w:val="00EF0677"/>
    <w:rsid w:val="00EF0B1A"/>
    <w:rsid w:val="00EF0B94"/>
    <w:rsid w:val="00EF0C2F"/>
    <w:rsid w:val="00EF2936"/>
    <w:rsid w:val="00EF310B"/>
    <w:rsid w:val="00EF318E"/>
    <w:rsid w:val="00EF37F3"/>
    <w:rsid w:val="00EF383E"/>
    <w:rsid w:val="00EF3852"/>
    <w:rsid w:val="00EF3AA3"/>
    <w:rsid w:val="00EF3EBC"/>
    <w:rsid w:val="00EF4172"/>
    <w:rsid w:val="00EF4465"/>
    <w:rsid w:val="00EF4B44"/>
    <w:rsid w:val="00EF526E"/>
    <w:rsid w:val="00EF5450"/>
    <w:rsid w:val="00EF5665"/>
    <w:rsid w:val="00EF5738"/>
    <w:rsid w:val="00EF66AD"/>
    <w:rsid w:val="00EF69F7"/>
    <w:rsid w:val="00EF6CFB"/>
    <w:rsid w:val="00EF6F6D"/>
    <w:rsid w:val="00EF7F82"/>
    <w:rsid w:val="00F00976"/>
    <w:rsid w:val="00F0101C"/>
    <w:rsid w:val="00F01FB1"/>
    <w:rsid w:val="00F029BA"/>
    <w:rsid w:val="00F029C6"/>
    <w:rsid w:val="00F02A1B"/>
    <w:rsid w:val="00F032A7"/>
    <w:rsid w:val="00F037B9"/>
    <w:rsid w:val="00F038B4"/>
    <w:rsid w:val="00F04260"/>
    <w:rsid w:val="00F045E6"/>
    <w:rsid w:val="00F04DA6"/>
    <w:rsid w:val="00F05024"/>
    <w:rsid w:val="00F05330"/>
    <w:rsid w:val="00F05525"/>
    <w:rsid w:val="00F063AA"/>
    <w:rsid w:val="00F0759F"/>
    <w:rsid w:val="00F07CF2"/>
    <w:rsid w:val="00F1023C"/>
    <w:rsid w:val="00F10AA7"/>
    <w:rsid w:val="00F12FCD"/>
    <w:rsid w:val="00F131E8"/>
    <w:rsid w:val="00F132C8"/>
    <w:rsid w:val="00F1393D"/>
    <w:rsid w:val="00F13F5B"/>
    <w:rsid w:val="00F14190"/>
    <w:rsid w:val="00F146EC"/>
    <w:rsid w:val="00F15B0D"/>
    <w:rsid w:val="00F15BDB"/>
    <w:rsid w:val="00F15C7A"/>
    <w:rsid w:val="00F15CEF"/>
    <w:rsid w:val="00F16A9D"/>
    <w:rsid w:val="00F16B39"/>
    <w:rsid w:val="00F16CDC"/>
    <w:rsid w:val="00F16D7C"/>
    <w:rsid w:val="00F16E36"/>
    <w:rsid w:val="00F16FD9"/>
    <w:rsid w:val="00F170C1"/>
    <w:rsid w:val="00F17EB4"/>
    <w:rsid w:val="00F2041E"/>
    <w:rsid w:val="00F20592"/>
    <w:rsid w:val="00F20DBF"/>
    <w:rsid w:val="00F21438"/>
    <w:rsid w:val="00F21484"/>
    <w:rsid w:val="00F2162E"/>
    <w:rsid w:val="00F221D8"/>
    <w:rsid w:val="00F226A3"/>
    <w:rsid w:val="00F22D48"/>
    <w:rsid w:val="00F243A5"/>
    <w:rsid w:val="00F244B8"/>
    <w:rsid w:val="00F248C8"/>
    <w:rsid w:val="00F252E1"/>
    <w:rsid w:val="00F253D4"/>
    <w:rsid w:val="00F25926"/>
    <w:rsid w:val="00F25B41"/>
    <w:rsid w:val="00F26053"/>
    <w:rsid w:val="00F26A77"/>
    <w:rsid w:val="00F2794F"/>
    <w:rsid w:val="00F300DA"/>
    <w:rsid w:val="00F3065A"/>
    <w:rsid w:val="00F30784"/>
    <w:rsid w:val="00F30A6C"/>
    <w:rsid w:val="00F312B1"/>
    <w:rsid w:val="00F312C4"/>
    <w:rsid w:val="00F318E6"/>
    <w:rsid w:val="00F31936"/>
    <w:rsid w:val="00F3226A"/>
    <w:rsid w:val="00F32801"/>
    <w:rsid w:val="00F331DA"/>
    <w:rsid w:val="00F33758"/>
    <w:rsid w:val="00F36A95"/>
    <w:rsid w:val="00F37080"/>
    <w:rsid w:val="00F37182"/>
    <w:rsid w:val="00F37598"/>
    <w:rsid w:val="00F4032C"/>
    <w:rsid w:val="00F404F4"/>
    <w:rsid w:val="00F409F0"/>
    <w:rsid w:val="00F40D1C"/>
    <w:rsid w:val="00F40F98"/>
    <w:rsid w:val="00F410F6"/>
    <w:rsid w:val="00F410F8"/>
    <w:rsid w:val="00F422C9"/>
    <w:rsid w:val="00F425A7"/>
    <w:rsid w:val="00F4273C"/>
    <w:rsid w:val="00F434BB"/>
    <w:rsid w:val="00F4390A"/>
    <w:rsid w:val="00F43BDA"/>
    <w:rsid w:val="00F44A6E"/>
    <w:rsid w:val="00F44BC9"/>
    <w:rsid w:val="00F45895"/>
    <w:rsid w:val="00F46040"/>
    <w:rsid w:val="00F4643E"/>
    <w:rsid w:val="00F46809"/>
    <w:rsid w:val="00F474C1"/>
    <w:rsid w:val="00F47BA6"/>
    <w:rsid w:val="00F47F70"/>
    <w:rsid w:val="00F5023E"/>
    <w:rsid w:val="00F50472"/>
    <w:rsid w:val="00F5204B"/>
    <w:rsid w:val="00F520EC"/>
    <w:rsid w:val="00F53AD9"/>
    <w:rsid w:val="00F54598"/>
    <w:rsid w:val="00F54A4C"/>
    <w:rsid w:val="00F5504D"/>
    <w:rsid w:val="00F5522D"/>
    <w:rsid w:val="00F55483"/>
    <w:rsid w:val="00F55490"/>
    <w:rsid w:val="00F556A9"/>
    <w:rsid w:val="00F56515"/>
    <w:rsid w:val="00F56588"/>
    <w:rsid w:val="00F573AE"/>
    <w:rsid w:val="00F57936"/>
    <w:rsid w:val="00F57E17"/>
    <w:rsid w:val="00F60279"/>
    <w:rsid w:val="00F606D8"/>
    <w:rsid w:val="00F60CD6"/>
    <w:rsid w:val="00F60FB8"/>
    <w:rsid w:val="00F613EA"/>
    <w:rsid w:val="00F61440"/>
    <w:rsid w:val="00F6160D"/>
    <w:rsid w:val="00F617CC"/>
    <w:rsid w:val="00F61839"/>
    <w:rsid w:val="00F61DB9"/>
    <w:rsid w:val="00F61E02"/>
    <w:rsid w:val="00F61EB1"/>
    <w:rsid w:val="00F6202C"/>
    <w:rsid w:val="00F6207F"/>
    <w:rsid w:val="00F62801"/>
    <w:rsid w:val="00F62DF2"/>
    <w:rsid w:val="00F62F84"/>
    <w:rsid w:val="00F63071"/>
    <w:rsid w:val="00F64571"/>
    <w:rsid w:val="00F6520F"/>
    <w:rsid w:val="00F6562C"/>
    <w:rsid w:val="00F65AFF"/>
    <w:rsid w:val="00F65C2A"/>
    <w:rsid w:val="00F65C75"/>
    <w:rsid w:val="00F668A9"/>
    <w:rsid w:val="00F668C7"/>
    <w:rsid w:val="00F66F17"/>
    <w:rsid w:val="00F67181"/>
    <w:rsid w:val="00F6723C"/>
    <w:rsid w:val="00F672AF"/>
    <w:rsid w:val="00F679C4"/>
    <w:rsid w:val="00F67EF3"/>
    <w:rsid w:val="00F70674"/>
    <w:rsid w:val="00F70A0C"/>
    <w:rsid w:val="00F70D1D"/>
    <w:rsid w:val="00F70F01"/>
    <w:rsid w:val="00F711AC"/>
    <w:rsid w:val="00F71B75"/>
    <w:rsid w:val="00F71D5D"/>
    <w:rsid w:val="00F71F62"/>
    <w:rsid w:val="00F720FA"/>
    <w:rsid w:val="00F72B0E"/>
    <w:rsid w:val="00F73660"/>
    <w:rsid w:val="00F73D9B"/>
    <w:rsid w:val="00F73F86"/>
    <w:rsid w:val="00F74B00"/>
    <w:rsid w:val="00F74F3E"/>
    <w:rsid w:val="00F763CB"/>
    <w:rsid w:val="00F76635"/>
    <w:rsid w:val="00F7727F"/>
    <w:rsid w:val="00F77CA7"/>
    <w:rsid w:val="00F77EBE"/>
    <w:rsid w:val="00F80605"/>
    <w:rsid w:val="00F80878"/>
    <w:rsid w:val="00F8118A"/>
    <w:rsid w:val="00F8148C"/>
    <w:rsid w:val="00F81673"/>
    <w:rsid w:val="00F818F2"/>
    <w:rsid w:val="00F820A1"/>
    <w:rsid w:val="00F823F0"/>
    <w:rsid w:val="00F827DA"/>
    <w:rsid w:val="00F82DE3"/>
    <w:rsid w:val="00F8318A"/>
    <w:rsid w:val="00F8371F"/>
    <w:rsid w:val="00F838C2"/>
    <w:rsid w:val="00F84315"/>
    <w:rsid w:val="00F8483E"/>
    <w:rsid w:val="00F84B8E"/>
    <w:rsid w:val="00F85288"/>
    <w:rsid w:val="00F85289"/>
    <w:rsid w:val="00F85A4F"/>
    <w:rsid w:val="00F85B5E"/>
    <w:rsid w:val="00F85BE7"/>
    <w:rsid w:val="00F86102"/>
    <w:rsid w:val="00F86E60"/>
    <w:rsid w:val="00F879B2"/>
    <w:rsid w:val="00F87F96"/>
    <w:rsid w:val="00F90E14"/>
    <w:rsid w:val="00F9106E"/>
    <w:rsid w:val="00F912FF"/>
    <w:rsid w:val="00F91396"/>
    <w:rsid w:val="00F91D2E"/>
    <w:rsid w:val="00F9233A"/>
    <w:rsid w:val="00F923D5"/>
    <w:rsid w:val="00F9297A"/>
    <w:rsid w:val="00F929AE"/>
    <w:rsid w:val="00F94130"/>
    <w:rsid w:val="00F9420F"/>
    <w:rsid w:val="00F946FE"/>
    <w:rsid w:val="00F94DDF"/>
    <w:rsid w:val="00F95992"/>
    <w:rsid w:val="00F95C83"/>
    <w:rsid w:val="00F96E68"/>
    <w:rsid w:val="00F979CF"/>
    <w:rsid w:val="00F97FED"/>
    <w:rsid w:val="00FA06FD"/>
    <w:rsid w:val="00FA0B2E"/>
    <w:rsid w:val="00FA0D98"/>
    <w:rsid w:val="00FA0FF1"/>
    <w:rsid w:val="00FA12E4"/>
    <w:rsid w:val="00FA156E"/>
    <w:rsid w:val="00FA1618"/>
    <w:rsid w:val="00FA167C"/>
    <w:rsid w:val="00FA1C24"/>
    <w:rsid w:val="00FA2231"/>
    <w:rsid w:val="00FA263D"/>
    <w:rsid w:val="00FA3A42"/>
    <w:rsid w:val="00FA4E14"/>
    <w:rsid w:val="00FA5AA6"/>
    <w:rsid w:val="00FA5C89"/>
    <w:rsid w:val="00FA5F8D"/>
    <w:rsid w:val="00FA79FB"/>
    <w:rsid w:val="00FA7A21"/>
    <w:rsid w:val="00FA7F64"/>
    <w:rsid w:val="00FA7FB4"/>
    <w:rsid w:val="00FB06D4"/>
    <w:rsid w:val="00FB0884"/>
    <w:rsid w:val="00FB0CCD"/>
    <w:rsid w:val="00FB1011"/>
    <w:rsid w:val="00FB1321"/>
    <w:rsid w:val="00FB193D"/>
    <w:rsid w:val="00FB1B18"/>
    <w:rsid w:val="00FB1C58"/>
    <w:rsid w:val="00FB25AF"/>
    <w:rsid w:val="00FB2D94"/>
    <w:rsid w:val="00FB38DA"/>
    <w:rsid w:val="00FB3D71"/>
    <w:rsid w:val="00FB4083"/>
    <w:rsid w:val="00FB4186"/>
    <w:rsid w:val="00FB41A5"/>
    <w:rsid w:val="00FB459E"/>
    <w:rsid w:val="00FB4BE7"/>
    <w:rsid w:val="00FB4DE4"/>
    <w:rsid w:val="00FB4ED8"/>
    <w:rsid w:val="00FB5328"/>
    <w:rsid w:val="00FB607E"/>
    <w:rsid w:val="00FB65A2"/>
    <w:rsid w:val="00FB68B3"/>
    <w:rsid w:val="00FB6AD0"/>
    <w:rsid w:val="00FB6DE1"/>
    <w:rsid w:val="00FB6E46"/>
    <w:rsid w:val="00FB6E67"/>
    <w:rsid w:val="00FB6E7B"/>
    <w:rsid w:val="00FB7176"/>
    <w:rsid w:val="00FB7492"/>
    <w:rsid w:val="00FC01F3"/>
    <w:rsid w:val="00FC1992"/>
    <w:rsid w:val="00FC1D9C"/>
    <w:rsid w:val="00FC2D12"/>
    <w:rsid w:val="00FC31B3"/>
    <w:rsid w:val="00FC324B"/>
    <w:rsid w:val="00FC37D1"/>
    <w:rsid w:val="00FC3A69"/>
    <w:rsid w:val="00FC48BA"/>
    <w:rsid w:val="00FC4D10"/>
    <w:rsid w:val="00FC4E0C"/>
    <w:rsid w:val="00FC4E22"/>
    <w:rsid w:val="00FC4EF5"/>
    <w:rsid w:val="00FC55BE"/>
    <w:rsid w:val="00FC5693"/>
    <w:rsid w:val="00FC69CA"/>
    <w:rsid w:val="00FC6B43"/>
    <w:rsid w:val="00FC6C68"/>
    <w:rsid w:val="00FC7224"/>
    <w:rsid w:val="00FC72C7"/>
    <w:rsid w:val="00FC7D7C"/>
    <w:rsid w:val="00FD0308"/>
    <w:rsid w:val="00FD093E"/>
    <w:rsid w:val="00FD0D3C"/>
    <w:rsid w:val="00FD1223"/>
    <w:rsid w:val="00FD125C"/>
    <w:rsid w:val="00FD185B"/>
    <w:rsid w:val="00FD1DD3"/>
    <w:rsid w:val="00FD2972"/>
    <w:rsid w:val="00FD2C33"/>
    <w:rsid w:val="00FD320A"/>
    <w:rsid w:val="00FD344A"/>
    <w:rsid w:val="00FD34B5"/>
    <w:rsid w:val="00FD37F2"/>
    <w:rsid w:val="00FD3CA9"/>
    <w:rsid w:val="00FD3CC3"/>
    <w:rsid w:val="00FD43D7"/>
    <w:rsid w:val="00FD5B2C"/>
    <w:rsid w:val="00FD5B7D"/>
    <w:rsid w:val="00FD6170"/>
    <w:rsid w:val="00FD6DA5"/>
    <w:rsid w:val="00FE0447"/>
    <w:rsid w:val="00FE08C3"/>
    <w:rsid w:val="00FE0938"/>
    <w:rsid w:val="00FE09CB"/>
    <w:rsid w:val="00FE09D4"/>
    <w:rsid w:val="00FE0EAE"/>
    <w:rsid w:val="00FE101A"/>
    <w:rsid w:val="00FE1113"/>
    <w:rsid w:val="00FE1469"/>
    <w:rsid w:val="00FE14A2"/>
    <w:rsid w:val="00FE1E19"/>
    <w:rsid w:val="00FE2859"/>
    <w:rsid w:val="00FE33D3"/>
    <w:rsid w:val="00FE3F2A"/>
    <w:rsid w:val="00FE424C"/>
    <w:rsid w:val="00FE4429"/>
    <w:rsid w:val="00FE4584"/>
    <w:rsid w:val="00FE4734"/>
    <w:rsid w:val="00FE51DF"/>
    <w:rsid w:val="00FE65C6"/>
    <w:rsid w:val="00FE6CCF"/>
    <w:rsid w:val="00FE792A"/>
    <w:rsid w:val="00FF0CB3"/>
    <w:rsid w:val="00FF0E57"/>
    <w:rsid w:val="00FF15D8"/>
    <w:rsid w:val="00FF1B59"/>
    <w:rsid w:val="00FF20FE"/>
    <w:rsid w:val="00FF2F18"/>
    <w:rsid w:val="00FF2F1B"/>
    <w:rsid w:val="00FF3227"/>
    <w:rsid w:val="00FF3BFB"/>
    <w:rsid w:val="00FF43DD"/>
    <w:rsid w:val="00FF559F"/>
    <w:rsid w:val="00FF59D1"/>
    <w:rsid w:val="00FF68ED"/>
    <w:rsid w:val="00FF7471"/>
    <w:rsid w:val="00FF78D4"/>
    <w:rsid w:val="0100121D"/>
    <w:rsid w:val="010A06C2"/>
    <w:rsid w:val="010C5A31"/>
    <w:rsid w:val="011078C7"/>
    <w:rsid w:val="01374999"/>
    <w:rsid w:val="0156739D"/>
    <w:rsid w:val="01C06DA3"/>
    <w:rsid w:val="01EB2055"/>
    <w:rsid w:val="02027044"/>
    <w:rsid w:val="0225344D"/>
    <w:rsid w:val="022B3402"/>
    <w:rsid w:val="026833DE"/>
    <w:rsid w:val="026C25ED"/>
    <w:rsid w:val="029B7EA2"/>
    <w:rsid w:val="02B27B76"/>
    <w:rsid w:val="02B95056"/>
    <w:rsid w:val="02C439B3"/>
    <w:rsid w:val="02F02A6C"/>
    <w:rsid w:val="02F50EF8"/>
    <w:rsid w:val="030D0DC8"/>
    <w:rsid w:val="03105481"/>
    <w:rsid w:val="031A1660"/>
    <w:rsid w:val="031C7316"/>
    <w:rsid w:val="03492409"/>
    <w:rsid w:val="034C7D17"/>
    <w:rsid w:val="034F0AEC"/>
    <w:rsid w:val="037A64E2"/>
    <w:rsid w:val="039362CF"/>
    <w:rsid w:val="03A44FE3"/>
    <w:rsid w:val="03B1657D"/>
    <w:rsid w:val="03B218ED"/>
    <w:rsid w:val="03CC366A"/>
    <w:rsid w:val="03E93513"/>
    <w:rsid w:val="03F82FC0"/>
    <w:rsid w:val="03F920AC"/>
    <w:rsid w:val="0404740B"/>
    <w:rsid w:val="040D28FD"/>
    <w:rsid w:val="04323981"/>
    <w:rsid w:val="043851AC"/>
    <w:rsid w:val="043869A1"/>
    <w:rsid w:val="043E78BF"/>
    <w:rsid w:val="0454284E"/>
    <w:rsid w:val="045D0679"/>
    <w:rsid w:val="04674227"/>
    <w:rsid w:val="047102F1"/>
    <w:rsid w:val="047C10E8"/>
    <w:rsid w:val="048512CB"/>
    <w:rsid w:val="04E424E1"/>
    <w:rsid w:val="04F32E5C"/>
    <w:rsid w:val="04FF2D6E"/>
    <w:rsid w:val="0514407E"/>
    <w:rsid w:val="05161218"/>
    <w:rsid w:val="0523234C"/>
    <w:rsid w:val="055B7851"/>
    <w:rsid w:val="05676167"/>
    <w:rsid w:val="0579124F"/>
    <w:rsid w:val="058C407A"/>
    <w:rsid w:val="05B15E0C"/>
    <w:rsid w:val="05BC167D"/>
    <w:rsid w:val="05C2270C"/>
    <w:rsid w:val="0604391C"/>
    <w:rsid w:val="06087720"/>
    <w:rsid w:val="060E4295"/>
    <w:rsid w:val="060F21B4"/>
    <w:rsid w:val="06440200"/>
    <w:rsid w:val="06552C07"/>
    <w:rsid w:val="065A06BB"/>
    <w:rsid w:val="066606B5"/>
    <w:rsid w:val="068F0E79"/>
    <w:rsid w:val="0698589F"/>
    <w:rsid w:val="069D1A8E"/>
    <w:rsid w:val="069E6B28"/>
    <w:rsid w:val="06AA5A15"/>
    <w:rsid w:val="06B47275"/>
    <w:rsid w:val="06BD5DFB"/>
    <w:rsid w:val="06C76C7A"/>
    <w:rsid w:val="06D1503C"/>
    <w:rsid w:val="06D227CF"/>
    <w:rsid w:val="06DC22C9"/>
    <w:rsid w:val="06F959BE"/>
    <w:rsid w:val="07012351"/>
    <w:rsid w:val="07051CE9"/>
    <w:rsid w:val="07136BF8"/>
    <w:rsid w:val="071F6359"/>
    <w:rsid w:val="0745760B"/>
    <w:rsid w:val="074B0FB1"/>
    <w:rsid w:val="076E14AC"/>
    <w:rsid w:val="07866291"/>
    <w:rsid w:val="07A83B64"/>
    <w:rsid w:val="07B91022"/>
    <w:rsid w:val="07BF6290"/>
    <w:rsid w:val="07C50BC8"/>
    <w:rsid w:val="07CA07CF"/>
    <w:rsid w:val="07ED4A4C"/>
    <w:rsid w:val="07F778D2"/>
    <w:rsid w:val="080121A1"/>
    <w:rsid w:val="08072AE6"/>
    <w:rsid w:val="0810254D"/>
    <w:rsid w:val="08341DE6"/>
    <w:rsid w:val="085302A5"/>
    <w:rsid w:val="085E6148"/>
    <w:rsid w:val="086B4756"/>
    <w:rsid w:val="08943887"/>
    <w:rsid w:val="08B56EC4"/>
    <w:rsid w:val="08EF3E6E"/>
    <w:rsid w:val="08F07771"/>
    <w:rsid w:val="08FE4555"/>
    <w:rsid w:val="08FF26FB"/>
    <w:rsid w:val="090226A5"/>
    <w:rsid w:val="091C22AF"/>
    <w:rsid w:val="091E65A7"/>
    <w:rsid w:val="092657E2"/>
    <w:rsid w:val="093D2DCA"/>
    <w:rsid w:val="094B5396"/>
    <w:rsid w:val="09770B79"/>
    <w:rsid w:val="098D613B"/>
    <w:rsid w:val="098D722C"/>
    <w:rsid w:val="099C54F8"/>
    <w:rsid w:val="09A11861"/>
    <w:rsid w:val="09A20317"/>
    <w:rsid w:val="09A66DDF"/>
    <w:rsid w:val="09A84F4C"/>
    <w:rsid w:val="09B54319"/>
    <w:rsid w:val="09E95666"/>
    <w:rsid w:val="09F21854"/>
    <w:rsid w:val="0A1806FB"/>
    <w:rsid w:val="0A31473A"/>
    <w:rsid w:val="0A3B5C46"/>
    <w:rsid w:val="0A615BA7"/>
    <w:rsid w:val="0A6D20F4"/>
    <w:rsid w:val="0ABF749C"/>
    <w:rsid w:val="0AD41965"/>
    <w:rsid w:val="0AD54E8D"/>
    <w:rsid w:val="0ADC1249"/>
    <w:rsid w:val="0AE10175"/>
    <w:rsid w:val="0AE633FE"/>
    <w:rsid w:val="0AEA69B2"/>
    <w:rsid w:val="0AEC0CC2"/>
    <w:rsid w:val="0AFF78B9"/>
    <w:rsid w:val="0B107765"/>
    <w:rsid w:val="0B116753"/>
    <w:rsid w:val="0B2076F7"/>
    <w:rsid w:val="0B3444FE"/>
    <w:rsid w:val="0B4565BF"/>
    <w:rsid w:val="0B474D69"/>
    <w:rsid w:val="0B5952AE"/>
    <w:rsid w:val="0B602A5E"/>
    <w:rsid w:val="0B6647F5"/>
    <w:rsid w:val="0B6D0673"/>
    <w:rsid w:val="0B8D64CA"/>
    <w:rsid w:val="0B972349"/>
    <w:rsid w:val="0BD22024"/>
    <w:rsid w:val="0BD46710"/>
    <w:rsid w:val="0BD55101"/>
    <w:rsid w:val="0BEB7903"/>
    <w:rsid w:val="0C042B74"/>
    <w:rsid w:val="0C231F55"/>
    <w:rsid w:val="0C233A9D"/>
    <w:rsid w:val="0C28640C"/>
    <w:rsid w:val="0C3433EF"/>
    <w:rsid w:val="0C380851"/>
    <w:rsid w:val="0C3C5271"/>
    <w:rsid w:val="0C4560CD"/>
    <w:rsid w:val="0C493EDF"/>
    <w:rsid w:val="0C4E6F24"/>
    <w:rsid w:val="0C616E63"/>
    <w:rsid w:val="0C6B4C09"/>
    <w:rsid w:val="0C850278"/>
    <w:rsid w:val="0C850B06"/>
    <w:rsid w:val="0C87019E"/>
    <w:rsid w:val="0C9771CA"/>
    <w:rsid w:val="0CA1283B"/>
    <w:rsid w:val="0CA148D6"/>
    <w:rsid w:val="0CAC09F3"/>
    <w:rsid w:val="0CB67F0A"/>
    <w:rsid w:val="0CCE2319"/>
    <w:rsid w:val="0CD36540"/>
    <w:rsid w:val="0CDB2AD7"/>
    <w:rsid w:val="0D0129A0"/>
    <w:rsid w:val="0D0E6815"/>
    <w:rsid w:val="0D107BB4"/>
    <w:rsid w:val="0D1268DA"/>
    <w:rsid w:val="0D1E479F"/>
    <w:rsid w:val="0D2F61FF"/>
    <w:rsid w:val="0D3D0944"/>
    <w:rsid w:val="0D4F7F66"/>
    <w:rsid w:val="0D554754"/>
    <w:rsid w:val="0D69521C"/>
    <w:rsid w:val="0D6D6737"/>
    <w:rsid w:val="0D7B28D2"/>
    <w:rsid w:val="0D7D2B4C"/>
    <w:rsid w:val="0DA1438C"/>
    <w:rsid w:val="0DEB3353"/>
    <w:rsid w:val="0E067D91"/>
    <w:rsid w:val="0E0F50C2"/>
    <w:rsid w:val="0E184FF9"/>
    <w:rsid w:val="0E2563B0"/>
    <w:rsid w:val="0E673CAF"/>
    <w:rsid w:val="0E6E4E48"/>
    <w:rsid w:val="0E9B4C0B"/>
    <w:rsid w:val="0EA155CB"/>
    <w:rsid w:val="0EC75F9B"/>
    <w:rsid w:val="0EE338A7"/>
    <w:rsid w:val="0EE91E83"/>
    <w:rsid w:val="0F1640D0"/>
    <w:rsid w:val="0F212678"/>
    <w:rsid w:val="0F270BDB"/>
    <w:rsid w:val="0F2D7E66"/>
    <w:rsid w:val="0F576789"/>
    <w:rsid w:val="0F731D7F"/>
    <w:rsid w:val="0F791782"/>
    <w:rsid w:val="0F7C2A87"/>
    <w:rsid w:val="0F811194"/>
    <w:rsid w:val="0FA34AF5"/>
    <w:rsid w:val="0FD2577F"/>
    <w:rsid w:val="0FDE18AD"/>
    <w:rsid w:val="0FDE5D62"/>
    <w:rsid w:val="0FED109F"/>
    <w:rsid w:val="10092C16"/>
    <w:rsid w:val="100937A4"/>
    <w:rsid w:val="100D4DC0"/>
    <w:rsid w:val="103233B6"/>
    <w:rsid w:val="103A47F1"/>
    <w:rsid w:val="10440C5D"/>
    <w:rsid w:val="1045133B"/>
    <w:rsid w:val="104706AA"/>
    <w:rsid w:val="10593979"/>
    <w:rsid w:val="10633BB0"/>
    <w:rsid w:val="106A486C"/>
    <w:rsid w:val="1071549B"/>
    <w:rsid w:val="10775A37"/>
    <w:rsid w:val="10A02B30"/>
    <w:rsid w:val="10A9530F"/>
    <w:rsid w:val="10BA0625"/>
    <w:rsid w:val="10BF304F"/>
    <w:rsid w:val="10C20BDE"/>
    <w:rsid w:val="10E32932"/>
    <w:rsid w:val="10E8616A"/>
    <w:rsid w:val="10F540EB"/>
    <w:rsid w:val="113136FB"/>
    <w:rsid w:val="1131673B"/>
    <w:rsid w:val="114E499C"/>
    <w:rsid w:val="115807C9"/>
    <w:rsid w:val="11651817"/>
    <w:rsid w:val="11793BD7"/>
    <w:rsid w:val="11910393"/>
    <w:rsid w:val="1197535B"/>
    <w:rsid w:val="11977440"/>
    <w:rsid w:val="119F330A"/>
    <w:rsid w:val="11A35DB3"/>
    <w:rsid w:val="11A643DC"/>
    <w:rsid w:val="11B33C8B"/>
    <w:rsid w:val="11B67995"/>
    <w:rsid w:val="11C44279"/>
    <w:rsid w:val="11C97ED1"/>
    <w:rsid w:val="11D05DBD"/>
    <w:rsid w:val="11D94D1F"/>
    <w:rsid w:val="11E36682"/>
    <w:rsid w:val="11E51D82"/>
    <w:rsid w:val="11EE0C35"/>
    <w:rsid w:val="1201388A"/>
    <w:rsid w:val="1225728A"/>
    <w:rsid w:val="12310AA0"/>
    <w:rsid w:val="12755493"/>
    <w:rsid w:val="12767E9C"/>
    <w:rsid w:val="12A46C23"/>
    <w:rsid w:val="12A62706"/>
    <w:rsid w:val="12C06CDA"/>
    <w:rsid w:val="12C55F16"/>
    <w:rsid w:val="12CB4527"/>
    <w:rsid w:val="1304359F"/>
    <w:rsid w:val="13106C3E"/>
    <w:rsid w:val="133C4BDF"/>
    <w:rsid w:val="134858BF"/>
    <w:rsid w:val="135468A6"/>
    <w:rsid w:val="136B6282"/>
    <w:rsid w:val="137E0AD5"/>
    <w:rsid w:val="138A7CC0"/>
    <w:rsid w:val="13C77038"/>
    <w:rsid w:val="13DF4D92"/>
    <w:rsid w:val="13E17B66"/>
    <w:rsid w:val="13E64D83"/>
    <w:rsid w:val="13F07B51"/>
    <w:rsid w:val="13FC6C2B"/>
    <w:rsid w:val="1400737E"/>
    <w:rsid w:val="14016523"/>
    <w:rsid w:val="14045069"/>
    <w:rsid w:val="140E3EE6"/>
    <w:rsid w:val="142231E2"/>
    <w:rsid w:val="14244048"/>
    <w:rsid w:val="1426378D"/>
    <w:rsid w:val="142B6A9A"/>
    <w:rsid w:val="143C2AFF"/>
    <w:rsid w:val="144D2DA8"/>
    <w:rsid w:val="144F6B5A"/>
    <w:rsid w:val="145C72EC"/>
    <w:rsid w:val="147132CB"/>
    <w:rsid w:val="14730DBF"/>
    <w:rsid w:val="14965417"/>
    <w:rsid w:val="149F20FA"/>
    <w:rsid w:val="14A00931"/>
    <w:rsid w:val="14B20F69"/>
    <w:rsid w:val="14C307F1"/>
    <w:rsid w:val="14C66CB8"/>
    <w:rsid w:val="14C97064"/>
    <w:rsid w:val="14CB6FC4"/>
    <w:rsid w:val="14D373DB"/>
    <w:rsid w:val="151013FA"/>
    <w:rsid w:val="15121CC4"/>
    <w:rsid w:val="15186C7F"/>
    <w:rsid w:val="151E53EE"/>
    <w:rsid w:val="153A5F2D"/>
    <w:rsid w:val="155F54D6"/>
    <w:rsid w:val="1588061B"/>
    <w:rsid w:val="158846B5"/>
    <w:rsid w:val="1598292C"/>
    <w:rsid w:val="15B57812"/>
    <w:rsid w:val="15B679C4"/>
    <w:rsid w:val="15C34826"/>
    <w:rsid w:val="15D01DD3"/>
    <w:rsid w:val="15D64F58"/>
    <w:rsid w:val="15F84ADF"/>
    <w:rsid w:val="16060668"/>
    <w:rsid w:val="16160871"/>
    <w:rsid w:val="161E60BA"/>
    <w:rsid w:val="162B0FD3"/>
    <w:rsid w:val="163043AC"/>
    <w:rsid w:val="16391F0E"/>
    <w:rsid w:val="165805A8"/>
    <w:rsid w:val="167A2101"/>
    <w:rsid w:val="169125A9"/>
    <w:rsid w:val="16A24CA6"/>
    <w:rsid w:val="17076129"/>
    <w:rsid w:val="173E31E7"/>
    <w:rsid w:val="1763208E"/>
    <w:rsid w:val="17B317DF"/>
    <w:rsid w:val="17B43F26"/>
    <w:rsid w:val="17B649CE"/>
    <w:rsid w:val="17C80F67"/>
    <w:rsid w:val="17F6303F"/>
    <w:rsid w:val="180A4C18"/>
    <w:rsid w:val="1824593D"/>
    <w:rsid w:val="1829377D"/>
    <w:rsid w:val="18480562"/>
    <w:rsid w:val="184A2F3D"/>
    <w:rsid w:val="18552E0A"/>
    <w:rsid w:val="18657D9B"/>
    <w:rsid w:val="18697D44"/>
    <w:rsid w:val="18804B27"/>
    <w:rsid w:val="188B3672"/>
    <w:rsid w:val="18AC1764"/>
    <w:rsid w:val="18B758A9"/>
    <w:rsid w:val="18C64FE3"/>
    <w:rsid w:val="18CE61BD"/>
    <w:rsid w:val="18DD40DB"/>
    <w:rsid w:val="18DE6F13"/>
    <w:rsid w:val="18DF52AB"/>
    <w:rsid w:val="18FB6712"/>
    <w:rsid w:val="1909322E"/>
    <w:rsid w:val="19124B9E"/>
    <w:rsid w:val="192A6574"/>
    <w:rsid w:val="19436B43"/>
    <w:rsid w:val="195D6EAA"/>
    <w:rsid w:val="197A146C"/>
    <w:rsid w:val="198E123C"/>
    <w:rsid w:val="19A22C78"/>
    <w:rsid w:val="19E938F2"/>
    <w:rsid w:val="19F87038"/>
    <w:rsid w:val="1A0221B6"/>
    <w:rsid w:val="1A1731E9"/>
    <w:rsid w:val="1A2244FD"/>
    <w:rsid w:val="1A28559E"/>
    <w:rsid w:val="1A43621A"/>
    <w:rsid w:val="1A46462D"/>
    <w:rsid w:val="1A5328A6"/>
    <w:rsid w:val="1A5D48B2"/>
    <w:rsid w:val="1AA51E34"/>
    <w:rsid w:val="1AD86BFF"/>
    <w:rsid w:val="1AE67DD1"/>
    <w:rsid w:val="1B18764C"/>
    <w:rsid w:val="1B866CAC"/>
    <w:rsid w:val="1B8C380D"/>
    <w:rsid w:val="1BA2280D"/>
    <w:rsid w:val="1BCC2DE5"/>
    <w:rsid w:val="1BF26EF9"/>
    <w:rsid w:val="1BF91AF2"/>
    <w:rsid w:val="1BFB31F6"/>
    <w:rsid w:val="1C097901"/>
    <w:rsid w:val="1C12601D"/>
    <w:rsid w:val="1C156B0E"/>
    <w:rsid w:val="1C173894"/>
    <w:rsid w:val="1C1D7ED3"/>
    <w:rsid w:val="1C273B5F"/>
    <w:rsid w:val="1C316EC5"/>
    <w:rsid w:val="1C4B47C0"/>
    <w:rsid w:val="1C4F4F2E"/>
    <w:rsid w:val="1CAA1904"/>
    <w:rsid w:val="1CD123BD"/>
    <w:rsid w:val="1CEF36DB"/>
    <w:rsid w:val="1D074838"/>
    <w:rsid w:val="1D087CBD"/>
    <w:rsid w:val="1D1E5931"/>
    <w:rsid w:val="1D2C2A37"/>
    <w:rsid w:val="1D2E2452"/>
    <w:rsid w:val="1D3615E0"/>
    <w:rsid w:val="1D497F91"/>
    <w:rsid w:val="1D8212DB"/>
    <w:rsid w:val="1DA64C20"/>
    <w:rsid w:val="1DBF33B9"/>
    <w:rsid w:val="1E0F6846"/>
    <w:rsid w:val="1E183F7D"/>
    <w:rsid w:val="1E256945"/>
    <w:rsid w:val="1E265F76"/>
    <w:rsid w:val="1E5C7C81"/>
    <w:rsid w:val="1E672BF1"/>
    <w:rsid w:val="1E6E4079"/>
    <w:rsid w:val="1E8B10C8"/>
    <w:rsid w:val="1E980487"/>
    <w:rsid w:val="1EC71AC1"/>
    <w:rsid w:val="1EEF7AB1"/>
    <w:rsid w:val="1EF27915"/>
    <w:rsid w:val="1F1D1336"/>
    <w:rsid w:val="1F44009F"/>
    <w:rsid w:val="1F5C0F91"/>
    <w:rsid w:val="1F6B6074"/>
    <w:rsid w:val="1FE81CE3"/>
    <w:rsid w:val="1FFF520E"/>
    <w:rsid w:val="200E7C9C"/>
    <w:rsid w:val="2039444E"/>
    <w:rsid w:val="203E38F2"/>
    <w:rsid w:val="205F74D9"/>
    <w:rsid w:val="20684975"/>
    <w:rsid w:val="206C0D0D"/>
    <w:rsid w:val="206C25F3"/>
    <w:rsid w:val="207C5644"/>
    <w:rsid w:val="2096653A"/>
    <w:rsid w:val="209C715C"/>
    <w:rsid w:val="209D0D1F"/>
    <w:rsid w:val="20A07619"/>
    <w:rsid w:val="20B229CF"/>
    <w:rsid w:val="20C056C0"/>
    <w:rsid w:val="20F621DE"/>
    <w:rsid w:val="20FC30CE"/>
    <w:rsid w:val="21107C5B"/>
    <w:rsid w:val="21287782"/>
    <w:rsid w:val="21446D4E"/>
    <w:rsid w:val="21483AF5"/>
    <w:rsid w:val="21627873"/>
    <w:rsid w:val="21663B4F"/>
    <w:rsid w:val="21792A9A"/>
    <w:rsid w:val="21837197"/>
    <w:rsid w:val="218E0668"/>
    <w:rsid w:val="219A2D05"/>
    <w:rsid w:val="21AC7197"/>
    <w:rsid w:val="21B36308"/>
    <w:rsid w:val="21DC4975"/>
    <w:rsid w:val="21F17A7A"/>
    <w:rsid w:val="21F17FDE"/>
    <w:rsid w:val="21F915FF"/>
    <w:rsid w:val="222873D6"/>
    <w:rsid w:val="222A4808"/>
    <w:rsid w:val="225B679C"/>
    <w:rsid w:val="229C312B"/>
    <w:rsid w:val="22AD0A51"/>
    <w:rsid w:val="22B11F21"/>
    <w:rsid w:val="22BD1BBE"/>
    <w:rsid w:val="22C74BAB"/>
    <w:rsid w:val="22FF5B90"/>
    <w:rsid w:val="230B23E3"/>
    <w:rsid w:val="233F657B"/>
    <w:rsid w:val="2359506F"/>
    <w:rsid w:val="2360139B"/>
    <w:rsid w:val="236A6209"/>
    <w:rsid w:val="2370574A"/>
    <w:rsid w:val="23731667"/>
    <w:rsid w:val="238C78DB"/>
    <w:rsid w:val="23A4414A"/>
    <w:rsid w:val="23AF41E6"/>
    <w:rsid w:val="23B56FA3"/>
    <w:rsid w:val="23B7221E"/>
    <w:rsid w:val="23D835E2"/>
    <w:rsid w:val="23DA134A"/>
    <w:rsid w:val="23EA45C7"/>
    <w:rsid w:val="23FB54AD"/>
    <w:rsid w:val="23FE5D0F"/>
    <w:rsid w:val="240C3A02"/>
    <w:rsid w:val="240D1129"/>
    <w:rsid w:val="24266775"/>
    <w:rsid w:val="2441583C"/>
    <w:rsid w:val="24456239"/>
    <w:rsid w:val="24562B59"/>
    <w:rsid w:val="24620E1F"/>
    <w:rsid w:val="247359EA"/>
    <w:rsid w:val="249C5BA8"/>
    <w:rsid w:val="24A36A67"/>
    <w:rsid w:val="24D61270"/>
    <w:rsid w:val="24D765B0"/>
    <w:rsid w:val="24DD17A0"/>
    <w:rsid w:val="24E56460"/>
    <w:rsid w:val="24F24CF5"/>
    <w:rsid w:val="250739E9"/>
    <w:rsid w:val="250C24BD"/>
    <w:rsid w:val="252C0D36"/>
    <w:rsid w:val="25352B21"/>
    <w:rsid w:val="25493C7D"/>
    <w:rsid w:val="25650EC7"/>
    <w:rsid w:val="256D4C5A"/>
    <w:rsid w:val="25794E00"/>
    <w:rsid w:val="25974CB3"/>
    <w:rsid w:val="259F7409"/>
    <w:rsid w:val="25A71CF8"/>
    <w:rsid w:val="25AC6046"/>
    <w:rsid w:val="25C70F0A"/>
    <w:rsid w:val="25CE6C15"/>
    <w:rsid w:val="25D65F01"/>
    <w:rsid w:val="260610A5"/>
    <w:rsid w:val="26133EE0"/>
    <w:rsid w:val="261A1F06"/>
    <w:rsid w:val="26203A8A"/>
    <w:rsid w:val="26474848"/>
    <w:rsid w:val="265D7770"/>
    <w:rsid w:val="268607B1"/>
    <w:rsid w:val="26C966CB"/>
    <w:rsid w:val="26D162D0"/>
    <w:rsid w:val="26D835C6"/>
    <w:rsid w:val="26DE073C"/>
    <w:rsid w:val="26E40D8D"/>
    <w:rsid w:val="26EA689B"/>
    <w:rsid w:val="26ED063E"/>
    <w:rsid w:val="26EE4083"/>
    <w:rsid w:val="26FA478D"/>
    <w:rsid w:val="27092480"/>
    <w:rsid w:val="27280F23"/>
    <w:rsid w:val="27315EE1"/>
    <w:rsid w:val="273419E0"/>
    <w:rsid w:val="275F557D"/>
    <w:rsid w:val="27701D9E"/>
    <w:rsid w:val="279F0337"/>
    <w:rsid w:val="27CE5AD6"/>
    <w:rsid w:val="27E06EEF"/>
    <w:rsid w:val="28085B7D"/>
    <w:rsid w:val="281B03C4"/>
    <w:rsid w:val="282F49D2"/>
    <w:rsid w:val="288742BE"/>
    <w:rsid w:val="2890758D"/>
    <w:rsid w:val="28982F99"/>
    <w:rsid w:val="28A131A7"/>
    <w:rsid w:val="28AF3F9B"/>
    <w:rsid w:val="28B26037"/>
    <w:rsid w:val="28C05E75"/>
    <w:rsid w:val="28C50E13"/>
    <w:rsid w:val="28C54C0D"/>
    <w:rsid w:val="28D54AB4"/>
    <w:rsid w:val="28E261D5"/>
    <w:rsid w:val="28ED2D2E"/>
    <w:rsid w:val="28FE2E2A"/>
    <w:rsid w:val="29496228"/>
    <w:rsid w:val="295D61C1"/>
    <w:rsid w:val="296E110B"/>
    <w:rsid w:val="297A561D"/>
    <w:rsid w:val="298C2462"/>
    <w:rsid w:val="29994C34"/>
    <w:rsid w:val="29A21154"/>
    <w:rsid w:val="29AD2097"/>
    <w:rsid w:val="29AF0D67"/>
    <w:rsid w:val="29C9356B"/>
    <w:rsid w:val="29DF2197"/>
    <w:rsid w:val="29E25C86"/>
    <w:rsid w:val="29EA30DE"/>
    <w:rsid w:val="2A1101F3"/>
    <w:rsid w:val="2A1251F8"/>
    <w:rsid w:val="2A1F3198"/>
    <w:rsid w:val="2A3B2FE1"/>
    <w:rsid w:val="2A587767"/>
    <w:rsid w:val="2A686D4B"/>
    <w:rsid w:val="2A820D14"/>
    <w:rsid w:val="2A826EED"/>
    <w:rsid w:val="2A836C1D"/>
    <w:rsid w:val="2A840C83"/>
    <w:rsid w:val="2A845BDC"/>
    <w:rsid w:val="2A917F56"/>
    <w:rsid w:val="2A92148C"/>
    <w:rsid w:val="2A9F396E"/>
    <w:rsid w:val="2AA967A2"/>
    <w:rsid w:val="2AB96107"/>
    <w:rsid w:val="2AC11AAE"/>
    <w:rsid w:val="2ACF1CDE"/>
    <w:rsid w:val="2AE72F51"/>
    <w:rsid w:val="2B135780"/>
    <w:rsid w:val="2B202C00"/>
    <w:rsid w:val="2B296DC8"/>
    <w:rsid w:val="2B3037A3"/>
    <w:rsid w:val="2B5A2C7C"/>
    <w:rsid w:val="2B7C72ED"/>
    <w:rsid w:val="2B894FDF"/>
    <w:rsid w:val="2B9E72ED"/>
    <w:rsid w:val="2BA36AA1"/>
    <w:rsid w:val="2BA91F09"/>
    <w:rsid w:val="2BCF4DE2"/>
    <w:rsid w:val="2BDE7133"/>
    <w:rsid w:val="2BE53186"/>
    <w:rsid w:val="2BF4095A"/>
    <w:rsid w:val="2C2409C5"/>
    <w:rsid w:val="2C3105E3"/>
    <w:rsid w:val="2C38077F"/>
    <w:rsid w:val="2C5A4A93"/>
    <w:rsid w:val="2C5E41DE"/>
    <w:rsid w:val="2C6650F6"/>
    <w:rsid w:val="2C7C4D08"/>
    <w:rsid w:val="2C7E26DD"/>
    <w:rsid w:val="2C871290"/>
    <w:rsid w:val="2C9666B5"/>
    <w:rsid w:val="2CA6179A"/>
    <w:rsid w:val="2CA7123F"/>
    <w:rsid w:val="2CB047AC"/>
    <w:rsid w:val="2CB53C8E"/>
    <w:rsid w:val="2CB75A97"/>
    <w:rsid w:val="2CDB5D69"/>
    <w:rsid w:val="2CED6387"/>
    <w:rsid w:val="2CFB2C7A"/>
    <w:rsid w:val="2D045273"/>
    <w:rsid w:val="2D4B5259"/>
    <w:rsid w:val="2D4D13D7"/>
    <w:rsid w:val="2D66545A"/>
    <w:rsid w:val="2D703DF0"/>
    <w:rsid w:val="2D77010C"/>
    <w:rsid w:val="2D7B0E76"/>
    <w:rsid w:val="2D8D2E08"/>
    <w:rsid w:val="2D985EA2"/>
    <w:rsid w:val="2DB355DC"/>
    <w:rsid w:val="2DD117A1"/>
    <w:rsid w:val="2DD76645"/>
    <w:rsid w:val="2DDE3FEB"/>
    <w:rsid w:val="2DF6381D"/>
    <w:rsid w:val="2E002782"/>
    <w:rsid w:val="2E0C76F0"/>
    <w:rsid w:val="2E28587E"/>
    <w:rsid w:val="2E3D6D4C"/>
    <w:rsid w:val="2E513149"/>
    <w:rsid w:val="2E514088"/>
    <w:rsid w:val="2E624259"/>
    <w:rsid w:val="2E831F40"/>
    <w:rsid w:val="2E8E49B8"/>
    <w:rsid w:val="2E8F0E6F"/>
    <w:rsid w:val="2EA014A9"/>
    <w:rsid w:val="2EAB103B"/>
    <w:rsid w:val="2EB15F6F"/>
    <w:rsid w:val="2ED65046"/>
    <w:rsid w:val="2EE10F5B"/>
    <w:rsid w:val="2F052EB6"/>
    <w:rsid w:val="2F0A271E"/>
    <w:rsid w:val="2F101F2F"/>
    <w:rsid w:val="2F10269B"/>
    <w:rsid w:val="2F2E07A5"/>
    <w:rsid w:val="2F355B4F"/>
    <w:rsid w:val="2F497843"/>
    <w:rsid w:val="2F5E40B2"/>
    <w:rsid w:val="2F643BAC"/>
    <w:rsid w:val="2F6D5E81"/>
    <w:rsid w:val="2F6F0265"/>
    <w:rsid w:val="2F7D2B07"/>
    <w:rsid w:val="2F940650"/>
    <w:rsid w:val="2F9F25B4"/>
    <w:rsid w:val="2FAF35CD"/>
    <w:rsid w:val="2FDA5B43"/>
    <w:rsid w:val="2FDE346C"/>
    <w:rsid w:val="2FE57299"/>
    <w:rsid w:val="2FEA1A4D"/>
    <w:rsid w:val="2FF37D41"/>
    <w:rsid w:val="2FFD2404"/>
    <w:rsid w:val="300761B5"/>
    <w:rsid w:val="30145257"/>
    <w:rsid w:val="304C79CF"/>
    <w:rsid w:val="305722BA"/>
    <w:rsid w:val="306E65E1"/>
    <w:rsid w:val="30711DCA"/>
    <w:rsid w:val="30714F60"/>
    <w:rsid w:val="30797770"/>
    <w:rsid w:val="3081071C"/>
    <w:rsid w:val="308D1DAF"/>
    <w:rsid w:val="30934AB9"/>
    <w:rsid w:val="309C27EF"/>
    <w:rsid w:val="30A042C3"/>
    <w:rsid w:val="30C1666C"/>
    <w:rsid w:val="30C2004B"/>
    <w:rsid w:val="30C45D4E"/>
    <w:rsid w:val="30C7479B"/>
    <w:rsid w:val="30D856E4"/>
    <w:rsid w:val="30DC375D"/>
    <w:rsid w:val="30DC45D9"/>
    <w:rsid w:val="30E13887"/>
    <w:rsid w:val="30EE48B3"/>
    <w:rsid w:val="310A0DB1"/>
    <w:rsid w:val="312B4C65"/>
    <w:rsid w:val="312D6459"/>
    <w:rsid w:val="3138453F"/>
    <w:rsid w:val="3145042C"/>
    <w:rsid w:val="31497792"/>
    <w:rsid w:val="3150593A"/>
    <w:rsid w:val="31833605"/>
    <w:rsid w:val="31872810"/>
    <w:rsid w:val="31984145"/>
    <w:rsid w:val="319F1533"/>
    <w:rsid w:val="31A825E0"/>
    <w:rsid w:val="31AB79BD"/>
    <w:rsid w:val="31DD3C99"/>
    <w:rsid w:val="31E535E9"/>
    <w:rsid w:val="32002EBC"/>
    <w:rsid w:val="32081FB3"/>
    <w:rsid w:val="320D39F5"/>
    <w:rsid w:val="32162868"/>
    <w:rsid w:val="321C2A95"/>
    <w:rsid w:val="32255EF9"/>
    <w:rsid w:val="32274DD3"/>
    <w:rsid w:val="322E0AEA"/>
    <w:rsid w:val="32354BE5"/>
    <w:rsid w:val="32620A3E"/>
    <w:rsid w:val="326C0E83"/>
    <w:rsid w:val="326D1A82"/>
    <w:rsid w:val="327069F8"/>
    <w:rsid w:val="32914BA4"/>
    <w:rsid w:val="32923788"/>
    <w:rsid w:val="329A0A14"/>
    <w:rsid w:val="32B52611"/>
    <w:rsid w:val="32CF5E49"/>
    <w:rsid w:val="32CF5F60"/>
    <w:rsid w:val="32CF7846"/>
    <w:rsid w:val="32DA6624"/>
    <w:rsid w:val="32E0071A"/>
    <w:rsid w:val="32E12FEA"/>
    <w:rsid w:val="32FF629F"/>
    <w:rsid w:val="331314ED"/>
    <w:rsid w:val="331465A3"/>
    <w:rsid w:val="33156E95"/>
    <w:rsid w:val="33341186"/>
    <w:rsid w:val="33345F02"/>
    <w:rsid w:val="33416B88"/>
    <w:rsid w:val="33530283"/>
    <w:rsid w:val="335F150D"/>
    <w:rsid w:val="336A1D5B"/>
    <w:rsid w:val="339F4D72"/>
    <w:rsid w:val="33B455B4"/>
    <w:rsid w:val="33D57F7A"/>
    <w:rsid w:val="33EA5BD2"/>
    <w:rsid w:val="3401314D"/>
    <w:rsid w:val="342422C0"/>
    <w:rsid w:val="34296A63"/>
    <w:rsid w:val="34344FAE"/>
    <w:rsid w:val="34384482"/>
    <w:rsid w:val="343F25A8"/>
    <w:rsid w:val="344C2E2B"/>
    <w:rsid w:val="3464238B"/>
    <w:rsid w:val="347F68D3"/>
    <w:rsid w:val="34AE0588"/>
    <w:rsid w:val="34F01505"/>
    <w:rsid w:val="34F933AE"/>
    <w:rsid w:val="35002ABB"/>
    <w:rsid w:val="35045C63"/>
    <w:rsid w:val="351146C3"/>
    <w:rsid w:val="35163C4E"/>
    <w:rsid w:val="35172F96"/>
    <w:rsid w:val="351F7903"/>
    <w:rsid w:val="35254470"/>
    <w:rsid w:val="353E6B71"/>
    <w:rsid w:val="35531910"/>
    <w:rsid w:val="35577DD4"/>
    <w:rsid w:val="355A28E3"/>
    <w:rsid w:val="355F2018"/>
    <w:rsid w:val="35676ABD"/>
    <w:rsid w:val="356D67DA"/>
    <w:rsid w:val="358B2FCE"/>
    <w:rsid w:val="358B5193"/>
    <w:rsid w:val="358E07DF"/>
    <w:rsid w:val="35906375"/>
    <w:rsid w:val="359B2592"/>
    <w:rsid w:val="35A609B2"/>
    <w:rsid w:val="35AC2172"/>
    <w:rsid w:val="35AD693D"/>
    <w:rsid w:val="35B00755"/>
    <w:rsid w:val="35C773D6"/>
    <w:rsid w:val="35E4260B"/>
    <w:rsid w:val="36012FCA"/>
    <w:rsid w:val="362A5E03"/>
    <w:rsid w:val="362D624A"/>
    <w:rsid w:val="36332241"/>
    <w:rsid w:val="36407CAD"/>
    <w:rsid w:val="36575075"/>
    <w:rsid w:val="36626153"/>
    <w:rsid w:val="36646BB9"/>
    <w:rsid w:val="36672BAD"/>
    <w:rsid w:val="3699368D"/>
    <w:rsid w:val="369B3533"/>
    <w:rsid w:val="369E4B8A"/>
    <w:rsid w:val="36A81661"/>
    <w:rsid w:val="36B275B6"/>
    <w:rsid w:val="36BD484D"/>
    <w:rsid w:val="36C526B7"/>
    <w:rsid w:val="36E3525A"/>
    <w:rsid w:val="36E6438A"/>
    <w:rsid w:val="36E96EE2"/>
    <w:rsid w:val="36F92459"/>
    <w:rsid w:val="36FB33D8"/>
    <w:rsid w:val="36FB4F7F"/>
    <w:rsid w:val="36FC517F"/>
    <w:rsid w:val="37001569"/>
    <w:rsid w:val="370123CF"/>
    <w:rsid w:val="37052D23"/>
    <w:rsid w:val="3709699B"/>
    <w:rsid w:val="3717270E"/>
    <w:rsid w:val="37255C51"/>
    <w:rsid w:val="374C1A9B"/>
    <w:rsid w:val="37566593"/>
    <w:rsid w:val="3768214D"/>
    <w:rsid w:val="376B2052"/>
    <w:rsid w:val="378C3FC5"/>
    <w:rsid w:val="37931A55"/>
    <w:rsid w:val="37CC31C3"/>
    <w:rsid w:val="37E82428"/>
    <w:rsid w:val="37EB29D8"/>
    <w:rsid w:val="37F87429"/>
    <w:rsid w:val="37FB2BC4"/>
    <w:rsid w:val="38044311"/>
    <w:rsid w:val="381F2104"/>
    <w:rsid w:val="382864CB"/>
    <w:rsid w:val="383672B3"/>
    <w:rsid w:val="383D6B87"/>
    <w:rsid w:val="386614D3"/>
    <w:rsid w:val="386A6BE4"/>
    <w:rsid w:val="387362B6"/>
    <w:rsid w:val="389F03C0"/>
    <w:rsid w:val="38AA38FF"/>
    <w:rsid w:val="38B224AB"/>
    <w:rsid w:val="38C721F5"/>
    <w:rsid w:val="38C74734"/>
    <w:rsid w:val="38C9005C"/>
    <w:rsid w:val="38CC72DA"/>
    <w:rsid w:val="38E46018"/>
    <w:rsid w:val="393548CC"/>
    <w:rsid w:val="394E3ED6"/>
    <w:rsid w:val="39684483"/>
    <w:rsid w:val="39684EB4"/>
    <w:rsid w:val="3995467B"/>
    <w:rsid w:val="39BA6B13"/>
    <w:rsid w:val="39BD2EB0"/>
    <w:rsid w:val="39E10297"/>
    <w:rsid w:val="39E3441A"/>
    <w:rsid w:val="3A122D27"/>
    <w:rsid w:val="3A667114"/>
    <w:rsid w:val="3A6D5E23"/>
    <w:rsid w:val="3A7206CF"/>
    <w:rsid w:val="3AA40553"/>
    <w:rsid w:val="3AA94ADF"/>
    <w:rsid w:val="3AB03232"/>
    <w:rsid w:val="3AB91CAA"/>
    <w:rsid w:val="3ACE31C4"/>
    <w:rsid w:val="3AD26B6E"/>
    <w:rsid w:val="3AE448A5"/>
    <w:rsid w:val="3AEB37DF"/>
    <w:rsid w:val="3AF845D9"/>
    <w:rsid w:val="3B090D0F"/>
    <w:rsid w:val="3B116417"/>
    <w:rsid w:val="3B2C087E"/>
    <w:rsid w:val="3B2C74EE"/>
    <w:rsid w:val="3B433C53"/>
    <w:rsid w:val="3B4723E0"/>
    <w:rsid w:val="3B5569F5"/>
    <w:rsid w:val="3B5B33C0"/>
    <w:rsid w:val="3B5D1DC7"/>
    <w:rsid w:val="3B5D2E0C"/>
    <w:rsid w:val="3B627E50"/>
    <w:rsid w:val="3B6D7A69"/>
    <w:rsid w:val="3B710EF3"/>
    <w:rsid w:val="3B730469"/>
    <w:rsid w:val="3B7A06F2"/>
    <w:rsid w:val="3B8E376C"/>
    <w:rsid w:val="3BA37C08"/>
    <w:rsid w:val="3BA527DC"/>
    <w:rsid w:val="3BA70186"/>
    <w:rsid w:val="3BAD6B2E"/>
    <w:rsid w:val="3BC60A9D"/>
    <w:rsid w:val="3BD56517"/>
    <w:rsid w:val="3BF03019"/>
    <w:rsid w:val="3C1D18A4"/>
    <w:rsid w:val="3C215398"/>
    <w:rsid w:val="3C461E13"/>
    <w:rsid w:val="3C574A7F"/>
    <w:rsid w:val="3C70780D"/>
    <w:rsid w:val="3C732FC3"/>
    <w:rsid w:val="3CAC034C"/>
    <w:rsid w:val="3CBC6EBE"/>
    <w:rsid w:val="3CC2102C"/>
    <w:rsid w:val="3CD075B6"/>
    <w:rsid w:val="3CE47625"/>
    <w:rsid w:val="3CF31E2B"/>
    <w:rsid w:val="3CF6209C"/>
    <w:rsid w:val="3D0A74C7"/>
    <w:rsid w:val="3D2F63EE"/>
    <w:rsid w:val="3D3227A3"/>
    <w:rsid w:val="3D33200E"/>
    <w:rsid w:val="3D3B0062"/>
    <w:rsid w:val="3D5835B7"/>
    <w:rsid w:val="3D5A765E"/>
    <w:rsid w:val="3D612BD3"/>
    <w:rsid w:val="3D69430A"/>
    <w:rsid w:val="3D72628E"/>
    <w:rsid w:val="3D8448FD"/>
    <w:rsid w:val="3D915310"/>
    <w:rsid w:val="3D99451E"/>
    <w:rsid w:val="3DA06AB2"/>
    <w:rsid w:val="3DA32778"/>
    <w:rsid w:val="3DB868D1"/>
    <w:rsid w:val="3DC172E3"/>
    <w:rsid w:val="3DD0707B"/>
    <w:rsid w:val="3DF8153F"/>
    <w:rsid w:val="3DFC46DA"/>
    <w:rsid w:val="3E0128FA"/>
    <w:rsid w:val="3E1718BC"/>
    <w:rsid w:val="3E1A294A"/>
    <w:rsid w:val="3E1E02D5"/>
    <w:rsid w:val="3E330BCB"/>
    <w:rsid w:val="3E4420C8"/>
    <w:rsid w:val="3E4619B8"/>
    <w:rsid w:val="3E504536"/>
    <w:rsid w:val="3E5571C4"/>
    <w:rsid w:val="3E595488"/>
    <w:rsid w:val="3E6309B5"/>
    <w:rsid w:val="3E6640F9"/>
    <w:rsid w:val="3E6D02C8"/>
    <w:rsid w:val="3E8C2EE2"/>
    <w:rsid w:val="3E9D6613"/>
    <w:rsid w:val="3E9E51A8"/>
    <w:rsid w:val="3EA52477"/>
    <w:rsid w:val="3EC11FA7"/>
    <w:rsid w:val="3ECD4772"/>
    <w:rsid w:val="3EDB489A"/>
    <w:rsid w:val="3EED6609"/>
    <w:rsid w:val="3F041971"/>
    <w:rsid w:val="3F0B4F6F"/>
    <w:rsid w:val="3F2E50FC"/>
    <w:rsid w:val="3F3E1875"/>
    <w:rsid w:val="3F6A2F63"/>
    <w:rsid w:val="3F6C5CC3"/>
    <w:rsid w:val="3F6E1604"/>
    <w:rsid w:val="3F75355D"/>
    <w:rsid w:val="3F802DCC"/>
    <w:rsid w:val="3F832EE3"/>
    <w:rsid w:val="3F8669AB"/>
    <w:rsid w:val="3F88629F"/>
    <w:rsid w:val="3F8D363B"/>
    <w:rsid w:val="3F9E0B9B"/>
    <w:rsid w:val="3FBA566B"/>
    <w:rsid w:val="3FD53316"/>
    <w:rsid w:val="40093CF1"/>
    <w:rsid w:val="401470C0"/>
    <w:rsid w:val="401A27A9"/>
    <w:rsid w:val="401B7EA1"/>
    <w:rsid w:val="402126D8"/>
    <w:rsid w:val="403378F8"/>
    <w:rsid w:val="406406DC"/>
    <w:rsid w:val="406F5BA7"/>
    <w:rsid w:val="408342FD"/>
    <w:rsid w:val="40B454EF"/>
    <w:rsid w:val="40BC700F"/>
    <w:rsid w:val="40BE1F17"/>
    <w:rsid w:val="40DE3CAA"/>
    <w:rsid w:val="40E75C6A"/>
    <w:rsid w:val="40F938F8"/>
    <w:rsid w:val="40FC7159"/>
    <w:rsid w:val="40FE4846"/>
    <w:rsid w:val="41077964"/>
    <w:rsid w:val="41322BD5"/>
    <w:rsid w:val="414D2426"/>
    <w:rsid w:val="416C3F13"/>
    <w:rsid w:val="416F5281"/>
    <w:rsid w:val="417E482D"/>
    <w:rsid w:val="41867134"/>
    <w:rsid w:val="41946AD2"/>
    <w:rsid w:val="41947EA6"/>
    <w:rsid w:val="41AD6AD2"/>
    <w:rsid w:val="41B13116"/>
    <w:rsid w:val="41BB18BC"/>
    <w:rsid w:val="41C90E09"/>
    <w:rsid w:val="41CD5A19"/>
    <w:rsid w:val="41F55FB1"/>
    <w:rsid w:val="425B4FD2"/>
    <w:rsid w:val="425C3B2E"/>
    <w:rsid w:val="42613503"/>
    <w:rsid w:val="42634845"/>
    <w:rsid w:val="4279315E"/>
    <w:rsid w:val="42827922"/>
    <w:rsid w:val="42852F4A"/>
    <w:rsid w:val="428A5E05"/>
    <w:rsid w:val="428D556A"/>
    <w:rsid w:val="42A92B57"/>
    <w:rsid w:val="42A951BA"/>
    <w:rsid w:val="42AA56F1"/>
    <w:rsid w:val="42CE06C9"/>
    <w:rsid w:val="42D70AA8"/>
    <w:rsid w:val="42E3189D"/>
    <w:rsid w:val="42EA4E3D"/>
    <w:rsid w:val="42F8746F"/>
    <w:rsid w:val="43062D47"/>
    <w:rsid w:val="430D00DC"/>
    <w:rsid w:val="43325B44"/>
    <w:rsid w:val="43486B61"/>
    <w:rsid w:val="436A6FA1"/>
    <w:rsid w:val="43813731"/>
    <w:rsid w:val="43A64154"/>
    <w:rsid w:val="43BA3B95"/>
    <w:rsid w:val="43BB18DF"/>
    <w:rsid w:val="43BB4A6B"/>
    <w:rsid w:val="43BB7995"/>
    <w:rsid w:val="43D37AE8"/>
    <w:rsid w:val="43E97A8D"/>
    <w:rsid w:val="43F333CB"/>
    <w:rsid w:val="44091ACF"/>
    <w:rsid w:val="441853A0"/>
    <w:rsid w:val="441D71ED"/>
    <w:rsid w:val="442D6535"/>
    <w:rsid w:val="44381BDD"/>
    <w:rsid w:val="44421CCE"/>
    <w:rsid w:val="4458118F"/>
    <w:rsid w:val="447074F5"/>
    <w:rsid w:val="44974D8D"/>
    <w:rsid w:val="449E6E4E"/>
    <w:rsid w:val="44D2479E"/>
    <w:rsid w:val="44DA3E1D"/>
    <w:rsid w:val="44DD5FCC"/>
    <w:rsid w:val="44FB6D8D"/>
    <w:rsid w:val="450736A6"/>
    <w:rsid w:val="451543E4"/>
    <w:rsid w:val="45173EB4"/>
    <w:rsid w:val="453A7E6D"/>
    <w:rsid w:val="45424DB6"/>
    <w:rsid w:val="45530036"/>
    <w:rsid w:val="455343B1"/>
    <w:rsid w:val="457F05CA"/>
    <w:rsid w:val="459D2F8D"/>
    <w:rsid w:val="459E4B6D"/>
    <w:rsid w:val="459F2FDB"/>
    <w:rsid w:val="45DD4E52"/>
    <w:rsid w:val="45E94FE6"/>
    <w:rsid w:val="45ED7952"/>
    <w:rsid w:val="461924A5"/>
    <w:rsid w:val="46286C71"/>
    <w:rsid w:val="462A0FE0"/>
    <w:rsid w:val="462F3F54"/>
    <w:rsid w:val="46492E6C"/>
    <w:rsid w:val="46585B30"/>
    <w:rsid w:val="4672595B"/>
    <w:rsid w:val="46803013"/>
    <w:rsid w:val="46933A01"/>
    <w:rsid w:val="469F5F36"/>
    <w:rsid w:val="46A71357"/>
    <w:rsid w:val="46BE0184"/>
    <w:rsid w:val="46CC1167"/>
    <w:rsid w:val="46F62CD0"/>
    <w:rsid w:val="4718229D"/>
    <w:rsid w:val="47203892"/>
    <w:rsid w:val="47283033"/>
    <w:rsid w:val="47443E74"/>
    <w:rsid w:val="474F3C06"/>
    <w:rsid w:val="4775369C"/>
    <w:rsid w:val="477810B1"/>
    <w:rsid w:val="47AB3E15"/>
    <w:rsid w:val="47AC0CF7"/>
    <w:rsid w:val="47D86555"/>
    <w:rsid w:val="47F24B53"/>
    <w:rsid w:val="47F86D35"/>
    <w:rsid w:val="48541414"/>
    <w:rsid w:val="485B27A2"/>
    <w:rsid w:val="48786A80"/>
    <w:rsid w:val="4886454F"/>
    <w:rsid w:val="4898768D"/>
    <w:rsid w:val="48B53671"/>
    <w:rsid w:val="48BA5152"/>
    <w:rsid w:val="48C72D96"/>
    <w:rsid w:val="48C91888"/>
    <w:rsid w:val="48CD5F8B"/>
    <w:rsid w:val="48D27F50"/>
    <w:rsid w:val="48D8234C"/>
    <w:rsid w:val="48EF4234"/>
    <w:rsid w:val="49144651"/>
    <w:rsid w:val="4918515C"/>
    <w:rsid w:val="491D2237"/>
    <w:rsid w:val="49212350"/>
    <w:rsid w:val="49233A2C"/>
    <w:rsid w:val="493F0B05"/>
    <w:rsid w:val="49456604"/>
    <w:rsid w:val="49515910"/>
    <w:rsid w:val="49724CF1"/>
    <w:rsid w:val="49754B83"/>
    <w:rsid w:val="49A12081"/>
    <w:rsid w:val="49BB09C2"/>
    <w:rsid w:val="49BC45F3"/>
    <w:rsid w:val="49C81E89"/>
    <w:rsid w:val="49C85417"/>
    <w:rsid w:val="4A0D21F0"/>
    <w:rsid w:val="4A126AF2"/>
    <w:rsid w:val="4A207DAF"/>
    <w:rsid w:val="4A301E2A"/>
    <w:rsid w:val="4A37426C"/>
    <w:rsid w:val="4A4056F7"/>
    <w:rsid w:val="4A4515E8"/>
    <w:rsid w:val="4A4F246B"/>
    <w:rsid w:val="4A797DE0"/>
    <w:rsid w:val="4A7C3271"/>
    <w:rsid w:val="4A837AA7"/>
    <w:rsid w:val="4A87463D"/>
    <w:rsid w:val="4A897A9B"/>
    <w:rsid w:val="4A921BB5"/>
    <w:rsid w:val="4ABB12B3"/>
    <w:rsid w:val="4AE00116"/>
    <w:rsid w:val="4AF0272B"/>
    <w:rsid w:val="4B1A70B9"/>
    <w:rsid w:val="4B1E053C"/>
    <w:rsid w:val="4B3B68BB"/>
    <w:rsid w:val="4B4022CA"/>
    <w:rsid w:val="4B594EDF"/>
    <w:rsid w:val="4B61176D"/>
    <w:rsid w:val="4B65692E"/>
    <w:rsid w:val="4B6A06D7"/>
    <w:rsid w:val="4B735290"/>
    <w:rsid w:val="4B79187F"/>
    <w:rsid w:val="4BAF0CF3"/>
    <w:rsid w:val="4BB4041F"/>
    <w:rsid w:val="4BBD36A5"/>
    <w:rsid w:val="4BD36E74"/>
    <w:rsid w:val="4BD56B0D"/>
    <w:rsid w:val="4BD86BCF"/>
    <w:rsid w:val="4BD94AE8"/>
    <w:rsid w:val="4BE807F1"/>
    <w:rsid w:val="4BFC24EE"/>
    <w:rsid w:val="4C204A5F"/>
    <w:rsid w:val="4C2B6270"/>
    <w:rsid w:val="4C395EA2"/>
    <w:rsid w:val="4C4F7238"/>
    <w:rsid w:val="4C5228AF"/>
    <w:rsid w:val="4C5718AE"/>
    <w:rsid w:val="4C6C48AF"/>
    <w:rsid w:val="4C6C748E"/>
    <w:rsid w:val="4C862F35"/>
    <w:rsid w:val="4C911E23"/>
    <w:rsid w:val="4CC44709"/>
    <w:rsid w:val="4CF94F2A"/>
    <w:rsid w:val="4D0D2293"/>
    <w:rsid w:val="4D453EA9"/>
    <w:rsid w:val="4D5A1753"/>
    <w:rsid w:val="4D5C572C"/>
    <w:rsid w:val="4D64620A"/>
    <w:rsid w:val="4D67326A"/>
    <w:rsid w:val="4D762DFA"/>
    <w:rsid w:val="4D854E0C"/>
    <w:rsid w:val="4D8F51E1"/>
    <w:rsid w:val="4D913434"/>
    <w:rsid w:val="4DB73025"/>
    <w:rsid w:val="4DC61011"/>
    <w:rsid w:val="4DCD449A"/>
    <w:rsid w:val="4DD91E2A"/>
    <w:rsid w:val="4DDA516B"/>
    <w:rsid w:val="4DE47EEE"/>
    <w:rsid w:val="4DF112A5"/>
    <w:rsid w:val="4DFD1420"/>
    <w:rsid w:val="4E01425A"/>
    <w:rsid w:val="4E371081"/>
    <w:rsid w:val="4E415F53"/>
    <w:rsid w:val="4E437F61"/>
    <w:rsid w:val="4E8E65C1"/>
    <w:rsid w:val="4E975595"/>
    <w:rsid w:val="4E9C2745"/>
    <w:rsid w:val="4EAA38DC"/>
    <w:rsid w:val="4EB57F69"/>
    <w:rsid w:val="4EB8279E"/>
    <w:rsid w:val="4ED33D31"/>
    <w:rsid w:val="4EE1479C"/>
    <w:rsid w:val="4EEE4D03"/>
    <w:rsid w:val="4F243492"/>
    <w:rsid w:val="4F332395"/>
    <w:rsid w:val="4F375E64"/>
    <w:rsid w:val="4F444727"/>
    <w:rsid w:val="4F467207"/>
    <w:rsid w:val="4F5B7E39"/>
    <w:rsid w:val="4F647C31"/>
    <w:rsid w:val="4F6E77D1"/>
    <w:rsid w:val="4F6F7131"/>
    <w:rsid w:val="4F900303"/>
    <w:rsid w:val="4F9B7A88"/>
    <w:rsid w:val="4FA63E41"/>
    <w:rsid w:val="4FDC3855"/>
    <w:rsid w:val="4FE7781D"/>
    <w:rsid w:val="50012D7C"/>
    <w:rsid w:val="500E369B"/>
    <w:rsid w:val="501854F2"/>
    <w:rsid w:val="501B6D91"/>
    <w:rsid w:val="502B07C5"/>
    <w:rsid w:val="5035615B"/>
    <w:rsid w:val="50372296"/>
    <w:rsid w:val="503A7E2A"/>
    <w:rsid w:val="505A4E4D"/>
    <w:rsid w:val="50847B34"/>
    <w:rsid w:val="50B32ADF"/>
    <w:rsid w:val="50DB63F3"/>
    <w:rsid w:val="50EA0150"/>
    <w:rsid w:val="51095EC8"/>
    <w:rsid w:val="512572D9"/>
    <w:rsid w:val="512F7EF7"/>
    <w:rsid w:val="51446493"/>
    <w:rsid w:val="514B67FD"/>
    <w:rsid w:val="51606212"/>
    <w:rsid w:val="51A32180"/>
    <w:rsid w:val="51A74466"/>
    <w:rsid w:val="51AF1214"/>
    <w:rsid w:val="51B43D96"/>
    <w:rsid w:val="51E5051C"/>
    <w:rsid w:val="51FC581B"/>
    <w:rsid w:val="520E60F1"/>
    <w:rsid w:val="520F10EE"/>
    <w:rsid w:val="52116489"/>
    <w:rsid w:val="52384225"/>
    <w:rsid w:val="523A1F04"/>
    <w:rsid w:val="524B75A8"/>
    <w:rsid w:val="525433AE"/>
    <w:rsid w:val="52783FF0"/>
    <w:rsid w:val="527C215F"/>
    <w:rsid w:val="527E5EED"/>
    <w:rsid w:val="52882463"/>
    <w:rsid w:val="528A2602"/>
    <w:rsid w:val="52BB11DC"/>
    <w:rsid w:val="52CB6EA0"/>
    <w:rsid w:val="52E3289D"/>
    <w:rsid w:val="52E678FD"/>
    <w:rsid w:val="52EE43CC"/>
    <w:rsid w:val="52FF4591"/>
    <w:rsid w:val="531473B0"/>
    <w:rsid w:val="53156E53"/>
    <w:rsid w:val="531B3A9C"/>
    <w:rsid w:val="5321243D"/>
    <w:rsid w:val="53272F5D"/>
    <w:rsid w:val="53431A96"/>
    <w:rsid w:val="53543569"/>
    <w:rsid w:val="53751745"/>
    <w:rsid w:val="53773018"/>
    <w:rsid w:val="537B18F4"/>
    <w:rsid w:val="53876BCA"/>
    <w:rsid w:val="53955ABA"/>
    <w:rsid w:val="539F43FD"/>
    <w:rsid w:val="53A67D82"/>
    <w:rsid w:val="53DE6642"/>
    <w:rsid w:val="53EF0739"/>
    <w:rsid w:val="540918A0"/>
    <w:rsid w:val="54104937"/>
    <w:rsid w:val="542776DD"/>
    <w:rsid w:val="543A1E06"/>
    <w:rsid w:val="54522ADC"/>
    <w:rsid w:val="545424AE"/>
    <w:rsid w:val="54663B08"/>
    <w:rsid w:val="54697406"/>
    <w:rsid w:val="54755AA4"/>
    <w:rsid w:val="547938FD"/>
    <w:rsid w:val="548274CD"/>
    <w:rsid w:val="54976648"/>
    <w:rsid w:val="54A011AE"/>
    <w:rsid w:val="54A10126"/>
    <w:rsid w:val="54A45D2B"/>
    <w:rsid w:val="54A565DB"/>
    <w:rsid w:val="54B575F1"/>
    <w:rsid w:val="54B94986"/>
    <w:rsid w:val="54E7647B"/>
    <w:rsid w:val="54EF2699"/>
    <w:rsid w:val="55002B2F"/>
    <w:rsid w:val="55133BF8"/>
    <w:rsid w:val="55202EB2"/>
    <w:rsid w:val="55214B49"/>
    <w:rsid w:val="552E5704"/>
    <w:rsid w:val="553B4D15"/>
    <w:rsid w:val="55594C80"/>
    <w:rsid w:val="555D3430"/>
    <w:rsid w:val="555E3ADC"/>
    <w:rsid w:val="557F1C1A"/>
    <w:rsid w:val="55A5299F"/>
    <w:rsid w:val="55AB5EB5"/>
    <w:rsid w:val="55CE3B25"/>
    <w:rsid w:val="55D20EC3"/>
    <w:rsid w:val="55ED243A"/>
    <w:rsid w:val="55F43387"/>
    <w:rsid w:val="560257B6"/>
    <w:rsid w:val="56025C0C"/>
    <w:rsid w:val="56032A93"/>
    <w:rsid w:val="560C34C5"/>
    <w:rsid w:val="560E7C25"/>
    <w:rsid w:val="5620313B"/>
    <w:rsid w:val="56443F1D"/>
    <w:rsid w:val="564D5B7B"/>
    <w:rsid w:val="565B7ED3"/>
    <w:rsid w:val="566B2461"/>
    <w:rsid w:val="56970EE5"/>
    <w:rsid w:val="56B25162"/>
    <w:rsid w:val="56B464CF"/>
    <w:rsid w:val="56B636B6"/>
    <w:rsid w:val="56F918AE"/>
    <w:rsid w:val="56F9392F"/>
    <w:rsid w:val="57002993"/>
    <w:rsid w:val="570B4455"/>
    <w:rsid w:val="57294EFE"/>
    <w:rsid w:val="573F7673"/>
    <w:rsid w:val="574137FA"/>
    <w:rsid w:val="575A48AE"/>
    <w:rsid w:val="575E09DA"/>
    <w:rsid w:val="576F6428"/>
    <w:rsid w:val="579B67A6"/>
    <w:rsid w:val="57A443F1"/>
    <w:rsid w:val="57AE3907"/>
    <w:rsid w:val="57CB5303"/>
    <w:rsid w:val="57F0169B"/>
    <w:rsid w:val="57F867D4"/>
    <w:rsid w:val="57FD6E50"/>
    <w:rsid w:val="58094510"/>
    <w:rsid w:val="580F7B93"/>
    <w:rsid w:val="58342AEA"/>
    <w:rsid w:val="58355A1D"/>
    <w:rsid w:val="583640C7"/>
    <w:rsid w:val="583A3671"/>
    <w:rsid w:val="583F3940"/>
    <w:rsid w:val="584C6F04"/>
    <w:rsid w:val="58503502"/>
    <w:rsid w:val="58513B89"/>
    <w:rsid w:val="585D30A3"/>
    <w:rsid w:val="58603A1D"/>
    <w:rsid w:val="586E0D81"/>
    <w:rsid w:val="586E4313"/>
    <w:rsid w:val="58C00BCC"/>
    <w:rsid w:val="58C37202"/>
    <w:rsid w:val="58C70A4C"/>
    <w:rsid w:val="58D71BDA"/>
    <w:rsid w:val="58E754F6"/>
    <w:rsid w:val="591E6566"/>
    <w:rsid w:val="595266CF"/>
    <w:rsid w:val="59835FFD"/>
    <w:rsid w:val="59A36822"/>
    <w:rsid w:val="59A54EB4"/>
    <w:rsid w:val="59B00B41"/>
    <w:rsid w:val="59BE582F"/>
    <w:rsid w:val="59D64BE3"/>
    <w:rsid w:val="59E34EE1"/>
    <w:rsid w:val="59F730F0"/>
    <w:rsid w:val="5A0F6EA8"/>
    <w:rsid w:val="5A272B2D"/>
    <w:rsid w:val="5A2A55E3"/>
    <w:rsid w:val="5A2B2D2C"/>
    <w:rsid w:val="5A4965A7"/>
    <w:rsid w:val="5A8754E4"/>
    <w:rsid w:val="5A935D25"/>
    <w:rsid w:val="5A9802B8"/>
    <w:rsid w:val="5AB1147E"/>
    <w:rsid w:val="5ABF7DCF"/>
    <w:rsid w:val="5AC47A09"/>
    <w:rsid w:val="5AE23BA6"/>
    <w:rsid w:val="5AE6129F"/>
    <w:rsid w:val="5AE63D9C"/>
    <w:rsid w:val="5B057ED0"/>
    <w:rsid w:val="5B2C1016"/>
    <w:rsid w:val="5B8C60EC"/>
    <w:rsid w:val="5BC46468"/>
    <w:rsid w:val="5BDC46AC"/>
    <w:rsid w:val="5BE53A4F"/>
    <w:rsid w:val="5BF93DBD"/>
    <w:rsid w:val="5BFB013E"/>
    <w:rsid w:val="5C0E4B21"/>
    <w:rsid w:val="5C193AB9"/>
    <w:rsid w:val="5C220343"/>
    <w:rsid w:val="5C295EBD"/>
    <w:rsid w:val="5C2B59CA"/>
    <w:rsid w:val="5C3B325D"/>
    <w:rsid w:val="5C5A4B5D"/>
    <w:rsid w:val="5C686014"/>
    <w:rsid w:val="5C696815"/>
    <w:rsid w:val="5C9222A6"/>
    <w:rsid w:val="5CAF2F3F"/>
    <w:rsid w:val="5CB9353B"/>
    <w:rsid w:val="5CC21EBE"/>
    <w:rsid w:val="5CC626AD"/>
    <w:rsid w:val="5CCF51AA"/>
    <w:rsid w:val="5D1C4604"/>
    <w:rsid w:val="5D412426"/>
    <w:rsid w:val="5D474CF9"/>
    <w:rsid w:val="5D7325A7"/>
    <w:rsid w:val="5DC37E86"/>
    <w:rsid w:val="5DDD514E"/>
    <w:rsid w:val="5E113C8F"/>
    <w:rsid w:val="5E1A63C8"/>
    <w:rsid w:val="5E4808E0"/>
    <w:rsid w:val="5E581D9A"/>
    <w:rsid w:val="5E8A70A4"/>
    <w:rsid w:val="5E984253"/>
    <w:rsid w:val="5EAC344E"/>
    <w:rsid w:val="5EB503FB"/>
    <w:rsid w:val="5EC7172F"/>
    <w:rsid w:val="5EEC557A"/>
    <w:rsid w:val="5EF56103"/>
    <w:rsid w:val="5F044C66"/>
    <w:rsid w:val="5F15191F"/>
    <w:rsid w:val="5F213553"/>
    <w:rsid w:val="5F217EAB"/>
    <w:rsid w:val="5F2820D8"/>
    <w:rsid w:val="5F5F2403"/>
    <w:rsid w:val="5F6D31CF"/>
    <w:rsid w:val="5F81422C"/>
    <w:rsid w:val="5F8B33B2"/>
    <w:rsid w:val="5FA27873"/>
    <w:rsid w:val="5FB760DA"/>
    <w:rsid w:val="5FD83283"/>
    <w:rsid w:val="5FEF5838"/>
    <w:rsid w:val="5FF4081A"/>
    <w:rsid w:val="5FF61144"/>
    <w:rsid w:val="5FF817F2"/>
    <w:rsid w:val="60142561"/>
    <w:rsid w:val="60146A0A"/>
    <w:rsid w:val="60194C8D"/>
    <w:rsid w:val="60233800"/>
    <w:rsid w:val="6035125E"/>
    <w:rsid w:val="60376093"/>
    <w:rsid w:val="603A5FDA"/>
    <w:rsid w:val="60475E6F"/>
    <w:rsid w:val="604C0FCC"/>
    <w:rsid w:val="604D34AE"/>
    <w:rsid w:val="60530BE2"/>
    <w:rsid w:val="60757551"/>
    <w:rsid w:val="6076510A"/>
    <w:rsid w:val="60811859"/>
    <w:rsid w:val="60866B31"/>
    <w:rsid w:val="6097059A"/>
    <w:rsid w:val="609954A7"/>
    <w:rsid w:val="60A40029"/>
    <w:rsid w:val="60BA61B3"/>
    <w:rsid w:val="610139B4"/>
    <w:rsid w:val="61044D9D"/>
    <w:rsid w:val="61076583"/>
    <w:rsid w:val="6117451E"/>
    <w:rsid w:val="611F4E3D"/>
    <w:rsid w:val="61293E18"/>
    <w:rsid w:val="61307A04"/>
    <w:rsid w:val="61332F3B"/>
    <w:rsid w:val="613C2058"/>
    <w:rsid w:val="61444126"/>
    <w:rsid w:val="614632BC"/>
    <w:rsid w:val="614D6D74"/>
    <w:rsid w:val="615E6755"/>
    <w:rsid w:val="615F64AA"/>
    <w:rsid w:val="616709A8"/>
    <w:rsid w:val="617011A7"/>
    <w:rsid w:val="61722A56"/>
    <w:rsid w:val="61897B1C"/>
    <w:rsid w:val="618F2563"/>
    <w:rsid w:val="619F4950"/>
    <w:rsid w:val="61EA34AF"/>
    <w:rsid w:val="61EE5F7A"/>
    <w:rsid w:val="62090287"/>
    <w:rsid w:val="62353C0D"/>
    <w:rsid w:val="624F41B6"/>
    <w:rsid w:val="626010B9"/>
    <w:rsid w:val="626A099E"/>
    <w:rsid w:val="626A7D5A"/>
    <w:rsid w:val="62AF7B07"/>
    <w:rsid w:val="62B47519"/>
    <w:rsid w:val="62DE2DF3"/>
    <w:rsid w:val="62F612A3"/>
    <w:rsid w:val="62F95B8C"/>
    <w:rsid w:val="63100986"/>
    <w:rsid w:val="631940A0"/>
    <w:rsid w:val="63253BF3"/>
    <w:rsid w:val="63263224"/>
    <w:rsid w:val="63310632"/>
    <w:rsid w:val="63911317"/>
    <w:rsid w:val="63945E28"/>
    <w:rsid w:val="63975A8A"/>
    <w:rsid w:val="63A46B8A"/>
    <w:rsid w:val="63A735B4"/>
    <w:rsid w:val="63AB687C"/>
    <w:rsid w:val="63B9109C"/>
    <w:rsid w:val="63D8215D"/>
    <w:rsid w:val="63DF2C7F"/>
    <w:rsid w:val="63E043BE"/>
    <w:rsid w:val="63FA4747"/>
    <w:rsid w:val="640B2EB8"/>
    <w:rsid w:val="64184D8E"/>
    <w:rsid w:val="641B2C86"/>
    <w:rsid w:val="641C4869"/>
    <w:rsid w:val="642D0AC6"/>
    <w:rsid w:val="64354398"/>
    <w:rsid w:val="64416D79"/>
    <w:rsid w:val="64535899"/>
    <w:rsid w:val="648D3D46"/>
    <w:rsid w:val="64956FE9"/>
    <w:rsid w:val="64BB2625"/>
    <w:rsid w:val="64D02139"/>
    <w:rsid w:val="64D277E0"/>
    <w:rsid w:val="64D37E39"/>
    <w:rsid w:val="64E32E16"/>
    <w:rsid w:val="64EA5182"/>
    <w:rsid w:val="64FE57B0"/>
    <w:rsid w:val="65122EE6"/>
    <w:rsid w:val="652371EE"/>
    <w:rsid w:val="654D0E1B"/>
    <w:rsid w:val="655443A7"/>
    <w:rsid w:val="6558144A"/>
    <w:rsid w:val="657E7978"/>
    <w:rsid w:val="659978E5"/>
    <w:rsid w:val="65B3079D"/>
    <w:rsid w:val="65BA08AE"/>
    <w:rsid w:val="65BE6E45"/>
    <w:rsid w:val="65E7603D"/>
    <w:rsid w:val="66141426"/>
    <w:rsid w:val="662F0B5B"/>
    <w:rsid w:val="663D77BB"/>
    <w:rsid w:val="66410DD2"/>
    <w:rsid w:val="664516A8"/>
    <w:rsid w:val="667444A2"/>
    <w:rsid w:val="66863968"/>
    <w:rsid w:val="668F31AA"/>
    <w:rsid w:val="66952D51"/>
    <w:rsid w:val="669E6F11"/>
    <w:rsid w:val="66AA1CAB"/>
    <w:rsid w:val="67151FB4"/>
    <w:rsid w:val="67256944"/>
    <w:rsid w:val="67333A05"/>
    <w:rsid w:val="673A09E8"/>
    <w:rsid w:val="673B4350"/>
    <w:rsid w:val="67601DF0"/>
    <w:rsid w:val="67756F44"/>
    <w:rsid w:val="677F4B46"/>
    <w:rsid w:val="67A433D7"/>
    <w:rsid w:val="67D07731"/>
    <w:rsid w:val="67D30D98"/>
    <w:rsid w:val="67D36156"/>
    <w:rsid w:val="67D905AF"/>
    <w:rsid w:val="67DC2A62"/>
    <w:rsid w:val="67E765D9"/>
    <w:rsid w:val="6807561B"/>
    <w:rsid w:val="681A7B2C"/>
    <w:rsid w:val="68316CFC"/>
    <w:rsid w:val="683A0295"/>
    <w:rsid w:val="683A57FD"/>
    <w:rsid w:val="68630BDC"/>
    <w:rsid w:val="686A3FBE"/>
    <w:rsid w:val="68994007"/>
    <w:rsid w:val="68CA3301"/>
    <w:rsid w:val="68D41CEC"/>
    <w:rsid w:val="68D5023B"/>
    <w:rsid w:val="68DF0DA2"/>
    <w:rsid w:val="68EA755D"/>
    <w:rsid w:val="68EE4149"/>
    <w:rsid w:val="68F27E6D"/>
    <w:rsid w:val="68F9670E"/>
    <w:rsid w:val="69036901"/>
    <w:rsid w:val="693F3519"/>
    <w:rsid w:val="69461C0C"/>
    <w:rsid w:val="694A35AC"/>
    <w:rsid w:val="695957BD"/>
    <w:rsid w:val="69692CE5"/>
    <w:rsid w:val="696E5872"/>
    <w:rsid w:val="69767ACB"/>
    <w:rsid w:val="69772A38"/>
    <w:rsid w:val="69834D81"/>
    <w:rsid w:val="6994544A"/>
    <w:rsid w:val="69BC2922"/>
    <w:rsid w:val="69C20527"/>
    <w:rsid w:val="69CA1E3D"/>
    <w:rsid w:val="69F01770"/>
    <w:rsid w:val="6A0E1913"/>
    <w:rsid w:val="6A1F7362"/>
    <w:rsid w:val="6A2771FC"/>
    <w:rsid w:val="6A4C437D"/>
    <w:rsid w:val="6A4E7A76"/>
    <w:rsid w:val="6A512508"/>
    <w:rsid w:val="6A8123F9"/>
    <w:rsid w:val="6A86611B"/>
    <w:rsid w:val="6A9A5AB8"/>
    <w:rsid w:val="6AA65AD0"/>
    <w:rsid w:val="6AC15313"/>
    <w:rsid w:val="6ADB59ED"/>
    <w:rsid w:val="6AF43AD4"/>
    <w:rsid w:val="6B002E1D"/>
    <w:rsid w:val="6B032473"/>
    <w:rsid w:val="6B085A96"/>
    <w:rsid w:val="6B0E11C2"/>
    <w:rsid w:val="6B1947DD"/>
    <w:rsid w:val="6B2B3A16"/>
    <w:rsid w:val="6B7355D4"/>
    <w:rsid w:val="6B9F68DE"/>
    <w:rsid w:val="6BA77B20"/>
    <w:rsid w:val="6BD60B25"/>
    <w:rsid w:val="6BDF1521"/>
    <w:rsid w:val="6C2246B3"/>
    <w:rsid w:val="6C570606"/>
    <w:rsid w:val="6C6275A3"/>
    <w:rsid w:val="6C691899"/>
    <w:rsid w:val="6C6B3A6B"/>
    <w:rsid w:val="6C6E4322"/>
    <w:rsid w:val="6C6F382E"/>
    <w:rsid w:val="6C804D16"/>
    <w:rsid w:val="6C843E4E"/>
    <w:rsid w:val="6C844538"/>
    <w:rsid w:val="6C861AE2"/>
    <w:rsid w:val="6C8C54A7"/>
    <w:rsid w:val="6CA357D7"/>
    <w:rsid w:val="6CC30414"/>
    <w:rsid w:val="6CD92FA9"/>
    <w:rsid w:val="6CED7757"/>
    <w:rsid w:val="6CF84C53"/>
    <w:rsid w:val="6CFE7A1D"/>
    <w:rsid w:val="6D0366F8"/>
    <w:rsid w:val="6D5D4E82"/>
    <w:rsid w:val="6D605355"/>
    <w:rsid w:val="6D70022B"/>
    <w:rsid w:val="6D7A1D04"/>
    <w:rsid w:val="6DC629D0"/>
    <w:rsid w:val="6DC81DD9"/>
    <w:rsid w:val="6DCF524F"/>
    <w:rsid w:val="6DCF7418"/>
    <w:rsid w:val="6DD85C34"/>
    <w:rsid w:val="6DE27D7D"/>
    <w:rsid w:val="6DFC5F39"/>
    <w:rsid w:val="6E0044CA"/>
    <w:rsid w:val="6E026768"/>
    <w:rsid w:val="6E253A17"/>
    <w:rsid w:val="6E2E1F7A"/>
    <w:rsid w:val="6E4F595C"/>
    <w:rsid w:val="6E60660F"/>
    <w:rsid w:val="6E846E05"/>
    <w:rsid w:val="6E891812"/>
    <w:rsid w:val="6E8A49EB"/>
    <w:rsid w:val="6E8C6D02"/>
    <w:rsid w:val="6E952D28"/>
    <w:rsid w:val="6EA116F1"/>
    <w:rsid w:val="6EB31AE7"/>
    <w:rsid w:val="6EC5077A"/>
    <w:rsid w:val="6EC627E3"/>
    <w:rsid w:val="6EC77D5F"/>
    <w:rsid w:val="6ECF50FE"/>
    <w:rsid w:val="6ED35F77"/>
    <w:rsid w:val="6EE24E2D"/>
    <w:rsid w:val="6F1218C9"/>
    <w:rsid w:val="6F4505D9"/>
    <w:rsid w:val="6F4932D2"/>
    <w:rsid w:val="6F6F56FA"/>
    <w:rsid w:val="6F7366D6"/>
    <w:rsid w:val="6F781500"/>
    <w:rsid w:val="6F7B2B66"/>
    <w:rsid w:val="6F9838A8"/>
    <w:rsid w:val="6FF03205"/>
    <w:rsid w:val="6FF06591"/>
    <w:rsid w:val="6FF27B0C"/>
    <w:rsid w:val="6FF4177B"/>
    <w:rsid w:val="700B4959"/>
    <w:rsid w:val="70192C40"/>
    <w:rsid w:val="70230CE9"/>
    <w:rsid w:val="70440929"/>
    <w:rsid w:val="704B508B"/>
    <w:rsid w:val="70537272"/>
    <w:rsid w:val="70666050"/>
    <w:rsid w:val="707A6B92"/>
    <w:rsid w:val="707E3779"/>
    <w:rsid w:val="70CB15A8"/>
    <w:rsid w:val="70DC1B60"/>
    <w:rsid w:val="70E84FCA"/>
    <w:rsid w:val="70F15A31"/>
    <w:rsid w:val="70FC4E36"/>
    <w:rsid w:val="710F1AE6"/>
    <w:rsid w:val="711B26AA"/>
    <w:rsid w:val="712E0333"/>
    <w:rsid w:val="712E42B7"/>
    <w:rsid w:val="713E005E"/>
    <w:rsid w:val="71503E89"/>
    <w:rsid w:val="715D5DDF"/>
    <w:rsid w:val="71891443"/>
    <w:rsid w:val="7191688A"/>
    <w:rsid w:val="71A66CC4"/>
    <w:rsid w:val="71C214A8"/>
    <w:rsid w:val="71E641B3"/>
    <w:rsid w:val="71F77ACE"/>
    <w:rsid w:val="71FD5C6E"/>
    <w:rsid w:val="720106F5"/>
    <w:rsid w:val="722A264F"/>
    <w:rsid w:val="722B1E56"/>
    <w:rsid w:val="7235714F"/>
    <w:rsid w:val="723B7870"/>
    <w:rsid w:val="72787485"/>
    <w:rsid w:val="727E42BF"/>
    <w:rsid w:val="728E24C1"/>
    <w:rsid w:val="728E5571"/>
    <w:rsid w:val="729338E1"/>
    <w:rsid w:val="72AA5080"/>
    <w:rsid w:val="72B70CD2"/>
    <w:rsid w:val="72E93CC5"/>
    <w:rsid w:val="72F56066"/>
    <w:rsid w:val="72FA6ACB"/>
    <w:rsid w:val="7313322C"/>
    <w:rsid w:val="73194545"/>
    <w:rsid w:val="73197BB8"/>
    <w:rsid w:val="73335381"/>
    <w:rsid w:val="734103B0"/>
    <w:rsid w:val="73487C44"/>
    <w:rsid w:val="735302BC"/>
    <w:rsid w:val="7362469F"/>
    <w:rsid w:val="73633E4B"/>
    <w:rsid w:val="73701368"/>
    <w:rsid w:val="737C487D"/>
    <w:rsid w:val="738E5E7B"/>
    <w:rsid w:val="738F5872"/>
    <w:rsid w:val="73A37FFF"/>
    <w:rsid w:val="73AB197A"/>
    <w:rsid w:val="73BF0A26"/>
    <w:rsid w:val="73C64D7F"/>
    <w:rsid w:val="73C7191B"/>
    <w:rsid w:val="73D3719A"/>
    <w:rsid w:val="73D970CE"/>
    <w:rsid w:val="74074C5D"/>
    <w:rsid w:val="74143CF0"/>
    <w:rsid w:val="741702D0"/>
    <w:rsid w:val="7436477D"/>
    <w:rsid w:val="74381A66"/>
    <w:rsid w:val="74466469"/>
    <w:rsid w:val="74477EFB"/>
    <w:rsid w:val="745850BE"/>
    <w:rsid w:val="74600E75"/>
    <w:rsid w:val="74617ED7"/>
    <w:rsid w:val="746212C3"/>
    <w:rsid w:val="74832968"/>
    <w:rsid w:val="748849D8"/>
    <w:rsid w:val="749A745D"/>
    <w:rsid w:val="74B05EFC"/>
    <w:rsid w:val="74CF28DE"/>
    <w:rsid w:val="74D06A89"/>
    <w:rsid w:val="74D151BA"/>
    <w:rsid w:val="751208A3"/>
    <w:rsid w:val="751538B1"/>
    <w:rsid w:val="7531070B"/>
    <w:rsid w:val="75344B8A"/>
    <w:rsid w:val="75516BF7"/>
    <w:rsid w:val="75606F89"/>
    <w:rsid w:val="75730D64"/>
    <w:rsid w:val="758C2041"/>
    <w:rsid w:val="759C6A76"/>
    <w:rsid w:val="75AF566F"/>
    <w:rsid w:val="75B00B5D"/>
    <w:rsid w:val="75B22ED4"/>
    <w:rsid w:val="75DB7C59"/>
    <w:rsid w:val="75DC0684"/>
    <w:rsid w:val="75DC65A5"/>
    <w:rsid w:val="75F22372"/>
    <w:rsid w:val="75F5786E"/>
    <w:rsid w:val="75F86080"/>
    <w:rsid w:val="762659E2"/>
    <w:rsid w:val="7633523D"/>
    <w:rsid w:val="76396493"/>
    <w:rsid w:val="763B3A90"/>
    <w:rsid w:val="763D4506"/>
    <w:rsid w:val="76457CEF"/>
    <w:rsid w:val="76547D85"/>
    <w:rsid w:val="76A8487B"/>
    <w:rsid w:val="76A86B70"/>
    <w:rsid w:val="76CD1AD4"/>
    <w:rsid w:val="76D36895"/>
    <w:rsid w:val="76F20145"/>
    <w:rsid w:val="76FD3DD1"/>
    <w:rsid w:val="77464813"/>
    <w:rsid w:val="775E3D18"/>
    <w:rsid w:val="77646FFC"/>
    <w:rsid w:val="776B430B"/>
    <w:rsid w:val="77907B18"/>
    <w:rsid w:val="779C230C"/>
    <w:rsid w:val="77A34766"/>
    <w:rsid w:val="77C60E71"/>
    <w:rsid w:val="77CE2209"/>
    <w:rsid w:val="780305EB"/>
    <w:rsid w:val="78164A54"/>
    <w:rsid w:val="78276334"/>
    <w:rsid w:val="784B149E"/>
    <w:rsid w:val="784E64C7"/>
    <w:rsid w:val="78561CE5"/>
    <w:rsid w:val="78601507"/>
    <w:rsid w:val="78793AAA"/>
    <w:rsid w:val="787F3F4C"/>
    <w:rsid w:val="7883590F"/>
    <w:rsid w:val="78A45043"/>
    <w:rsid w:val="78BC3509"/>
    <w:rsid w:val="78C07FFF"/>
    <w:rsid w:val="78C240B9"/>
    <w:rsid w:val="78CC73B0"/>
    <w:rsid w:val="78E03D87"/>
    <w:rsid w:val="78E319A6"/>
    <w:rsid w:val="78E70FDC"/>
    <w:rsid w:val="78EA3C7B"/>
    <w:rsid w:val="78F7016C"/>
    <w:rsid w:val="79152AB8"/>
    <w:rsid w:val="791A766E"/>
    <w:rsid w:val="79487611"/>
    <w:rsid w:val="79592BCF"/>
    <w:rsid w:val="7982482F"/>
    <w:rsid w:val="79A23A3E"/>
    <w:rsid w:val="79B017A9"/>
    <w:rsid w:val="79B04E72"/>
    <w:rsid w:val="79D53D71"/>
    <w:rsid w:val="79D9370A"/>
    <w:rsid w:val="7A06022F"/>
    <w:rsid w:val="7A0809B7"/>
    <w:rsid w:val="7A0B37EC"/>
    <w:rsid w:val="7A2B4D43"/>
    <w:rsid w:val="7A434C0E"/>
    <w:rsid w:val="7A4E3A4A"/>
    <w:rsid w:val="7A5E5F9F"/>
    <w:rsid w:val="7A701FA7"/>
    <w:rsid w:val="7A7C37E8"/>
    <w:rsid w:val="7A846A9B"/>
    <w:rsid w:val="7A871C04"/>
    <w:rsid w:val="7A9679F4"/>
    <w:rsid w:val="7ABD1DB1"/>
    <w:rsid w:val="7ACC3063"/>
    <w:rsid w:val="7AE92D09"/>
    <w:rsid w:val="7AEA632B"/>
    <w:rsid w:val="7AFF101C"/>
    <w:rsid w:val="7AFF72EC"/>
    <w:rsid w:val="7B312D12"/>
    <w:rsid w:val="7B5103E9"/>
    <w:rsid w:val="7B5A324B"/>
    <w:rsid w:val="7B5B5EAE"/>
    <w:rsid w:val="7B653879"/>
    <w:rsid w:val="7B7F3637"/>
    <w:rsid w:val="7B954D13"/>
    <w:rsid w:val="7BAA48CF"/>
    <w:rsid w:val="7BB22FB5"/>
    <w:rsid w:val="7BE562D4"/>
    <w:rsid w:val="7C0453E2"/>
    <w:rsid w:val="7C1D1542"/>
    <w:rsid w:val="7C3969BF"/>
    <w:rsid w:val="7C6B3813"/>
    <w:rsid w:val="7C6F002E"/>
    <w:rsid w:val="7C7C7257"/>
    <w:rsid w:val="7C903534"/>
    <w:rsid w:val="7CA82DF0"/>
    <w:rsid w:val="7CB2404E"/>
    <w:rsid w:val="7CB24FDD"/>
    <w:rsid w:val="7CD35395"/>
    <w:rsid w:val="7CE26FAD"/>
    <w:rsid w:val="7CF05C9A"/>
    <w:rsid w:val="7D055DA1"/>
    <w:rsid w:val="7D173A14"/>
    <w:rsid w:val="7D291C5D"/>
    <w:rsid w:val="7D2E4FD0"/>
    <w:rsid w:val="7D3F2A01"/>
    <w:rsid w:val="7D5E1A02"/>
    <w:rsid w:val="7D6D1600"/>
    <w:rsid w:val="7D755B1B"/>
    <w:rsid w:val="7D7A7B34"/>
    <w:rsid w:val="7D9F1046"/>
    <w:rsid w:val="7DD351FC"/>
    <w:rsid w:val="7DE319B7"/>
    <w:rsid w:val="7DE4613C"/>
    <w:rsid w:val="7DF00A35"/>
    <w:rsid w:val="7E090DBD"/>
    <w:rsid w:val="7E096C95"/>
    <w:rsid w:val="7E0B69E0"/>
    <w:rsid w:val="7E1F41D9"/>
    <w:rsid w:val="7E203B01"/>
    <w:rsid w:val="7E2D505E"/>
    <w:rsid w:val="7E436677"/>
    <w:rsid w:val="7E4C5DB5"/>
    <w:rsid w:val="7E542A80"/>
    <w:rsid w:val="7E596F70"/>
    <w:rsid w:val="7E5F603E"/>
    <w:rsid w:val="7E6C7907"/>
    <w:rsid w:val="7E73248E"/>
    <w:rsid w:val="7E7E55CA"/>
    <w:rsid w:val="7E8B00C3"/>
    <w:rsid w:val="7E9C09D1"/>
    <w:rsid w:val="7EA344A8"/>
    <w:rsid w:val="7EAD69D8"/>
    <w:rsid w:val="7EBA12CE"/>
    <w:rsid w:val="7EC131F9"/>
    <w:rsid w:val="7ECB0595"/>
    <w:rsid w:val="7ED46C5A"/>
    <w:rsid w:val="7EDA450A"/>
    <w:rsid w:val="7EEF1A03"/>
    <w:rsid w:val="7EFA07D4"/>
    <w:rsid w:val="7F033373"/>
    <w:rsid w:val="7F1C3004"/>
    <w:rsid w:val="7F346AE5"/>
    <w:rsid w:val="7F354B02"/>
    <w:rsid w:val="7F467E6A"/>
    <w:rsid w:val="7F537AC8"/>
    <w:rsid w:val="7F7829B4"/>
    <w:rsid w:val="7F821529"/>
    <w:rsid w:val="7F8767D3"/>
    <w:rsid w:val="7F973987"/>
    <w:rsid w:val="7FA405C1"/>
    <w:rsid w:val="7FA5499A"/>
    <w:rsid w:val="7FB46CB9"/>
    <w:rsid w:val="7FBC1438"/>
    <w:rsid w:val="7FBD3D75"/>
    <w:rsid w:val="7FCC6DCE"/>
    <w:rsid w:val="7FF33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4"/>
    <w:qFormat/>
    <w:uiPriority w:val="0"/>
    <w:pPr>
      <w:keepNext/>
      <w:jc w:val="center"/>
      <w:outlineLvl w:val="0"/>
    </w:pPr>
    <w:rPr>
      <w:rFonts w:ascii="Calibri" w:hAnsi="Calibri"/>
      <w:b/>
      <w:bCs/>
      <w:sz w:val="24"/>
      <w:szCs w:val="20"/>
    </w:rPr>
  </w:style>
  <w:style w:type="paragraph" w:styleId="5">
    <w:name w:val="heading 2"/>
    <w:basedOn w:val="1"/>
    <w:next w:val="1"/>
    <w:link w:val="303"/>
    <w:qFormat/>
    <w:uiPriority w:val="0"/>
    <w:pPr>
      <w:keepNext/>
      <w:keepLines/>
      <w:spacing w:line="360" w:lineRule="auto"/>
      <w:outlineLvl w:val="1"/>
    </w:pPr>
    <w:rPr>
      <w:rFonts w:ascii="Arial" w:hAnsi="Arial"/>
      <w:b/>
      <w:bCs/>
      <w:sz w:val="24"/>
      <w:szCs w:val="32"/>
    </w:rPr>
  </w:style>
  <w:style w:type="paragraph" w:styleId="6">
    <w:name w:val="heading 3"/>
    <w:basedOn w:val="1"/>
    <w:next w:val="1"/>
    <w:link w:val="274"/>
    <w:qFormat/>
    <w:uiPriority w:val="0"/>
    <w:pPr>
      <w:keepNext/>
      <w:keepLines/>
      <w:spacing w:before="260" w:after="260" w:line="416" w:lineRule="auto"/>
      <w:outlineLvl w:val="2"/>
    </w:pPr>
    <w:rPr>
      <w:rFonts w:ascii="Calibri" w:hAnsi="Calibri"/>
      <w:b/>
      <w:bCs/>
      <w:sz w:val="32"/>
      <w:szCs w:val="32"/>
    </w:rPr>
  </w:style>
  <w:style w:type="paragraph" w:styleId="7">
    <w:name w:val="heading 4"/>
    <w:basedOn w:val="1"/>
    <w:next w:val="1"/>
    <w:link w:val="28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311"/>
    <w:qFormat/>
    <w:uiPriority w:val="0"/>
    <w:pPr>
      <w:keepNext/>
      <w:keepLines/>
      <w:adjustRightInd w:val="0"/>
      <w:spacing w:before="280" w:after="290" w:line="376" w:lineRule="atLeast"/>
      <w:jc w:val="left"/>
      <w:textAlignment w:val="baseline"/>
      <w:outlineLvl w:val="4"/>
    </w:pPr>
    <w:rPr>
      <w:rFonts w:ascii="Calibri" w:hAnsi="Calibri"/>
      <w:b/>
      <w:bCs/>
      <w:kern w:val="0"/>
      <w:sz w:val="28"/>
      <w:szCs w:val="28"/>
    </w:rPr>
  </w:style>
  <w:style w:type="paragraph" w:styleId="9">
    <w:name w:val="heading 6"/>
    <w:basedOn w:val="1"/>
    <w:next w:val="1"/>
    <w:link w:val="291"/>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10">
    <w:name w:val="heading 7"/>
    <w:basedOn w:val="1"/>
    <w:next w:val="1"/>
    <w:link w:val="213"/>
    <w:qFormat/>
    <w:uiPriority w:val="0"/>
    <w:pPr>
      <w:keepNext/>
      <w:keepLines/>
      <w:adjustRightInd w:val="0"/>
      <w:spacing w:before="240" w:after="64" w:line="320" w:lineRule="atLeast"/>
      <w:jc w:val="left"/>
      <w:textAlignment w:val="baseline"/>
      <w:outlineLvl w:val="6"/>
    </w:pPr>
    <w:rPr>
      <w:rFonts w:ascii="Calibri" w:hAnsi="Calibri"/>
      <w:b/>
      <w:bCs/>
      <w:kern w:val="0"/>
      <w:sz w:val="24"/>
    </w:rPr>
  </w:style>
  <w:style w:type="paragraph" w:styleId="11">
    <w:name w:val="heading 8"/>
    <w:basedOn w:val="1"/>
    <w:next w:val="1"/>
    <w:link w:val="285"/>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2">
    <w:name w:val="heading 9"/>
    <w:basedOn w:val="1"/>
    <w:next w:val="1"/>
    <w:link w:val="307"/>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1"/>
    <w:qFormat/>
    <w:uiPriority w:val="0"/>
    <w:pPr>
      <w:spacing w:after="120"/>
    </w:pPr>
  </w:style>
  <w:style w:type="paragraph" w:styleId="13">
    <w:name w:val="toc 7"/>
    <w:basedOn w:val="1"/>
    <w:next w:val="1"/>
    <w:qFormat/>
    <w:uiPriority w:val="0"/>
    <w:pPr>
      <w:ind w:left="1260"/>
      <w:jc w:val="left"/>
    </w:pPr>
    <w:rPr>
      <w:sz w:val="18"/>
      <w:szCs w:val="18"/>
    </w:rPr>
  </w:style>
  <w:style w:type="paragraph" w:styleId="14">
    <w:name w:val="table of authorities"/>
    <w:basedOn w:val="1"/>
    <w:next w:val="1"/>
    <w:qFormat/>
    <w:uiPriority w:val="99"/>
    <w:pPr>
      <w:widowControl/>
      <w:adjustRightInd w:val="0"/>
      <w:snapToGrid w:val="0"/>
      <w:spacing w:after="200"/>
      <w:ind w:left="420" w:leftChars="200"/>
      <w:jc w:val="left"/>
    </w:pPr>
    <w:rPr>
      <w:rFonts w:ascii="Tahoma" w:hAnsi="Tahoma" w:eastAsia="微软雅黑"/>
      <w:kern w:val="0"/>
      <w:sz w:val="22"/>
      <w:szCs w:val="22"/>
    </w:rPr>
  </w:style>
  <w:style w:type="paragraph" w:styleId="15">
    <w:name w:val="Normal Indent"/>
    <w:basedOn w:val="1"/>
    <w:next w:val="16"/>
    <w:qFormat/>
    <w:uiPriority w:val="0"/>
    <w:pPr>
      <w:widowControl/>
      <w:ind w:firstLine="420"/>
      <w:jc w:val="left"/>
    </w:pPr>
    <w:rPr>
      <w:kern w:val="0"/>
      <w:sz w:val="20"/>
      <w:szCs w:val="20"/>
    </w:rPr>
  </w:style>
  <w:style w:type="paragraph" w:styleId="16">
    <w:name w:val="toc 4"/>
    <w:basedOn w:val="1"/>
    <w:next w:val="1"/>
    <w:qFormat/>
    <w:uiPriority w:val="0"/>
    <w:pPr>
      <w:ind w:left="630"/>
      <w:jc w:val="left"/>
    </w:pPr>
    <w:rPr>
      <w:sz w:val="18"/>
      <w:szCs w:val="18"/>
    </w:rPr>
  </w:style>
  <w:style w:type="paragraph" w:styleId="17">
    <w:name w:val="Document Map"/>
    <w:basedOn w:val="1"/>
    <w:semiHidden/>
    <w:qFormat/>
    <w:uiPriority w:val="0"/>
    <w:pPr>
      <w:shd w:val="clear" w:color="auto" w:fill="000080"/>
    </w:pPr>
  </w:style>
  <w:style w:type="paragraph" w:styleId="18">
    <w:name w:val="annotation text"/>
    <w:basedOn w:val="1"/>
    <w:link w:val="254"/>
    <w:semiHidden/>
    <w:qFormat/>
    <w:uiPriority w:val="0"/>
    <w:pPr>
      <w:jc w:val="left"/>
    </w:pPr>
    <w:rPr>
      <w:rFonts w:ascii="Calibri" w:hAnsi="Calibri"/>
    </w:rPr>
  </w:style>
  <w:style w:type="paragraph" w:styleId="19">
    <w:name w:val="Salutation"/>
    <w:basedOn w:val="1"/>
    <w:next w:val="1"/>
    <w:qFormat/>
    <w:uiPriority w:val="0"/>
    <w:rPr>
      <w:rFonts w:ascii="仿宋_GB2312" w:eastAsia="仿宋_GB2312"/>
      <w:sz w:val="24"/>
    </w:rPr>
  </w:style>
  <w:style w:type="paragraph" w:styleId="20">
    <w:name w:val="Body Text 3"/>
    <w:basedOn w:val="1"/>
    <w:qFormat/>
    <w:uiPriority w:val="0"/>
    <w:pPr>
      <w:autoSpaceDE w:val="0"/>
      <w:autoSpaceDN w:val="0"/>
      <w:adjustRightInd w:val="0"/>
      <w:spacing w:line="410" w:lineRule="atLeast"/>
      <w:jc w:val="left"/>
    </w:pPr>
    <w:rPr>
      <w:rFonts w:ascii="宋体"/>
      <w:color w:val="000000"/>
      <w:kern w:val="0"/>
      <w:sz w:val="24"/>
      <w:szCs w:val="20"/>
    </w:rPr>
  </w:style>
  <w:style w:type="paragraph" w:styleId="21">
    <w:name w:val="Body Text Indent"/>
    <w:basedOn w:val="1"/>
    <w:next w:val="22"/>
    <w:link w:val="267"/>
    <w:qFormat/>
    <w:uiPriority w:val="0"/>
    <w:pPr>
      <w:spacing w:after="120"/>
      <w:ind w:left="420" w:leftChars="200"/>
    </w:pPr>
    <w:rPr>
      <w:rFonts w:ascii="Calibri" w:hAnsi="Calibri"/>
    </w:rPr>
  </w:style>
  <w:style w:type="paragraph" w:styleId="22">
    <w:name w:val="Body Text First Indent 2"/>
    <w:basedOn w:val="21"/>
    <w:next w:val="15"/>
    <w:unhideWhenUsed/>
    <w:qFormat/>
    <w:uiPriority w:val="99"/>
    <w:pPr>
      <w:ind w:firstLine="420" w:firstLineChars="200"/>
    </w:pPr>
  </w:style>
  <w:style w:type="paragraph" w:styleId="23">
    <w:name w:val="Block Text"/>
    <w:basedOn w:val="1"/>
    <w:qFormat/>
    <w:uiPriority w:val="0"/>
    <w:pPr>
      <w:ind w:left="1171" w:right="91" w:hanging="1080"/>
    </w:pPr>
    <w:rPr>
      <w:rFonts w:eastAsia="楷体_GB2312"/>
      <w:szCs w:val="20"/>
    </w:r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0"/>
    <w:pPr>
      <w:ind w:left="420"/>
      <w:jc w:val="left"/>
    </w:pPr>
    <w:rPr>
      <w:i/>
      <w:iCs/>
      <w:sz w:val="20"/>
      <w:szCs w:val="20"/>
    </w:rPr>
  </w:style>
  <w:style w:type="paragraph" w:styleId="26">
    <w:name w:val="Plain Text"/>
    <w:basedOn w:val="1"/>
    <w:link w:val="298"/>
    <w:qFormat/>
    <w:uiPriority w:val="0"/>
    <w:rPr>
      <w:rFonts w:ascii="Calibri" w:hAnsi="Calibri"/>
      <w:sz w:val="24"/>
      <w:szCs w:val="20"/>
    </w:rPr>
  </w:style>
  <w:style w:type="paragraph" w:styleId="27">
    <w:name w:val="toc 8"/>
    <w:basedOn w:val="1"/>
    <w:next w:val="1"/>
    <w:qFormat/>
    <w:uiPriority w:val="0"/>
    <w:pPr>
      <w:ind w:left="1470"/>
      <w:jc w:val="left"/>
    </w:pPr>
    <w:rPr>
      <w:sz w:val="18"/>
      <w:szCs w:val="18"/>
    </w:rPr>
  </w:style>
  <w:style w:type="paragraph" w:styleId="28">
    <w:name w:val="Date"/>
    <w:basedOn w:val="1"/>
    <w:next w:val="1"/>
    <w:qFormat/>
    <w:uiPriority w:val="0"/>
    <w:rPr>
      <w:sz w:val="24"/>
      <w:szCs w:val="20"/>
    </w:rPr>
  </w:style>
  <w:style w:type="paragraph" w:styleId="29">
    <w:name w:val="Body Text Indent 2"/>
    <w:basedOn w:val="1"/>
    <w:qFormat/>
    <w:uiPriority w:val="0"/>
    <w:pPr>
      <w:spacing w:after="120" w:line="480" w:lineRule="auto"/>
      <w:ind w:left="420" w:leftChars="200"/>
    </w:pPr>
  </w:style>
  <w:style w:type="paragraph" w:styleId="30">
    <w:name w:val="Balloon Text"/>
    <w:basedOn w:val="1"/>
    <w:link w:val="250"/>
    <w:qFormat/>
    <w:uiPriority w:val="0"/>
    <w:rPr>
      <w:rFonts w:ascii="Calibri" w:hAnsi="Calibri"/>
      <w:sz w:val="18"/>
      <w:szCs w:val="18"/>
    </w:rPr>
  </w:style>
  <w:style w:type="paragraph" w:styleId="31">
    <w:name w:val="footer"/>
    <w:basedOn w:val="1"/>
    <w:link w:val="263"/>
    <w:qFormat/>
    <w:uiPriority w:val="0"/>
    <w:pPr>
      <w:tabs>
        <w:tab w:val="center" w:pos="4153"/>
        <w:tab w:val="right" w:pos="8306"/>
      </w:tabs>
      <w:snapToGrid w:val="0"/>
      <w:jc w:val="left"/>
    </w:pPr>
    <w:rPr>
      <w:rFonts w:ascii="Calibri" w:hAnsi="Calibri"/>
      <w:sz w:val="18"/>
      <w:szCs w:val="18"/>
    </w:rPr>
  </w:style>
  <w:style w:type="paragraph" w:styleId="32">
    <w:name w:val="header"/>
    <w:basedOn w:val="1"/>
    <w:link w:val="25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3">
    <w:name w:val="toc 1"/>
    <w:basedOn w:val="1"/>
    <w:next w:val="1"/>
    <w:semiHidden/>
    <w:qFormat/>
    <w:uiPriority w:val="0"/>
    <w:pPr>
      <w:spacing w:before="120" w:after="120"/>
      <w:jc w:val="left"/>
    </w:pPr>
    <w:rPr>
      <w:b/>
      <w:bCs/>
      <w:caps/>
      <w:sz w:val="20"/>
      <w:szCs w:val="20"/>
    </w:rPr>
  </w:style>
  <w:style w:type="paragraph" w:styleId="34">
    <w:name w:val="List"/>
    <w:basedOn w:val="1"/>
    <w:qFormat/>
    <w:uiPriority w:val="0"/>
    <w:pPr>
      <w:ind w:left="200" w:hanging="200" w:hangingChars="200"/>
    </w:pPr>
    <w:rPr>
      <w:sz w:val="28"/>
    </w:rPr>
  </w:style>
  <w:style w:type="paragraph" w:styleId="35">
    <w:name w:val="footnote text"/>
    <w:basedOn w:val="1"/>
    <w:qFormat/>
    <w:uiPriority w:val="99"/>
  </w:style>
  <w:style w:type="paragraph" w:styleId="36">
    <w:name w:val="toc 6"/>
    <w:basedOn w:val="1"/>
    <w:next w:val="1"/>
    <w:qFormat/>
    <w:uiPriority w:val="0"/>
    <w:pPr>
      <w:ind w:left="1050"/>
      <w:jc w:val="left"/>
    </w:pPr>
    <w:rPr>
      <w:sz w:val="18"/>
      <w:szCs w:val="18"/>
    </w:rPr>
  </w:style>
  <w:style w:type="paragraph" w:styleId="37">
    <w:name w:val="Body Text Indent 3"/>
    <w:basedOn w:val="1"/>
    <w:link w:val="300"/>
    <w:qFormat/>
    <w:uiPriority w:val="0"/>
    <w:pPr>
      <w:spacing w:after="120"/>
      <w:ind w:left="420" w:leftChars="200"/>
    </w:pPr>
    <w:rPr>
      <w:rFonts w:ascii="Calibri" w:hAnsi="Calibri"/>
      <w:sz w:val="16"/>
      <w:szCs w:val="16"/>
    </w:rPr>
  </w:style>
  <w:style w:type="paragraph" w:styleId="38">
    <w:name w:val="toc 2"/>
    <w:basedOn w:val="1"/>
    <w:next w:val="1"/>
    <w:qFormat/>
    <w:uiPriority w:val="0"/>
    <w:pPr>
      <w:ind w:left="210"/>
      <w:jc w:val="left"/>
    </w:pPr>
    <w:rPr>
      <w:smallCaps/>
      <w:sz w:val="20"/>
      <w:szCs w:val="20"/>
    </w:rPr>
  </w:style>
  <w:style w:type="paragraph" w:styleId="39">
    <w:name w:val="toc 9"/>
    <w:basedOn w:val="1"/>
    <w:next w:val="1"/>
    <w:qFormat/>
    <w:uiPriority w:val="0"/>
    <w:pPr>
      <w:ind w:left="1680"/>
      <w:jc w:val="left"/>
    </w:pPr>
    <w:rPr>
      <w:sz w:val="18"/>
      <w:szCs w:val="18"/>
    </w:rPr>
  </w:style>
  <w:style w:type="paragraph" w:styleId="40">
    <w:name w:val="Body Text 2"/>
    <w:basedOn w:val="1"/>
    <w:qFormat/>
    <w:uiPriority w:val="0"/>
    <w:pPr>
      <w:spacing w:after="120" w:line="480" w:lineRule="auto"/>
    </w:pPr>
  </w:style>
  <w:style w:type="paragraph" w:styleId="41">
    <w:name w:val="HTML Preformatted"/>
    <w:basedOn w:val="1"/>
    <w:link w:val="27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0"/>
    </w:rPr>
  </w:style>
  <w:style w:type="paragraph" w:styleId="44">
    <w:name w:val="Title"/>
    <w:basedOn w:val="1"/>
    <w:next w:val="1"/>
    <w:link w:val="255"/>
    <w:qFormat/>
    <w:uiPriority w:val="0"/>
    <w:pPr>
      <w:spacing w:before="240" w:after="60"/>
      <w:jc w:val="center"/>
      <w:outlineLvl w:val="0"/>
    </w:pPr>
    <w:rPr>
      <w:rFonts w:ascii="Cambria" w:hAnsi="Cambria"/>
      <w:b/>
      <w:sz w:val="32"/>
    </w:rPr>
  </w:style>
  <w:style w:type="paragraph" w:styleId="45">
    <w:name w:val="annotation subject"/>
    <w:basedOn w:val="18"/>
    <w:next w:val="18"/>
    <w:link w:val="315"/>
    <w:qFormat/>
    <w:uiPriority w:val="0"/>
    <w:rPr>
      <w:b/>
      <w:bCs/>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9">
    <w:name w:val="Strong"/>
    <w:basedOn w:val="48"/>
    <w:qFormat/>
    <w:uiPriority w:val="0"/>
    <w:rPr>
      <w:rFonts w:ascii="Times New Roman" w:hAnsi="Times New Roman" w:eastAsia="宋体" w:cs="Times New Roman"/>
      <w:b/>
      <w:bCs/>
    </w:rPr>
  </w:style>
  <w:style w:type="character" w:styleId="50">
    <w:name w:val="page number"/>
    <w:basedOn w:val="48"/>
    <w:qFormat/>
    <w:uiPriority w:val="0"/>
    <w:rPr>
      <w:rFonts w:ascii="宋体" w:hAnsi="宋体" w:eastAsia="宋体" w:cs="宋体"/>
      <w:sz w:val="24"/>
    </w:rPr>
  </w:style>
  <w:style w:type="character" w:styleId="51">
    <w:name w:val="FollowedHyperlink"/>
    <w:qFormat/>
    <w:uiPriority w:val="0"/>
    <w:rPr>
      <w:rFonts w:ascii="Times New Roman" w:hAnsi="Times New Roman" w:eastAsia="宋体" w:cs="Times New Roman"/>
      <w:color w:val="800080"/>
      <w:u w:val="single"/>
    </w:rPr>
  </w:style>
  <w:style w:type="character" w:styleId="52">
    <w:name w:val="Emphasis"/>
    <w:qFormat/>
    <w:uiPriority w:val="0"/>
    <w:rPr>
      <w:rFonts w:ascii="Times New Roman" w:hAnsi="Times New Roman" w:eastAsia="宋体" w:cs="Times New Roman"/>
    </w:rPr>
  </w:style>
  <w:style w:type="character" w:styleId="53">
    <w:name w:val="HTML Definition"/>
    <w:qFormat/>
    <w:uiPriority w:val="0"/>
    <w:rPr>
      <w:rFonts w:ascii="Times New Roman" w:hAnsi="Times New Roman" w:eastAsia="宋体" w:cs="Times New Roman"/>
    </w:rPr>
  </w:style>
  <w:style w:type="character" w:styleId="54">
    <w:name w:val="HTML Variable"/>
    <w:qFormat/>
    <w:uiPriority w:val="0"/>
    <w:rPr>
      <w:rFonts w:ascii="Times New Roman" w:hAnsi="Times New Roman" w:eastAsia="宋体" w:cs="Times New Roman"/>
    </w:rPr>
  </w:style>
  <w:style w:type="character" w:styleId="55">
    <w:name w:val="Hyperlink"/>
    <w:basedOn w:val="48"/>
    <w:qFormat/>
    <w:uiPriority w:val="99"/>
    <w:rPr>
      <w:rFonts w:ascii="Times New Roman" w:hAnsi="Times New Roman" w:eastAsia="宋体" w:cs="Times New Roman"/>
      <w:color w:val="136EC2"/>
      <w:u w:val="single"/>
    </w:rPr>
  </w:style>
  <w:style w:type="character" w:styleId="56">
    <w:name w:val="HTML Code"/>
    <w:qFormat/>
    <w:uiPriority w:val="0"/>
    <w:rPr>
      <w:rFonts w:ascii="Courier New" w:hAnsi="Courier New" w:eastAsia="Courier New" w:cs="Courier New"/>
      <w:sz w:val="20"/>
    </w:rPr>
  </w:style>
  <w:style w:type="character" w:styleId="57">
    <w:name w:val="annotation reference"/>
    <w:qFormat/>
    <w:uiPriority w:val="0"/>
    <w:rPr>
      <w:rFonts w:ascii="Times New Roman" w:hAnsi="Times New Roman" w:eastAsia="宋体" w:cs="Times New Roman"/>
      <w:sz w:val="21"/>
      <w:szCs w:val="21"/>
    </w:rPr>
  </w:style>
  <w:style w:type="character" w:styleId="58">
    <w:name w:val="HTML Cite"/>
    <w:qFormat/>
    <w:uiPriority w:val="0"/>
    <w:rPr>
      <w:rFonts w:ascii="Times New Roman" w:hAnsi="Times New Roman" w:eastAsia="宋体" w:cs="Times New Roman"/>
    </w:rPr>
  </w:style>
  <w:style w:type="character" w:styleId="59">
    <w:name w:val="HTML Keyboard"/>
    <w:qFormat/>
    <w:uiPriority w:val="0"/>
    <w:rPr>
      <w:rFonts w:ascii="Courier New" w:hAnsi="Courier New" w:eastAsia="Courier New" w:cs="Courier New"/>
      <w:sz w:val="20"/>
    </w:rPr>
  </w:style>
  <w:style w:type="character" w:styleId="60">
    <w:name w:val="HTML Sample"/>
    <w:qFormat/>
    <w:uiPriority w:val="0"/>
    <w:rPr>
      <w:rFonts w:ascii="Courier New" w:hAnsi="Courier New" w:eastAsia="Courier New" w:cs="Courier New"/>
    </w:rPr>
  </w:style>
  <w:style w:type="paragraph" w:customStyle="1" w:styleId="61">
    <w:name w:val="前言、引言标题"/>
    <w:next w:val="1"/>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62">
    <w:name w:val="样式 标题 2 + Times New Roman 四号 非加粗 段前: 5 磅 段后: 0 磅 行距: 固定值 20..."/>
    <w:basedOn w:val="5"/>
    <w:qFormat/>
    <w:uiPriority w:val="0"/>
    <w:pPr>
      <w:spacing w:before="100" w:line="400" w:lineRule="exact"/>
    </w:pPr>
    <w:rPr>
      <w:rFonts w:ascii="Times New Roman" w:hAnsi="Times New Roman" w:eastAsia="黑体"/>
      <w:b w:val="0"/>
      <w:bCs w:val="0"/>
      <w:sz w:val="28"/>
      <w:szCs w:val="20"/>
    </w:rPr>
  </w:style>
  <w:style w:type="paragraph" w:customStyle="1" w:styleId="63">
    <w:name w:val="Style8"/>
    <w:basedOn w:val="1"/>
    <w:unhideWhenUsed/>
    <w:qFormat/>
    <w:uiPriority w:val="0"/>
    <w:pPr>
      <w:spacing w:line="566" w:lineRule="exact"/>
      <w:jc w:val="center"/>
    </w:pPr>
  </w:style>
  <w:style w:type="paragraph" w:customStyle="1" w:styleId="64">
    <w:name w:val="xl9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color w:val="FF0000"/>
      <w:kern w:val="0"/>
      <w:sz w:val="14"/>
      <w:szCs w:val="14"/>
    </w:rPr>
  </w:style>
  <w:style w:type="paragraph" w:customStyle="1" w:styleId="65">
    <w:name w:val="Style74"/>
    <w:basedOn w:val="1"/>
    <w:unhideWhenUsed/>
    <w:qFormat/>
    <w:uiPriority w:val="0"/>
    <w:pPr>
      <w:spacing w:line="437" w:lineRule="exact"/>
    </w:pPr>
  </w:style>
  <w:style w:type="paragraph" w:customStyle="1" w:styleId="66">
    <w:name w:val="Style52"/>
    <w:basedOn w:val="1"/>
    <w:unhideWhenUsed/>
    <w:qFormat/>
    <w:uiPriority w:val="0"/>
    <w:pPr>
      <w:spacing w:line="682" w:lineRule="exact"/>
      <w:ind w:firstLine="557"/>
    </w:pPr>
  </w:style>
  <w:style w:type="paragraph" w:customStyle="1" w:styleId="67">
    <w:name w:val="_Style 39"/>
    <w:basedOn w:val="68"/>
    <w:qFormat/>
    <w:uiPriority w:val="0"/>
  </w:style>
  <w:style w:type="paragraph" w:customStyle="1" w:styleId="6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标题2"/>
    <w:basedOn w:val="44"/>
    <w:qFormat/>
    <w:uiPriority w:val="0"/>
    <w:pPr>
      <w:spacing w:after="240"/>
      <w:jc w:val="left"/>
    </w:pPr>
    <w:rPr>
      <w:sz w:val="30"/>
    </w:rPr>
  </w:style>
  <w:style w:type="paragraph" w:customStyle="1" w:styleId="70">
    <w:name w:val="Style44"/>
    <w:basedOn w:val="1"/>
    <w:unhideWhenUsed/>
    <w:qFormat/>
    <w:uiPriority w:val="0"/>
  </w:style>
  <w:style w:type="paragraph" w:customStyle="1" w:styleId="71">
    <w:name w:val="Style56"/>
    <w:basedOn w:val="1"/>
    <w:unhideWhenUsed/>
    <w:qFormat/>
    <w:uiPriority w:val="0"/>
  </w:style>
  <w:style w:type="paragraph" w:customStyle="1" w:styleId="72">
    <w:name w:val="Char1 Char Char Char"/>
    <w:basedOn w:val="1"/>
    <w:qFormat/>
    <w:uiPriority w:val="0"/>
    <w:pPr>
      <w:widowControl/>
      <w:spacing w:after="160" w:line="240" w:lineRule="exact"/>
      <w:jc w:val="left"/>
    </w:pPr>
    <w:rPr>
      <w:kern w:val="0"/>
      <w:sz w:val="24"/>
      <w:szCs w:val="20"/>
    </w:rPr>
  </w:style>
  <w:style w:type="paragraph" w:customStyle="1" w:styleId="73">
    <w:name w:val="默认段落字体 Para Char Char Char Char Char Char Char"/>
    <w:basedOn w:val="1"/>
    <w:qFormat/>
    <w:uiPriority w:val="0"/>
    <w:pPr>
      <w:adjustRightInd w:val="0"/>
      <w:spacing w:line="360" w:lineRule="atLeast"/>
      <w:jc w:val="left"/>
      <w:textAlignment w:val="baseline"/>
    </w:pPr>
    <w:rPr>
      <w:kern w:val="0"/>
      <w:sz w:val="24"/>
      <w:szCs w:val="20"/>
    </w:rPr>
  </w:style>
  <w:style w:type="paragraph" w:customStyle="1" w:styleId="74">
    <w:name w:val="表名称"/>
    <w:basedOn w:val="15"/>
    <w:qFormat/>
    <w:uiPriority w:val="0"/>
    <w:pPr>
      <w:numPr>
        <w:ilvl w:val="0"/>
        <w:numId w:val="1"/>
      </w:numPr>
      <w:ind w:firstLine="0"/>
      <w:jc w:val="center"/>
    </w:pPr>
  </w:style>
  <w:style w:type="paragraph" w:customStyle="1" w:styleId="75">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76">
    <w:name w:val="Char1 Char Char Char 字元 Char Char 字元 Char 字元 Char1 Char Char Char"/>
    <w:basedOn w:val="1"/>
    <w:qFormat/>
    <w:uiPriority w:val="0"/>
    <w:rPr>
      <w:szCs w:val="20"/>
    </w:rPr>
  </w:style>
  <w:style w:type="paragraph" w:customStyle="1" w:styleId="77">
    <w:name w:val="Style13"/>
    <w:basedOn w:val="1"/>
    <w:unhideWhenUsed/>
    <w:qFormat/>
    <w:uiPriority w:val="0"/>
  </w:style>
  <w:style w:type="paragraph" w:customStyle="1" w:styleId="7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4"/>
      <w:szCs w:val="14"/>
    </w:rPr>
  </w:style>
  <w:style w:type="paragraph" w:customStyle="1" w:styleId="79">
    <w:name w:val="Style69"/>
    <w:basedOn w:val="1"/>
    <w:unhideWhenUsed/>
    <w:qFormat/>
    <w:uiPriority w:val="0"/>
    <w:pPr>
      <w:spacing w:line="557" w:lineRule="exact"/>
      <w:ind w:firstLine="1666"/>
    </w:pPr>
  </w:style>
  <w:style w:type="paragraph" w:customStyle="1" w:styleId="80">
    <w:name w:val="Style10"/>
    <w:basedOn w:val="1"/>
    <w:unhideWhenUsed/>
    <w:qFormat/>
    <w:uiPriority w:val="0"/>
    <w:pPr>
      <w:spacing w:line="538" w:lineRule="exact"/>
    </w:pPr>
  </w:style>
  <w:style w:type="paragraph" w:customStyle="1" w:styleId="81">
    <w:name w:val="Char Char Char1 Char"/>
    <w:basedOn w:val="1"/>
    <w:qFormat/>
    <w:uiPriority w:val="0"/>
    <w:pPr>
      <w:tabs>
        <w:tab w:val="left" w:pos="360"/>
      </w:tabs>
      <w:snapToGrid w:val="0"/>
      <w:spacing w:line="360" w:lineRule="auto"/>
    </w:pPr>
    <w:rPr>
      <w:rFonts w:eastAsia="仿宋_GB2312" w:cs="宋体"/>
      <w:sz w:val="24"/>
    </w:rPr>
  </w:style>
  <w:style w:type="paragraph" w:customStyle="1" w:styleId="82">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4"/>
      <w:szCs w:val="14"/>
    </w:rPr>
  </w:style>
  <w:style w:type="paragraph" w:customStyle="1" w:styleId="83">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84">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5">
    <w:name w:val="1 Char Char Char Char"/>
    <w:basedOn w:val="1"/>
    <w:qFormat/>
    <w:uiPriority w:val="0"/>
  </w:style>
  <w:style w:type="paragraph" w:customStyle="1" w:styleId="86">
    <w:name w:val="默认段落字体 Para Char Char Char Char Char Char Char Char Char Char Char Char Char Char Char Char Char Char Char"/>
    <w:basedOn w:val="1"/>
    <w:qFormat/>
    <w:uiPriority w:val="0"/>
  </w:style>
  <w:style w:type="paragraph" w:customStyle="1" w:styleId="87">
    <w:name w:val="Style64"/>
    <w:basedOn w:val="1"/>
    <w:unhideWhenUsed/>
    <w:qFormat/>
    <w:uiPriority w:val="0"/>
  </w:style>
  <w:style w:type="paragraph" w:customStyle="1" w:styleId="88">
    <w:name w:val="附录标识"/>
    <w:basedOn w:val="61"/>
    <w:qFormat/>
    <w:uiPriority w:val="0"/>
    <w:pPr>
      <w:tabs>
        <w:tab w:val="left" w:pos="6405"/>
      </w:tabs>
      <w:spacing w:after="200"/>
    </w:pPr>
    <w:rPr>
      <w:sz w:val="21"/>
    </w:rPr>
  </w:style>
  <w:style w:type="paragraph" w:customStyle="1" w:styleId="89">
    <w:name w:val="Style60"/>
    <w:basedOn w:val="1"/>
    <w:unhideWhenUsed/>
    <w:qFormat/>
    <w:uiPriority w:val="0"/>
    <w:pPr>
      <w:spacing w:line="566" w:lineRule="exact"/>
    </w:pPr>
  </w:style>
  <w:style w:type="paragraph" w:customStyle="1" w:styleId="90">
    <w:name w:val="Style67"/>
    <w:basedOn w:val="1"/>
    <w:unhideWhenUsed/>
    <w:qFormat/>
    <w:uiPriority w:val="0"/>
    <w:pPr>
      <w:spacing w:line="566" w:lineRule="exact"/>
      <w:ind w:firstLine="552"/>
    </w:pPr>
  </w:style>
  <w:style w:type="paragraph" w:customStyle="1" w:styleId="91">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2">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93">
    <w:name w:val="xl7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kern w:val="0"/>
      <w:sz w:val="18"/>
      <w:szCs w:val="18"/>
    </w:rPr>
  </w:style>
  <w:style w:type="paragraph" w:customStyle="1" w:styleId="94">
    <w:name w:val="正文_7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Char Char1 Char Char Char"/>
    <w:basedOn w:val="1"/>
    <w:qFormat/>
    <w:uiPriority w:val="0"/>
    <w:rPr>
      <w:kern w:val="0"/>
      <w:sz w:val="20"/>
      <w:szCs w:val="20"/>
    </w:rPr>
  </w:style>
  <w:style w:type="paragraph" w:customStyle="1" w:styleId="96">
    <w:name w:val="4号正文"/>
    <w:basedOn w:val="1"/>
    <w:qFormat/>
    <w:uiPriority w:val="0"/>
    <w:pPr>
      <w:spacing w:after="120"/>
      <w:ind w:firstLine="555" w:firstLineChars="196"/>
    </w:pPr>
    <w:rPr>
      <w:rFonts w:ascii="仿宋_GB2312" w:hAnsi="华文细黑" w:eastAsia="仿宋_GB2312"/>
      <w:spacing w:val="10"/>
      <w:sz w:val="28"/>
      <w:szCs w:val="20"/>
    </w:rPr>
  </w:style>
  <w:style w:type="paragraph" w:customStyle="1" w:styleId="97">
    <w:name w:val="索引 11"/>
    <w:basedOn w:val="1"/>
    <w:next w:val="1"/>
    <w:qFormat/>
    <w:uiPriority w:val="0"/>
    <w:pPr>
      <w:spacing w:line="360" w:lineRule="auto"/>
    </w:pPr>
    <w:rPr>
      <w:rFonts w:ascii="仿宋_GB2312" w:eastAsia="仿宋_GB2312"/>
      <w:sz w:val="24"/>
      <w:szCs w:val="20"/>
    </w:rPr>
  </w:style>
  <w:style w:type="paragraph" w:customStyle="1" w:styleId="98">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4"/>
      <w:szCs w:val="14"/>
    </w:rPr>
  </w:style>
  <w:style w:type="paragraph" w:customStyle="1" w:styleId="99">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b/>
      <w:bCs/>
      <w:kern w:val="0"/>
      <w:sz w:val="18"/>
      <w:szCs w:val="18"/>
    </w:rPr>
  </w:style>
  <w:style w:type="paragraph" w:customStyle="1" w:styleId="100">
    <w:name w:val="表格内容"/>
    <w:basedOn w:val="3"/>
    <w:qFormat/>
    <w:uiPriority w:val="0"/>
    <w:pPr>
      <w:suppressLineNumbers/>
      <w:suppressAutoHyphens/>
      <w:jc w:val="left"/>
    </w:pPr>
    <w:rPr>
      <w:rFonts w:cs="Tahoma"/>
      <w:kern w:val="0"/>
      <w:sz w:val="24"/>
    </w:rPr>
  </w:style>
  <w:style w:type="paragraph" w:customStyle="1" w:styleId="101">
    <w:name w:val="Style54"/>
    <w:basedOn w:val="1"/>
    <w:unhideWhenUsed/>
    <w:qFormat/>
    <w:uiPriority w:val="0"/>
  </w:style>
  <w:style w:type="paragraph" w:customStyle="1" w:styleId="102">
    <w:name w:val="Blockquote"/>
    <w:basedOn w:val="1"/>
    <w:qFormat/>
    <w:uiPriority w:val="0"/>
    <w:pPr>
      <w:autoSpaceDE w:val="0"/>
      <w:autoSpaceDN w:val="0"/>
      <w:adjustRightInd w:val="0"/>
      <w:spacing w:before="100" w:after="100"/>
      <w:ind w:left="360" w:right="360"/>
      <w:jc w:val="left"/>
    </w:pPr>
    <w:rPr>
      <w:kern w:val="0"/>
      <w:sz w:val="24"/>
      <w:szCs w:val="20"/>
    </w:rPr>
  </w:style>
  <w:style w:type="paragraph" w:styleId="103">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
    <w:name w:val="Style11"/>
    <w:basedOn w:val="1"/>
    <w:unhideWhenUsed/>
    <w:qFormat/>
    <w:uiPriority w:val="0"/>
    <w:pPr>
      <w:spacing w:line="559" w:lineRule="exact"/>
      <w:ind w:firstLine="590"/>
    </w:pPr>
  </w:style>
  <w:style w:type="paragraph" w:customStyle="1" w:styleId="10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06">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07">
    <w:name w:val="Style48"/>
    <w:basedOn w:val="1"/>
    <w:unhideWhenUsed/>
    <w:qFormat/>
    <w:uiPriority w:val="0"/>
    <w:pPr>
      <w:spacing w:line="542" w:lineRule="exact"/>
      <w:jc w:val="right"/>
    </w:pPr>
  </w:style>
  <w:style w:type="paragraph" w:customStyle="1" w:styleId="108">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09">
    <w:name w:val="Char Char1 Char Char Char Char Char1 Char Char Char Char"/>
    <w:basedOn w:val="17"/>
    <w:qFormat/>
    <w:uiPriority w:val="0"/>
    <w:rPr>
      <w:rFonts w:ascii="Tahoma" w:hAnsi="Tahoma"/>
    </w:rPr>
  </w:style>
  <w:style w:type="paragraph" w:customStyle="1" w:styleId="110">
    <w:name w:val="Style80"/>
    <w:basedOn w:val="1"/>
    <w:unhideWhenUsed/>
    <w:qFormat/>
    <w:uiPriority w:val="0"/>
  </w:style>
  <w:style w:type="paragraph" w:customStyle="1" w:styleId="111">
    <w:name w:val="Style71"/>
    <w:basedOn w:val="1"/>
    <w:unhideWhenUsed/>
    <w:qFormat/>
    <w:uiPriority w:val="0"/>
    <w:pPr>
      <w:spacing w:line="538" w:lineRule="exact"/>
      <w:ind w:firstLine="101"/>
    </w:pPr>
  </w:style>
  <w:style w:type="paragraph" w:customStyle="1" w:styleId="112">
    <w:name w:val="默认段落字体 Para Char Char Char Char Char Char Char Char Char1 Char Char Char Char"/>
    <w:basedOn w:val="1"/>
    <w:qFormat/>
    <w:uiPriority w:val="0"/>
    <w:rPr>
      <w:rFonts w:ascii="Tahoma" w:hAnsi="Tahoma"/>
      <w:sz w:val="24"/>
      <w:szCs w:val="20"/>
    </w:rPr>
  </w:style>
  <w:style w:type="paragraph" w:customStyle="1" w:styleId="113">
    <w:name w:val="Style34"/>
    <w:basedOn w:val="1"/>
    <w:unhideWhenUsed/>
    <w:qFormat/>
    <w:uiPriority w:val="0"/>
    <w:pPr>
      <w:spacing w:line="375" w:lineRule="exact"/>
    </w:pPr>
  </w:style>
  <w:style w:type="paragraph" w:customStyle="1" w:styleId="114">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Style5"/>
    <w:basedOn w:val="1"/>
    <w:unhideWhenUsed/>
    <w:qFormat/>
    <w:uiPriority w:val="0"/>
  </w:style>
  <w:style w:type="paragraph" w:customStyle="1" w:styleId="11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7">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18">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color w:val="FF0000"/>
      <w:kern w:val="0"/>
      <w:sz w:val="18"/>
      <w:szCs w:val="18"/>
    </w:rPr>
  </w:style>
  <w:style w:type="paragraph" w:customStyle="1" w:styleId="119">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0">
    <w:name w:val="xl7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21">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2">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b/>
      <w:bCs/>
      <w:kern w:val="0"/>
      <w:sz w:val="18"/>
      <w:szCs w:val="18"/>
    </w:rPr>
  </w:style>
  <w:style w:type="paragraph" w:customStyle="1" w:styleId="123">
    <w:name w:val="Style4"/>
    <w:basedOn w:val="1"/>
    <w:unhideWhenUsed/>
    <w:qFormat/>
    <w:uiPriority w:val="0"/>
  </w:style>
  <w:style w:type="paragraph" w:customStyle="1" w:styleId="12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25">
    <w:name w:val="NO3"/>
    <w:basedOn w:val="1"/>
    <w:qFormat/>
    <w:uiPriority w:val="0"/>
    <w:pPr>
      <w:tabs>
        <w:tab w:val="left" w:pos="907"/>
      </w:tabs>
      <w:spacing w:line="360" w:lineRule="auto"/>
    </w:pPr>
    <w:rPr>
      <w:rFonts w:ascii="宋体" w:hAnsi="宋体"/>
      <w:sz w:val="24"/>
    </w:rPr>
  </w:style>
  <w:style w:type="paragraph" w:customStyle="1" w:styleId="126">
    <w:name w:val="列出段落1"/>
    <w:basedOn w:val="1"/>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127">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8"/>
      <w:szCs w:val="18"/>
    </w:rPr>
  </w:style>
  <w:style w:type="paragraph" w:customStyle="1" w:styleId="128">
    <w:name w:val="Style41"/>
    <w:basedOn w:val="1"/>
    <w:unhideWhenUsed/>
    <w:qFormat/>
    <w:uiPriority w:val="0"/>
    <w:pPr>
      <w:spacing w:line="542" w:lineRule="exact"/>
      <w:ind w:firstLine="125"/>
    </w:pPr>
  </w:style>
  <w:style w:type="paragraph" w:customStyle="1" w:styleId="129">
    <w:name w:val="1"/>
    <w:basedOn w:val="1"/>
    <w:qFormat/>
    <w:uiPriority w:val="0"/>
    <w:pPr>
      <w:spacing w:after="156" w:afterLines="50" w:line="360" w:lineRule="auto"/>
    </w:pPr>
    <w:rPr>
      <w:rFonts w:ascii="宋体" w:hAnsi="宋体"/>
      <w:b/>
      <w:sz w:val="30"/>
      <w:szCs w:val="21"/>
    </w:rPr>
  </w:style>
  <w:style w:type="paragraph" w:customStyle="1" w:styleId="130">
    <w:name w:val="Style53"/>
    <w:basedOn w:val="1"/>
    <w:unhideWhenUsed/>
    <w:qFormat/>
    <w:uiPriority w:val="0"/>
    <w:pPr>
      <w:spacing w:line="533" w:lineRule="exact"/>
      <w:ind w:firstLine="581"/>
    </w:pPr>
  </w:style>
  <w:style w:type="paragraph" w:customStyle="1" w:styleId="131">
    <w:name w:val="表正文"/>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132">
    <w:name w:val="Char1 Char Char Char Char Char Char Char Char Char"/>
    <w:basedOn w:val="1"/>
    <w:qFormat/>
    <w:uiPriority w:val="0"/>
    <w:rPr>
      <w:szCs w:val="20"/>
    </w:rPr>
  </w:style>
  <w:style w:type="paragraph" w:customStyle="1" w:styleId="133">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color w:val="FF0000"/>
      <w:kern w:val="0"/>
      <w:sz w:val="14"/>
      <w:szCs w:val="14"/>
    </w:rPr>
  </w:style>
  <w:style w:type="paragraph" w:customStyle="1" w:styleId="134">
    <w:name w:val="Style46"/>
    <w:basedOn w:val="1"/>
    <w:unhideWhenUsed/>
    <w:qFormat/>
    <w:uiPriority w:val="0"/>
    <w:pPr>
      <w:spacing w:line="672" w:lineRule="exact"/>
    </w:pPr>
  </w:style>
  <w:style w:type="paragraph" w:customStyle="1" w:styleId="135">
    <w:name w:val="我的正文"/>
    <w:basedOn w:val="1"/>
    <w:link w:val="242"/>
    <w:qFormat/>
    <w:uiPriority w:val="0"/>
    <w:pPr>
      <w:spacing w:line="480" w:lineRule="exact"/>
      <w:ind w:firstLine="200" w:firstLineChars="200"/>
    </w:pPr>
    <w:rPr>
      <w:rFonts w:ascii="Arial" w:hAnsi="Arial" w:eastAsia="微软雅黑"/>
      <w:kern w:val="0"/>
      <w:sz w:val="24"/>
    </w:rPr>
  </w:style>
  <w:style w:type="paragraph" w:customStyle="1" w:styleId="136">
    <w:name w:val="纯文本1"/>
    <w:basedOn w:val="1"/>
    <w:link w:val="322"/>
    <w:qFormat/>
    <w:uiPriority w:val="0"/>
    <w:rPr>
      <w:rFonts w:ascii="宋体" w:hAnsi="Courier New" w:eastAsia="微软雅黑"/>
      <w:kern w:val="0"/>
      <w:sz w:val="20"/>
      <w:szCs w:val="20"/>
    </w:rPr>
  </w:style>
  <w:style w:type="paragraph" w:customStyle="1" w:styleId="137">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Char Char Char1 Char Char Char Char Char Char Char"/>
    <w:basedOn w:val="1"/>
    <w:qFormat/>
    <w:uiPriority w:val="0"/>
    <w:pPr>
      <w:spacing w:line="360" w:lineRule="auto"/>
    </w:pPr>
    <w:rPr>
      <w:rFonts w:ascii="宋体" w:hAnsi="宋体" w:cs="宋体"/>
      <w:sz w:val="24"/>
    </w:rPr>
  </w:style>
  <w:style w:type="paragraph" w:customStyle="1" w:styleId="139">
    <w:name w:val="p18_1_2"/>
    <w:basedOn w:val="1"/>
    <w:qFormat/>
    <w:uiPriority w:val="0"/>
    <w:pPr>
      <w:widowControl/>
    </w:pPr>
    <w:rPr>
      <w:kern w:val="0"/>
      <w:szCs w:val="21"/>
    </w:rPr>
  </w:style>
  <w:style w:type="paragraph" w:customStyle="1" w:styleId="14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41">
    <w:name w:val="Style81"/>
    <w:basedOn w:val="1"/>
    <w:unhideWhenUsed/>
    <w:qFormat/>
    <w:uiPriority w:val="0"/>
    <w:pPr>
      <w:spacing w:line="547" w:lineRule="exact"/>
    </w:p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4"/>
      <w:szCs w:val="14"/>
    </w:rPr>
  </w:style>
  <w:style w:type="paragraph" w:customStyle="1" w:styleId="14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4">
    <w:name w:val="p16"/>
    <w:basedOn w:val="1"/>
    <w:qFormat/>
    <w:uiPriority w:val="0"/>
    <w:pPr>
      <w:widowControl/>
      <w:jc w:val="left"/>
    </w:pPr>
    <w:rPr>
      <w:kern w:val="0"/>
      <w:szCs w:val="21"/>
    </w:rPr>
  </w:style>
  <w:style w:type="paragraph" w:customStyle="1" w:styleId="145">
    <w:name w:val="标题 1 +"/>
    <w:basedOn w:val="4"/>
    <w:next w:val="1"/>
    <w:qFormat/>
    <w:uiPriority w:val="0"/>
    <w:pPr>
      <w:keepLines/>
      <w:spacing w:line="600" w:lineRule="auto"/>
    </w:pPr>
    <w:rPr>
      <w:rFonts w:eastAsia="黑体"/>
      <w:kern w:val="0"/>
      <w:sz w:val="32"/>
      <w:szCs w:val="32"/>
    </w:rPr>
  </w:style>
  <w:style w:type="paragraph" w:customStyle="1" w:styleId="146">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47">
    <w:name w:val="Style45"/>
    <w:basedOn w:val="1"/>
    <w:unhideWhenUsed/>
    <w:qFormat/>
    <w:uiPriority w:val="0"/>
  </w:style>
  <w:style w:type="paragraph" w:customStyle="1" w:styleId="148">
    <w:name w:val="Style77"/>
    <w:basedOn w:val="1"/>
    <w:unhideWhenUsed/>
    <w:qFormat/>
    <w:uiPriority w:val="0"/>
  </w:style>
  <w:style w:type="paragraph" w:customStyle="1" w:styleId="14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50">
    <w:name w:val="正文1"/>
    <w:basedOn w:val="1"/>
    <w:qFormat/>
    <w:uiPriority w:val="0"/>
    <w:pPr>
      <w:numPr>
        <w:ilvl w:val="0"/>
        <w:numId w:val="2"/>
      </w:numPr>
      <w:tabs>
        <w:tab w:val="left" w:pos="2220"/>
      </w:tabs>
      <w:spacing w:line="360" w:lineRule="auto"/>
    </w:pPr>
    <w:rPr>
      <w:rFonts w:ascii="宋体" w:hAnsi="宋体"/>
    </w:rPr>
  </w:style>
  <w:style w:type="paragraph" w:customStyle="1" w:styleId="151">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152">
    <w:name w:val="Style26"/>
    <w:basedOn w:val="1"/>
    <w:unhideWhenUsed/>
    <w:qFormat/>
    <w:uiPriority w:val="0"/>
  </w:style>
  <w:style w:type="paragraph" w:customStyle="1" w:styleId="153">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kern w:val="0"/>
      <w:sz w:val="18"/>
      <w:szCs w:val="18"/>
    </w:rPr>
  </w:style>
  <w:style w:type="paragraph" w:customStyle="1" w:styleId="154">
    <w:name w:val="Style63"/>
    <w:basedOn w:val="1"/>
    <w:unhideWhenUsed/>
    <w:qFormat/>
    <w:uiPriority w:val="0"/>
    <w:pPr>
      <w:spacing w:line="564" w:lineRule="exact"/>
      <w:ind w:firstLine="682"/>
    </w:pPr>
  </w:style>
  <w:style w:type="paragraph" w:customStyle="1" w:styleId="155">
    <w:name w:val="Style27"/>
    <w:basedOn w:val="1"/>
    <w:unhideWhenUsed/>
    <w:qFormat/>
    <w:uiPriority w:val="0"/>
  </w:style>
  <w:style w:type="paragraph" w:customStyle="1" w:styleId="156">
    <w:name w:val="Char"/>
    <w:basedOn w:val="1"/>
    <w:qFormat/>
    <w:uiPriority w:val="0"/>
    <w:pPr>
      <w:tabs>
        <w:tab w:val="left" w:pos="360"/>
      </w:tabs>
      <w:ind w:left="360" w:hanging="360" w:hangingChars="200"/>
    </w:pPr>
    <w:rPr>
      <w:sz w:val="24"/>
    </w:rPr>
  </w:style>
  <w:style w:type="paragraph" w:customStyle="1" w:styleId="157">
    <w:name w:val="Style29"/>
    <w:basedOn w:val="1"/>
    <w:unhideWhenUsed/>
    <w:qFormat/>
    <w:uiPriority w:val="0"/>
    <w:pPr>
      <w:spacing w:line="547" w:lineRule="exact"/>
      <w:ind w:firstLine="547"/>
    </w:pPr>
  </w:style>
  <w:style w:type="paragraph" w:customStyle="1" w:styleId="158">
    <w:name w:val="_Style 185"/>
    <w:qFormat/>
    <w:uiPriority w:val="0"/>
    <w:rPr>
      <w:rFonts w:ascii="Times New Roman" w:hAnsi="Times New Roman" w:eastAsia="宋体" w:cs="Times New Roman"/>
      <w:kern w:val="2"/>
      <w:sz w:val="21"/>
      <w:szCs w:val="24"/>
      <w:lang w:val="en-US" w:eastAsia="zh-CN" w:bidi="ar-SA"/>
    </w:rPr>
  </w:style>
  <w:style w:type="paragraph" w:customStyle="1" w:styleId="159">
    <w:name w:val="文档正文"/>
    <w:basedOn w:val="1"/>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160">
    <w:name w:val="Style21"/>
    <w:basedOn w:val="1"/>
    <w:unhideWhenUsed/>
    <w:qFormat/>
    <w:uiPriority w:val="0"/>
    <w:pPr>
      <w:spacing w:line="566" w:lineRule="exact"/>
      <w:ind w:firstLine="682"/>
    </w:pPr>
  </w:style>
  <w:style w:type="paragraph" w:customStyle="1" w:styleId="161">
    <w:name w:val="Style12"/>
    <w:basedOn w:val="1"/>
    <w:unhideWhenUsed/>
    <w:qFormat/>
    <w:uiPriority w:val="0"/>
    <w:pPr>
      <w:spacing w:line="564" w:lineRule="exact"/>
      <w:ind w:hanging="115"/>
    </w:pPr>
  </w:style>
  <w:style w:type="paragraph" w:customStyle="1" w:styleId="162">
    <w:name w:val="List Paragraph1"/>
    <w:basedOn w:val="1"/>
    <w:link w:val="225"/>
    <w:qFormat/>
    <w:uiPriority w:val="0"/>
    <w:pPr>
      <w:ind w:firstLine="420" w:firstLineChars="200"/>
    </w:pPr>
    <w:rPr>
      <w:rFonts w:ascii="Calibri" w:hAnsi="Calibri" w:cs="Calibri"/>
      <w:szCs w:val="21"/>
    </w:rPr>
  </w:style>
  <w:style w:type="paragraph" w:customStyle="1" w:styleId="163">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64">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color w:val="FF0000"/>
      <w:kern w:val="0"/>
      <w:sz w:val="18"/>
      <w:szCs w:val="18"/>
    </w:rPr>
  </w:style>
  <w:style w:type="paragraph" w:customStyle="1" w:styleId="165">
    <w:name w:val="Style72"/>
    <w:basedOn w:val="1"/>
    <w:unhideWhenUsed/>
    <w:qFormat/>
    <w:uiPriority w:val="0"/>
  </w:style>
  <w:style w:type="paragraph" w:customStyle="1" w:styleId="166">
    <w:name w:val="Style68"/>
    <w:basedOn w:val="1"/>
    <w:unhideWhenUsed/>
    <w:qFormat/>
    <w:uiPriority w:val="0"/>
    <w:pPr>
      <w:spacing w:line="547" w:lineRule="exact"/>
    </w:pPr>
  </w:style>
  <w:style w:type="paragraph" w:customStyle="1" w:styleId="167">
    <w:name w:val="p0"/>
    <w:basedOn w:val="1"/>
    <w:link w:val="209"/>
    <w:qFormat/>
    <w:uiPriority w:val="0"/>
    <w:pPr>
      <w:widowControl/>
    </w:pPr>
    <w:rPr>
      <w:rFonts w:ascii="Calibri" w:hAnsi="Calibri"/>
      <w:kern w:val="0"/>
      <w:szCs w:val="21"/>
    </w:rPr>
  </w:style>
  <w:style w:type="paragraph" w:customStyle="1" w:styleId="168">
    <w:name w:val="Style16"/>
    <w:basedOn w:val="1"/>
    <w:unhideWhenUsed/>
    <w:qFormat/>
    <w:uiPriority w:val="0"/>
    <w:pPr>
      <w:jc w:val="right"/>
    </w:pPr>
  </w:style>
  <w:style w:type="paragraph" w:customStyle="1" w:styleId="169">
    <w:name w:val="Style28"/>
    <w:basedOn w:val="1"/>
    <w:unhideWhenUsed/>
    <w:qFormat/>
    <w:uiPriority w:val="0"/>
    <w:pPr>
      <w:spacing w:line="552" w:lineRule="exact"/>
      <w:ind w:firstLine="547"/>
    </w:pPr>
  </w:style>
  <w:style w:type="paragraph" w:customStyle="1" w:styleId="170">
    <w:name w:val="样式 标题 2 + 宋体 五号 行距: 单倍行距"/>
    <w:basedOn w:val="5"/>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171">
    <w:name w:val="Style15"/>
    <w:basedOn w:val="1"/>
    <w:unhideWhenUsed/>
    <w:qFormat/>
    <w:uiPriority w:val="0"/>
    <w:pPr>
      <w:spacing w:line="557" w:lineRule="exact"/>
      <w:ind w:firstLine="672"/>
    </w:pPr>
  </w:style>
  <w:style w:type="paragraph" w:customStyle="1" w:styleId="172">
    <w:name w:val="Table Paragraph"/>
    <w:basedOn w:val="1"/>
    <w:qFormat/>
    <w:uiPriority w:val="99"/>
    <w:rPr>
      <w:rFonts w:ascii="宋体" w:hAnsi="宋体" w:cs="宋体"/>
      <w:lang w:val="zh-CN"/>
    </w:rPr>
  </w:style>
  <w:style w:type="paragraph" w:customStyle="1" w:styleId="173">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74">
    <w:name w:val="Style47"/>
    <w:basedOn w:val="1"/>
    <w:unhideWhenUsed/>
    <w:qFormat/>
    <w:uiPriority w:val="0"/>
  </w:style>
  <w:style w:type="paragraph" w:customStyle="1" w:styleId="175">
    <w:name w:val="Style78"/>
    <w:basedOn w:val="1"/>
    <w:unhideWhenUsed/>
    <w:qFormat/>
    <w:uiPriority w:val="0"/>
  </w:style>
  <w:style w:type="paragraph" w:customStyle="1" w:styleId="176">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77">
    <w:name w:val="Style9"/>
    <w:basedOn w:val="1"/>
    <w:unhideWhenUsed/>
    <w:qFormat/>
    <w:uiPriority w:val="0"/>
  </w:style>
  <w:style w:type="paragraph" w:customStyle="1" w:styleId="178">
    <w:name w:val="Style23"/>
    <w:basedOn w:val="1"/>
    <w:unhideWhenUsed/>
    <w:qFormat/>
    <w:uiPriority w:val="0"/>
  </w:style>
  <w:style w:type="paragraph" w:customStyle="1" w:styleId="179">
    <w:name w:val="Style59"/>
    <w:basedOn w:val="1"/>
    <w:unhideWhenUsed/>
    <w:qFormat/>
    <w:uiPriority w:val="0"/>
  </w:style>
  <w:style w:type="paragraph" w:customStyle="1" w:styleId="180">
    <w:name w:val="Char Char Char"/>
    <w:basedOn w:val="1"/>
    <w:qFormat/>
    <w:uiPriority w:val="0"/>
    <w:rPr>
      <w:rFonts w:ascii="宋体" w:hAnsi="宋体"/>
      <w:b/>
      <w:sz w:val="28"/>
      <w:szCs w:val="28"/>
    </w:rPr>
  </w:style>
  <w:style w:type="paragraph" w:customStyle="1" w:styleId="181">
    <w:name w:val="正文新"/>
    <w:basedOn w:val="1"/>
    <w:link w:val="282"/>
    <w:qFormat/>
    <w:uiPriority w:val="0"/>
    <w:pPr>
      <w:spacing w:line="336" w:lineRule="auto"/>
      <w:ind w:firstLine="200" w:firstLineChars="200"/>
    </w:pPr>
    <w:rPr>
      <w:rFonts w:ascii="Calibri" w:hAnsi="Calibri"/>
      <w:sz w:val="18"/>
      <w:szCs w:val="21"/>
    </w:rPr>
  </w:style>
  <w:style w:type="paragraph" w:customStyle="1" w:styleId="182">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color w:val="000000"/>
      <w:kern w:val="0"/>
      <w:sz w:val="18"/>
      <w:szCs w:val="18"/>
    </w:rPr>
  </w:style>
  <w:style w:type="paragraph" w:customStyle="1" w:styleId="183">
    <w:name w:val="Style76"/>
    <w:basedOn w:val="1"/>
    <w:unhideWhenUsed/>
    <w:qFormat/>
    <w:uiPriority w:val="0"/>
  </w:style>
  <w:style w:type="paragraph" w:customStyle="1" w:styleId="184">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85">
    <w:name w:val="Style62"/>
    <w:basedOn w:val="1"/>
    <w:unhideWhenUsed/>
    <w:qFormat/>
    <w:uiPriority w:val="0"/>
  </w:style>
  <w:style w:type="paragraph" w:customStyle="1" w:styleId="186">
    <w:name w:val="Style36"/>
    <w:basedOn w:val="1"/>
    <w:unhideWhenUsed/>
    <w:qFormat/>
    <w:uiPriority w:val="0"/>
  </w:style>
  <w:style w:type="paragraph" w:customStyle="1" w:styleId="187">
    <w:name w:val="Char Char1 Char Char Char Char Char Char Char"/>
    <w:basedOn w:val="1"/>
    <w:qFormat/>
    <w:uiPriority w:val="0"/>
    <w:pPr>
      <w:widowControl/>
      <w:spacing w:after="160" w:line="240" w:lineRule="exact"/>
      <w:jc w:val="left"/>
    </w:pPr>
  </w:style>
  <w:style w:type="paragraph" w:customStyle="1" w:styleId="188">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89">
    <w:name w:val="2 级标题"/>
    <w:basedOn w:val="5"/>
    <w:link w:val="256"/>
    <w:qFormat/>
    <w:uiPriority w:val="0"/>
    <w:pPr>
      <w:numPr>
        <w:ilvl w:val="1"/>
        <w:numId w:val="3"/>
      </w:numPr>
      <w:spacing w:before="120" w:after="120"/>
      <w:ind w:right="27" w:rightChars="13"/>
      <w:jc w:val="left"/>
    </w:pPr>
    <w:rPr>
      <w:rFonts w:ascii="Cambria" w:hAnsi="Cambria"/>
      <w:kern w:val="0"/>
      <w:sz w:val="32"/>
    </w:rPr>
  </w:style>
  <w:style w:type="paragraph" w:customStyle="1" w:styleId="190">
    <w:name w:val="标题3"/>
    <w:basedOn w:val="4"/>
    <w:qFormat/>
    <w:uiPriority w:val="0"/>
    <w:pPr>
      <w:spacing w:before="156" w:beforeLines="50" w:after="156" w:afterLines="50" w:line="400" w:lineRule="exact"/>
      <w:jc w:val="both"/>
    </w:pPr>
    <w:rPr>
      <w:rFonts w:ascii="宋体" w:hAnsi="宋体"/>
      <w:kern w:val="32"/>
      <w:szCs w:val="32"/>
    </w:rPr>
  </w:style>
  <w:style w:type="paragraph" w:customStyle="1" w:styleId="191">
    <w:name w:val="Style42"/>
    <w:basedOn w:val="1"/>
    <w:unhideWhenUsed/>
    <w:qFormat/>
    <w:uiPriority w:val="0"/>
    <w:pPr>
      <w:spacing w:line="542" w:lineRule="exact"/>
      <w:ind w:firstLine="547"/>
    </w:pPr>
  </w:style>
  <w:style w:type="paragraph" w:customStyle="1" w:styleId="192">
    <w:name w:val="正文缩进1"/>
    <w:basedOn w:val="1"/>
    <w:link w:val="313"/>
    <w:qFormat/>
    <w:uiPriority w:val="0"/>
    <w:pPr>
      <w:autoSpaceDE w:val="0"/>
      <w:autoSpaceDN w:val="0"/>
      <w:adjustRightInd w:val="0"/>
      <w:ind w:firstLine="420"/>
      <w:jc w:val="left"/>
    </w:pPr>
    <w:rPr>
      <w:rFonts w:ascii="宋体" w:hAnsi="Calibri" w:eastAsia="微软雅黑"/>
      <w:kern w:val="0"/>
      <w:sz w:val="24"/>
      <w:szCs w:val="20"/>
    </w:rPr>
  </w:style>
  <w:style w:type="paragraph" w:styleId="193">
    <w:name w:val="List Paragraph"/>
    <w:basedOn w:val="1"/>
    <w:qFormat/>
    <w:uiPriority w:val="99"/>
    <w:pPr>
      <w:ind w:firstLine="420" w:firstLineChars="200"/>
    </w:pPr>
    <w:rPr>
      <w:rFonts w:ascii="Calibri" w:hAnsi="Calibri"/>
      <w:szCs w:val="22"/>
    </w:rPr>
  </w:style>
  <w:style w:type="paragraph" w:customStyle="1" w:styleId="194">
    <w:name w:val="Style24"/>
    <w:basedOn w:val="1"/>
    <w:unhideWhenUsed/>
    <w:qFormat/>
    <w:uiPriority w:val="0"/>
  </w:style>
  <w:style w:type="paragraph" w:customStyle="1" w:styleId="195">
    <w:name w:val="Style61"/>
    <w:basedOn w:val="1"/>
    <w:unhideWhenUsed/>
    <w:qFormat/>
    <w:uiPriority w:val="0"/>
  </w:style>
  <w:style w:type="paragraph" w:customStyle="1" w:styleId="196">
    <w:name w:val="Style73"/>
    <w:basedOn w:val="1"/>
    <w:unhideWhenUsed/>
    <w:qFormat/>
    <w:uiPriority w:val="0"/>
    <w:pPr>
      <w:spacing w:line="538" w:lineRule="exact"/>
      <w:ind w:firstLine="533"/>
    </w:pPr>
  </w:style>
  <w:style w:type="paragraph" w:customStyle="1" w:styleId="197">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8"/>
      <w:szCs w:val="18"/>
    </w:rPr>
  </w:style>
  <w:style w:type="paragraph" w:customStyle="1" w:styleId="19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00">
    <w:name w:val="Style50"/>
    <w:basedOn w:val="1"/>
    <w:unhideWhenUsed/>
    <w:qFormat/>
    <w:uiPriority w:val="0"/>
  </w:style>
  <w:style w:type="paragraph" w:customStyle="1" w:styleId="201">
    <w:name w:val="Style58"/>
    <w:basedOn w:val="1"/>
    <w:unhideWhenUsed/>
    <w:qFormat/>
    <w:uiPriority w:val="0"/>
    <w:pPr>
      <w:spacing w:line="413" w:lineRule="exact"/>
    </w:pPr>
  </w:style>
  <w:style w:type="paragraph" w:customStyle="1" w:styleId="202">
    <w:name w:val="Char11"/>
    <w:basedOn w:val="1"/>
    <w:semiHidden/>
    <w:qFormat/>
    <w:uiPriority w:val="0"/>
    <w:rPr>
      <w:rFonts w:ascii="Tahoma" w:hAnsi="Tahoma" w:cs="仿宋_GB2312"/>
      <w:sz w:val="24"/>
      <w:szCs w:val="28"/>
    </w:rPr>
  </w:style>
  <w:style w:type="paragraph" w:customStyle="1" w:styleId="203">
    <w:name w:val="Style65"/>
    <w:basedOn w:val="1"/>
    <w:unhideWhenUsed/>
    <w:qFormat/>
    <w:uiPriority w:val="0"/>
  </w:style>
  <w:style w:type="paragraph" w:customStyle="1" w:styleId="20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05">
    <w:name w:val="Style70"/>
    <w:basedOn w:val="1"/>
    <w:unhideWhenUsed/>
    <w:qFormat/>
    <w:uiPriority w:val="0"/>
    <w:pPr>
      <w:spacing w:line="549" w:lineRule="exact"/>
      <w:ind w:firstLine="686"/>
    </w:pPr>
  </w:style>
  <w:style w:type="character" w:customStyle="1" w:styleId="206">
    <w:name w:val="apple-converted-space"/>
    <w:qFormat/>
    <w:uiPriority w:val="99"/>
    <w:rPr>
      <w:rFonts w:ascii="Tahoma" w:hAnsi="Tahoma" w:eastAsia="宋体" w:cs="仿宋_GB2312"/>
      <w:sz w:val="24"/>
      <w:szCs w:val="28"/>
    </w:rPr>
  </w:style>
  <w:style w:type="character" w:customStyle="1" w:styleId="207">
    <w:name w:val="font31"/>
    <w:qFormat/>
    <w:uiPriority w:val="0"/>
    <w:rPr>
      <w:rFonts w:hint="default" w:ascii="Arial" w:hAnsi="Arial" w:eastAsia="宋体" w:cs="Arial"/>
      <w:color w:val="000000"/>
      <w:sz w:val="22"/>
      <w:szCs w:val="22"/>
      <w:u w:val="none"/>
    </w:rPr>
  </w:style>
  <w:style w:type="character" w:customStyle="1" w:styleId="208">
    <w:name w:val="font11"/>
    <w:basedOn w:val="48"/>
    <w:qFormat/>
    <w:uiPriority w:val="0"/>
    <w:rPr>
      <w:rFonts w:hint="default" w:ascii="Times New Roman" w:hAnsi="Times New Roman" w:eastAsia="宋体" w:cs="Times New Roman"/>
      <w:b/>
      <w:color w:val="000000"/>
      <w:sz w:val="21"/>
      <w:szCs w:val="21"/>
      <w:u w:val="none"/>
    </w:rPr>
  </w:style>
  <w:style w:type="character" w:customStyle="1" w:styleId="209">
    <w:name w:val="p0 Char"/>
    <w:link w:val="167"/>
    <w:qFormat/>
    <w:uiPriority w:val="0"/>
    <w:rPr>
      <w:rFonts w:ascii="Times New Roman" w:hAnsi="Times New Roman" w:eastAsia="宋体" w:cs="Times New Roman"/>
      <w:sz w:val="21"/>
      <w:szCs w:val="21"/>
      <w:lang w:val="en-US" w:eastAsia="zh-CN" w:bidi="ar-SA"/>
    </w:rPr>
  </w:style>
  <w:style w:type="character" w:customStyle="1" w:styleId="210">
    <w:name w:val="Char Char16"/>
    <w:qFormat/>
    <w:uiPriority w:val="0"/>
    <w:rPr>
      <w:rFonts w:ascii="宋体" w:hAnsi="Times New Roman" w:eastAsia="宋体" w:cs="Times New Roman"/>
      <w:b/>
      <w:sz w:val="24"/>
      <w:lang w:val="en-US" w:eastAsia="zh-CN" w:bidi="ar-SA"/>
    </w:rPr>
  </w:style>
  <w:style w:type="character" w:customStyle="1" w:styleId="211">
    <w:name w:val="font61"/>
    <w:basedOn w:val="48"/>
    <w:qFormat/>
    <w:uiPriority w:val="0"/>
    <w:rPr>
      <w:rFonts w:hint="eastAsia" w:ascii="宋体" w:hAnsi="宋体" w:eastAsia="宋体" w:cs="宋体"/>
      <w:color w:val="333333"/>
      <w:sz w:val="18"/>
      <w:szCs w:val="18"/>
      <w:u w:val="none"/>
    </w:rPr>
  </w:style>
  <w:style w:type="character" w:customStyle="1" w:styleId="212">
    <w:name w:val="日期 Char"/>
    <w:qFormat/>
    <w:uiPriority w:val="0"/>
    <w:rPr>
      <w:rFonts w:ascii="Times New Roman" w:hAnsi="Times New Roman" w:eastAsia="宋体" w:cs="Times New Roman"/>
      <w:kern w:val="2"/>
      <w:sz w:val="21"/>
      <w:szCs w:val="24"/>
    </w:rPr>
  </w:style>
  <w:style w:type="character" w:customStyle="1" w:styleId="213">
    <w:name w:val="标题 7 字符"/>
    <w:link w:val="10"/>
    <w:qFormat/>
    <w:uiPriority w:val="0"/>
    <w:rPr>
      <w:rFonts w:ascii="Times New Roman" w:hAnsi="Times New Roman" w:eastAsia="宋体" w:cs="Times New Roman"/>
      <w:b/>
      <w:bCs/>
      <w:sz w:val="24"/>
      <w:szCs w:val="24"/>
      <w:lang w:val="en-US" w:eastAsia="zh-CN" w:bidi="ar-SA"/>
    </w:rPr>
  </w:style>
  <w:style w:type="character" w:customStyle="1" w:styleId="214">
    <w:name w:val="apple-style-span"/>
    <w:qFormat/>
    <w:uiPriority w:val="0"/>
    <w:rPr>
      <w:rFonts w:ascii="Tahoma" w:hAnsi="Tahoma" w:eastAsia="宋体" w:cs="仿宋_GB2312"/>
      <w:sz w:val="24"/>
      <w:szCs w:val="28"/>
    </w:rPr>
  </w:style>
  <w:style w:type="character" w:customStyle="1" w:styleId="215">
    <w:name w:val="标题 4 Char Char"/>
    <w:qFormat/>
    <w:uiPriority w:val="0"/>
    <w:rPr>
      <w:rFonts w:ascii="Arial" w:hAnsi="Arial" w:eastAsia="宋体" w:cs="Times New Roman"/>
      <w:b/>
      <w:bCs/>
      <w:kern w:val="2"/>
      <w:sz w:val="21"/>
      <w:szCs w:val="28"/>
      <w:lang w:val="en-US" w:eastAsia="zh-CN" w:bidi="ar-SA"/>
    </w:rPr>
  </w:style>
  <w:style w:type="character" w:customStyle="1" w:styleId="216">
    <w:name w:val="param-name"/>
    <w:qFormat/>
    <w:uiPriority w:val="0"/>
    <w:rPr>
      <w:rFonts w:ascii="Times New Roman" w:hAnsi="Times New Roman" w:eastAsia="宋体" w:cs="Times New Roman"/>
    </w:rPr>
  </w:style>
  <w:style w:type="character" w:customStyle="1" w:styleId="217">
    <w:name w:val="bds_nopic1"/>
    <w:qFormat/>
    <w:uiPriority w:val="0"/>
    <w:rPr>
      <w:rFonts w:ascii="Times New Roman" w:hAnsi="Times New Roman" w:eastAsia="宋体" w:cs="Times New Roman"/>
    </w:rPr>
  </w:style>
  <w:style w:type="character" w:customStyle="1" w:styleId="218">
    <w:name w:val="font71"/>
    <w:qFormat/>
    <w:uiPriority w:val="0"/>
    <w:rPr>
      <w:rFonts w:hint="default" w:ascii="Arial" w:hAnsi="Arial" w:eastAsia="宋体" w:cs="Arial"/>
      <w:color w:val="000000"/>
      <w:sz w:val="22"/>
      <w:szCs w:val="22"/>
      <w:u w:val="none"/>
    </w:rPr>
  </w:style>
  <w:style w:type="character" w:customStyle="1" w:styleId="219">
    <w:name w:val="批注框文本 Char"/>
    <w:qFormat/>
    <w:uiPriority w:val="0"/>
    <w:rPr>
      <w:rFonts w:ascii="Times New Roman" w:hAnsi="Times New Roman" w:eastAsia="宋体" w:cs="Times New Roman"/>
      <w:kern w:val="2"/>
      <w:sz w:val="18"/>
      <w:szCs w:val="18"/>
    </w:rPr>
  </w:style>
  <w:style w:type="character" w:customStyle="1" w:styleId="220">
    <w:name w:val="plus"/>
    <w:qFormat/>
    <w:uiPriority w:val="0"/>
    <w:rPr>
      <w:rFonts w:ascii="Times New Roman" w:hAnsi="Times New Roman" w:eastAsia="宋体" w:cs="Times New Roman"/>
      <w:b/>
      <w:vanish/>
      <w:color w:val="1F8DEF"/>
      <w:sz w:val="24"/>
      <w:szCs w:val="24"/>
    </w:rPr>
  </w:style>
  <w:style w:type="character" w:customStyle="1" w:styleId="221">
    <w:name w:val="Font Style131"/>
    <w:unhideWhenUsed/>
    <w:qFormat/>
    <w:uiPriority w:val="0"/>
    <w:rPr>
      <w:rFonts w:hint="eastAsia" w:ascii="Times New Roman" w:hAnsi="Times New Roman" w:eastAsia="Times New Roman" w:cs="Times New Roman"/>
      <w:sz w:val="18"/>
    </w:rPr>
  </w:style>
  <w:style w:type="character" w:customStyle="1" w:styleId="222">
    <w:name w:val="标题 6 Char"/>
    <w:qFormat/>
    <w:uiPriority w:val="0"/>
    <w:rPr>
      <w:rFonts w:ascii="Arial" w:hAnsi="Arial" w:eastAsia="黑体" w:cs="Times New Roman"/>
      <w:b/>
      <w:bCs/>
      <w:sz w:val="24"/>
      <w:szCs w:val="24"/>
    </w:rPr>
  </w:style>
  <w:style w:type="character" w:customStyle="1" w:styleId="223">
    <w:name w:val="标题 Char1"/>
    <w:qFormat/>
    <w:uiPriority w:val="0"/>
    <w:rPr>
      <w:rFonts w:ascii="Cambria" w:hAnsi="Cambria" w:eastAsia="宋体" w:cs="Times New Roman"/>
      <w:b/>
      <w:bCs/>
      <w:sz w:val="32"/>
      <w:szCs w:val="32"/>
    </w:rPr>
  </w:style>
  <w:style w:type="character" w:customStyle="1" w:styleId="224">
    <w:name w:val="Font Style117"/>
    <w:unhideWhenUsed/>
    <w:qFormat/>
    <w:uiPriority w:val="0"/>
    <w:rPr>
      <w:rFonts w:hint="eastAsia" w:ascii="宋体" w:hAnsi="宋体" w:eastAsia="宋体" w:cs="Times New Roman"/>
      <w:spacing w:val="20"/>
      <w:sz w:val="24"/>
    </w:rPr>
  </w:style>
  <w:style w:type="character" w:customStyle="1" w:styleId="225">
    <w:name w:val="List Paragraph Char"/>
    <w:link w:val="162"/>
    <w:qFormat/>
    <w:uiPriority w:val="0"/>
    <w:rPr>
      <w:rFonts w:ascii="Calibri" w:hAnsi="Calibri" w:eastAsia="宋体" w:cs="Calibri"/>
      <w:kern w:val="2"/>
      <w:sz w:val="21"/>
      <w:szCs w:val="21"/>
      <w:lang w:val="en-US" w:eastAsia="zh-CN" w:bidi="ar-SA"/>
    </w:rPr>
  </w:style>
  <w:style w:type="character" w:customStyle="1" w:styleId="226">
    <w:name w:val="正文文本缩进 3 Char"/>
    <w:qFormat/>
    <w:uiPriority w:val="0"/>
    <w:rPr>
      <w:rFonts w:ascii="宋体" w:hAnsi="MS Sans Serif" w:eastAsia="宋体" w:cs="Times New Roman"/>
      <w:color w:val="000000"/>
      <w:sz w:val="24"/>
    </w:rPr>
  </w:style>
  <w:style w:type="character" w:customStyle="1" w:styleId="227">
    <w:name w:val="ca-21"/>
    <w:qFormat/>
    <w:uiPriority w:val="0"/>
    <w:rPr>
      <w:rFonts w:hint="eastAsia" w:ascii="宋体-18030" w:hAnsi="宋体-18030" w:eastAsia="宋体-18030" w:cs="宋体-18030"/>
      <w:sz w:val="24"/>
      <w:szCs w:val="24"/>
    </w:rPr>
  </w:style>
  <w:style w:type="character" w:customStyle="1" w:styleId="228">
    <w:name w:val="标题 7 Char"/>
    <w:qFormat/>
    <w:uiPriority w:val="0"/>
    <w:rPr>
      <w:rFonts w:ascii="Times New Roman" w:hAnsi="Times New Roman" w:eastAsia="宋体" w:cs="Times New Roman"/>
      <w:b/>
      <w:bCs/>
      <w:sz w:val="24"/>
      <w:szCs w:val="24"/>
    </w:rPr>
  </w:style>
  <w:style w:type="character" w:customStyle="1" w:styleId="229">
    <w:name w:val="批注文字 Char Char"/>
    <w:qFormat/>
    <w:uiPriority w:val="0"/>
    <w:rPr>
      <w:rFonts w:ascii="Times New Roman" w:hAnsi="Times New Roman" w:eastAsia="宋体" w:cs="Times New Roman"/>
      <w:kern w:val="2"/>
      <w:sz w:val="21"/>
      <w:szCs w:val="24"/>
      <w:lang w:bidi="ar-SA"/>
    </w:rPr>
  </w:style>
  <w:style w:type="character" w:customStyle="1" w:styleId="230">
    <w:name w:val="Font Style104"/>
    <w:unhideWhenUsed/>
    <w:qFormat/>
    <w:uiPriority w:val="0"/>
    <w:rPr>
      <w:rFonts w:hint="eastAsia" w:ascii="宋体" w:hAnsi="宋体" w:eastAsia="宋体" w:cs="Times New Roman"/>
      <w:spacing w:val="30"/>
      <w:sz w:val="18"/>
    </w:rPr>
  </w:style>
  <w:style w:type="character" w:customStyle="1" w:styleId="231">
    <w:name w:val="标题 2 Char"/>
    <w:qFormat/>
    <w:uiPriority w:val="0"/>
    <w:rPr>
      <w:rFonts w:ascii="Cambria" w:hAnsi="Cambria" w:eastAsia="宋体" w:cs="Times New Roman"/>
      <w:b/>
      <w:bCs/>
      <w:kern w:val="2"/>
      <w:sz w:val="32"/>
      <w:szCs w:val="32"/>
    </w:rPr>
  </w:style>
  <w:style w:type="character" w:customStyle="1" w:styleId="232">
    <w:name w:val="morelink-item"/>
    <w:qFormat/>
    <w:uiPriority w:val="0"/>
    <w:rPr>
      <w:rFonts w:ascii="Times New Roman" w:hAnsi="Times New Roman" w:eastAsia="宋体" w:cs="Times New Roman"/>
    </w:rPr>
  </w:style>
  <w:style w:type="character" w:customStyle="1" w:styleId="233">
    <w:name w:val="普通文字 Char"/>
    <w:semiHidden/>
    <w:qFormat/>
    <w:uiPriority w:val="0"/>
    <w:rPr>
      <w:rFonts w:ascii="宋体" w:hAnsi="Courier New" w:eastAsia="宋体" w:cs="Courier New"/>
      <w:kern w:val="2"/>
      <w:sz w:val="21"/>
      <w:szCs w:val="21"/>
      <w:lang w:val="en-US" w:eastAsia="zh-CN" w:bidi="ar-SA"/>
    </w:rPr>
  </w:style>
  <w:style w:type="character" w:customStyle="1" w:styleId="234">
    <w:name w:val="sidecatalog-index1"/>
    <w:qFormat/>
    <w:uiPriority w:val="0"/>
    <w:rPr>
      <w:rFonts w:ascii="Arial" w:hAnsi="Arial" w:eastAsia="宋体" w:cs="Arial"/>
      <w:b/>
      <w:color w:val="999999"/>
      <w:sz w:val="21"/>
      <w:szCs w:val="21"/>
    </w:rPr>
  </w:style>
  <w:style w:type="character" w:customStyle="1" w:styleId="235">
    <w:name w:val="style81"/>
    <w:qFormat/>
    <w:uiPriority w:val="0"/>
    <w:rPr>
      <w:rFonts w:ascii="Times New Roman" w:hAnsi="Times New Roman" w:eastAsia="宋体" w:cs="Times New Roman"/>
      <w:sz w:val="21"/>
      <w:szCs w:val="21"/>
    </w:rPr>
  </w:style>
  <w:style w:type="character" w:customStyle="1" w:styleId="236">
    <w:name w:val="lemmatitleh12"/>
    <w:qFormat/>
    <w:uiPriority w:val="0"/>
    <w:rPr>
      <w:rFonts w:ascii="Times New Roman" w:hAnsi="Times New Roman" w:eastAsia="宋体" w:cs="Times New Roman"/>
    </w:rPr>
  </w:style>
  <w:style w:type="character" w:customStyle="1" w:styleId="237">
    <w:name w:val="sidecatalog-dot1"/>
    <w:qFormat/>
    <w:uiPriority w:val="0"/>
    <w:rPr>
      <w:rFonts w:ascii="Times New Roman" w:hAnsi="Times New Roman" w:eastAsia="宋体" w:cs="Times New Roman"/>
    </w:rPr>
  </w:style>
  <w:style w:type="character" w:customStyle="1" w:styleId="238">
    <w:name w:val="标题 5 Char"/>
    <w:qFormat/>
    <w:uiPriority w:val="0"/>
    <w:rPr>
      <w:rFonts w:ascii="Times New Roman" w:hAnsi="Times New Roman" w:eastAsia="宋体" w:cs="Times New Roman"/>
      <w:b/>
      <w:bCs/>
      <w:kern w:val="2"/>
      <w:sz w:val="28"/>
      <w:szCs w:val="28"/>
    </w:rPr>
  </w:style>
  <w:style w:type="character" w:customStyle="1" w:styleId="239">
    <w:name w:val="sidecatalog-dot"/>
    <w:qFormat/>
    <w:uiPriority w:val="0"/>
    <w:rPr>
      <w:rFonts w:ascii="Times New Roman" w:hAnsi="Times New Roman" w:eastAsia="宋体" w:cs="Times New Roman"/>
    </w:rPr>
  </w:style>
  <w:style w:type="character" w:customStyle="1" w:styleId="240">
    <w:name w:val="Font Style128"/>
    <w:unhideWhenUsed/>
    <w:qFormat/>
    <w:uiPriority w:val="0"/>
    <w:rPr>
      <w:rFonts w:hint="eastAsia" w:ascii="Times New Roman" w:hAnsi="Times New Roman" w:eastAsia="Times New Roman" w:cs="Times New Roman"/>
      <w:sz w:val="16"/>
    </w:rPr>
  </w:style>
  <w:style w:type="character" w:customStyle="1" w:styleId="241">
    <w:name w:val="Char Char6"/>
    <w:qFormat/>
    <w:uiPriority w:val="0"/>
    <w:rPr>
      <w:rFonts w:ascii="Arial" w:hAnsi="Arial" w:eastAsia="黑体" w:cs="Times New Roman"/>
      <w:sz w:val="24"/>
      <w:szCs w:val="24"/>
      <w:lang w:val="en-US" w:eastAsia="zh-CN" w:bidi="ar-SA"/>
    </w:rPr>
  </w:style>
  <w:style w:type="character" w:customStyle="1" w:styleId="242">
    <w:name w:val="我的正文[858D7CFB-ED40-4347-BF05-701D383B685F]"/>
    <w:link w:val="135"/>
    <w:qFormat/>
    <w:uiPriority w:val="0"/>
    <w:rPr>
      <w:rFonts w:ascii="Arial" w:hAnsi="Arial" w:eastAsia="宋体" w:cs="Times New Roman"/>
      <w:sz w:val="24"/>
      <w:szCs w:val="24"/>
    </w:rPr>
  </w:style>
  <w:style w:type="character" w:customStyle="1" w:styleId="243">
    <w:name w:val="纯文本 Char Char Char1"/>
    <w:qFormat/>
    <w:uiPriority w:val="0"/>
    <w:rPr>
      <w:rFonts w:ascii="Times New Roman" w:hAnsi="Times New Roman" w:eastAsia="宋体" w:cs="Times New Roman"/>
      <w:kern w:val="2"/>
      <w:sz w:val="24"/>
      <w:lang w:val="en-US" w:eastAsia="zh-CN" w:bidi="ar-SA"/>
    </w:rPr>
  </w:style>
  <w:style w:type="character" w:customStyle="1" w:styleId="244">
    <w:name w:val="批注文字 Char"/>
    <w:qFormat/>
    <w:uiPriority w:val="0"/>
    <w:rPr>
      <w:rFonts w:ascii="Times New Roman" w:hAnsi="Times New Roman" w:eastAsia="宋体" w:cs="Times New Roman"/>
      <w:kern w:val="2"/>
      <w:sz w:val="21"/>
      <w:szCs w:val="24"/>
    </w:rPr>
  </w:style>
  <w:style w:type="character" w:customStyle="1" w:styleId="245">
    <w:name w:val="bds_more7"/>
    <w:qFormat/>
    <w:uiPriority w:val="0"/>
    <w:rPr>
      <w:rFonts w:ascii="Times New Roman" w:hAnsi="Times New Roman" w:eastAsia="宋体" w:cs="Times New Roman"/>
    </w:rPr>
  </w:style>
  <w:style w:type="character" w:customStyle="1" w:styleId="246">
    <w:name w:val="标题 1 Char"/>
    <w:qFormat/>
    <w:uiPriority w:val="0"/>
    <w:rPr>
      <w:rFonts w:ascii="Cambria" w:hAnsi="Cambria" w:eastAsia="宋体" w:cs="Times New Roman"/>
      <w:b/>
      <w:bCs/>
      <w:kern w:val="32"/>
      <w:sz w:val="32"/>
      <w:szCs w:val="32"/>
    </w:rPr>
  </w:style>
  <w:style w:type="character" w:customStyle="1" w:styleId="247">
    <w:name w:val="Char Char14"/>
    <w:qFormat/>
    <w:uiPriority w:val="0"/>
    <w:rPr>
      <w:rFonts w:ascii="Arial" w:hAnsi="Arial" w:eastAsia="黑体" w:cs="Times New Roman"/>
      <w:b/>
      <w:bCs/>
      <w:sz w:val="28"/>
      <w:szCs w:val="28"/>
      <w:lang w:val="en-US" w:eastAsia="zh-CN" w:bidi="ar-SA"/>
    </w:rPr>
  </w:style>
  <w:style w:type="character" w:customStyle="1" w:styleId="248">
    <w:name w:val="Font Style121"/>
    <w:unhideWhenUsed/>
    <w:qFormat/>
    <w:uiPriority w:val="0"/>
    <w:rPr>
      <w:rFonts w:hint="eastAsia" w:ascii="宋体" w:hAnsi="宋体" w:eastAsia="宋体" w:cs="Times New Roman"/>
      <w:spacing w:val="-10"/>
      <w:sz w:val="30"/>
    </w:rPr>
  </w:style>
  <w:style w:type="character" w:customStyle="1" w:styleId="249">
    <w:name w:val="Font Style125"/>
    <w:unhideWhenUsed/>
    <w:qFormat/>
    <w:uiPriority w:val="0"/>
    <w:rPr>
      <w:rFonts w:hint="eastAsia" w:ascii="宋体" w:hAnsi="宋体" w:eastAsia="宋体" w:cs="Times New Roman"/>
      <w:b/>
      <w:sz w:val="26"/>
    </w:rPr>
  </w:style>
  <w:style w:type="character" w:customStyle="1" w:styleId="250">
    <w:name w:val="批注框文本 字符"/>
    <w:link w:val="30"/>
    <w:semiHidden/>
    <w:qFormat/>
    <w:uiPriority w:val="0"/>
    <w:rPr>
      <w:rFonts w:ascii="Calibri" w:hAnsi="Calibri" w:eastAsia="宋体" w:cs="Times New Roman"/>
      <w:kern w:val="2"/>
      <w:sz w:val="18"/>
      <w:szCs w:val="18"/>
      <w:lang w:val="en-US" w:eastAsia="zh-CN" w:bidi="ar-SA"/>
    </w:rPr>
  </w:style>
  <w:style w:type="character" w:customStyle="1" w:styleId="251">
    <w:name w:val="页眉 字符"/>
    <w:link w:val="32"/>
    <w:qFormat/>
    <w:uiPriority w:val="0"/>
    <w:rPr>
      <w:rFonts w:ascii="Times New Roman" w:hAnsi="Times New Roman" w:eastAsia="宋体" w:cs="Times New Roman"/>
      <w:kern w:val="2"/>
      <w:sz w:val="18"/>
      <w:szCs w:val="18"/>
      <w:lang w:val="en-US" w:eastAsia="zh-CN" w:bidi="ar-SA"/>
    </w:rPr>
  </w:style>
  <w:style w:type="character" w:customStyle="1" w:styleId="252">
    <w:name w:val="Font Style124"/>
    <w:unhideWhenUsed/>
    <w:qFormat/>
    <w:uiPriority w:val="0"/>
    <w:rPr>
      <w:rFonts w:hint="eastAsia" w:ascii="宋体" w:hAnsi="宋体" w:eastAsia="宋体" w:cs="Times New Roman"/>
      <w:spacing w:val="30"/>
      <w:sz w:val="24"/>
    </w:rPr>
  </w:style>
  <w:style w:type="character" w:customStyle="1" w:styleId="253">
    <w:name w:val="Font Style127"/>
    <w:unhideWhenUsed/>
    <w:qFormat/>
    <w:uiPriority w:val="0"/>
    <w:rPr>
      <w:rFonts w:hint="eastAsia" w:ascii="Times New Roman" w:hAnsi="Times New Roman" w:eastAsia="Times New Roman" w:cs="Times New Roman"/>
      <w:sz w:val="20"/>
    </w:rPr>
  </w:style>
  <w:style w:type="character" w:customStyle="1" w:styleId="254">
    <w:name w:val="批注文字 字符"/>
    <w:link w:val="18"/>
    <w:qFormat/>
    <w:uiPriority w:val="0"/>
    <w:rPr>
      <w:rFonts w:ascii="Times New Roman" w:hAnsi="Times New Roman" w:eastAsia="宋体" w:cs="Times New Roman"/>
      <w:kern w:val="2"/>
      <w:sz w:val="21"/>
      <w:szCs w:val="24"/>
      <w:lang w:val="en-US" w:eastAsia="zh-CN" w:bidi="ar-SA"/>
    </w:rPr>
  </w:style>
  <w:style w:type="character" w:customStyle="1" w:styleId="255">
    <w:name w:val="标题 字符"/>
    <w:link w:val="44"/>
    <w:qFormat/>
    <w:uiPriority w:val="0"/>
    <w:rPr>
      <w:rFonts w:ascii="Cambria" w:hAnsi="Cambria" w:eastAsia="宋体" w:cs="Times New Roman"/>
      <w:b/>
      <w:kern w:val="2"/>
      <w:sz w:val="32"/>
      <w:szCs w:val="24"/>
      <w:lang w:val="en-US" w:eastAsia="zh-CN" w:bidi="ar-SA"/>
    </w:rPr>
  </w:style>
  <w:style w:type="character" w:customStyle="1" w:styleId="256">
    <w:name w:val="2 级标题 Char"/>
    <w:link w:val="189"/>
    <w:qFormat/>
    <w:uiPriority w:val="0"/>
    <w:rPr>
      <w:rFonts w:ascii="Cambria" w:hAnsi="Cambria" w:eastAsia="宋体" w:cs="Times New Roman"/>
      <w:b/>
      <w:bCs/>
      <w:sz w:val="32"/>
      <w:szCs w:val="32"/>
      <w:lang w:val="en-US" w:eastAsia="zh-CN" w:bidi="ar-SA"/>
    </w:rPr>
  </w:style>
  <w:style w:type="character" w:customStyle="1" w:styleId="257">
    <w:name w:val="font01"/>
    <w:basedOn w:val="48"/>
    <w:qFormat/>
    <w:uiPriority w:val="0"/>
    <w:rPr>
      <w:rFonts w:hint="default" w:ascii="微软雅黑" w:hAnsi="微软雅黑" w:eastAsia="微软雅黑" w:cs="微软雅黑"/>
      <w:color w:val="1F497D"/>
      <w:sz w:val="24"/>
      <w:szCs w:val="24"/>
      <w:u w:val="none"/>
    </w:rPr>
  </w:style>
  <w:style w:type="character" w:customStyle="1" w:styleId="258">
    <w:name w:val="sort1"/>
    <w:qFormat/>
    <w:uiPriority w:val="0"/>
    <w:rPr>
      <w:rFonts w:ascii="Times New Roman" w:hAnsi="Times New Roman" w:eastAsia="宋体" w:cs="Times New Roman"/>
    </w:rPr>
  </w:style>
  <w:style w:type="character" w:customStyle="1" w:styleId="259">
    <w:name w:val="Font Style133"/>
    <w:unhideWhenUsed/>
    <w:qFormat/>
    <w:uiPriority w:val="0"/>
    <w:rPr>
      <w:rFonts w:hint="eastAsia" w:ascii="宋体" w:hAnsi="宋体" w:eastAsia="宋体" w:cs="Times New Roman"/>
      <w:spacing w:val="30"/>
      <w:sz w:val="24"/>
    </w:rPr>
  </w:style>
  <w:style w:type="character" w:customStyle="1" w:styleId="260">
    <w:name w:val="bds_more8"/>
    <w:qFormat/>
    <w:uiPriority w:val="0"/>
    <w:rPr>
      <w:rFonts w:ascii="Times New Roman" w:hAnsi="Times New Roman" w:eastAsia="宋体" w:cs="Times New Roman"/>
    </w:rPr>
  </w:style>
  <w:style w:type="character" w:customStyle="1" w:styleId="261">
    <w:name w:val="Font Style116"/>
    <w:unhideWhenUsed/>
    <w:qFormat/>
    <w:uiPriority w:val="0"/>
    <w:rPr>
      <w:rFonts w:hint="eastAsia" w:ascii="宋体" w:hAnsi="宋体" w:eastAsia="宋体" w:cs="Times New Roman"/>
      <w:spacing w:val="-20"/>
      <w:sz w:val="24"/>
    </w:rPr>
  </w:style>
  <w:style w:type="character" w:customStyle="1" w:styleId="262">
    <w:name w:val="批注主题 Char"/>
    <w:qFormat/>
    <w:uiPriority w:val="0"/>
    <w:rPr>
      <w:rFonts w:ascii="Times New Roman" w:hAnsi="Times New Roman" w:eastAsia="宋体" w:cs="Times New Roman"/>
      <w:b/>
      <w:bCs/>
      <w:kern w:val="2"/>
      <w:sz w:val="21"/>
      <w:szCs w:val="24"/>
    </w:rPr>
  </w:style>
  <w:style w:type="character" w:customStyle="1" w:styleId="263">
    <w:name w:val="页脚 字符"/>
    <w:link w:val="31"/>
    <w:qFormat/>
    <w:uiPriority w:val="0"/>
    <w:rPr>
      <w:rFonts w:ascii="Times New Roman" w:hAnsi="Times New Roman" w:eastAsia="宋体" w:cs="Times New Roman"/>
      <w:kern w:val="2"/>
      <w:sz w:val="18"/>
      <w:szCs w:val="18"/>
      <w:lang w:val="en-US" w:eastAsia="zh-CN" w:bidi="ar-SA"/>
    </w:rPr>
  </w:style>
  <w:style w:type="character" w:customStyle="1" w:styleId="264">
    <w:name w:val="标题 1 字符"/>
    <w:link w:val="4"/>
    <w:qFormat/>
    <w:uiPriority w:val="0"/>
    <w:rPr>
      <w:rFonts w:ascii="Times New Roman" w:hAnsi="Times New Roman" w:eastAsia="宋体" w:cs="Times New Roman"/>
      <w:b/>
      <w:bCs/>
      <w:kern w:val="2"/>
      <w:sz w:val="24"/>
      <w:lang w:val="en-US" w:eastAsia="zh-CN" w:bidi="ar-SA"/>
    </w:rPr>
  </w:style>
  <w:style w:type="character" w:customStyle="1" w:styleId="265">
    <w:name w:val="Char Char15"/>
    <w:qFormat/>
    <w:uiPriority w:val="0"/>
    <w:rPr>
      <w:rFonts w:ascii="Times New Roman" w:hAnsi="Times New Roman" w:eastAsia="宋体" w:cs="Times New Roman"/>
      <w:b/>
      <w:bCs/>
      <w:sz w:val="24"/>
      <w:szCs w:val="24"/>
    </w:rPr>
  </w:style>
  <w:style w:type="character" w:customStyle="1" w:styleId="266">
    <w:name w:val="sort"/>
    <w:qFormat/>
    <w:uiPriority w:val="0"/>
    <w:rPr>
      <w:rFonts w:ascii="Times New Roman" w:hAnsi="Times New Roman" w:eastAsia="宋体" w:cs="Times New Roman"/>
      <w:color w:val="FFFFFF"/>
      <w:bdr w:val="single" w:color="auto" w:sz="24" w:space="0"/>
    </w:rPr>
  </w:style>
  <w:style w:type="character" w:customStyle="1" w:styleId="267">
    <w:name w:val="正文文本缩进 字符"/>
    <w:link w:val="21"/>
    <w:qFormat/>
    <w:uiPriority w:val="0"/>
    <w:rPr>
      <w:rFonts w:ascii="Times New Roman" w:hAnsi="Times New Roman" w:eastAsia="宋体" w:cs="Times New Roman"/>
      <w:kern w:val="2"/>
      <w:sz w:val="21"/>
      <w:szCs w:val="24"/>
      <w:lang w:val="en-US" w:eastAsia="zh-CN" w:bidi="ar-SA"/>
    </w:rPr>
  </w:style>
  <w:style w:type="character" w:customStyle="1" w:styleId="268">
    <w:name w:val="bds_more10"/>
    <w:qFormat/>
    <w:uiPriority w:val="0"/>
    <w:rPr>
      <w:rFonts w:ascii="Times New Roman" w:hAnsi="Times New Roman" w:eastAsia="宋体" w:cs="Times New Roman"/>
    </w:rPr>
  </w:style>
  <w:style w:type="character" w:customStyle="1" w:styleId="269">
    <w:name w:val="Char Char19"/>
    <w:qFormat/>
    <w:uiPriority w:val="0"/>
    <w:rPr>
      <w:rFonts w:ascii="Arial" w:hAnsi="Arial" w:eastAsia="宋体" w:cs="Times New Roman"/>
      <w:b/>
      <w:bCs/>
      <w:kern w:val="2"/>
      <w:sz w:val="24"/>
      <w:szCs w:val="32"/>
      <w:lang w:val="en-US" w:eastAsia="zh-CN" w:bidi="ar-SA"/>
    </w:rPr>
  </w:style>
  <w:style w:type="character" w:customStyle="1" w:styleId="270">
    <w:name w:val="bds_nopic"/>
    <w:qFormat/>
    <w:uiPriority w:val="0"/>
    <w:rPr>
      <w:rFonts w:ascii="Times New Roman" w:hAnsi="Times New Roman" w:eastAsia="宋体" w:cs="Times New Roman"/>
    </w:rPr>
  </w:style>
  <w:style w:type="character" w:customStyle="1" w:styleId="271">
    <w:name w:val="Font Style122"/>
    <w:unhideWhenUsed/>
    <w:qFormat/>
    <w:uiPriority w:val="0"/>
    <w:rPr>
      <w:rFonts w:hint="eastAsia" w:ascii="宋体" w:hAnsi="宋体" w:eastAsia="宋体" w:cs="Times New Roman"/>
      <w:spacing w:val="20"/>
      <w:sz w:val="24"/>
    </w:rPr>
  </w:style>
  <w:style w:type="character" w:customStyle="1" w:styleId="272">
    <w:name w:val="10_2_2"/>
    <w:qFormat/>
    <w:uiPriority w:val="0"/>
    <w:rPr>
      <w:rFonts w:hint="default" w:ascii="Times New Roman" w:hAnsi="Times New Roman" w:eastAsia="宋体" w:cs="Times New Roman"/>
      <w:sz w:val="20"/>
      <w:szCs w:val="20"/>
    </w:rPr>
  </w:style>
  <w:style w:type="character" w:customStyle="1" w:styleId="273">
    <w:name w:val="font81"/>
    <w:qFormat/>
    <w:uiPriority w:val="0"/>
    <w:rPr>
      <w:rFonts w:hint="eastAsia" w:ascii="宋体" w:hAnsi="宋体" w:eastAsia="宋体" w:cs="宋体"/>
      <w:color w:val="000000"/>
      <w:sz w:val="22"/>
      <w:szCs w:val="22"/>
      <w:u w:val="none"/>
    </w:rPr>
  </w:style>
  <w:style w:type="character" w:customStyle="1" w:styleId="274">
    <w:name w:val="标题 3 字符"/>
    <w:link w:val="6"/>
    <w:qFormat/>
    <w:uiPriority w:val="0"/>
    <w:rPr>
      <w:rFonts w:ascii="Times New Roman" w:hAnsi="Times New Roman" w:eastAsia="宋体" w:cs="Times New Roman"/>
      <w:b/>
      <w:bCs/>
      <w:kern w:val="2"/>
      <w:sz w:val="32"/>
      <w:szCs w:val="32"/>
      <w:lang w:val="en-US" w:eastAsia="zh-CN" w:bidi="ar-SA"/>
    </w:rPr>
  </w:style>
  <w:style w:type="character" w:customStyle="1" w:styleId="275">
    <w:name w:val="标题 9 Char"/>
    <w:qFormat/>
    <w:uiPriority w:val="0"/>
    <w:rPr>
      <w:rFonts w:ascii="Arial" w:hAnsi="Arial" w:eastAsia="黑体" w:cs="Times New Roman"/>
      <w:sz w:val="21"/>
      <w:szCs w:val="21"/>
    </w:rPr>
  </w:style>
  <w:style w:type="character" w:customStyle="1" w:styleId="276">
    <w:name w:val="标题 4 Char"/>
    <w:qFormat/>
    <w:uiPriority w:val="0"/>
    <w:rPr>
      <w:rFonts w:ascii="Arial" w:hAnsi="Arial" w:eastAsia="宋体" w:cs="Times New Roman"/>
      <w:b/>
      <w:bCs/>
      <w:szCs w:val="28"/>
    </w:rPr>
  </w:style>
  <w:style w:type="character" w:customStyle="1" w:styleId="277">
    <w:name w:val="HTML 预设格式 字符"/>
    <w:link w:val="41"/>
    <w:qFormat/>
    <w:uiPriority w:val="99"/>
    <w:rPr>
      <w:rFonts w:ascii="Arial" w:hAnsi="Arial" w:eastAsia="宋体" w:cs="Arial"/>
      <w:sz w:val="24"/>
      <w:szCs w:val="24"/>
    </w:rPr>
  </w:style>
  <w:style w:type="character" w:customStyle="1" w:styleId="278">
    <w:name w:val="样式2 Char Char"/>
    <w:qFormat/>
    <w:uiPriority w:val="0"/>
    <w:rPr>
      <w:rFonts w:ascii="Times New Roman" w:hAnsi="Times New Roman" w:eastAsia="宋体" w:cs="Times New Roman"/>
      <w:kern w:val="2"/>
      <w:sz w:val="18"/>
      <w:szCs w:val="18"/>
      <w:lang w:val="en-US" w:eastAsia="zh-CN" w:bidi="ar-SA"/>
    </w:rPr>
  </w:style>
  <w:style w:type="character" w:customStyle="1" w:styleId="279">
    <w:name w:val="标题 8 Char"/>
    <w:qFormat/>
    <w:uiPriority w:val="0"/>
    <w:rPr>
      <w:rFonts w:ascii="Arial" w:hAnsi="Arial" w:eastAsia="黑体" w:cs="Times New Roman"/>
      <w:sz w:val="24"/>
      <w:szCs w:val="24"/>
    </w:rPr>
  </w:style>
  <w:style w:type="character" w:customStyle="1" w:styleId="280">
    <w:name w:val="Char Char17"/>
    <w:qFormat/>
    <w:uiPriority w:val="0"/>
    <w:rPr>
      <w:rFonts w:ascii="宋体" w:hAnsi="Times New Roman" w:eastAsia="宋体" w:cs="Times New Roman"/>
      <w:b/>
      <w:sz w:val="28"/>
      <w:lang w:val="en-US" w:eastAsia="zh-CN" w:bidi="ar-SA"/>
    </w:rPr>
  </w:style>
  <w:style w:type="character" w:customStyle="1" w:styleId="281">
    <w:name w:val="标题 4 字符"/>
    <w:link w:val="7"/>
    <w:qFormat/>
    <w:uiPriority w:val="0"/>
    <w:rPr>
      <w:rFonts w:ascii="Arial" w:hAnsi="Arial" w:eastAsia="黑体" w:cs="Times New Roman"/>
      <w:b/>
      <w:bCs/>
      <w:kern w:val="2"/>
      <w:sz w:val="28"/>
      <w:szCs w:val="28"/>
      <w:lang w:val="en-US" w:eastAsia="zh-CN" w:bidi="ar-SA"/>
    </w:rPr>
  </w:style>
  <w:style w:type="character" w:customStyle="1" w:styleId="282">
    <w:name w:val="正文新 Char"/>
    <w:link w:val="181"/>
    <w:qFormat/>
    <w:uiPriority w:val="0"/>
    <w:rPr>
      <w:rFonts w:ascii="Times New Roman" w:hAnsi="Times New Roman" w:eastAsia="宋体" w:cs="Times New Roman"/>
      <w:kern w:val="2"/>
      <w:sz w:val="18"/>
      <w:szCs w:val="21"/>
      <w:lang w:val="en-US" w:eastAsia="zh-CN" w:bidi="ar-SA"/>
    </w:rPr>
  </w:style>
  <w:style w:type="character" w:customStyle="1" w:styleId="283">
    <w:name w:val="Font Style119"/>
    <w:unhideWhenUsed/>
    <w:qFormat/>
    <w:uiPriority w:val="0"/>
    <w:rPr>
      <w:rFonts w:hint="eastAsia" w:ascii="宋体" w:hAnsi="宋体" w:eastAsia="宋体" w:cs="Times New Roman"/>
      <w:sz w:val="24"/>
    </w:rPr>
  </w:style>
  <w:style w:type="character" w:customStyle="1" w:styleId="284">
    <w:name w:val="Footer Char"/>
    <w:qFormat/>
    <w:uiPriority w:val="0"/>
    <w:rPr>
      <w:rFonts w:ascii="Times New Roman" w:hAnsi="Times New Roman" w:eastAsia="宋体" w:cs="Times New Roman"/>
      <w:sz w:val="18"/>
      <w:szCs w:val="18"/>
    </w:rPr>
  </w:style>
  <w:style w:type="character" w:customStyle="1" w:styleId="285">
    <w:name w:val="标题 8 字符"/>
    <w:link w:val="11"/>
    <w:qFormat/>
    <w:uiPriority w:val="0"/>
    <w:rPr>
      <w:rFonts w:ascii="Arial" w:hAnsi="Arial" w:eastAsia="黑体" w:cs="Times New Roman"/>
      <w:sz w:val="24"/>
      <w:szCs w:val="24"/>
      <w:lang w:val="en-US" w:eastAsia="zh-CN" w:bidi="ar-SA"/>
    </w:rPr>
  </w:style>
  <w:style w:type="character" w:customStyle="1" w:styleId="286">
    <w:name w:val="zzi1"/>
    <w:qFormat/>
    <w:uiPriority w:val="0"/>
    <w:rPr>
      <w:rFonts w:ascii="Tahoma" w:hAnsi="Tahoma" w:eastAsia="宋体" w:cs="仿宋_GB2312"/>
      <w:sz w:val="22"/>
      <w:szCs w:val="22"/>
    </w:rPr>
  </w:style>
  <w:style w:type="character" w:customStyle="1" w:styleId="287">
    <w:name w:val="ca-11"/>
    <w:qFormat/>
    <w:uiPriority w:val="0"/>
    <w:rPr>
      <w:rFonts w:hint="eastAsia" w:ascii="宋体" w:hAnsi="宋体" w:eastAsia="宋体" w:cs="Times New Roman"/>
      <w:sz w:val="24"/>
      <w:szCs w:val="24"/>
    </w:rPr>
  </w:style>
  <w:style w:type="character" w:customStyle="1" w:styleId="288">
    <w:name w:val="sidecatalog-index2"/>
    <w:qFormat/>
    <w:uiPriority w:val="0"/>
    <w:rPr>
      <w:rFonts w:ascii="Arail" w:hAnsi="Arail" w:eastAsia="Arail" w:cs="Arail"/>
      <w:color w:val="999999"/>
      <w:sz w:val="21"/>
      <w:szCs w:val="21"/>
    </w:rPr>
  </w:style>
  <w:style w:type="character" w:customStyle="1" w:styleId="289">
    <w:name w:val="标题 3 Char"/>
    <w:qFormat/>
    <w:uiPriority w:val="0"/>
    <w:rPr>
      <w:rFonts w:ascii="Times New Roman" w:hAnsi="Times New Roman" w:eastAsia="宋体" w:cs="Times New Roman"/>
      <w:b/>
      <w:bCs/>
      <w:sz w:val="24"/>
      <w:szCs w:val="24"/>
    </w:rPr>
  </w:style>
  <w:style w:type="character" w:customStyle="1" w:styleId="290">
    <w:name w:val="Font Style115"/>
    <w:unhideWhenUsed/>
    <w:qFormat/>
    <w:uiPriority w:val="0"/>
    <w:rPr>
      <w:rFonts w:hint="eastAsia" w:ascii="Times New Roman" w:hAnsi="Times New Roman" w:eastAsia="Times New Roman" w:cs="Times New Roman"/>
      <w:sz w:val="16"/>
    </w:rPr>
  </w:style>
  <w:style w:type="character" w:customStyle="1" w:styleId="291">
    <w:name w:val="标题 6 字符"/>
    <w:link w:val="9"/>
    <w:qFormat/>
    <w:uiPriority w:val="0"/>
    <w:rPr>
      <w:rFonts w:ascii="Arial" w:hAnsi="Arial" w:eastAsia="黑体" w:cs="Times New Roman"/>
      <w:b/>
      <w:bCs/>
      <w:sz w:val="24"/>
      <w:szCs w:val="24"/>
      <w:lang w:val="en-US" w:eastAsia="zh-CN" w:bidi="ar-SA"/>
    </w:rPr>
  </w:style>
  <w:style w:type="character" w:customStyle="1" w:styleId="292">
    <w:name w:val="font51"/>
    <w:basedOn w:val="48"/>
    <w:qFormat/>
    <w:uiPriority w:val="0"/>
    <w:rPr>
      <w:rFonts w:hint="eastAsia" w:ascii="宋体" w:hAnsi="宋体" w:eastAsia="宋体" w:cs="宋体"/>
      <w:b/>
      <w:color w:val="000000"/>
      <w:sz w:val="22"/>
      <w:szCs w:val="22"/>
      <w:u w:val="none"/>
    </w:rPr>
  </w:style>
  <w:style w:type="character" w:customStyle="1" w:styleId="293">
    <w:name w:val="font21"/>
    <w:basedOn w:val="48"/>
    <w:qFormat/>
    <w:uiPriority w:val="0"/>
    <w:rPr>
      <w:rFonts w:hint="eastAsia" w:ascii="宋体" w:hAnsi="宋体" w:eastAsia="宋体" w:cs="宋体"/>
      <w:color w:val="333333"/>
      <w:sz w:val="18"/>
      <w:szCs w:val="18"/>
      <w:u w:val="none"/>
      <w:vertAlign w:val="superscript"/>
    </w:rPr>
  </w:style>
  <w:style w:type="character" w:customStyle="1" w:styleId="294">
    <w:name w:val="p0 Char Char"/>
    <w:qFormat/>
    <w:uiPriority w:val="0"/>
    <w:rPr>
      <w:rFonts w:ascii="Times New Roman" w:hAnsi="Times New Roman" w:eastAsia="宋体" w:cs="Times New Roman"/>
      <w:kern w:val="2"/>
      <w:sz w:val="21"/>
      <w:szCs w:val="21"/>
      <w:lang w:val="en-US" w:eastAsia="zh-CN" w:bidi="ar-SA"/>
    </w:rPr>
  </w:style>
  <w:style w:type="character" w:customStyle="1" w:styleId="295">
    <w:name w:val="标题 Char"/>
    <w:qFormat/>
    <w:uiPriority w:val="0"/>
    <w:rPr>
      <w:rFonts w:ascii="Cambria" w:hAnsi="Cambria" w:eastAsia="宋体" w:cs="Times New Roman"/>
      <w:b/>
      <w:kern w:val="2"/>
      <w:sz w:val="32"/>
      <w:szCs w:val="24"/>
    </w:rPr>
  </w:style>
  <w:style w:type="character" w:customStyle="1" w:styleId="296">
    <w:name w:val="纯文本 Char Char Char2"/>
    <w:qFormat/>
    <w:uiPriority w:val="0"/>
    <w:rPr>
      <w:rFonts w:ascii="Times New Roman" w:hAnsi="Times New Roman" w:eastAsia="宋体" w:cs="Times New Roman"/>
      <w:kern w:val="2"/>
      <w:sz w:val="24"/>
      <w:lang w:val="en-US" w:eastAsia="zh-CN" w:bidi="ar-SA"/>
    </w:rPr>
  </w:style>
  <w:style w:type="character" w:customStyle="1" w:styleId="297">
    <w:name w:val="polysemyred"/>
    <w:qFormat/>
    <w:uiPriority w:val="0"/>
    <w:rPr>
      <w:rFonts w:ascii="Times New Roman" w:hAnsi="Times New Roman" w:eastAsia="宋体" w:cs="Times New Roman"/>
      <w:color w:val="FF6666"/>
      <w:sz w:val="18"/>
      <w:szCs w:val="18"/>
    </w:rPr>
  </w:style>
  <w:style w:type="character" w:customStyle="1" w:styleId="298">
    <w:name w:val="纯文本 字符"/>
    <w:link w:val="26"/>
    <w:qFormat/>
    <w:uiPriority w:val="0"/>
    <w:rPr>
      <w:rFonts w:ascii="Times New Roman" w:hAnsi="Times New Roman" w:eastAsia="宋体" w:cs="Times New Roman"/>
      <w:kern w:val="2"/>
      <w:sz w:val="24"/>
      <w:lang w:val="en-US" w:eastAsia="zh-CN" w:bidi="ar-SA"/>
    </w:rPr>
  </w:style>
  <w:style w:type="character" w:customStyle="1" w:styleId="299">
    <w:name w:val="breakword"/>
    <w:qFormat/>
    <w:uiPriority w:val="99"/>
    <w:rPr>
      <w:rFonts w:ascii="宋体" w:hAnsi="宋体" w:eastAsia="宋体" w:cs="Times New Roman"/>
      <w:sz w:val="24"/>
    </w:rPr>
  </w:style>
  <w:style w:type="character" w:customStyle="1" w:styleId="300">
    <w:name w:val="正文文本缩进 3 字符"/>
    <w:link w:val="37"/>
    <w:qFormat/>
    <w:uiPriority w:val="0"/>
    <w:rPr>
      <w:rFonts w:ascii="Times New Roman" w:hAnsi="Times New Roman" w:eastAsia="宋体" w:cs="Times New Roman"/>
      <w:kern w:val="2"/>
      <w:sz w:val="16"/>
      <w:szCs w:val="16"/>
      <w:lang w:val="en-US" w:eastAsia="zh-CN" w:bidi="ar-SA"/>
    </w:rPr>
  </w:style>
  <w:style w:type="character" w:customStyle="1" w:styleId="301">
    <w:name w:val="bds_more6"/>
    <w:qFormat/>
    <w:uiPriority w:val="0"/>
    <w:rPr>
      <w:rFonts w:hint="eastAsia" w:ascii="宋体" w:hAnsi="宋体" w:eastAsia="宋体" w:cs="宋体"/>
    </w:rPr>
  </w:style>
  <w:style w:type="character" w:customStyle="1" w:styleId="302">
    <w:name w:val="bds_more9"/>
    <w:qFormat/>
    <w:uiPriority w:val="0"/>
    <w:rPr>
      <w:rFonts w:ascii="Times New Roman" w:hAnsi="Times New Roman" w:eastAsia="宋体" w:cs="Times New Roman"/>
    </w:rPr>
  </w:style>
  <w:style w:type="character" w:customStyle="1" w:styleId="303">
    <w:name w:val="标题 2 字符"/>
    <w:link w:val="5"/>
    <w:qFormat/>
    <w:uiPriority w:val="0"/>
    <w:rPr>
      <w:rFonts w:ascii="Arial" w:hAnsi="Arial" w:eastAsia="宋体" w:cs="Times New Roman"/>
      <w:b/>
      <w:bCs/>
      <w:kern w:val="2"/>
      <w:sz w:val="24"/>
      <w:szCs w:val="32"/>
      <w:lang w:val="en-US" w:eastAsia="zh-CN" w:bidi="ar-SA"/>
    </w:rPr>
  </w:style>
  <w:style w:type="character" w:customStyle="1" w:styleId="304">
    <w:name w:val="Font Style94"/>
    <w:unhideWhenUsed/>
    <w:qFormat/>
    <w:uiPriority w:val="0"/>
    <w:rPr>
      <w:rFonts w:hint="eastAsia" w:ascii="Times New Roman" w:hAnsi="Times New Roman" w:eastAsia="Times New Roman" w:cs="Times New Roman"/>
      <w:sz w:val="28"/>
    </w:rPr>
  </w:style>
  <w:style w:type="character" w:customStyle="1" w:styleId="305">
    <w:name w:val="Font Style86"/>
    <w:unhideWhenUsed/>
    <w:qFormat/>
    <w:uiPriority w:val="0"/>
    <w:rPr>
      <w:rFonts w:hint="eastAsia" w:ascii="黑体" w:hAnsi="黑体" w:eastAsia="黑体" w:cs="Times New Roman"/>
      <w:spacing w:val="10"/>
      <w:sz w:val="30"/>
    </w:rPr>
  </w:style>
  <w:style w:type="character" w:customStyle="1" w:styleId="306">
    <w:name w:val="Font Style123"/>
    <w:unhideWhenUsed/>
    <w:qFormat/>
    <w:uiPriority w:val="0"/>
    <w:rPr>
      <w:rFonts w:hint="eastAsia" w:ascii="宋体" w:hAnsi="宋体" w:eastAsia="宋体" w:cs="Times New Roman"/>
      <w:b/>
      <w:sz w:val="32"/>
    </w:rPr>
  </w:style>
  <w:style w:type="character" w:customStyle="1" w:styleId="307">
    <w:name w:val="标题 9 字符"/>
    <w:link w:val="12"/>
    <w:qFormat/>
    <w:uiPriority w:val="0"/>
    <w:rPr>
      <w:rFonts w:ascii="Arial" w:hAnsi="Arial" w:eastAsia="黑体" w:cs="Times New Roman"/>
      <w:sz w:val="21"/>
      <w:szCs w:val="21"/>
      <w:lang w:val="en-US" w:eastAsia="zh-CN" w:bidi="ar-SA"/>
    </w:rPr>
  </w:style>
  <w:style w:type="character" w:customStyle="1" w:styleId="308">
    <w:name w:val="页眉 Char"/>
    <w:qFormat/>
    <w:uiPriority w:val="99"/>
    <w:rPr>
      <w:rFonts w:ascii="Times New Roman" w:hAnsi="Times New Roman" w:eastAsia="宋体" w:cs="Times New Roman"/>
      <w:kern w:val="2"/>
      <w:sz w:val="18"/>
      <w:szCs w:val="18"/>
    </w:rPr>
  </w:style>
  <w:style w:type="character" w:customStyle="1" w:styleId="309">
    <w:name w:val="bds_nopic2"/>
    <w:qFormat/>
    <w:uiPriority w:val="0"/>
    <w:rPr>
      <w:rFonts w:ascii="Times New Roman" w:hAnsi="Times New Roman" w:eastAsia="宋体" w:cs="Times New Roman"/>
    </w:rPr>
  </w:style>
  <w:style w:type="character" w:customStyle="1" w:styleId="310">
    <w:name w:val="Font Style105"/>
    <w:unhideWhenUsed/>
    <w:qFormat/>
    <w:uiPriority w:val="0"/>
    <w:rPr>
      <w:rFonts w:hint="eastAsia" w:ascii="Times New Roman" w:hAnsi="Times New Roman" w:eastAsia="Times New Roman" w:cs="Times New Roman"/>
      <w:w w:val="60"/>
      <w:sz w:val="26"/>
    </w:rPr>
  </w:style>
  <w:style w:type="character" w:customStyle="1" w:styleId="311">
    <w:name w:val="标题 5 字符"/>
    <w:link w:val="8"/>
    <w:qFormat/>
    <w:uiPriority w:val="0"/>
    <w:rPr>
      <w:rFonts w:ascii="Times New Roman" w:hAnsi="Times New Roman" w:eastAsia="宋体" w:cs="Times New Roman"/>
      <w:b/>
      <w:bCs/>
      <w:sz w:val="28"/>
      <w:szCs w:val="28"/>
      <w:lang w:val="en-US" w:eastAsia="zh-CN" w:bidi="ar-SA"/>
    </w:rPr>
  </w:style>
  <w:style w:type="character" w:customStyle="1" w:styleId="312">
    <w:name w:val="polysemyexp"/>
    <w:qFormat/>
    <w:uiPriority w:val="0"/>
    <w:rPr>
      <w:rFonts w:ascii="Times New Roman" w:hAnsi="Times New Roman" w:eastAsia="宋体" w:cs="Times New Roman"/>
      <w:color w:val="AAAAAA"/>
      <w:sz w:val="18"/>
      <w:szCs w:val="18"/>
    </w:rPr>
  </w:style>
  <w:style w:type="character" w:customStyle="1" w:styleId="313">
    <w:name w:val="正文缩进 Char1"/>
    <w:link w:val="192"/>
    <w:qFormat/>
    <w:uiPriority w:val="0"/>
    <w:rPr>
      <w:rFonts w:ascii="宋体" w:hAnsi="Times New Roman" w:eastAsia="宋体" w:cs="Times New Roman"/>
      <w:sz w:val="24"/>
      <w:lang w:bidi="ar-SA"/>
    </w:rPr>
  </w:style>
  <w:style w:type="character" w:customStyle="1" w:styleId="314">
    <w:name w:val="纯文本 Char1 Char Char Char"/>
    <w:semiHidden/>
    <w:qFormat/>
    <w:uiPriority w:val="0"/>
    <w:rPr>
      <w:rFonts w:ascii="宋体" w:hAnsi="Courier New" w:eastAsia="宋体" w:cs="Times New Roman"/>
      <w:kern w:val="2"/>
      <w:sz w:val="24"/>
      <w:szCs w:val="24"/>
      <w:lang w:val="en-US" w:eastAsia="zh-CN" w:bidi="ar-SA"/>
    </w:rPr>
  </w:style>
  <w:style w:type="character" w:customStyle="1" w:styleId="315">
    <w:name w:val="批注主题 字符"/>
    <w:link w:val="45"/>
    <w:qFormat/>
    <w:uiPriority w:val="0"/>
    <w:rPr>
      <w:rFonts w:ascii="Times New Roman" w:hAnsi="Times New Roman" w:eastAsia="宋体" w:cs="Times New Roman"/>
      <w:b/>
      <w:bCs/>
      <w:kern w:val="2"/>
      <w:sz w:val="21"/>
      <w:szCs w:val="24"/>
      <w:lang w:val="en-US" w:eastAsia="zh-CN" w:bidi="ar-SA"/>
    </w:rPr>
  </w:style>
  <w:style w:type="character" w:customStyle="1" w:styleId="316">
    <w:name w:val="font41"/>
    <w:basedOn w:val="48"/>
    <w:qFormat/>
    <w:uiPriority w:val="0"/>
    <w:rPr>
      <w:rFonts w:hint="default" w:ascii="Arial Unicode MS" w:hAnsi="Arial Unicode MS" w:eastAsia="Arial Unicode MS" w:cs="Arial Unicode MS"/>
      <w:color w:val="000000"/>
      <w:sz w:val="20"/>
      <w:szCs w:val="20"/>
      <w:u w:val="none"/>
    </w:rPr>
  </w:style>
  <w:style w:type="character" w:customStyle="1" w:styleId="317">
    <w:name w:val="页脚 Char"/>
    <w:qFormat/>
    <w:uiPriority w:val="99"/>
    <w:rPr>
      <w:rFonts w:ascii="Times New Roman" w:hAnsi="Times New Roman" w:eastAsia="宋体" w:cs="Times New Roman"/>
      <w:kern w:val="2"/>
      <w:sz w:val="18"/>
      <w:szCs w:val="18"/>
    </w:rPr>
  </w:style>
  <w:style w:type="character" w:customStyle="1" w:styleId="318">
    <w:name w:val="Font Style126"/>
    <w:unhideWhenUsed/>
    <w:qFormat/>
    <w:uiPriority w:val="0"/>
    <w:rPr>
      <w:rFonts w:hint="eastAsia" w:ascii="宋体" w:hAnsi="宋体" w:eastAsia="宋体" w:cs="Times New Roman"/>
      <w:b/>
      <w:spacing w:val="-30"/>
      <w:sz w:val="28"/>
    </w:rPr>
  </w:style>
  <w:style w:type="character" w:customStyle="1" w:styleId="319">
    <w:name w:val="Font Style134"/>
    <w:unhideWhenUsed/>
    <w:qFormat/>
    <w:uiPriority w:val="0"/>
    <w:rPr>
      <w:rFonts w:hint="eastAsia" w:ascii="宋体" w:hAnsi="宋体" w:eastAsia="宋体" w:cs="Times New Roman"/>
      <w:spacing w:val="20"/>
      <w:sz w:val="22"/>
    </w:rPr>
  </w:style>
  <w:style w:type="character" w:customStyle="1" w:styleId="320">
    <w:name w:val="desc"/>
    <w:qFormat/>
    <w:uiPriority w:val="0"/>
    <w:rPr>
      <w:rFonts w:ascii="Times New Roman" w:hAnsi="Times New Roman" w:eastAsia="宋体" w:cs="Times New Roman"/>
      <w:color w:val="000000"/>
      <w:sz w:val="18"/>
      <w:szCs w:val="18"/>
    </w:rPr>
  </w:style>
  <w:style w:type="character" w:customStyle="1" w:styleId="321">
    <w:name w:val="Header Char"/>
    <w:qFormat/>
    <w:uiPriority w:val="0"/>
    <w:rPr>
      <w:rFonts w:ascii="Times New Roman" w:hAnsi="Times New Roman" w:eastAsia="宋体" w:cs="Times New Roman"/>
      <w:sz w:val="18"/>
      <w:szCs w:val="18"/>
    </w:rPr>
  </w:style>
  <w:style w:type="character" w:customStyle="1" w:styleId="322">
    <w:name w:val="纯文本 Char1"/>
    <w:link w:val="136"/>
    <w:qFormat/>
    <w:uiPriority w:val="0"/>
    <w:rPr>
      <w:rFonts w:ascii="宋体" w:hAnsi="Courier New" w:eastAsia="宋体" w:cs="Times New Roman"/>
      <w:lang w:bidi="ar-SA"/>
    </w:rPr>
  </w:style>
  <w:style w:type="character" w:customStyle="1" w:styleId="323">
    <w:name w:val="Font Style90"/>
    <w:unhideWhenUsed/>
    <w:qFormat/>
    <w:uiPriority w:val="0"/>
    <w:rPr>
      <w:rFonts w:hint="eastAsia" w:ascii="宋体" w:hAnsi="宋体" w:eastAsia="宋体" w:cs="Times New Roman"/>
      <w:b/>
      <w:spacing w:val="-20"/>
      <w:sz w:val="40"/>
    </w:rPr>
  </w:style>
  <w:style w:type="paragraph" w:customStyle="1" w:styleId="324">
    <w:name w:val="99-标书-正文"/>
    <w:qFormat/>
    <w:uiPriority w:val="0"/>
    <w:pPr>
      <w:spacing w:line="360" w:lineRule="auto"/>
      <w:ind w:firstLine="480" w:firstLineChars="200"/>
      <w:jc w:val="both"/>
    </w:pPr>
    <w:rPr>
      <w:rFonts w:ascii="宋体" w:hAnsi="宋体" w:eastAsia="宋体" w:cs="Times New Roman"/>
      <w:color w:val="000000"/>
      <w:sz w:val="24"/>
      <w:szCs w:val="21"/>
      <w:lang w:val="en-US" w:eastAsia="zh-CN" w:bidi="ar-SA"/>
    </w:rPr>
  </w:style>
  <w:style w:type="paragraph" w:customStyle="1" w:styleId="325">
    <w:name w:val="_Style 14"/>
    <w:basedOn w:val="1"/>
    <w:next w:val="193"/>
    <w:qFormat/>
    <w:uiPriority w:val="99"/>
    <w:pPr>
      <w:ind w:firstLine="420" w:firstLineChars="200"/>
    </w:pPr>
  </w:style>
  <w:style w:type="paragraph" w:customStyle="1" w:styleId="32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正文2"/>
    <w:basedOn w:val="1"/>
    <w:qFormat/>
    <w:uiPriority w:val="0"/>
    <w:pPr>
      <w:ind w:firstLine="420"/>
    </w:pPr>
    <w:rPr>
      <w:rFonts w:ascii="等线" w:hAnsi="等线"/>
    </w:rPr>
  </w:style>
  <w:style w:type="character" w:customStyle="1" w:styleId="328">
    <w:name w:val="样式 仿宋"/>
    <w:qFormat/>
    <w:uiPriority w:val="0"/>
    <w:rPr>
      <w:rFonts w:ascii="仿宋" w:hAnsi="仿宋" w:eastAsia="仿宋"/>
      <w:kern w:val="1"/>
    </w:rPr>
  </w:style>
  <w:style w:type="paragraph" w:customStyle="1" w:styleId="329">
    <w:name w:val="Heading #1|1"/>
    <w:basedOn w:val="1"/>
    <w:qFormat/>
    <w:uiPriority w:val="0"/>
    <w:pPr>
      <w:spacing w:before="140" w:after="120"/>
      <w:jc w:val="center"/>
      <w:outlineLvl w:val="0"/>
    </w:pPr>
    <w:rPr>
      <w:rFonts w:ascii="宋体" w:hAnsi="宋体" w:cs="宋体"/>
      <w:sz w:val="30"/>
      <w:szCs w:val="30"/>
      <w:lang w:val="zh-TW" w:eastAsia="zh-TW" w:bidi="zh-TW"/>
    </w:rPr>
  </w:style>
  <w:style w:type="paragraph" w:customStyle="1" w:styleId="330">
    <w:name w:val="Other|1"/>
    <w:basedOn w:val="1"/>
    <w:qFormat/>
    <w:uiPriority w:val="0"/>
    <w:pPr>
      <w:spacing w:line="316" w:lineRule="exact"/>
    </w:pPr>
    <w:rPr>
      <w:rFonts w:ascii="宋体" w:hAnsi="宋体" w:cs="宋体"/>
      <w:sz w:val="19"/>
      <w:szCs w:val="19"/>
      <w:lang w:val="zh-TW" w:eastAsia="zh-TW" w:bidi="zh-TW"/>
    </w:rPr>
  </w:style>
  <w:style w:type="paragraph" w:customStyle="1" w:styleId="331">
    <w:name w:val="Style1"/>
    <w:basedOn w:val="1"/>
    <w:qFormat/>
    <w:uiPriority w:val="0"/>
    <w:pPr>
      <w:widowControl/>
      <w:tabs>
        <w:tab w:val="left" w:pos="-720"/>
      </w:tabs>
    </w:pPr>
    <w:rPr>
      <w:spacing w:val="-3"/>
      <w:kern w:val="0"/>
      <w:sz w:val="24"/>
      <w:szCs w:val="20"/>
      <w:lang w:val="en-AU" w:eastAsia="en-US"/>
    </w:rPr>
  </w:style>
  <w:style w:type="paragraph" w:customStyle="1" w:styleId="3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333">
    <w:name w:val="font151"/>
    <w:basedOn w:val="48"/>
    <w:qFormat/>
    <w:uiPriority w:val="0"/>
    <w:rPr>
      <w:rFonts w:ascii="Symbol" w:hAnsi="Symbol" w:cs="Symbo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45987</Words>
  <Characters>53480</Characters>
  <Lines>423</Lines>
  <Paragraphs>119</Paragraphs>
  <TotalTime>0</TotalTime>
  <ScaleCrop>false</ScaleCrop>
  <LinksUpToDate>false</LinksUpToDate>
  <CharactersWithSpaces>57281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2020-09-18T10:15:00Z</dcterms:created>
  <dc:creator>M</dc:creator>
  <cp:lastModifiedBy>Administrator</cp:lastModifiedBy>
  <cp:lastPrinted>2024-10-24T11:27:00Z</cp:lastPrinted>
  <dcterms:modified xsi:type="dcterms:W3CDTF">2024-11-14T09:17:34Z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8C2474E6A77444AF96AB0F575B847CDB_13</vt:lpwstr>
  </property>
  <property fmtid="{D5CDD505-2E9C-101B-9397-08002B2CF9AE}" pid="4" name="KSOSaveFontToCloudKey">
    <vt:lpwstr>244531287_cloud</vt:lpwstr>
  </property>
</Properties>
</file>