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737BF8">
      <w:pPr>
        <w:wordWrap w:val="0"/>
        <w:spacing w:line="400" w:lineRule="exact"/>
        <w:rPr>
          <w:color w:val="auto"/>
          <w:lang w:eastAsia="zh-CN"/>
        </w:rPr>
      </w:pPr>
    </w:p>
    <w:p w14:paraId="159BABEB">
      <w:pPr>
        <w:pStyle w:val="2"/>
        <w:wordWrap w:val="0"/>
        <w:spacing w:line="400" w:lineRule="exact"/>
        <w:ind w:left="3218"/>
        <w:outlineLvl w:val="0"/>
        <w:rPr>
          <w:color w:val="auto"/>
          <w:sz w:val="35"/>
          <w:szCs w:val="35"/>
          <w:lang w:eastAsia="zh-CN"/>
        </w:rPr>
      </w:pPr>
      <w:bookmarkStart w:id="0" w:name="bookmark1"/>
      <w:bookmarkEnd w:id="0"/>
      <w:r>
        <w:rPr>
          <w:color w:val="auto"/>
          <w:spacing w:val="-9"/>
          <w:sz w:val="35"/>
          <w:szCs w:val="35"/>
          <w:lang w:eastAsia="zh-CN"/>
          <w14:textOutline w14:w="6540" w14:cap="sq" w14:cmpd="sng" w14:algn="ctr">
            <w14:solidFill>
              <w14:srgbClr w14:val="000000"/>
            </w14:solidFill>
            <w14:prstDash w14:val="solid"/>
            <w14:bevel/>
          </w14:textOutline>
        </w:rPr>
        <w:t>第</w:t>
      </w:r>
      <w:r>
        <w:rPr>
          <w:rFonts w:ascii="宋体" w:hAnsi="宋体" w:eastAsia="宋体" w:cs="宋体"/>
          <w:color w:val="auto"/>
          <w:spacing w:val="-9"/>
          <w:sz w:val="35"/>
          <w:szCs w:val="35"/>
          <w:lang w:eastAsia="zh-CN"/>
          <w14:textOutline w14:w="6540" w14:cap="sq" w14:cmpd="sng" w14:algn="ctr">
            <w14:solidFill>
              <w14:srgbClr w14:val="000000"/>
            </w14:solidFill>
            <w14:prstDash w14:val="solid"/>
            <w14:bevel/>
          </w14:textOutline>
        </w:rPr>
        <w:t>1</w:t>
      </w:r>
      <w:r>
        <w:rPr>
          <w:color w:val="auto"/>
          <w:spacing w:val="-9"/>
          <w:sz w:val="35"/>
          <w:szCs w:val="35"/>
          <w:lang w:eastAsia="zh-CN"/>
          <w14:textOutline w14:w="6540" w14:cap="sq" w14:cmpd="sng" w14:algn="ctr">
            <w14:solidFill>
              <w14:srgbClr w14:val="000000"/>
            </w14:solidFill>
            <w14:prstDash w14:val="solid"/>
            <w14:bevel/>
          </w14:textOutline>
        </w:rPr>
        <w:t>章招标公告</w:t>
      </w:r>
    </w:p>
    <w:p w14:paraId="72CA52BE">
      <w:pPr>
        <w:wordWrap w:val="0"/>
        <w:spacing w:line="400" w:lineRule="exact"/>
        <w:rPr>
          <w:color w:val="auto"/>
          <w:lang w:eastAsia="zh-CN"/>
        </w:rPr>
      </w:pPr>
    </w:p>
    <w:p w14:paraId="464F1BE5">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项目概况：实景三维是对人类生产、生活和生态空间进行真实、立体、时序化反映和表达的时空信息，是新型基础测绘标准化产品，是国家重要新型基础设施和战略性资源，为经济社会发展和各部门信息化提供统一的空间基底。</w:t>
      </w:r>
      <w:r>
        <w:rPr>
          <w:color w:val="auto"/>
          <w:spacing w:val="-7"/>
          <w:sz w:val="24"/>
          <w:szCs w:val="24"/>
          <w:lang w:eastAsia="zh-CN"/>
        </w:rPr>
        <w:t>2023</w:t>
      </w:r>
      <w:r>
        <w:rPr>
          <w:rFonts w:hint="eastAsia"/>
          <w:color w:val="auto"/>
          <w:spacing w:val="-7"/>
          <w:sz w:val="24"/>
          <w:szCs w:val="24"/>
          <w:lang w:eastAsia="zh-CN"/>
        </w:rPr>
        <w:t>年</w:t>
      </w:r>
      <w:r>
        <w:rPr>
          <w:color w:val="auto"/>
          <w:spacing w:val="-7"/>
          <w:sz w:val="24"/>
          <w:szCs w:val="24"/>
          <w:lang w:eastAsia="zh-CN"/>
        </w:rPr>
        <w:t>8</w:t>
      </w:r>
      <w:r>
        <w:rPr>
          <w:rFonts w:hint="eastAsia"/>
          <w:color w:val="auto"/>
          <w:spacing w:val="-7"/>
          <w:sz w:val="24"/>
          <w:szCs w:val="24"/>
          <w:lang w:eastAsia="zh-CN"/>
        </w:rPr>
        <w:t>月，自治区自然资源厅下发了《关于开展城市级实景三维建设的函》（新自然资函〔</w:t>
      </w:r>
      <w:r>
        <w:rPr>
          <w:color w:val="auto"/>
          <w:spacing w:val="-7"/>
          <w:sz w:val="24"/>
          <w:szCs w:val="24"/>
          <w:lang w:eastAsia="zh-CN"/>
        </w:rPr>
        <w:t>2023</w:t>
      </w:r>
      <w:r>
        <w:rPr>
          <w:rFonts w:hint="eastAsia"/>
          <w:color w:val="auto"/>
          <w:spacing w:val="-7"/>
          <w:sz w:val="24"/>
          <w:szCs w:val="24"/>
          <w:lang w:eastAsia="zh-CN"/>
        </w:rPr>
        <w:t>〕</w:t>
      </w:r>
      <w:r>
        <w:rPr>
          <w:color w:val="auto"/>
          <w:spacing w:val="-7"/>
          <w:sz w:val="24"/>
          <w:szCs w:val="24"/>
          <w:lang w:eastAsia="zh-CN"/>
        </w:rPr>
        <w:t>288</w:t>
      </w:r>
      <w:r>
        <w:rPr>
          <w:rFonts w:hint="eastAsia"/>
          <w:color w:val="auto"/>
          <w:spacing w:val="-7"/>
          <w:sz w:val="24"/>
          <w:szCs w:val="24"/>
          <w:lang w:eastAsia="zh-CN"/>
        </w:rPr>
        <w:t>号）和《关于全面开展实景三维新疆建设的通知》（新自然资发〔</w:t>
      </w:r>
      <w:r>
        <w:rPr>
          <w:color w:val="auto"/>
          <w:spacing w:val="-7"/>
          <w:sz w:val="24"/>
          <w:szCs w:val="24"/>
          <w:lang w:eastAsia="zh-CN"/>
        </w:rPr>
        <w:t>2023</w:t>
      </w:r>
      <w:r>
        <w:rPr>
          <w:rFonts w:hint="eastAsia"/>
          <w:color w:val="auto"/>
          <w:spacing w:val="-7"/>
          <w:sz w:val="24"/>
          <w:szCs w:val="24"/>
          <w:lang w:eastAsia="zh-CN"/>
        </w:rPr>
        <w:t>〕</w:t>
      </w:r>
      <w:r>
        <w:rPr>
          <w:color w:val="auto"/>
          <w:spacing w:val="-7"/>
          <w:sz w:val="24"/>
          <w:szCs w:val="24"/>
          <w:lang w:eastAsia="zh-CN"/>
        </w:rPr>
        <w:t>134</w:t>
      </w:r>
      <w:r>
        <w:rPr>
          <w:rFonts w:hint="eastAsia"/>
          <w:color w:val="auto"/>
          <w:spacing w:val="-7"/>
          <w:sz w:val="24"/>
          <w:szCs w:val="24"/>
          <w:lang w:eastAsia="zh-CN"/>
        </w:rPr>
        <w:t>号）文件，要求全区城市级实景三维建设工作必须于</w:t>
      </w:r>
      <w:r>
        <w:rPr>
          <w:color w:val="auto"/>
          <w:spacing w:val="-7"/>
          <w:sz w:val="24"/>
          <w:szCs w:val="24"/>
          <w:lang w:eastAsia="zh-CN"/>
        </w:rPr>
        <w:t>2024</w:t>
      </w:r>
      <w:r>
        <w:rPr>
          <w:rFonts w:hint="eastAsia"/>
          <w:color w:val="auto"/>
          <w:spacing w:val="-7"/>
          <w:sz w:val="24"/>
          <w:szCs w:val="24"/>
          <w:lang w:eastAsia="zh-CN"/>
        </w:rPr>
        <w:t>年</w:t>
      </w:r>
      <w:r>
        <w:rPr>
          <w:color w:val="auto"/>
          <w:spacing w:val="-7"/>
          <w:sz w:val="24"/>
          <w:szCs w:val="24"/>
          <w:lang w:eastAsia="zh-CN"/>
        </w:rPr>
        <w:t>12</w:t>
      </w:r>
      <w:r>
        <w:rPr>
          <w:rFonts w:hint="eastAsia"/>
          <w:color w:val="auto"/>
          <w:spacing w:val="-7"/>
          <w:sz w:val="24"/>
          <w:szCs w:val="24"/>
          <w:lang w:eastAsia="zh-CN"/>
        </w:rPr>
        <w:t>月底完成城市三维模型（</w:t>
      </w:r>
      <w:r>
        <w:rPr>
          <w:color w:val="auto"/>
          <w:spacing w:val="-7"/>
          <w:sz w:val="24"/>
          <w:szCs w:val="24"/>
          <w:lang w:eastAsia="zh-CN"/>
        </w:rPr>
        <w:t>LOD1.3</w:t>
      </w:r>
      <w:r>
        <w:rPr>
          <w:rFonts w:hint="eastAsia"/>
          <w:color w:val="auto"/>
          <w:spacing w:val="-7"/>
          <w:sz w:val="24"/>
          <w:szCs w:val="24"/>
          <w:lang w:eastAsia="zh-CN"/>
        </w:rPr>
        <w:t>级）数据并上报自然资源厅；到</w:t>
      </w:r>
      <w:r>
        <w:rPr>
          <w:color w:val="auto"/>
          <w:spacing w:val="-7"/>
          <w:sz w:val="24"/>
          <w:szCs w:val="24"/>
          <w:lang w:eastAsia="zh-CN"/>
        </w:rPr>
        <w:t>2025</w:t>
      </w:r>
      <w:r>
        <w:rPr>
          <w:rFonts w:hint="eastAsia"/>
          <w:color w:val="auto"/>
          <w:spacing w:val="-7"/>
          <w:sz w:val="24"/>
          <w:szCs w:val="24"/>
          <w:lang w:eastAsia="zh-CN"/>
        </w:rPr>
        <w:t>年实现优于</w:t>
      </w:r>
      <w:r>
        <w:rPr>
          <w:color w:val="auto"/>
          <w:spacing w:val="-7"/>
          <w:sz w:val="24"/>
          <w:szCs w:val="24"/>
          <w:lang w:eastAsia="zh-CN"/>
        </w:rPr>
        <w:t>5</w:t>
      </w:r>
      <w:r>
        <w:rPr>
          <w:rFonts w:hint="eastAsia"/>
          <w:color w:val="auto"/>
          <w:spacing w:val="-7"/>
          <w:sz w:val="24"/>
          <w:szCs w:val="24"/>
          <w:lang w:eastAsia="zh-CN"/>
        </w:rPr>
        <w:t>厘米分辨率城市级实景三维覆盖地州人民政府所在地城市建成区和建设自治区、地（州、市）、县（市、区）多级实景三维在线与离线相结合的服务系统。经州人民政府统一部署，开展</w:t>
      </w:r>
      <w:r>
        <w:rPr>
          <w:color w:val="auto"/>
          <w:spacing w:val="-7"/>
          <w:sz w:val="24"/>
          <w:szCs w:val="24"/>
          <w:lang w:eastAsia="zh-CN"/>
        </w:rPr>
        <w:t>库尔勒城市建成区范围约为130平方千米（含库尔勒经济技术开发区）</w:t>
      </w:r>
      <w:r>
        <w:rPr>
          <w:rFonts w:hint="eastAsia"/>
          <w:color w:val="auto"/>
          <w:spacing w:val="-7"/>
          <w:sz w:val="24"/>
          <w:szCs w:val="24"/>
          <w:lang w:eastAsia="zh-CN"/>
        </w:rPr>
        <w:t>城市级实景三维建设工作</w:t>
      </w:r>
    </w:p>
    <w:p w14:paraId="54737531">
      <w:pPr>
        <w:pStyle w:val="2"/>
        <w:wordWrap w:val="0"/>
        <w:spacing w:line="400" w:lineRule="exact"/>
        <w:ind w:left="498"/>
        <w:rPr>
          <w:color w:val="auto"/>
          <w:sz w:val="24"/>
          <w:szCs w:val="24"/>
          <w:lang w:eastAsia="zh-CN"/>
        </w:rPr>
      </w:pPr>
      <w:r>
        <w:rPr>
          <w:color w:val="auto"/>
          <w:spacing w:val="-3"/>
          <w:sz w:val="24"/>
          <w:szCs w:val="24"/>
          <w:lang w:eastAsia="zh-CN"/>
        </w:rPr>
        <w:t>一、项目基本情况</w:t>
      </w:r>
    </w:p>
    <w:p w14:paraId="11F38322">
      <w:pPr>
        <w:pStyle w:val="2"/>
        <w:wordWrap w:val="0"/>
        <w:spacing w:line="400" w:lineRule="exact"/>
        <w:ind w:left="495"/>
        <w:rPr>
          <w:color w:val="auto"/>
          <w:sz w:val="24"/>
          <w:szCs w:val="24"/>
          <w:lang w:eastAsia="zh-CN"/>
        </w:rPr>
      </w:pPr>
      <w:r>
        <w:rPr>
          <w:color w:val="auto"/>
          <w:spacing w:val="-1"/>
          <w:sz w:val="24"/>
          <w:szCs w:val="24"/>
          <w:lang w:eastAsia="zh-CN"/>
        </w:rPr>
        <w:t>项目编号：</w:t>
      </w:r>
    </w:p>
    <w:p w14:paraId="1BFD4866">
      <w:pPr>
        <w:pStyle w:val="2"/>
        <w:wordWrap w:val="0"/>
        <w:spacing w:line="400" w:lineRule="exact"/>
        <w:ind w:left="495"/>
        <w:rPr>
          <w:color w:val="auto"/>
          <w:sz w:val="24"/>
          <w:szCs w:val="24"/>
          <w:lang w:eastAsia="zh-CN"/>
        </w:rPr>
      </w:pPr>
      <w:r>
        <w:rPr>
          <w:color w:val="auto"/>
          <w:spacing w:val="-2"/>
          <w:sz w:val="24"/>
          <w:szCs w:val="24"/>
          <w:lang w:eastAsia="zh-CN"/>
        </w:rPr>
        <w:t>项目名称：</w:t>
      </w:r>
      <w:r>
        <w:rPr>
          <w:rFonts w:hint="eastAsia"/>
          <w:color w:val="auto"/>
          <w:spacing w:val="-2"/>
          <w:sz w:val="24"/>
          <w:szCs w:val="24"/>
          <w:lang w:eastAsia="zh-CN"/>
        </w:rPr>
        <w:t>库尔勒城市级实景三维建设项目</w:t>
      </w:r>
    </w:p>
    <w:p w14:paraId="1B25B2D5">
      <w:pPr>
        <w:pStyle w:val="2"/>
        <w:wordWrap w:val="0"/>
        <w:spacing w:line="400" w:lineRule="exact"/>
        <w:ind w:left="496"/>
        <w:rPr>
          <w:color w:val="auto"/>
          <w:sz w:val="24"/>
          <w:szCs w:val="24"/>
          <w:lang w:eastAsia="zh-CN"/>
        </w:rPr>
      </w:pPr>
      <w:r>
        <w:rPr>
          <w:color w:val="auto"/>
          <w:spacing w:val="-2"/>
          <w:sz w:val="24"/>
          <w:szCs w:val="24"/>
          <w:lang w:eastAsia="zh-CN"/>
        </w:rPr>
        <w:t>采购方式：公开招标</w:t>
      </w:r>
    </w:p>
    <w:p w14:paraId="7CB619A6">
      <w:pPr>
        <w:pStyle w:val="2"/>
        <w:wordWrap w:val="0"/>
        <w:spacing w:line="400" w:lineRule="exact"/>
        <w:ind w:left="496"/>
        <w:rPr>
          <w:color w:val="auto"/>
          <w:sz w:val="24"/>
          <w:szCs w:val="24"/>
          <w:lang w:eastAsia="zh-CN"/>
        </w:rPr>
      </w:pPr>
      <w:r>
        <w:rPr>
          <w:color w:val="auto"/>
          <w:spacing w:val="-3"/>
          <w:sz w:val="24"/>
          <w:szCs w:val="24"/>
          <w:lang w:eastAsia="zh-CN"/>
        </w:rPr>
        <w:t>预算金额（万元</w:t>
      </w:r>
      <w:r>
        <w:rPr>
          <w:color w:val="auto"/>
          <w:spacing w:val="5"/>
          <w:sz w:val="24"/>
          <w:szCs w:val="24"/>
          <w:lang w:eastAsia="zh-CN"/>
        </w:rPr>
        <w:t>）：</w:t>
      </w:r>
      <w:r>
        <w:rPr>
          <w:rFonts w:hint="eastAsia"/>
          <w:color w:val="auto"/>
          <w:spacing w:val="-3"/>
          <w:sz w:val="24"/>
          <w:szCs w:val="24"/>
          <w:lang w:eastAsia="zh-CN"/>
        </w:rPr>
        <w:t>700</w:t>
      </w:r>
    </w:p>
    <w:p w14:paraId="27C93D96">
      <w:pPr>
        <w:pStyle w:val="2"/>
        <w:wordWrap w:val="0"/>
        <w:spacing w:line="400" w:lineRule="exact"/>
        <w:ind w:left="501"/>
        <w:rPr>
          <w:color w:val="auto"/>
          <w:sz w:val="24"/>
          <w:szCs w:val="24"/>
          <w:lang w:eastAsia="zh-CN"/>
        </w:rPr>
      </w:pPr>
      <w:r>
        <w:rPr>
          <w:color w:val="auto"/>
          <w:spacing w:val="-4"/>
          <w:sz w:val="24"/>
          <w:szCs w:val="24"/>
          <w:lang w:eastAsia="zh-CN"/>
        </w:rPr>
        <w:t>最高限价（万元</w:t>
      </w:r>
      <w:r>
        <w:rPr>
          <w:color w:val="auto"/>
          <w:spacing w:val="8"/>
          <w:sz w:val="24"/>
          <w:szCs w:val="24"/>
          <w:lang w:eastAsia="zh-CN"/>
        </w:rPr>
        <w:t>）：</w:t>
      </w:r>
      <w:r>
        <w:rPr>
          <w:rFonts w:hint="eastAsia"/>
          <w:color w:val="auto"/>
          <w:spacing w:val="-3"/>
          <w:sz w:val="24"/>
          <w:szCs w:val="24"/>
          <w:lang w:eastAsia="zh-CN"/>
        </w:rPr>
        <w:t>700</w:t>
      </w:r>
    </w:p>
    <w:p w14:paraId="3BCFC994">
      <w:pPr>
        <w:pStyle w:val="2"/>
        <w:wordWrap w:val="0"/>
        <w:spacing w:line="400" w:lineRule="exact"/>
        <w:ind w:left="496"/>
        <w:rPr>
          <w:color w:val="auto"/>
          <w:sz w:val="24"/>
          <w:szCs w:val="24"/>
          <w:lang w:eastAsia="zh-CN"/>
        </w:rPr>
      </w:pPr>
      <w:r>
        <w:rPr>
          <w:color w:val="auto"/>
          <w:spacing w:val="-2"/>
          <w:sz w:val="24"/>
          <w:szCs w:val="24"/>
          <w:lang w:eastAsia="zh-CN"/>
        </w:rPr>
        <w:t>备注：本项目不接受联合体投标。</w:t>
      </w:r>
    </w:p>
    <w:p w14:paraId="575EC8CC">
      <w:pPr>
        <w:pStyle w:val="2"/>
        <w:wordWrap w:val="0"/>
        <w:spacing w:line="400" w:lineRule="exact"/>
        <w:ind w:left="495"/>
        <w:rPr>
          <w:color w:val="auto"/>
          <w:sz w:val="24"/>
          <w:szCs w:val="24"/>
          <w:lang w:eastAsia="zh-CN"/>
        </w:rPr>
      </w:pPr>
      <w:r>
        <w:rPr>
          <w:color w:val="auto"/>
          <w:spacing w:val="-5"/>
          <w:sz w:val="24"/>
          <w:szCs w:val="24"/>
          <w:lang w:eastAsia="zh-CN"/>
        </w:rPr>
        <w:t>项目履约期限：2024年</w:t>
      </w:r>
      <w:r>
        <w:rPr>
          <w:rFonts w:hint="eastAsia"/>
          <w:color w:val="auto"/>
          <w:spacing w:val="-53"/>
          <w:sz w:val="24"/>
          <w:szCs w:val="24"/>
          <w:lang w:eastAsia="zh-CN"/>
        </w:rPr>
        <w:t>11</w:t>
      </w:r>
      <w:r>
        <w:rPr>
          <w:color w:val="auto"/>
          <w:spacing w:val="-5"/>
          <w:sz w:val="24"/>
          <w:szCs w:val="24"/>
          <w:lang w:eastAsia="zh-CN"/>
        </w:rPr>
        <w:t>月-2025月</w:t>
      </w:r>
      <w:r>
        <w:rPr>
          <w:rFonts w:hint="eastAsia"/>
          <w:color w:val="auto"/>
          <w:spacing w:val="-5"/>
          <w:sz w:val="24"/>
          <w:szCs w:val="24"/>
          <w:lang w:eastAsia="zh-CN"/>
        </w:rPr>
        <w:t>11</w:t>
      </w:r>
      <w:r>
        <w:rPr>
          <w:color w:val="auto"/>
          <w:spacing w:val="-5"/>
          <w:sz w:val="24"/>
          <w:szCs w:val="24"/>
          <w:lang w:eastAsia="zh-CN"/>
        </w:rPr>
        <w:t>月</w:t>
      </w:r>
    </w:p>
    <w:p w14:paraId="2562BDD0">
      <w:pPr>
        <w:pStyle w:val="2"/>
        <w:numPr>
          <w:ilvl w:val="0"/>
          <w:numId w:val="1"/>
        </w:numPr>
        <w:wordWrap w:val="0"/>
        <w:spacing w:line="400" w:lineRule="exact"/>
        <w:rPr>
          <w:color w:val="auto"/>
          <w:spacing w:val="-7"/>
          <w:sz w:val="24"/>
          <w:szCs w:val="24"/>
          <w:lang w:eastAsia="zh-CN"/>
        </w:rPr>
      </w:pPr>
      <w:r>
        <w:rPr>
          <w:color w:val="auto"/>
          <w:spacing w:val="-7"/>
          <w:sz w:val="24"/>
          <w:szCs w:val="24"/>
          <w:lang w:eastAsia="zh-CN"/>
        </w:rPr>
        <w:t>采购需求：</w:t>
      </w:r>
    </w:p>
    <w:p w14:paraId="21197B12">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1．地理场景建设（</w:t>
      </w:r>
      <w:r>
        <w:rPr>
          <w:color w:val="auto"/>
          <w:spacing w:val="-7"/>
          <w:sz w:val="24"/>
          <w:szCs w:val="24"/>
          <w:lang w:eastAsia="zh-CN"/>
        </w:rPr>
        <w:t>Mesh</w:t>
      </w:r>
      <w:r>
        <w:rPr>
          <w:rFonts w:hint="eastAsia"/>
          <w:color w:val="auto"/>
          <w:spacing w:val="-7"/>
          <w:sz w:val="24"/>
          <w:szCs w:val="24"/>
          <w:lang w:eastAsia="zh-CN"/>
        </w:rPr>
        <w:t>三维模型）</w:t>
      </w:r>
    </w:p>
    <w:p w14:paraId="355A402C">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获取开展库尔勒建成区约</w:t>
      </w:r>
      <w:r>
        <w:rPr>
          <w:color w:val="auto"/>
          <w:spacing w:val="-7"/>
          <w:sz w:val="24"/>
          <w:szCs w:val="24"/>
          <w:lang w:eastAsia="zh-CN"/>
        </w:rPr>
        <w:t>130</w:t>
      </w:r>
      <w:r>
        <w:rPr>
          <w:rFonts w:hint="eastAsia"/>
          <w:color w:val="auto"/>
          <w:spacing w:val="-7"/>
          <w:sz w:val="24"/>
          <w:szCs w:val="24"/>
          <w:lang w:eastAsia="zh-CN"/>
        </w:rPr>
        <w:t>平方公里优于</w:t>
      </w:r>
      <w:r>
        <w:rPr>
          <w:color w:val="auto"/>
          <w:spacing w:val="-7"/>
          <w:sz w:val="24"/>
          <w:szCs w:val="24"/>
          <w:lang w:eastAsia="zh-CN"/>
        </w:rPr>
        <w:t>3</w:t>
      </w:r>
      <w:r>
        <w:rPr>
          <w:rFonts w:hint="eastAsia"/>
          <w:color w:val="auto"/>
          <w:spacing w:val="-7"/>
          <w:sz w:val="24"/>
          <w:szCs w:val="24"/>
          <w:lang w:eastAsia="zh-CN"/>
        </w:rPr>
        <w:t>厘米分辨率倾斜摄影影像、</w:t>
      </w:r>
      <w:r>
        <w:rPr>
          <w:color w:val="auto"/>
          <w:spacing w:val="-7"/>
          <w:sz w:val="24"/>
          <w:szCs w:val="24"/>
          <w:lang w:eastAsia="zh-CN"/>
        </w:rPr>
        <w:t>LiDAR</w:t>
      </w:r>
      <w:r>
        <w:rPr>
          <w:rFonts w:hint="eastAsia"/>
          <w:color w:val="auto"/>
          <w:spacing w:val="-7"/>
          <w:sz w:val="24"/>
          <w:szCs w:val="24"/>
          <w:lang w:eastAsia="zh-CN"/>
        </w:rPr>
        <w:t>点云数据（激光点云密度优于16点</w:t>
      </w:r>
      <w:r>
        <w:rPr>
          <w:color w:val="auto"/>
          <w:spacing w:val="-7"/>
          <w:sz w:val="24"/>
          <w:szCs w:val="24"/>
          <w:lang w:eastAsia="zh-CN"/>
        </w:rPr>
        <w:t>/</w:t>
      </w:r>
      <w:r>
        <w:rPr>
          <w:rFonts w:hint="eastAsia"/>
          <w:color w:val="auto"/>
          <w:spacing w:val="-7"/>
          <w:sz w:val="24"/>
          <w:szCs w:val="24"/>
          <w:lang w:eastAsia="zh-CN"/>
        </w:rPr>
        <w:t>平方米）等构建城市级地理场景数据</w:t>
      </w:r>
      <w:r>
        <w:rPr>
          <w:color w:val="auto"/>
          <w:spacing w:val="-7"/>
          <w:sz w:val="24"/>
          <w:szCs w:val="24"/>
          <w:lang w:eastAsia="zh-CN"/>
        </w:rPr>
        <w:t>Mesh</w:t>
      </w:r>
      <w:r>
        <w:rPr>
          <w:rFonts w:hint="eastAsia"/>
          <w:color w:val="auto"/>
          <w:spacing w:val="-7"/>
          <w:sz w:val="24"/>
          <w:szCs w:val="24"/>
          <w:lang w:eastAsia="zh-CN"/>
        </w:rPr>
        <w:t>三维模型并生产</w:t>
      </w:r>
      <w:r>
        <w:rPr>
          <w:color w:val="auto"/>
          <w:spacing w:val="-7"/>
          <w:sz w:val="24"/>
          <w:szCs w:val="24"/>
          <w:lang w:eastAsia="zh-CN"/>
        </w:rPr>
        <w:t>DEM</w:t>
      </w:r>
      <w:r>
        <w:rPr>
          <w:rFonts w:hint="eastAsia"/>
          <w:color w:val="auto"/>
          <w:spacing w:val="-7"/>
          <w:sz w:val="24"/>
          <w:szCs w:val="24"/>
          <w:lang w:eastAsia="zh-CN"/>
        </w:rPr>
        <w:t>、</w:t>
      </w:r>
      <w:r>
        <w:rPr>
          <w:color w:val="auto"/>
          <w:spacing w:val="-7"/>
          <w:sz w:val="24"/>
          <w:szCs w:val="24"/>
          <w:lang w:eastAsia="zh-CN"/>
        </w:rPr>
        <w:t>DOM</w:t>
      </w:r>
      <w:r>
        <w:rPr>
          <w:rFonts w:hint="eastAsia"/>
          <w:color w:val="auto"/>
          <w:spacing w:val="-7"/>
          <w:sz w:val="24"/>
          <w:szCs w:val="24"/>
          <w:lang w:eastAsia="zh-CN"/>
        </w:rPr>
        <w:t>、</w:t>
      </w:r>
      <w:r>
        <w:rPr>
          <w:color w:val="auto"/>
          <w:spacing w:val="-7"/>
          <w:sz w:val="24"/>
          <w:szCs w:val="24"/>
          <w:lang w:eastAsia="zh-CN"/>
        </w:rPr>
        <w:t>DSM</w:t>
      </w:r>
      <w:r>
        <w:rPr>
          <w:rFonts w:hint="eastAsia"/>
          <w:color w:val="auto"/>
          <w:spacing w:val="-7"/>
          <w:sz w:val="24"/>
          <w:szCs w:val="24"/>
          <w:lang w:eastAsia="zh-CN"/>
        </w:rPr>
        <w:t>产品，并对</w:t>
      </w:r>
      <w:r>
        <w:rPr>
          <w:color w:val="auto"/>
          <w:spacing w:val="-7"/>
          <w:sz w:val="24"/>
          <w:szCs w:val="24"/>
          <w:lang w:eastAsia="zh-CN"/>
        </w:rPr>
        <w:t>Mesh</w:t>
      </w:r>
      <w:r>
        <w:rPr>
          <w:rFonts w:hint="eastAsia"/>
          <w:color w:val="auto"/>
          <w:spacing w:val="-7"/>
          <w:sz w:val="24"/>
          <w:szCs w:val="24"/>
          <w:lang w:eastAsia="zh-CN"/>
        </w:rPr>
        <w:t>三维模型进行修饰和轻量化处理。</w:t>
      </w:r>
    </w:p>
    <w:p w14:paraId="21F536D7">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2．城市三维模型（</w:t>
      </w:r>
      <w:r>
        <w:rPr>
          <w:color w:val="auto"/>
          <w:spacing w:val="-7"/>
          <w:sz w:val="24"/>
          <w:szCs w:val="24"/>
          <w:lang w:eastAsia="zh-CN"/>
        </w:rPr>
        <w:t>LOD1.3</w:t>
      </w:r>
      <w:r>
        <w:rPr>
          <w:rFonts w:hint="eastAsia"/>
          <w:color w:val="auto"/>
          <w:spacing w:val="-7"/>
          <w:sz w:val="24"/>
          <w:szCs w:val="24"/>
          <w:lang w:eastAsia="zh-CN"/>
        </w:rPr>
        <w:t>级）生产</w:t>
      </w:r>
    </w:p>
    <w:p w14:paraId="412A8DD9">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根据自然资源部要求，结合实际情况，选取适当模式，开展库尔勒建成区约</w:t>
      </w:r>
      <w:r>
        <w:rPr>
          <w:color w:val="auto"/>
          <w:spacing w:val="-7"/>
          <w:sz w:val="24"/>
          <w:szCs w:val="24"/>
          <w:lang w:eastAsia="zh-CN"/>
        </w:rPr>
        <w:t>130</w:t>
      </w:r>
      <w:r>
        <w:rPr>
          <w:rFonts w:hint="eastAsia"/>
          <w:color w:val="auto"/>
          <w:spacing w:val="-7"/>
          <w:sz w:val="24"/>
          <w:szCs w:val="24"/>
          <w:lang w:eastAsia="zh-CN"/>
        </w:rPr>
        <w:t>平方公里城市三维模型（</w:t>
      </w:r>
      <w:r>
        <w:rPr>
          <w:color w:val="auto"/>
          <w:spacing w:val="-7"/>
          <w:sz w:val="24"/>
          <w:szCs w:val="24"/>
          <w:lang w:eastAsia="zh-CN"/>
        </w:rPr>
        <w:t>LOD1.3</w:t>
      </w:r>
      <w:r>
        <w:rPr>
          <w:rFonts w:hint="eastAsia"/>
          <w:color w:val="auto"/>
          <w:spacing w:val="-7"/>
          <w:sz w:val="24"/>
          <w:szCs w:val="24"/>
          <w:lang w:eastAsia="zh-CN"/>
        </w:rPr>
        <w:t>级）生产。城市三维模型（</w:t>
      </w:r>
      <w:r>
        <w:rPr>
          <w:color w:val="auto"/>
          <w:spacing w:val="-7"/>
          <w:sz w:val="24"/>
          <w:szCs w:val="24"/>
          <w:lang w:eastAsia="zh-CN"/>
        </w:rPr>
        <w:t>LOD1.3</w:t>
      </w:r>
      <w:r>
        <w:rPr>
          <w:rFonts w:hint="eastAsia"/>
          <w:color w:val="auto"/>
          <w:spacing w:val="-7"/>
          <w:sz w:val="24"/>
          <w:szCs w:val="24"/>
          <w:lang w:eastAsia="zh-CN"/>
        </w:rPr>
        <w:t>级）生产数据精度应满足《新疆城市三维模型（</w:t>
      </w:r>
      <w:r>
        <w:rPr>
          <w:color w:val="auto"/>
          <w:spacing w:val="-7"/>
          <w:sz w:val="24"/>
          <w:szCs w:val="24"/>
          <w:lang w:eastAsia="zh-CN"/>
        </w:rPr>
        <w:t>LOD1.3</w:t>
      </w:r>
      <w:r>
        <w:rPr>
          <w:rFonts w:hint="eastAsia"/>
          <w:color w:val="auto"/>
          <w:spacing w:val="-7"/>
          <w:sz w:val="24"/>
          <w:szCs w:val="24"/>
          <w:lang w:eastAsia="zh-CN"/>
        </w:rPr>
        <w:t>）数据生产技术规程》中的精度要求，生产白膜需按要求进行白模纹理映射和属性挂接，并对模型开展轻量化处理。</w:t>
      </w:r>
    </w:p>
    <w:p w14:paraId="0E293332">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3．基础地理实体数据生产（约</w:t>
      </w:r>
      <w:r>
        <w:rPr>
          <w:color w:val="auto"/>
          <w:spacing w:val="-7"/>
          <w:sz w:val="24"/>
          <w:szCs w:val="24"/>
          <w:lang w:eastAsia="zh-CN"/>
        </w:rPr>
        <w:t>130</w:t>
      </w:r>
      <w:r>
        <w:rPr>
          <w:rFonts w:hint="eastAsia"/>
          <w:color w:val="auto"/>
          <w:spacing w:val="-7"/>
          <w:sz w:val="24"/>
          <w:szCs w:val="24"/>
          <w:lang w:eastAsia="zh-CN"/>
        </w:rPr>
        <w:t>平方千米）</w:t>
      </w:r>
    </w:p>
    <w:p w14:paraId="2A311653">
      <w:pPr>
        <w:pStyle w:val="2"/>
        <w:wordWrap w:val="0"/>
        <w:spacing w:line="400" w:lineRule="exact"/>
        <w:ind w:left="58" w:right="63" w:firstLine="465"/>
        <w:rPr>
          <w:spacing w:val="3"/>
          <w:sz w:val="24"/>
          <w:szCs w:val="24"/>
          <w:lang w:eastAsia="zh-CN"/>
        </w:rPr>
      </w:pPr>
      <w:r>
        <w:rPr>
          <w:rFonts w:hint="eastAsia"/>
          <w:spacing w:val="3"/>
          <w:sz w:val="24"/>
          <w:szCs w:val="24"/>
          <w:lang w:eastAsia="zh-CN"/>
        </w:rPr>
        <w:t>测制库尔勒建成区约130平方千米1:500大比例尺DLG数据，并基于1:500大比例尺DLG数据以及倾斜影像、LiDAR点云、Mesh三维模型等相关数据生产基础地理实体数据。</w:t>
      </w:r>
      <w:r>
        <w:rPr>
          <w:rFonts w:hint="eastAsia"/>
          <w:color w:val="auto"/>
          <w:spacing w:val="-7"/>
          <w:sz w:val="24"/>
          <w:szCs w:val="24"/>
          <w:lang w:eastAsia="zh-CN"/>
        </w:rPr>
        <w:t>基础地理实体数据生产精度应满足《新疆城市级二维基础地理实体数据生产技术规程》中的精度要求。</w:t>
      </w:r>
    </w:p>
    <w:p w14:paraId="5E548109">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4.三维基础地理实体数据采集生产</w:t>
      </w:r>
    </w:p>
    <w:p w14:paraId="3A559AEA">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根据采购方要求，完成库尔勒市</w:t>
      </w:r>
      <w:r>
        <w:rPr>
          <w:color w:val="auto"/>
          <w:spacing w:val="-7"/>
          <w:sz w:val="24"/>
          <w:szCs w:val="24"/>
          <w:lang w:eastAsia="zh-CN"/>
        </w:rPr>
        <w:t>3.5</w:t>
      </w:r>
      <w:r>
        <w:rPr>
          <w:rFonts w:hint="eastAsia"/>
          <w:color w:val="auto"/>
          <w:spacing w:val="-7"/>
          <w:sz w:val="24"/>
          <w:szCs w:val="24"/>
          <w:lang w:eastAsia="zh-CN"/>
        </w:rPr>
        <w:t>平方千米区域及城区地标性重点建（构）筑物实景三维单体化模型生产（进退结构大于</w:t>
      </w:r>
      <w:r>
        <w:rPr>
          <w:color w:val="auto"/>
          <w:spacing w:val="-7"/>
          <w:sz w:val="24"/>
          <w:szCs w:val="24"/>
          <w:lang w:eastAsia="zh-CN"/>
        </w:rPr>
        <w:t>0.8m</w:t>
      </w:r>
      <w:r>
        <w:rPr>
          <w:rFonts w:hint="eastAsia"/>
          <w:color w:val="auto"/>
          <w:spacing w:val="-7"/>
          <w:sz w:val="24"/>
          <w:szCs w:val="24"/>
          <w:lang w:eastAsia="zh-CN"/>
        </w:rPr>
        <w:t>）。</w:t>
      </w:r>
    </w:p>
    <w:p w14:paraId="4A1EA5DC">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5．基础地理实体数据部件级生产</w:t>
      </w:r>
    </w:p>
    <w:p w14:paraId="6D5712A1">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部件级实景三维是对城市级实景三维的分解和细化表达，用于精准表达和按需定制，服务个性化应用。按照项目需求完成库尔勒市三馆一中心、新汇嘉及2栋住宅楼等建筑物的部件级实景三维模型生产，并建立与城市级实景三维的语义关系。</w:t>
      </w:r>
    </w:p>
    <w:p w14:paraId="4DA9E8AD">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6．库尔勒城市级实景三维数据管理系统建设工作</w:t>
      </w:r>
    </w:p>
    <w:p w14:paraId="2610ED14">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需完成库尔勒城市级实景三维数据管理系统建设工作。开展地理场景与地理实体之间融合集成、数据管理系统、支撑环境建设，系统需支持传感器、空间位置服务、互联网、社会经济等物联感知数据接入，实现对实景三维数据的一体化存储管理、可视化调度、数据查询检索、综合空间分析、在线统计分析、数据提取组装调用等。系统支持二、三维等数据的服务发布；二三维数据浏览、统计和查询；成果数据的分发；系统运维管理、服务运维管理。结合实景三维时空大数据平台建设，发挥统一时空基底、数据融合平台和时空赋能平台作用，实现</w:t>
      </w:r>
      <w:r>
        <w:rPr>
          <w:color w:val="auto"/>
          <w:spacing w:val="-7"/>
          <w:sz w:val="24"/>
          <w:szCs w:val="24"/>
          <w:lang w:eastAsia="zh-CN"/>
        </w:rPr>
        <w:t>1</w:t>
      </w:r>
      <w:r>
        <w:rPr>
          <w:rFonts w:hint="eastAsia"/>
          <w:color w:val="auto"/>
          <w:spacing w:val="-7"/>
          <w:sz w:val="24"/>
          <w:szCs w:val="24"/>
          <w:lang w:eastAsia="zh-CN"/>
        </w:rPr>
        <w:t>至</w:t>
      </w:r>
      <w:r>
        <w:rPr>
          <w:color w:val="auto"/>
          <w:spacing w:val="-7"/>
          <w:sz w:val="24"/>
          <w:szCs w:val="24"/>
          <w:lang w:eastAsia="zh-CN"/>
        </w:rPr>
        <w:t>2</w:t>
      </w:r>
      <w:r>
        <w:rPr>
          <w:rFonts w:hint="eastAsia"/>
          <w:color w:val="auto"/>
          <w:spacing w:val="-7"/>
          <w:sz w:val="24"/>
          <w:szCs w:val="24"/>
          <w:lang w:eastAsia="zh-CN"/>
        </w:rPr>
        <w:t>个实景三维典型应用案例。</w:t>
      </w:r>
    </w:p>
    <w:p w14:paraId="0F5737F6">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（二）服务工期：</w:t>
      </w:r>
    </w:p>
    <w:p w14:paraId="3F395E3D">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1.</w:t>
      </w:r>
      <w:r>
        <w:rPr>
          <w:color w:val="auto"/>
          <w:spacing w:val="-7"/>
          <w:sz w:val="24"/>
          <w:szCs w:val="24"/>
          <w:lang w:eastAsia="zh-CN"/>
        </w:rPr>
        <w:t>2024</w:t>
      </w:r>
      <w:r>
        <w:rPr>
          <w:rFonts w:hint="eastAsia"/>
          <w:color w:val="auto"/>
          <w:spacing w:val="-7"/>
          <w:sz w:val="24"/>
          <w:szCs w:val="24"/>
          <w:lang w:eastAsia="zh-CN"/>
        </w:rPr>
        <w:t>年12月15日前，完成数据资料收集分析工作，并组织人员培训，编制技术方案等；完成库尔勒约</w:t>
      </w:r>
      <w:r>
        <w:rPr>
          <w:color w:val="auto"/>
          <w:spacing w:val="-7"/>
          <w:sz w:val="24"/>
          <w:szCs w:val="24"/>
          <w:lang w:eastAsia="zh-CN"/>
        </w:rPr>
        <w:t>130</w:t>
      </w:r>
      <w:r>
        <w:rPr>
          <w:rFonts w:hint="eastAsia"/>
          <w:color w:val="auto"/>
          <w:spacing w:val="-7"/>
          <w:sz w:val="24"/>
          <w:szCs w:val="24"/>
          <w:lang w:eastAsia="zh-CN"/>
        </w:rPr>
        <w:t>平方公里建成区优于</w:t>
      </w:r>
      <w:r>
        <w:rPr>
          <w:color w:val="auto"/>
          <w:spacing w:val="-7"/>
          <w:sz w:val="24"/>
          <w:szCs w:val="24"/>
          <w:lang w:eastAsia="zh-CN"/>
        </w:rPr>
        <w:t>3</w:t>
      </w:r>
      <w:r>
        <w:rPr>
          <w:rFonts w:hint="eastAsia"/>
          <w:color w:val="auto"/>
          <w:spacing w:val="-7"/>
          <w:sz w:val="24"/>
          <w:szCs w:val="24"/>
          <w:lang w:eastAsia="zh-CN"/>
        </w:rPr>
        <w:t>厘米分辨率的倾斜摄影测量、激光点云数据的获取等工作，初步建立倾斜摄影实景三维模型并开展单体化实景三维模型建设等工作。完成库尔勒城市级实景三维建设，包括城市三维模型（</w:t>
      </w:r>
      <w:r>
        <w:rPr>
          <w:color w:val="auto"/>
          <w:spacing w:val="-7"/>
          <w:sz w:val="24"/>
          <w:szCs w:val="24"/>
          <w:lang w:eastAsia="zh-CN"/>
        </w:rPr>
        <w:t>LOD1.3</w:t>
      </w:r>
      <w:r>
        <w:rPr>
          <w:rFonts w:hint="eastAsia"/>
          <w:color w:val="auto"/>
          <w:spacing w:val="-7"/>
          <w:sz w:val="24"/>
          <w:szCs w:val="24"/>
          <w:lang w:eastAsia="zh-CN"/>
        </w:rPr>
        <w:t>）快速构建工作并上报自治区自然资源厅。</w:t>
      </w:r>
    </w:p>
    <w:p w14:paraId="4DA0635E">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2.</w:t>
      </w:r>
      <w:r>
        <w:rPr>
          <w:color w:val="auto"/>
          <w:spacing w:val="-7"/>
          <w:sz w:val="24"/>
          <w:szCs w:val="24"/>
          <w:lang w:eastAsia="zh-CN"/>
        </w:rPr>
        <w:t>2025</w:t>
      </w:r>
      <w:r>
        <w:rPr>
          <w:rFonts w:hint="eastAsia"/>
          <w:color w:val="auto"/>
          <w:spacing w:val="-7"/>
          <w:sz w:val="24"/>
          <w:szCs w:val="24"/>
          <w:lang w:eastAsia="zh-CN"/>
        </w:rPr>
        <w:t>年11月30日前，完成基础地理实体数据转换生产、</w:t>
      </w:r>
      <w:r>
        <w:rPr>
          <w:color w:val="auto"/>
          <w:spacing w:val="-7"/>
          <w:sz w:val="24"/>
          <w:szCs w:val="24"/>
          <w:lang w:eastAsia="zh-CN"/>
        </w:rPr>
        <w:t>3.5</w:t>
      </w:r>
      <w:r>
        <w:rPr>
          <w:rFonts w:hint="eastAsia"/>
          <w:color w:val="auto"/>
          <w:spacing w:val="-7"/>
          <w:sz w:val="24"/>
          <w:szCs w:val="24"/>
          <w:lang w:eastAsia="zh-CN"/>
        </w:rPr>
        <w:t>平方千米区域及城区地标性重点建（构）筑物实景三维单体化模型生产、三馆一中心等建筑物的部件级实景三维模型生产、在线系统与支撑环境建设；同时根据实际需要，探索开展物联感知数据接入与融合。结合实景三维时空大数据平台建设，发挥统一时空基底、数据融合平台和时空赋能平台作用，实现</w:t>
      </w:r>
      <w:r>
        <w:rPr>
          <w:color w:val="auto"/>
          <w:spacing w:val="-7"/>
          <w:sz w:val="24"/>
          <w:szCs w:val="24"/>
          <w:lang w:eastAsia="zh-CN"/>
        </w:rPr>
        <w:t>1</w:t>
      </w:r>
      <w:r>
        <w:rPr>
          <w:rFonts w:hint="eastAsia"/>
          <w:color w:val="auto"/>
          <w:spacing w:val="-7"/>
          <w:sz w:val="24"/>
          <w:szCs w:val="24"/>
          <w:lang w:eastAsia="zh-CN"/>
        </w:rPr>
        <w:t>至</w:t>
      </w:r>
      <w:r>
        <w:rPr>
          <w:color w:val="auto"/>
          <w:spacing w:val="-7"/>
          <w:sz w:val="24"/>
          <w:szCs w:val="24"/>
          <w:lang w:eastAsia="zh-CN"/>
        </w:rPr>
        <w:t>2</w:t>
      </w:r>
      <w:r>
        <w:rPr>
          <w:rFonts w:hint="eastAsia"/>
          <w:color w:val="auto"/>
          <w:spacing w:val="-7"/>
          <w:sz w:val="24"/>
          <w:szCs w:val="24"/>
          <w:lang w:eastAsia="zh-CN"/>
        </w:rPr>
        <w:t>个实景三维典型应用案例。</w:t>
      </w:r>
    </w:p>
    <w:p w14:paraId="50E22C3F">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（三）技术指标与规格</w:t>
      </w:r>
    </w:p>
    <w:p w14:paraId="28AB1F6B">
      <w:pPr>
        <w:pStyle w:val="2"/>
        <w:wordWrap w:val="0"/>
        <w:spacing w:line="400" w:lineRule="exact"/>
        <w:ind w:firstLine="493"/>
        <w:rPr>
          <w:color w:val="auto"/>
          <w:spacing w:val="-7"/>
          <w:sz w:val="24"/>
          <w:szCs w:val="24"/>
          <w:lang w:eastAsia="zh-CN"/>
        </w:rPr>
      </w:pPr>
      <w:r>
        <w:rPr>
          <w:color w:val="auto"/>
          <w:spacing w:val="-7"/>
          <w:sz w:val="24"/>
          <w:szCs w:val="24"/>
          <w:lang w:eastAsia="zh-CN"/>
        </w:rPr>
        <w:t>1.</w:t>
      </w:r>
      <w:r>
        <w:rPr>
          <w:rFonts w:hint="eastAsia"/>
          <w:color w:val="auto"/>
          <w:spacing w:val="-7"/>
          <w:sz w:val="24"/>
          <w:szCs w:val="24"/>
          <w:lang w:eastAsia="zh-CN"/>
        </w:rPr>
        <w:t>时空基准</w:t>
      </w:r>
    </w:p>
    <w:p w14:paraId="75F372FE">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坐标系统：①采用</w:t>
      </w:r>
      <w:r>
        <w:rPr>
          <w:color w:val="auto"/>
          <w:spacing w:val="-7"/>
          <w:sz w:val="24"/>
          <w:szCs w:val="24"/>
          <w:lang w:eastAsia="zh-CN"/>
        </w:rPr>
        <w:t>2000</w:t>
      </w:r>
      <w:r>
        <w:rPr>
          <w:rFonts w:hint="eastAsia"/>
          <w:color w:val="auto"/>
          <w:spacing w:val="-7"/>
          <w:sz w:val="24"/>
          <w:szCs w:val="24"/>
          <w:lang w:eastAsia="zh-CN"/>
        </w:rPr>
        <w:t>国家大地坐标系，高斯</w:t>
      </w:r>
      <w:r>
        <w:rPr>
          <w:color w:val="auto"/>
          <w:spacing w:val="-7"/>
          <w:sz w:val="24"/>
          <w:szCs w:val="24"/>
          <w:lang w:eastAsia="zh-CN"/>
        </w:rPr>
        <w:t>-</w:t>
      </w:r>
      <w:r>
        <w:rPr>
          <w:rFonts w:hint="eastAsia"/>
          <w:color w:val="auto"/>
          <w:spacing w:val="-7"/>
          <w:sz w:val="24"/>
          <w:szCs w:val="24"/>
          <w:lang w:eastAsia="zh-CN"/>
        </w:rPr>
        <w:t>克吕格投影，</w:t>
      </w:r>
      <w:r>
        <w:rPr>
          <w:color w:val="auto"/>
          <w:spacing w:val="-7"/>
          <w:sz w:val="24"/>
          <w:szCs w:val="24"/>
          <w:lang w:eastAsia="zh-CN"/>
        </w:rPr>
        <w:t>3</w:t>
      </w:r>
      <w:r>
        <w:rPr>
          <w:rFonts w:hint="eastAsia"/>
          <w:color w:val="auto"/>
          <w:spacing w:val="-7"/>
          <w:sz w:val="24"/>
          <w:szCs w:val="24"/>
          <w:lang w:eastAsia="zh-CN"/>
        </w:rPr>
        <w:t>度分带，中央子午线</w:t>
      </w:r>
      <w:r>
        <w:rPr>
          <w:color w:val="auto"/>
          <w:spacing w:val="-7"/>
          <w:sz w:val="24"/>
          <w:szCs w:val="24"/>
          <w:lang w:eastAsia="zh-CN"/>
        </w:rPr>
        <w:t>87°E</w:t>
      </w:r>
      <w:r>
        <w:rPr>
          <w:rFonts w:hint="eastAsia"/>
          <w:color w:val="auto"/>
          <w:spacing w:val="-7"/>
          <w:sz w:val="24"/>
          <w:szCs w:val="24"/>
          <w:lang w:eastAsia="zh-CN"/>
        </w:rPr>
        <w:t>。坐标单位为米。</w:t>
      </w:r>
    </w:p>
    <w:p w14:paraId="74F3BE92">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②因库尔勒市离</w:t>
      </w:r>
      <w:r>
        <w:rPr>
          <w:color w:val="auto"/>
          <w:spacing w:val="-7"/>
          <w:sz w:val="24"/>
          <w:szCs w:val="24"/>
          <w:lang w:eastAsia="zh-CN"/>
        </w:rPr>
        <w:t>2000</w:t>
      </w:r>
      <w:r>
        <w:rPr>
          <w:rFonts w:hint="eastAsia"/>
          <w:color w:val="auto"/>
          <w:spacing w:val="-7"/>
          <w:sz w:val="24"/>
          <w:szCs w:val="24"/>
          <w:lang w:eastAsia="zh-CN"/>
        </w:rPr>
        <w:t>国家大地坐标系统标准分带中央子午线较远，长度变形大于城市级建设标准，建设成果应建立与采用</w:t>
      </w:r>
      <w:r>
        <w:rPr>
          <w:color w:val="auto"/>
          <w:spacing w:val="-7"/>
          <w:sz w:val="24"/>
          <w:szCs w:val="24"/>
          <w:lang w:eastAsia="zh-CN"/>
        </w:rPr>
        <w:t>2000</w:t>
      </w:r>
      <w:r>
        <w:rPr>
          <w:rFonts w:hint="eastAsia"/>
          <w:color w:val="auto"/>
          <w:spacing w:val="-7"/>
          <w:sz w:val="24"/>
          <w:szCs w:val="24"/>
          <w:lang w:eastAsia="zh-CN"/>
        </w:rPr>
        <w:t>国家大地坐标系与</w:t>
      </w:r>
      <w:r>
        <w:rPr>
          <w:color w:val="auto"/>
          <w:spacing w:val="-7"/>
          <w:sz w:val="24"/>
          <w:szCs w:val="24"/>
          <w:lang w:eastAsia="zh-CN"/>
        </w:rPr>
        <w:t xml:space="preserve"> “2015</w:t>
      </w:r>
      <w:r>
        <w:rPr>
          <w:rFonts w:hint="eastAsia"/>
          <w:color w:val="auto"/>
          <w:spacing w:val="-7"/>
          <w:sz w:val="24"/>
          <w:szCs w:val="24"/>
          <w:lang w:eastAsia="zh-CN"/>
        </w:rPr>
        <w:t>库尔勒相对独立坐标系</w:t>
      </w:r>
      <w:r>
        <w:rPr>
          <w:color w:val="auto"/>
          <w:spacing w:val="-7"/>
          <w:sz w:val="24"/>
          <w:szCs w:val="24"/>
          <w:lang w:eastAsia="zh-CN"/>
        </w:rPr>
        <w:t>”</w:t>
      </w:r>
      <w:r>
        <w:rPr>
          <w:rFonts w:hint="eastAsia"/>
          <w:color w:val="auto"/>
          <w:spacing w:val="-7"/>
          <w:sz w:val="24"/>
          <w:szCs w:val="24"/>
          <w:lang w:eastAsia="zh-CN"/>
        </w:rPr>
        <w:t>之间的转换关系，并按需提供转换成果。</w:t>
      </w:r>
    </w:p>
    <w:p w14:paraId="78F97D35">
      <w:pPr>
        <w:pStyle w:val="2"/>
        <w:wordWrap w:val="0"/>
        <w:spacing w:line="400" w:lineRule="exact"/>
        <w:ind w:firstLine="493"/>
        <w:rPr>
          <w:color w:val="auto"/>
          <w:spacing w:val="-7"/>
          <w:sz w:val="24"/>
          <w:szCs w:val="24"/>
          <w:lang w:eastAsia="zh-CN"/>
        </w:rPr>
      </w:pPr>
      <w:r>
        <w:rPr>
          <w:color w:val="auto"/>
          <w:spacing w:val="-7"/>
          <w:sz w:val="24"/>
          <w:szCs w:val="24"/>
          <w:lang w:eastAsia="zh-CN"/>
        </w:rPr>
        <w:t>2.</w:t>
      </w:r>
      <w:r>
        <w:rPr>
          <w:rFonts w:hint="eastAsia"/>
          <w:color w:val="auto"/>
          <w:spacing w:val="-7"/>
          <w:sz w:val="24"/>
          <w:szCs w:val="24"/>
          <w:lang w:eastAsia="zh-CN"/>
        </w:rPr>
        <w:t>高程基准：采用</w:t>
      </w:r>
      <w:r>
        <w:rPr>
          <w:color w:val="auto"/>
          <w:spacing w:val="-7"/>
          <w:sz w:val="24"/>
          <w:szCs w:val="24"/>
          <w:lang w:eastAsia="zh-CN"/>
        </w:rPr>
        <w:t>1985</w:t>
      </w:r>
      <w:r>
        <w:rPr>
          <w:rFonts w:hint="eastAsia"/>
          <w:color w:val="auto"/>
          <w:spacing w:val="-7"/>
          <w:sz w:val="24"/>
          <w:szCs w:val="24"/>
          <w:lang w:eastAsia="zh-CN"/>
        </w:rPr>
        <w:t>国家高程基准，高程单位为米。</w:t>
      </w:r>
    </w:p>
    <w:p w14:paraId="46D3596E">
      <w:pPr>
        <w:pStyle w:val="2"/>
        <w:wordWrap w:val="0"/>
        <w:spacing w:line="400" w:lineRule="exact"/>
        <w:ind w:firstLine="493"/>
        <w:rPr>
          <w:color w:val="auto"/>
          <w:spacing w:val="-7"/>
          <w:sz w:val="24"/>
          <w:szCs w:val="24"/>
          <w:lang w:eastAsia="zh-CN"/>
        </w:rPr>
      </w:pPr>
      <w:r>
        <w:rPr>
          <w:color w:val="auto"/>
          <w:spacing w:val="-7"/>
          <w:sz w:val="24"/>
          <w:szCs w:val="24"/>
          <w:lang w:eastAsia="zh-CN"/>
        </w:rPr>
        <w:t>3.</w:t>
      </w:r>
      <w:r>
        <w:rPr>
          <w:rFonts w:hint="eastAsia"/>
          <w:color w:val="auto"/>
          <w:spacing w:val="-7"/>
          <w:sz w:val="24"/>
          <w:szCs w:val="24"/>
          <w:lang w:eastAsia="zh-CN"/>
        </w:rPr>
        <w:t>时间基准：采用公元纪年和北京时间。</w:t>
      </w:r>
    </w:p>
    <w:p w14:paraId="65FE5536">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二、申请人的资格要求：</w:t>
      </w:r>
    </w:p>
    <w:p w14:paraId="7F9ADD96">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1.满足《中华人民共和国政府采购法》第二十二条规定：</w:t>
      </w:r>
    </w:p>
    <w:p w14:paraId="1928705F">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（1）具有独立承担民事责任的能力；</w:t>
      </w:r>
    </w:p>
    <w:p w14:paraId="3A3B3FAC">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（2）具有良好的商业信誉和健全的财务会计制度；</w:t>
      </w:r>
    </w:p>
    <w:p w14:paraId="3771A838">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（3）具有履行合同所必需的设备和专业技术能力；</w:t>
      </w:r>
    </w:p>
    <w:p w14:paraId="040F3CF0">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（4）有依法缴纳税收和社会保障资金的良好记录；</w:t>
      </w:r>
    </w:p>
    <w:p w14:paraId="79DF3AE8">
      <w:pPr>
        <w:pStyle w:val="2"/>
        <w:wordWrap w:val="0"/>
        <w:spacing w:line="400" w:lineRule="exact"/>
        <w:ind w:firstLine="493"/>
        <w:rPr>
          <w:color w:val="auto"/>
          <w:spacing w:val="-7"/>
          <w:sz w:val="24"/>
          <w:szCs w:val="24"/>
          <w:lang w:eastAsia="zh-CN"/>
        </w:rPr>
      </w:pPr>
      <w:r>
        <w:rPr>
          <w:rFonts w:hint="eastAsia"/>
          <w:color w:val="auto"/>
          <w:spacing w:val="-7"/>
          <w:sz w:val="24"/>
          <w:szCs w:val="24"/>
          <w:lang w:eastAsia="zh-CN"/>
        </w:rPr>
        <w:t>（5）参加政府采购活动前三年内，在经营活动中没有重大违法记录；</w:t>
      </w:r>
    </w:p>
    <w:p w14:paraId="0E53A049">
      <w:pPr>
        <w:pStyle w:val="2"/>
        <w:wordWrap w:val="0"/>
        <w:spacing w:line="400" w:lineRule="exact"/>
        <w:ind w:left="485"/>
        <w:rPr>
          <w:color w:val="auto"/>
          <w:sz w:val="24"/>
          <w:szCs w:val="24"/>
          <w:lang w:eastAsia="zh-CN"/>
        </w:rPr>
      </w:pPr>
      <w:r>
        <w:rPr>
          <w:color w:val="auto"/>
          <w:spacing w:val="-2"/>
          <w:sz w:val="24"/>
          <w:szCs w:val="24"/>
          <w:lang w:eastAsia="zh-CN"/>
        </w:rPr>
        <w:t>（6）法律、行政法规规定的其他条件</w:t>
      </w:r>
    </w:p>
    <w:p w14:paraId="0DC3E858">
      <w:pPr>
        <w:pStyle w:val="2"/>
        <w:wordWrap w:val="0"/>
        <w:spacing w:line="400" w:lineRule="exact"/>
        <w:ind w:firstLine="424" w:firstLineChars="180"/>
        <w:rPr>
          <w:color w:val="auto"/>
          <w:spacing w:val="-2"/>
          <w:sz w:val="24"/>
          <w:szCs w:val="24"/>
          <w:lang w:eastAsia="zh-CN"/>
        </w:rPr>
      </w:pPr>
      <w:r>
        <w:rPr>
          <w:color w:val="auto"/>
          <w:spacing w:val="-2"/>
          <w:sz w:val="24"/>
          <w:szCs w:val="24"/>
          <w:lang w:eastAsia="zh-CN"/>
        </w:rPr>
        <w:t>2.本项目特定资格要求：</w:t>
      </w:r>
      <w:r>
        <w:rPr>
          <w:rFonts w:hint="eastAsia"/>
          <w:color w:val="auto"/>
          <w:spacing w:val="-2"/>
          <w:sz w:val="24"/>
          <w:szCs w:val="24"/>
          <w:lang w:eastAsia="zh-CN"/>
        </w:rPr>
        <w:t>①具有测绘行业主管部门颁发的乙级及以上测绘资质证书（专业类须具备：摄影测量与遥感、测绘航空摄影、工程测量、地理信息系统工程）；</w:t>
      </w:r>
    </w:p>
    <w:p w14:paraId="6B68C55E">
      <w:pPr>
        <w:pStyle w:val="2"/>
        <w:wordWrap w:val="0"/>
        <w:spacing w:line="400" w:lineRule="exact"/>
        <w:ind w:firstLine="424" w:firstLineChars="180"/>
        <w:rPr>
          <w:color w:val="auto"/>
          <w:spacing w:val="-2"/>
          <w:sz w:val="24"/>
          <w:szCs w:val="24"/>
          <w:lang w:eastAsia="zh-CN"/>
        </w:rPr>
      </w:pPr>
      <w:r>
        <w:rPr>
          <w:rFonts w:hint="eastAsia"/>
          <w:color w:val="auto"/>
          <w:spacing w:val="-2"/>
          <w:sz w:val="24"/>
          <w:szCs w:val="24"/>
          <w:lang w:eastAsia="zh-CN"/>
        </w:rPr>
        <w:t>②</w:t>
      </w:r>
      <w:r>
        <w:rPr>
          <w:color w:val="auto"/>
          <w:spacing w:val="-2"/>
          <w:sz w:val="24"/>
          <w:szCs w:val="24"/>
          <w:lang w:eastAsia="zh-CN"/>
        </w:rPr>
        <w:t>拟担任本采购项目</w:t>
      </w:r>
      <w:r>
        <w:rPr>
          <w:rFonts w:hint="eastAsia"/>
          <w:color w:val="auto"/>
          <w:spacing w:val="-2"/>
          <w:sz w:val="24"/>
          <w:szCs w:val="24"/>
          <w:lang w:eastAsia="zh-CN"/>
        </w:rPr>
        <w:t>技术服务人员至少15人，其中，</w:t>
      </w:r>
      <w:r>
        <w:rPr>
          <w:color w:val="auto"/>
          <w:spacing w:val="-2"/>
          <w:sz w:val="24"/>
          <w:szCs w:val="24"/>
          <w:lang w:eastAsia="zh-CN"/>
        </w:rPr>
        <w:t>项目负责人需具备测绘相关专业高级职称，提供证书原件的扫描件及近三个月的社保缴纳证明。</w:t>
      </w:r>
      <w:r>
        <w:rPr>
          <w:rFonts w:hint="eastAsia"/>
          <w:color w:val="auto"/>
          <w:spacing w:val="-2"/>
          <w:sz w:val="24"/>
          <w:szCs w:val="24"/>
          <w:lang w:eastAsia="zh-CN"/>
        </w:rPr>
        <w:t>上述人员中至少有3人持有省级以上测绘地理信息局颁发的涉密测绘成果管理人员岗位培训证书。</w:t>
      </w:r>
    </w:p>
    <w:p w14:paraId="46623B8A">
      <w:pPr>
        <w:pStyle w:val="2"/>
        <w:wordWrap w:val="0"/>
        <w:spacing w:line="400" w:lineRule="exact"/>
        <w:ind w:firstLine="424" w:firstLineChars="180"/>
        <w:rPr>
          <w:color w:val="auto"/>
          <w:spacing w:val="-2"/>
          <w:sz w:val="24"/>
          <w:szCs w:val="24"/>
          <w:lang w:eastAsia="zh-CN"/>
        </w:rPr>
      </w:pPr>
      <w:r>
        <w:rPr>
          <w:rFonts w:hint="eastAsia"/>
          <w:color w:val="auto"/>
          <w:spacing w:val="-2"/>
          <w:sz w:val="24"/>
          <w:szCs w:val="24"/>
          <w:lang w:eastAsia="zh-CN"/>
        </w:rPr>
        <w:t>3.供应商未被列入“信用中国</w:t>
      </w:r>
      <w:r>
        <w:rPr>
          <w:color w:val="auto"/>
          <w:spacing w:val="-2"/>
          <w:sz w:val="24"/>
          <w:szCs w:val="24"/>
          <w:lang w:eastAsia="zh-CN"/>
        </w:rPr>
        <w:t>”</w:t>
      </w:r>
      <w:r>
        <w:rPr>
          <w:rFonts w:hint="eastAsia"/>
          <w:color w:val="auto"/>
          <w:spacing w:val="-2"/>
          <w:sz w:val="24"/>
          <w:szCs w:val="24"/>
          <w:lang w:eastAsia="zh-CN"/>
        </w:rPr>
        <w:t>网站（</w:t>
      </w:r>
      <w:r>
        <w:rPr>
          <w:color w:val="auto"/>
          <w:spacing w:val="-2"/>
          <w:sz w:val="24"/>
          <w:szCs w:val="24"/>
          <w:lang w:eastAsia="zh-CN"/>
        </w:rPr>
        <w:t>www.creditchina.gov.cn</w:t>
      </w:r>
      <w:r>
        <w:rPr>
          <w:rFonts w:hint="eastAsia"/>
          <w:color w:val="auto"/>
          <w:spacing w:val="-2"/>
          <w:sz w:val="24"/>
          <w:szCs w:val="24"/>
          <w:lang w:eastAsia="zh-CN"/>
        </w:rPr>
        <w:t>）、中国政府采购网（</w:t>
      </w:r>
      <w:r>
        <w:rPr>
          <w:color w:val="auto"/>
          <w:spacing w:val="-2"/>
          <w:sz w:val="24"/>
          <w:szCs w:val="24"/>
          <w:lang w:eastAsia="zh-CN"/>
        </w:rPr>
        <w:t>www.ccgp.gov.cn</w:t>
      </w:r>
      <w:r>
        <w:rPr>
          <w:rFonts w:hint="eastAsia"/>
          <w:color w:val="auto"/>
          <w:spacing w:val="-2"/>
          <w:sz w:val="24"/>
          <w:szCs w:val="24"/>
          <w:lang w:eastAsia="zh-CN"/>
        </w:rPr>
        <w:t>）渠道信用记录失信被执行人、重大税收违法案件当事人名单、政府采购严重违法失信行为记录名单的投标人，国家企业公示信息系统（</w:t>
      </w:r>
      <w:r>
        <w:rPr>
          <w:color w:val="auto"/>
          <w:spacing w:val="-2"/>
          <w:sz w:val="24"/>
          <w:szCs w:val="24"/>
          <w:lang w:eastAsia="zh-CN"/>
        </w:rPr>
        <w:t>www.gsxt.gov.cn</w:t>
      </w:r>
      <w:r>
        <w:rPr>
          <w:rFonts w:hint="eastAsia"/>
          <w:color w:val="auto"/>
          <w:spacing w:val="-2"/>
          <w:sz w:val="24"/>
          <w:szCs w:val="24"/>
          <w:lang w:eastAsia="zh-CN"/>
        </w:rPr>
        <w:t>）查询诚信记录如有严重行政处罚信息、重大严重失信记录不得参加本项目。</w:t>
      </w:r>
    </w:p>
    <w:p w14:paraId="5BD9F774">
      <w:pPr>
        <w:pStyle w:val="2"/>
        <w:wordWrap w:val="0"/>
        <w:spacing w:line="400" w:lineRule="exact"/>
        <w:ind w:firstLine="424" w:firstLineChars="180"/>
        <w:rPr>
          <w:color w:val="auto"/>
          <w:spacing w:val="-2"/>
          <w:sz w:val="24"/>
          <w:szCs w:val="24"/>
          <w:lang w:eastAsia="zh-CN"/>
        </w:rPr>
      </w:pPr>
      <w:r>
        <w:rPr>
          <w:rFonts w:hint="eastAsia"/>
          <w:color w:val="auto"/>
          <w:spacing w:val="-2"/>
          <w:sz w:val="24"/>
          <w:szCs w:val="24"/>
          <w:lang w:eastAsia="zh-CN"/>
        </w:rPr>
        <w:t>4</w:t>
      </w:r>
      <w:r>
        <w:rPr>
          <w:color w:val="auto"/>
          <w:spacing w:val="-2"/>
          <w:sz w:val="24"/>
          <w:szCs w:val="24"/>
          <w:lang w:eastAsia="zh-CN"/>
        </w:rPr>
        <w:t>.本项目不接受联合体投标。</w:t>
      </w:r>
    </w:p>
    <w:p w14:paraId="76DEEB95">
      <w:pPr>
        <w:pStyle w:val="2"/>
        <w:wordWrap w:val="0"/>
        <w:spacing w:line="400" w:lineRule="exact"/>
        <w:rPr>
          <w:spacing w:val="-3"/>
          <w:sz w:val="24"/>
          <w:szCs w:val="24"/>
          <w:lang w:eastAsia="zh-CN"/>
        </w:rPr>
      </w:pPr>
      <w:bookmarkStart w:id="2" w:name="_GoBack"/>
      <w:bookmarkEnd w:id="2"/>
      <w:bookmarkStart w:id="1" w:name="bookmark24"/>
      <w:bookmarkEnd w:id="1"/>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10" w:usb3="00000000" w:csb0="00040000" w:csb1="00000000"/>
  </w:font>
  <w:font w:name="方正楷体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56811383"/>
      <w:docPartObj>
        <w:docPartGallery w:val="AutoText"/>
      </w:docPartObj>
    </w:sdtPr>
    <w:sdtContent>
      <w:sdt>
        <w:sdtPr>
          <w:id w:val="860082579"/>
          <w:docPartObj>
            <w:docPartGallery w:val="AutoText"/>
          </w:docPartObj>
        </w:sdtPr>
        <w:sdtContent>
          <w:p w14:paraId="1B269F2D">
            <w:pPr>
              <w:pStyle w:val="4"/>
              <w:jc w:val="right"/>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eastAsia="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13</w:t>
            </w:r>
            <w:r>
              <w:rPr>
                <w:b/>
                <w:bCs/>
                <w:sz w:val="24"/>
                <w:szCs w:val="24"/>
              </w:rPr>
              <w:fldChar w:fldCharType="end"/>
            </w:r>
          </w:p>
        </w:sdtContent>
      </w:sdt>
    </w:sdtContent>
  </w:sdt>
  <w:p w14:paraId="5A325D48">
    <w:pPr>
      <w:pStyle w:val="2"/>
      <w:spacing w:line="206" w:lineRule="auto"/>
      <w:ind w:left="3979"/>
      <w:rPr>
        <w:sz w:val="18"/>
        <w:szCs w:val="18"/>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B554D9"/>
    <w:multiLevelType w:val="multilevel"/>
    <w:tmpl w:val="16B554D9"/>
    <w:lvl w:ilvl="0" w:tentative="0">
      <w:start w:val="1"/>
      <w:numFmt w:val="japaneseCounting"/>
      <w:lvlText w:val="（%1）"/>
      <w:lvlJc w:val="left"/>
      <w:pPr>
        <w:ind w:left="1216" w:hanging="720"/>
      </w:pPr>
      <w:rPr>
        <w:rFonts w:hint="default"/>
      </w:rPr>
    </w:lvl>
    <w:lvl w:ilvl="1" w:tentative="0">
      <w:start w:val="1"/>
      <w:numFmt w:val="lowerLetter"/>
      <w:lvlText w:val="%2)"/>
      <w:lvlJc w:val="left"/>
      <w:pPr>
        <w:ind w:left="1336" w:hanging="420"/>
      </w:pPr>
    </w:lvl>
    <w:lvl w:ilvl="2" w:tentative="0">
      <w:start w:val="1"/>
      <w:numFmt w:val="lowerRoman"/>
      <w:lvlText w:val="%3."/>
      <w:lvlJc w:val="right"/>
      <w:pPr>
        <w:ind w:left="1756" w:hanging="420"/>
      </w:pPr>
    </w:lvl>
    <w:lvl w:ilvl="3" w:tentative="0">
      <w:start w:val="1"/>
      <w:numFmt w:val="decimal"/>
      <w:lvlText w:val="%4."/>
      <w:lvlJc w:val="left"/>
      <w:pPr>
        <w:ind w:left="2176" w:hanging="420"/>
      </w:pPr>
    </w:lvl>
    <w:lvl w:ilvl="4" w:tentative="0">
      <w:start w:val="1"/>
      <w:numFmt w:val="lowerLetter"/>
      <w:lvlText w:val="%5)"/>
      <w:lvlJc w:val="left"/>
      <w:pPr>
        <w:ind w:left="2596" w:hanging="420"/>
      </w:pPr>
    </w:lvl>
    <w:lvl w:ilvl="5" w:tentative="0">
      <w:start w:val="1"/>
      <w:numFmt w:val="lowerRoman"/>
      <w:lvlText w:val="%6."/>
      <w:lvlJc w:val="right"/>
      <w:pPr>
        <w:ind w:left="3016" w:hanging="420"/>
      </w:pPr>
    </w:lvl>
    <w:lvl w:ilvl="6" w:tentative="0">
      <w:start w:val="1"/>
      <w:numFmt w:val="decimal"/>
      <w:lvlText w:val="%7."/>
      <w:lvlJc w:val="left"/>
      <w:pPr>
        <w:ind w:left="3436" w:hanging="420"/>
      </w:pPr>
    </w:lvl>
    <w:lvl w:ilvl="7" w:tentative="0">
      <w:start w:val="1"/>
      <w:numFmt w:val="lowerLetter"/>
      <w:lvlText w:val="%8)"/>
      <w:lvlJc w:val="left"/>
      <w:pPr>
        <w:ind w:left="3856" w:hanging="420"/>
      </w:pPr>
    </w:lvl>
    <w:lvl w:ilvl="8" w:tentative="0">
      <w:start w:val="1"/>
      <w:numFmt w:val="lowerRoman"/>
      <w:lvlText w:val="%9."/>
      <w:lvlJc w:val="right"/>
      <w:pPr>
        <w:ind w:left="427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EyNjc2YmQ3ZDY0ZmZmY2NmN2IzNzUyMTE3NTBjZDUifQ=="/>
  </w:docVars>
  <w:rsids>
    <w:rsidRoot w:val="00E92019"/>
    <w:rsid w:val="000875DC"/>
    <w:rsid w:val="000B507C"/>
    <w:rsid w:val="001A3729"/>
    <w:rsid w:val="001C0BFB"/>
    <w:rsid w:val="001F1F50"/>
    <w:rsid w:val="003A1179"/>
    <w:rsid w:val="003A268A"/>
    <w:rsid w:val="004C4E33"/>
    <w:rsid w:val="004F3132"/>
    <w:rsid w:val="00527725"/>
    <w:rsid w:val="005331BA"/>
    <w:rsid w:val="00600695"/>
    <w:rsid w:val="0060745E"/>
    <w:rsid w:val="00920497"/>
    <w:rsid w:val="0092200C"/>
    <w:rsid w:val="00947A66"/>
    <w:rsid w:val="00971D39"/>
    <w:rsid w:val="00A616A0"/>
    <w:rsid w:val="00B11722"/>
    <w:rsid w:val="00B122B9"/>
    <w:rsid w:val="00B9490A"/>
    <w:rsid w:val="00C120FC"/>
    <w:rsid w:val="00C650E2"/>
    <w:rsid w:val="00DC66C6"/>
    <w:rsid w:val="00E1169A"/>
    <w:rsid w:val="00E11EE4"/>
    <w:rsid w:val="00E92019"/>
    <w:rsid w:val="00EA64A3"/>
    <w:rsid w:val="00F2107D"/>
    <w:rsid w:val="00F31F3B"/>
    <w:rsid w:val="00FC3BB4"/>
    <w:rsid w:val="3FC8073C"/>
    <w:rsid w:val="53233583"/>
    <w:rsid w:val="600567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w:basedOn w:val="1"/>
    <w:link w:val="9"/>
    <w:semiHidden/>
    <w:qFormat/>
    <w:uiPriority w:val="0"/>
    <w:rPr>
      <w:rFonts w:ascii="仿宋" w:hAnsi="仿宋" w:eastAsia="仿宋" w:cs="仿宋"/>
      <w:sz w:val="28"/>
      <w:szCs w:val="28"/>
    </w:rPr>
  </w:style>
  <w:style w:type="paragraph" w:styleId="3">
    <w:name w:val="Balloon Text"/>
    <w:basedOn w:val="1"/>
    <w:link w:val="14"/>
    <w:semiHidden/>
    <w:unhideWhenUsed/>
    <w:uiPriority w:val="99"/>
    <w:rPr>
      <w:sz w:val="18"/>
      <w:szCs w:val="18"/>
    </w:rPr>
  </w:style>
  <w:style w:type="paragraph" w:styleId="4">
    <w:name w:val="footer"/>
    <w:basedOn w:val="1"/>
    <w:link w:val="13"/>
    <w:unhideWhenUsed/>
    <w:uiPriority w:val="99"/>
    <w:pPr>
      <w:tabs>
        <w:tab w:val="center" w:pos="4153"/>
        <w:tab w:val="right" w:pos="8306"/>
      </w:tabs>
    </w:pPr>
    <w:rPr>
      <w:sz w:val="18"/>
      <w:szCs w:val="18"/>
    </w:rPr>
  </w:style>
  <w:style w:type="paragraph" w:styleId="5">
    <w:name w:val="header"/>
    <w:basedOn w:val="1"/>
    <w:link w:val="12"/>
    <w:unhideWhenUsed/>
    <w:uiPriority w:val="99"/>
    <w:pPr>
      <w:pBdr>
        <w:bottom w:val="single" w:color="auto" w:sz="6" w:space="1"/>
      </w:pBdr>
      <w:tabs>
        <w:tab w:val="center" w:pos="4153"/>
        <w:tab w:val="right" w:pos="8306"/>
      </w:tabs>
      <w:jc w:val="center"/>
    </w:pPr>
    <w:rPr>
      <w:sz w:val="18"/>
      <w:szCs w:val="18"/>
    </w:rPr>
  </w:style>
  <w:style w:type="table" w:styleId="7">
    <w:name w:val="Table Grid"/>
    <w:basedOn w:val="6"/>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正文文本 Char"/>
    <w:basedOn w:val="8"/>
    <w:link w:val="2"/>
    <w:semiHidden/>
    <w:uiPriority w:val="0"/>
    <w:rPr>
      <w:rFonts w:ascii="仿宋" w:hAnsi="仿宋" w:eastAsia="仿宋" w:cs="仿宋"/>
      <w:snapToGrid w:val="0"/>
      <w:color w:val="000000"/>
      <w:kern w:val="0"/>
      <w:sz w:val="28"/>
      <w:szCs w:val="28"/>
      <w:lang w:eastAsia="en-US"/>
    </w:rPr>
  </w:style>
  <w:style w:type="table" w:customStyle="1" w:styleId="10">
    <w:name w:val="Table Normal"/>
    <w:semiHidden/>
    <w:unhideWhenUsed/>
    <w:qFormat/>
    <w:uiPriority w:val="0"/>
    <w:rPr>
      <w:rFonts w:ascii="Times New Roman" w:hAnsi="Times New Roman" w:eastAsia="宋体" w:cs="Times New Roman"/>
      <w:kern w:val="0"/>
      <w:sz w:val="20"/>
      <w:szCs w:val="20"/>
    </w:rPr>
    <w:tblPr>
      <w:tblCellMar>
        <w:top w:w="0" w:type="dxa"/>
        <w:left w:w="0" w:type="dxa"/>
        <w:bottom w:w="0" w:type="dxa"/>
        <w:right w:w="0" w:type="dxa"/>
      </w:tblCellMar>
    </w:tblPr>
  </w:style>
  <w:style w:type="paragraph" w:customStyle="1" w:styleId="11">
    <w:name w:val="Table Text"/>
    <w:basedOn w:val="1"/>
    <w:semiHidden/>
    <w:qFormat/>
    <w:uiPriority w:val="0"/>
    <w:rPr>
      <w:rFonts w:ascii="仿宋" w:hAnsi="仿宋" w:eastAsia="仿宋" w:cs="仿宋"/>
      <w:sz w:val="24"/>
      <w:szCs w:val="24"/>
    </w:rPr>
  </w:style>
  <w:style w:type="character" w:customStyle="1" w:styleId="12">
    <w:name w:val="页眉 Char"/>
    <w:basedOn w:val="8"/>
    <w:link w:val="5"/>
    <w:uiPriority w:val="99"/>
    <w:rPr>
      <w:rFonts w:ascii="Arial" w:hAnsi="Arial" w:eastAsia="Arial" w:cs="Arial"/>
      <w:snapToGrid w:val="0"/>
      <w:color w:val="000000"/>
      <w:kern w:val="0"/>
      <w:sz w:val="18"/>
      <w:szCs w:val="18"/>
      <w:lang w:eastAsia="en-US"/>
    </w:rPr>
  </w:style>
  <w:style w:type="character" w:customStyle="1" w:styleId="13">
    <w:name w:val="页脚 Char"/>
    <w:basedOn w:val="8"/>
    <w:link w:val="4"/>
    <w:uiPriority w:val="99"/>
    <w:rPr>
      <w:rFonts w:ascii="Arial" w:hAnsi="Arial" w:eastAsia="Arial" w:cs="Arial"/>
      <w:snapToGrid w:val="0"/>
      <w:color w:val="000000"/>
      <w:kern w:val="0"/>
      <w:sz w:val="18"/>
      <w:szCs w:val="18"/>
      <w:lang w:eastAsia="en-US"/>
    </w:rPr>
  </w:style>
  <w:style w:type="character" w:customStyle="1" w:styleId="14">
    <w:name w:val="批注框文本 Char"/>
    <w:basedOn w:val="8"/>
    <w:link w:val="3"/>
    <w:semiHidden/>
    <w:uiPriority w:val="99"/>
    <w:rPr>
      <w:rFonts w:ascii="Arial" w:hAnsi="Arial" w:eastAsia="Arial" w:cs="Arial"/>
      <w:snapToGrid w:val="0"/>
      <w:color w:val="000000"/>
      <w:kern w:val="0"/>
      <w:sz w:val="18"/>
      <w:szCs w:val="18"/>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3</Pages>
  <Words>6764</Words>
  <Characters>7753</Characters>
  <Lines>74</Lines>
  <Paragraphs>21</Paragraphs>
  <TotalTime>80</TotalTime>
  <ScaleCrop>false</ScaleCrop>
  <LinksUpToDate>false</LinksUpToDate>
  <CharactersWithSpaces>7842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2024-10-30T09:35:00Z</dcterms:created>
  <dc:creator>User</dc:creator>
  <cp:lastModifiedBy>大伟</cp:lastModifiedBy>
  <cp:lastPrinted>2024-11-06T06:15:00Z</cp:lastPrinted>
  <dcterms:modified xsi:type="dcterms:W3CDTF">2024-11-06T09:11:20Z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5CCC9D38CAC14ED9A2783C9844D6E48A_13</vt:lpwstr>
  </property>
</Properties>
</file>