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0" w:leftChars="0" w:firstLine="0" w:firstLineChars="0"/>
        <w:jc w:val="both"/>
        <w:rPr>
          <w:rFonts w:hint="eastAsia" w:eastAsia="黑体"/>
          <w:b/>
          <w:bCs/>
          <w:sz w:val="84"/>
        </w:rPr>
      </w:pPr>
    </w:p>
    <w:p>
      <w:pPr>
        <w:pStyle w:val="20"/>
        <w:ind w:left="0" w:leftChars="0" w:firstLine="1687" w:firstLineChars="200"/>
        <w:jc w:val="both"/>
        <w:rPr>
          <w:rFonts w:hint="eastAsia" w:eastAsia="黑体"/>
          <w:b/>
          <w:bCs/>
          <w:sz w:val="84"/>
        </w:rPr>
      </w:pPr>
      <w:r>
        <w:rPr>
          <w:rFonts w:hint="eastAsia" w:eastAsia="黑体"/>
          <w:b/>
          <w:bCs/>
          <w:sz w:val="84"/>
        </w:rPr>
        <w:t>招　标　文　件</w:t>
      </w:r>
    </w:p>
    <w:p>
      <w:pPr>
        <w:pStyle w:val="20"/>
        <w:ind w:firstLine="0"/>
        <w:rPr>
          <w:b/>
          <w:bCs/>
          <w:sz w:val="32"/>
        </w:rPr>
      </w:pPr>
    </w:p>
    <w:p>
      <w:pPr>
        <w:pStyle w:val="20"/>
        <w:ind w:left="2568" w:leftChars="458" w:hanging="1606" w:hangingChars="500"/>
        <w:jc w:val="both"/>
        <w:rPr>
          <w:rFonts w:hint="eastAsia" w:ascii="Arial" w:hAnsi="Arial" w:eastAsia="宋体" w:cs="Times New Roman"/>
          <w:b/>
          <w:bCs/>
          <w:sz w:val="32"/>
          <w:lang w:val="en-US" w:eastAsia="zh-CN"/>
        </w:rPr>
      </w:pPr>
      <w:r>
        <w:rPr>
          <w:rFonts w:hint="eastAsia"/>
          <w:b/>
          <w:bCs/>
          <w:sz w:val="32"/>
        </w:rPr>
        <w:t>项</w:t>
      </w:r>
      <w:r>
        <w:rPr>
          <w:rFonts w:hint="eastAsia" w:ascii="Arial" w:hAnsi="Arial" w:eastAsia="宋体" w:cs="Times New Roman"/>
          <w:b/>
          <w:bCs/>
          <w:sz w:val="32"/>
        </w:rPr>
        <w:t>目名称：</w:t>
      </w:r>
      <w:bookmarkStart w:id="248" w:name="_GoBack"/>
      <w:r>
        <w:rPr>
          <w:rFonts w:hint="eastAsia" w:ascii="Arial" w:hAnsi="Arial" w:eastAsia="宋体" w:cs="Times New Roman"/>
          <w:b/>
          <w:bCs/>
          <w:sz w:val="32"/>
        </w:rPr>
        <w:t>昌吉州机关后勤服务中心2024年州党委办公楼片区、政府办公楼片区、保密局测评中心及销毁中心保安托管服务</w:t>
      </w:r>
    </w:p>
    <w:bookmarkEnd w:id="248"/>
    <w:p>
      <w:pPr>
        <w:pStyle w:val="20"/>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45</w:t>
      </w:r>
    </w:p>
    <w:p>
      <w:pPr>
        <w:pStyle w:val="20"/>
        <w:spacing w:before="0" w:after="0"/>
        <w:ind w:firstLine="0"/>
        <w:rPr>
          <w:rFonts w:hint="eastAsia" w:ascii="宋体" w:hAnsi="宋体"/>
        </w:rPr>
      </w:pPr>
      <w:r>
        <w:rPr>
          <w:rFonts w:hint="eastAsia" w:ascii="宋体" w:hAnsi="宋体"/>
        </w:rPr>
        <w:t xml:space="preserve">                     </w:t>
      </w:r>
    </w:p>
    <w:p>
      <w:pPr>
        <w:pStyle w:val="20"/>
        <w:ind w:firstLine="0"/>
        <w:jc w:val="center"/>
        <w:rPr>
          <w:rFonts w:hint="eastAsia"/>
          <w:b/>
          <w:bCs/>
          <w:sz w:val="32"/>
        </w:rPr>
      </w:pPr>
    </w:p>
    <w:p>
      <w:pPr>
        <w:pStyle w:val="20"/>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 购 人 签 章：</w:t>
      </w:r>
    </w:p>
    <w:p>
      <w:pPr>
        <w:pStyle w:val="20"/>
        <w:ind w:firstLine="0"/>
        <w:jc w:val="center"/>
        <w:rPr>
          <w:rFonts w:hint="eastAsia"/>
          <w:b/>
          <w:bCs/>
          <w:sz w:val="32"/>
        </w:rPr>
      </w:pPr>
    </w:p>
    <w:p>
      <w:pPr>
        <w:pStyle w:val="20"/>
        <w:ind w:firstLine="0"/>
        <w:jc w:val="center"/>
        <w:rPr>
          <w:rFonts w:hint="eastAsia"/>
          <w:b/>
          <w:bCs/>
          <w:sz w:val="32"/>
        </w:rPr>
      </w:pPr>
    </w:p>
    <w:p>
      <w:pPr>
        <w:pStyle w:val="20"/>
        <w:ind w:firstLine="0"/>
        <w:jc w:val="center"/>
        <w:rPr>
          <w:rFonts w:hint="eastAsia"/>
          <w:b/>
          <w:bCs/>
          <w:sz w:val="32"/>
        </w:rPr>
      </w:pPr>
    </w:p>
    <w:p>
      <w:pPr>
        <w:pStyle w:val="20"/>
        <w:ind w:firstLine="1606" w:firstLineChars="500"/>
        <w:jc w:val="both"/>
        <w:rPr>
          <w:rFonts w:hint="eastAsia"/>
          <w:b/>
          <w:bCs/>
          <w:sz w:val="32"/>
          <w:lang w:val="en-US" w:eastAsia="zh-CN"/>
        </w:rPr>
      </w:pPr>
    </w:p>
    <w:p>
      <w:pPr>
        <w:pStyle w:val="20"/>
        <w:ind w:firstLine="1606" w:firstLineChars="500"/>
        <w:jc w:val="both"/>
        <w:rPr>
          <w:rFonts w:hint="eastAsia"/>
          <w:b/>
          <w:bCs/>
          <w:sz w:val="32"/>
          <w:lang w:val="en-US" w:eastAsia="zh-CN"/>
        </w:rPr>
      </w:pPr>
    </w:p>
    <w:p>
      <w:pPr>
        <w:pStyle w:val="20"/>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0"/>
        <w:ind w:firstLine="0"/>
        <w:jc w:val="center"/>
        <w:rPr>
          <w:rFonts w:hint="eastAsia"/>
        </w:rPr>
      </w:pPr>
      <w:r>
        <w:rPr>
          <w:rFonts w:hint="eastAsia" w:cs="Times New Roman"/>
          <w:b/>
          <w:bCs/>
          <w:sz w:val="32"/>
          <w:lang w:val="en-US" w:eastAsia="zh-CN"/>
        </w:rPr>
        <w:t>2024</w:t>
      </w:r>
      <w:r>
        <w:rPr>
          <w:rFonts w:hint="eastAsia" w:ascii="Arial" w:hAnsi="Arial" w:eastAsia="宋体" w:cs="Times New Roman"/>
          <w:b/>
          <w:bCs/>
          <w:sz w:val="32"/>
        </w:rPr>
        <w:t>年</w:t>
      </w:r>
      <w:r>
        <w:rPr>
          <w:rFonts w:hint="eastAsia" w:cs="Times New Roman"/>
          <w:b/>
          <w:bCs/>
          <w:sz w:val="32"/>
          <w:lang w:val="en-US" w:eastAsia="zh-CN"/>
        </w:rPr>
        <w:t>9</w:t>
      </w:r>
      <w:r>
        <w:rPr>
          <w:rFonts w:hint="eastAsia" w:ascii="Arial" w:hAnsi="Arial" w:eastAsia="宋体" w:cs="Times New Roman"/>
          <w:b/>
          <w:bCs/>
          <w:sz w:val="32"/>
        </w:rPr>
        <w:t>月</w:t>
      </w:r>
      <w:r>
        <w:rPr>
          <w:rFonts w:hint="eastAsia" w:cs="Times New Roman"/>
          <w:b/>
          <w:bCs/>
          <w:sz w:val="32"/>
          <w:lang w:val="en-US" w:eastAsia="zh-CN"/>
        </w:rPr>
        <w:t>24</w:t>
      </w:r>
      <w:r>
        <w:rPr>
          <w:b/>
          <w:bCs/>
          <w:sz w:val="32"/>
        </w:rPr>
        <w:t>日</w:t>
      </w:r>
    </w:p>
    <w:p>
      <w:pPr>
        <w:rPr>
          <w:rFonts w:hint="eastAsia"/>
        </w:rPr>
      </w:pPr>
      <w:r>
        <w:br w:type="page"/>
      </w:r>
      <w:bookmarkStart w:id="0" w:name="_Toc120614210"/>
      <w:bookmarkStart w:id="1" w:name="_Toc494375077"/>
      <w:bookmarkStart w:id="2" w:name="_Toc16938516"/>
      <w:bookmarkStart w:id="3" w:name="_Toc20823272"/>
      <w:bookmarkStart w:id="4" w:name="_Toc479757206"/>
      <w:bookmarkStart w:id="5" w:name="_Toc523127445"/>
      <w:bookmarkStart w:id="6" w:name="_Toc513029200"/>
    </w:p>
    <w:p>
      <w:pPr>
        <w:pStyle w:val="21"/>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3"/>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第六章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rPr>
          <w:rFonts w:hint="eastAsia"/>
        </w:rPr>
      </w:pPr>
      <w:bookmarkStart w:id="7" w:name="_Toc534725596"/>
      <w:bookmarkStart w:id="8" w:name="_Toc534816625"/>
      <w:r>
        <w:rPr>
          <w:rFonts w:hint="eastAsia"/>
        </w:rPr>
        <w:t xml:space="preserve">第一章  </w:t>
      </w:r>
      <w:bookmarkEnd w:id="0"/>
      <w:r>
        <w:rPr>
          <w:rFonts w:hint="eastAsia"/>
        </w:rPr>
        <w:t>投标邀请</w:t>
      </w:r>
      <w:bookmarkEnd w:id="1"/>
      <w:bookmarkEnd w:id="7"/>
      <w:bookmarkEnd w:id="8"/>
    </w:p>
    <w:p>
      <w:pPr>
        <w:pStyle w:val="20"/>
        <w:jc w:val="left"/>
        <w:rPr>
          <w:rFonts w:hint="eastAsia" w:hAnsi="宋体"/>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w:t>
      </w:r>
      <w:r>
        <w:rPr>
          <w:rFonts w:hint="eastAsia" w:hAnsi="宋体" w:cs="Times New Roman"/>
          <w:lang w:val="en-US" w:eastAsia="zh-CN"/>
        </w:rPr>
        <w:t>受</w:t>
      </w:r>
      <w:r>
        <w:rPr>
          <w:rFonts w:hint="eastAsia" w:hAnsi="宋体" w:cs="Times New Roman"/>
          <w:u w:val="single"/>
          <w:lang w:val="en-US" w:eastAsia="zh-CN"/>
        </w:rPr>
        <w:t>昌吉州机关后勤服务中心</w:t>
      </w:r>
      <w:r>
        <w:rPr>
          <w:rFonts w:hint="eastAsia" w:hAnsi="宋体" w:cs="Times New Roman"/>
          <w:u w:val="none"/>
          <w:lang w:val="en-US" w:eastAsia="zh-CN"/>
        </w:rPr>
        <w:t>委托，</w:t>
      </w:r>
      <w:r>
        <w:rPr>
          <w:rFonts w:hint="eastAsia" w:hAnsi="宋体" w:eastAsia="宋体" w:cs="Times New Roman"/>
          <w:lang w:eastAsia="zh-CN"/>
        </w:rPr>
        <w:t>现</w:t>
      </w:r>
      <w:r>
        <w:rPr>
          <w:rFonts w:hint="eastAsia" w:hAnsi="宋体"/>
          <w:lang w:eastAsia="zh-CN"/>
        </w:rPr>
        <w:t>就</w:t>
      </w:r>
      <w:r>
        <w:rPr>
          <w:rFonts w:hint="eastAsia" w:hAnsi="宋体"/>
          <w:highlight w:val="none"/>
          <w:u w:val="single"/>
          <w:lang w:val="en-US" w:eastAsia="zh-CN"/>
        </w:rPr>
        <w:t>昌吉州机关后勤服务中心2024年州党委办公楼片区、政府办公楼片区、保密局测评中心及销毁中心保安托管服务，项目编号</w:t>
      </w:r>
      <w:r>
        <w:rPr>
          <w:rFonts w:hint="eastAsia" w:hAnsi="宋体"/>
          <w:highlight w:val="none"/>
          <w:u w:val="single"/>
          <w:lang w:eastAsia="zh-CN"/>
        </w:rPr>
        <w:t>（</w:t>
      </w:r>
      <w:r>
        <w:rPr>
          <w:rFonts w:hint="eastAsia" w:hAnsi="宋体"/>
          <w:highlight w:val="none"/>
          <w:u w:val="single"/>
          <w:lang w:val="en-US" w:eastAsia="zh-CN"/>
        </w:rPr>
        <w:t>CJZFCG－GK-2024045）</w:t>
      </w:r>
      <w:r>
        <w:rPr>
          <w:rFonts w:hint="eastAsia" w:hAnsi="宋体" w:eastAsia="宋体" w:cs="Times New Roman"/>
          <w:color w:val="auto"/>
          <w:highlight w:val="none"/>
          <w:u w:val="single"/>
          <w:lang w:val="en-US" w:eastAsia="zh-CN"/>
        </w:rPr>
        <w:t>，</w:t>
      </w:r>
      <w:r>
        <w:rPr>
          <w:rFonts w:hint="eastAsia" w:hAnsi="宋体"/>
          <w:u w:val="none"/>
        </w:rPr>
        <w:t>进行公开招标采购，</w:t>
      </w:r>
      <w:r>
        <w:rPr>
          <w:rFonts w:hint="eastAsia" w:hAnsi="宋体"/>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eastAsia="宋体" w:cs="Times New Roman"/>
          <w:sz w:val="24"/>
          <w:szCs w:val="24"/>
          <w:highlight w:val="none"/>
          <w:u w:val="single"/>
          <w:lang w:val="en-US" w:eastAsia="zh-CN"/>
        </w:rPr>
        <w:t>昌吉州党委办公楼片区、政府办公楼片区、保密局测评中心及销毁中心需配置保安共46人（主管1人、保安45人），</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sz w:val="24"/>
          <w:szCs w:val="24"/>
          <w:u w:val="single"/>
          <w:lang w:eastAsia="zh-CN"/>
        </w:rPr>
        <w:t>202</w:t>
      </w:r>
      <w:r>
        <w:rPr>
          <w:rFonts w:hint="eastAsia" w:ascii="宋体" w:hAnsi="宋体"/>
          <w:sz w:val="24"/>
          <w:szCs w:val="24"/>
          <w:u w:val="single"/>
          <w:lang w:val="en-US" w:eastAsia="zh-CN"/>
        </w:rPr>
        <w:t>4</w:t>
      </w:r>
      <w:r>
        <w:rPr>
          <w:rFonts w:hint="eastAsia" w:ascii="宋体" w:hAnsi="宋体"/>
          <w:bCs/>
          <w:sz w:val="24"/>
          <w:szCs w:val="24"/>
          <w:u w:val="single"/>
        </w:rPr>
        <w:t xml:space="preserve">年 </w:t>
      </w:r>
      <w:r>
        <w:rPr>
          <w:rFonts w:hint="eastAsia" w:ascii="宋体" w:hAnsi="宋体"/>
          <w:bCs/>
          <w:sz w:val="24"/>
          <w:szCs w:val="24"/>
          <w:u w:val="single"/>
          <w:lang w:val="en-US" w:eastAsia="zh-CN"/>
        </w:rPr>
        <w:t>10</w:t>
      </w:r>
      <w:r>
        <w:rPr>
          <w:rFonts w:hint="eastAsia" w:ascii="宋体" w:hAnsi="宋体"/>
          <w:bCs/>
          <w:sz w:val="24"/>
          <w:szCs w:val="24"/>
          <w:u w:val="single"/>
        </w:rPr>
        <w:t>月</w:t>
      </w:r>
      <w:r>
        <w:rPr>
          <w:rFonts w:hint="eastAsia" w:ascii="宋体" w:hAnsi="宋体"/>
          <w:bCs/>
          <w:sz w:val="24"/>
          <w:szCs w:val="24"/>
          <w:u w:val="single"/>
          <w:lang w:val="en-US" w:eastAsia="zh-CN"/>
        </w:rPr>
        <w:t>15</w:t>
      </w:r>
      <w:r>
        <w:rPr>
          <w:rFonts w:hint="eastAsia" w:ascii="宋体" w:hAnsi="宋体"/>
          <w:bCs/>
          <w:sz w:val="24"/>
          <w:szCs w:val="24"/>
          <w:u w:val="single"/>
        </w:rPr>
        <w:t xml:space="preserve">日 </w:t>
      </w:r>
      <w:r>
        <w:rPr>
          <w:rFonts w:hint="eastAsia" w:ascii="宋体" w:hAnsi="宋体"/>
          <w:bCs/>
          <w:sz w:val="24"/>
          <w:szCs w:val="24"/>
          <w:u w:val="single"/>
          <w:lang w:val="en-US" w:eastAsia="zh-CN"/>
        </w:rPr>
        <w:t>16</w:t>
      </w:r>
      <w:r>
        <w:rPr>
          <w:rFonts w:hint="eastAsia" w:ascii="宋体" w:hAnsi="宋体"/>
          <w:bCs/>
          <w:sz w:val="24"/>
          <w:szCs w:val="24"/>
          <w:u w:val="single"/>
        </w:rPr>
        <w:t xml:space="preserve">点 </w:t>
      </w:r>
      <w:r>
        <w:rPr>
          <w:rFonts w:hint="eastAsia" w:ascii="宋体" w:hAnsi="宋体"/>
          <w:bCs/>
          <w:sz w:val="24"/>
          <w:szCs w:val="24"/>
          <w:u w:val="single"/>
          <w:lang w:val="en-US" w:eastAsia="zh-CN"/>
        </w:rPr>
        <w:t>00</w:t>
      </w:r>
      <w:r>
        <w:rPr>
          <w:rFonts w:hint="eastAsia" w:ascii="宋体" w:hAnsi="宋体"/>
          <w:bCs/>
          <w:sz w:val="24"/>
          <w:szCs w:val="24"/>
          <w:u w:val="single"/>
        </w:rPr>
        <w:t>分（北京时间）</w:t>
      </w:r>
      <w:r>
        <w:rPr>
          <w:rFonts w:hint="eastAsia" w:ascii="宋体" w:hAnsi="宋体"/>
          <w:bCs/>
          <w:sz w:val="24"/>
          <w:szCs w:val="24"/>
          <w:lang w:eastAsia="zh-CN"/>
        </w:rPr>
        <w:t>；</w:t>
      </w:r>
    </w:p>
    <w:p>
      <w:pPr>
        <w:pStyle w:val="20"/>
        <w:pageBreakBefore w:val="0"/>
        <w:widowControl w:val="0"/>
        <w:kinsoku/>
        <w:overflowPunct/>
        <w:topLinePunct w:val="0"/>
        <w:bidi w:val="0"/>
        <w:spacing w:line="460" w:lineRule="exact"/>
        <w:rPr>
          <w:rFonts w:hint="eastAsia" w:hAnsi="宋体"/>
        </w:rPr>
      </w:pPr>
    </w:p>
    <w:p>
      <w:pPr>
        <w:pStyle w:val="6"/>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kern w:val="2"/>
          <w:sz w:val="24"/>
          <w:szCs w:val="24"/>
          <w:highlight w:val="none"/>
          <w:u w:val="single"/>
          <w:lang w:val="en-US" w:eastAsia="zh-CN" w:bidi="ar-SA"/>
        </w:rPr>
      </w:pPr>
      <w:r>
        <w:rPr>
          <w:rFonts w:hint="eastAsia" w:ascii="宋体" w:hAnsi="宋体"/>
          <w:sz w:val="24"/>
          <w:szCs w:val="24"/>
        </w:rPr>
        <w:t>1.</w:t>
      </w:r>
      <w:r>
        <w:rPr>
          <w:rFonts w:hint="eastAsia" w:hAnsi="宋体"/>
          <w:sz w:val="24"/>
          <w:szCs w:val="24"/>
        </w:rPr>
        <w:t>项目名称</w:t>
      </w:r>
      <w:r>
        <w:rPr>
          <w:rFonts w:hint="eastAsia" w:hAnsi="宋体"/>
          <w:sz w:val="24"/>
          <w:szCs w:val="24"/>
          <w:lang w:eastAsia="zh-CN"/>
        </w:rPr>
        <w:t>：</w:t>
      </w:r>
      <w:r>
        <w:rPr>
          <w:rFonts w:hint="eastAsia" w:ascii="宋体" w:hAnsi="宋体" w:eastAsia="宋体" w:cs="Times New Roman"/>
          <w:kern w:val="2"/>
          <w:sz w:val="24"/>
          <w:szCs w:val="24"/>
          <w:highlight w:val="none"/>
          <w:u w:val="single"/>
          <w:lang w:val="en-US" w:eastAsia="zh-CN" w:bidi="ar-SA"/>
        </w:rPr>
        <w:t>昌吉州机关后勤服务中心2024年州党委办公楼片区、政府办公楼片区、保密局测评中心及销毁中心保安托管服务</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u w:val="single"/>
          <w:lang w:val="en-US" w:eastAsia="zh-CN"/>
        </w:rPr>
      </w:pPr>
      <w:r>
        <w:rPr>
          <w:rFonts w:hint="eastAsia" w:ascii="宋体" w:hAnsi="宋体"/>
          <w:sz w:val="24"/>
          <w:szCs w:val="24"/>
        </w:rPr>
        <w:t>2.</w:t>
      </w:r>
      <w:r>
        <w:rPr>
          <w:rFonts w:hint="eastAsia" w:hAnsi="宋体"/>
          <w:sz w:val="24"/>
          <w:szCs w:val="24"/>
        </w:rPr>
        <w:t>项目</w:t>
      </w:r>
      <w:r>
        <w:rPr>
          <w:rFonts w:hint="eastAsia" w:ascii="宋体" w:hAnsi="宋体"/>
          <w:sz w:val="24"/>
        </w:rPr>
        <w:t>编号：</w:t>
      </w:r>
      <w:r>
        <w:rPr>
          <w:rFonts w:hint="eastAsia" w:hAnsi="宋体"/>
          <w:sz w:val="24"/>
          <w:szCs w:val="24"/>
          <w:highlight w:val="none"/>
          <w:u w:val="single"/>
        </w:rPr>
        <w:t>CJZFCG－GK-20240</w:t>
      </w:r>
      <w:r>
        <w:rPr>
          <w:rFonts w:hint="eastAsia" w:hAnsi="宋体"/>
          <w:sz w:val="24"/>
          <w:szCs w:val="24"/>
          <w:highlight w:val="none"/>
          <w:u w:val="single"/>
          <w:lang w:val="en-US" w:eastAsia="zh-CN"/>
        </w:rPr>
        <w:t>45</w:t>
      </w:r>
    </w:p>
    <w:p>
      <w:pPr>
        <w:pageBreakBefore w:val="0"/>
        <w:widowControl w:val="0"/>
        <w:kinsoku/>
        <w:overflowPunct/>
        <w:topLinePunct w:val="0"/>
        <w:bidi w:val="0"/>
        <w:spacing w:line="460" w:lineRule="exact"/>
        <w:ind w:firstLine="480" w:firstLineChars="200"/>
        <w:rPr>
          <w:rFonts w:hint="eastAsia" w:ascii="宋体" w:hAnsi="宋体" w:eastAsia="宋体" w:cs="Times New Roman"/>
          <w:kern w:val="2"/>
          <w:sz w:val="24"/>
          <w:szCs w:val="24"/>
          <w:highlight w:val="none"/>
          <w:u w:val="single"/>
          <w:lang w:val="en-US" w:eastAsia="zh-CN" w:bidi="ar-SA"/>
        </w:rPr>
      </w:pPr>
      <w:r>
        <w:rPr>
          <w:rFonts w:hint="eastAsia" w:ascii="宋体" w:hAnsi="宋体"/>
          <w:sz w:val="24"/>
          <w:szCs w:val="24"/>
          <w:highlight w:val="none"/>
        </w:rPr>
        <w:t>3.预算金额：</w:t>
      </w:r>
      <w:r>
        <w:rPr>
          <w:rFonts w:hint="eastAsia" w:ascii="宋体" w:hAnsi="宋体" w:cs="Times New Roman"/>
          <w:i/>
          <w:iCs/>
          <w:kern w:val="2"/>
          <w:sz w:val="24"/>
          <w:szCs w:val="24"/>
          <w:highlight w:val="none"/>
          <w:u w:val="single"/>
          <w:lang w:val="en-US" w:eastAsia="zh-CN" w:bidi="ar-SA"/>
        </w:rPr>
        <w:t>740800</w:t>
      </w:r>
      <w:r>
        <w:rPr>
          <w:rFonts w:hint="eastAsia" w:ascii="宋体" w:hAnsi="宋体" w:eastAsia="宋体" w:cs="Times New Roman"/>
          <w:i/>
          <w:iCs/>
          <w:kern w:val="2"/>
          <w:sz w:val="24"/>
          <w:szCs w:val="24"/>
          <w:highlight w:val="none"/>
          <w:u w:val="single"/>
          <w:lang w:val="en-US" w:eastAsia="zh-CN" w:bidi="ar-SA"/>
        </w:rPr>
        <w:t>元</w:t>
      </w:r>
    </w:p>
    <w:p>
      <w:pPr>
        <w:pStyle w:val="8"/>
        <w:ind w:firstLine="679" w:firstLineChars="0"/>
        <w:rPr>
          <w:rFonts w:hint="default"/>
          <w:highlight w:val="none"/>
          <w:lang w:val="en-US" w:eastAsia="zh-CN"/>
        </w:rPr>
      </w:pPr>
      <w:r>
        <w:rPr>
          <w:rFonts w:hint="eastAsia" w:ascii="宋体" w:hAnsi="宋体" w:eastAsia="宋体" w:cs="Times New Roman"/>
          <w:kern w:val="2"/>
          <w:sz w:val="24"/>
          <w:szCs w:val="24"/>
          <w:highlight w:val="none"/>
          <w:lang w:val="en-US" w:eastAsia="zh-CN" w:bidi="ar-SA"/>
        </w:rPr>
        <w:t>最高限价：</w:t>
      </w:r>
      <w:r>
        <w:rPr>
          <w:rFonts w:hint="eastAsia" w:ascii="宋体" w:hAnsi="宋体" w:cs="Times New Roman"/>
          <w:i/>
          <w:iCs/>
          <w:kern w:val="2"/>
          <w:sz w:val="24"/>
          <w:szCs w:val="24"/>
          <w:highlight w:val="none"/>
          <w:u w:val="single"/>
          <w:lang w:val="en-US" w:eastAsia="zh-CN" w:bidi="ar-SA"/>
        </w:rPr>
        <w:t>740800</w:t>
      </w:r>
      <w:r>
        <w:rPr>
          <w:rFonts w:hint="eastAsia" w:ascii="宋体" w:hAnsi="宋体"/>
          <w:i/>
          <w:iCs/>
          <w:sz w:val="24"/>
          <w:szCs w:val="24"/>
          <w:highlight w:val="none"/>
          <w:u w:val="single"/>
        </w:rPr>
        <w:t>元</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i/>
          <w:iCs/>
          <w:sz w:val="24"/>
          <w:szCs w:val="24"/>
          <w:highlight w:val="none"/>
          <w:u w:val="single"/>
          <w:lang w:val="en-US" w:eastAsia="zh-CN"/>
        </w:rPr>
      </w:pPr>
      <w:r>
        <w:rPr>
          <w:rFonts w:hint="eastAsia" w:ascii="宋体" w:hAnsi="宋体" w:eastAsia="宋体" w:cs="Times New Roman"/>
          <w:i/>
          <w:iCs/>
          <w:sz w:val="24"/>
          <w:szCs w:val="24"/>
          <w:highlight w:val="none"/>
          <w:u w:val="single"/>
          <w:lang w:val="en-US" w:eastAsia="zh-CN"/>
        </w:rPr>
        <w:t>每月由甲方按合同约定进行考核、依据考核结果按月付款。</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对采购需求进行概述</w:t>
      </w:r>
    </w:p>
    <w:p>
      <w:pPr>
        <w:pStyle w:val="2"/>
        <w:pageBreakBefore w:val="0"/>
        <w:widowControl w:val="0"/>
        <w:kinsoku/>
        <w:overflowPunct/>
        <w:topLinePunct w:val="0"/>
        <w:bidi w:val="0"/>
        <w:spacing w:line="460" w:lineRule="exact"/>
        <w:rPr>
          <w:rFonts w:hint="eastAsia"/>
          <w:i/>
          <w:iCs/>
          <w:highlight w:val="none"/>
          <w:lang w:val="en-US" w:eastAsia="zh-CN"/>
        </w:rPr>
      </w:pP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i/>
          <w:iCs/>
          <w:sz w:val="24"/>
          <w:szCs w:val="24"/>
          <w:u w:val="single"/>
          <w:lang w:val="en-US" w:eastAsia="zh-CN"/>
        </w:rPr>
        <w:t xml:space="preserve"> </w:t>
      </w:r>
      <w:r>
        <w:rPr>
          <w:rFonts w:hint="eastAsia" w:ascii="宋体" w:hAnsi="宋体" w:eastAsia="宋体" w:cs="Times New Roman"/>
          <w:i/>
          <w:iCs/>
          <w:sz w:val="24"/>
          <w:szCs w:val="24"/>
          <w:highlight w:val="none"/>
          <w:u w:val="single"/>
          <w:lang w:val="en-US" w:eastAsia="zh-CN"/>
        </w:rPr>
        <w:t xml:space="preserve"> 昌吉州党委办公楼片区、政府办公楼片区、保密局测评中心及销毁中心需配置保安共46人（主管1人、保安45人）。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Times New Roman"/>
          <w:i/>
          <w:iCs/>
          <w:kern w:val="2"/>
          <w:sz w:val="24"/>
          <w:szCs w:val="24"/>
          <w:highlight w:val="none"/>
          <w:u w:val="single"/>
          <w:lang w:val="en-US" w:eastAsia="zh-CN" w:bidi="ar-SA"/>
        </w:rPr>
      </w:pPr>
      <w:r>
        <w:rPr>
          <w:rFonts w:hint="eastAsia" w:ascii="宋体" w:hAnsi="宋体" w:eastAsia="宋体" w:cs="Times New Roman"/>
          <w:i/>
          <w:iCs/>
          <w:color w:val="FF0000"/>
          <w:kern w:val="2"/>
          <w:sz w:val="24"/>
          <w:szCs w:val="24"/>
          <w:highlight w:val="none"/>
          <w:u w:val="single"/>
          <w:lang w:val="en-US" w:eastAsia="zh-CN" w:bidi="ar-SA"/>
        </w:rPr>
        <w:t>6.合同履行期限： 2024年11月1日-2025年2月28日。</w:t>
      </w:r>
    </w:p>
    <w:p>
      <w:pPr>
        <w:pageBreakBefore w:val="0"/>
        <w:widowControl w:val="0"/>
        <w:numPr>
          <w:ilvl w:val="0"/>
          <w:numId w:val="0"/>
        </w:numPr>
        <w:kinsoku/>
        <w:overflowPunct/>
        <w:topLinePunct w:val="0"/>
        <w:bidi w:val="0"/>
        <w:spacing w:line="460" w:lineRule="exact"/>
        <w:ind w:firstLine="480" w:firstLineChars="200"/>
        <w:rPr>
          <w:rFonts w:ascii="宋体" w:hAnsi="宋体" w:cs="宋体"/>
          <w:i/>
          <w:iCs/>
          <w:color w:val="FF0000"/>
          <w:kern w:val="0"/>
          <w:sz w:val="24"/>
          <w:szCs w:val="24"/>
        </w:rPr>
      </w:pPr>
      <w:r>
        <w:rPr>
          <w:rFonts w:hint="eastAsia" w:ascii="宋体" w:hAnsi="宋体"/>
          <w:i/>
          <w:iCs/>
          <w:sz w:val="24"/>
          <w:szCs w:val="24"/>
          <w:lang w:val="en-US" w:eastAsia="zh-CN"/>
        </w:rPr>
        <w:t>7</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i/>
          <w:iCs/>
          <w:sz w:val="24"/>
          <w:szCs w:val="24"/>
          <w:lang w:val="en-US" w:eastAsia="zh-CN"/>
        </w:rPr>
        <w:t>8</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highlight w:val="none"/>
          <w:u w:val="single"/>
          <w:lang w:val="en-US" w:eastAsia="zh-CN"/>
        </w:rPr>
      </w:pPr>
      <w:r>
        <w:rPr>
          <w:rFonts w:hint="eastAsia" w:ascii="宋体" w:hAnsi="宋体"/>
          <w:sz w:val="24"/>
          <w:szCs w:val="24"/>
          <w:lang w:val="en-US" w:eastAsia="zh-CN"/>
        </w:rPr>
        <w:t>9.本项目属于</w:t>
      </w:r>
      <w:r>
        <w:rPr>
          <w:rFonts w:hint="eastAsia" w:ascii="宋体" w:hAnsi="宋体" w:cs="Times New Roman"/>
          <w:color w:val="FF0000"/>
          <w:sz w:val="24"/>
          <w:szCs w:val="24"/>
          <w:highlight w:val="none"/>
          <w:u w:val="single"/>
          <w:lang w:val="en-US" w:eastAsia="zh-CN"/>
        </w:rPr>
        <w:t>服务类</w:t>
      </w:r>
      <w:r>
        <w:rPr>
          <w:rFonts w:hint="eastAsia" w:ascii="宋体" w:hAnsi="宋体"/>
          <w:color w:val="FF0000"/>
          <w:sz w:val="24"/>
          <w:szCs w:val="24"/>
          <w:highlight w:val="none"/>
          <w:u w:val="single"/>
          <w:lang w:val="en-US" w:eastAsia="zh-CN"/>
        </w:rPr>
        <w:t xml:space="preserve">  </w:t>
      </w:r>
      <w:r>
        <w:rPr>
          <w:rFonts w:hint="eastAsia" w:ascii="宋体" w:hAnsi="宋体"/>
          <w:sz w:val="24"/>
          <w:szCs w:val="24"/>
          <w:highlight w:val="none"/>
          <w:u w:val="single"/>
          <w:lang w:val="en-US" w:eastAsia="zh-CN"/>
        </w:rPr>
        <w:t xml:space="preserve">     </w:t>
      </w:r>
    </w:p>
    <w:p>
      <w:pPr>
        <w:pageBreakBefore w:val="0"/>
        <w:widowControl w:val="0"/>
        <w:kinsoku/>
        <w:overflowPunct/>
        <w:topLinePunct w:val="0"/>
        <w:bidi w:val="0"/>
        <w:spacing w:line="46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sz w:val="24"/>
          <w:szCs w:val="24"/>
          <w:highlight w:val="none"/>
          <w:lang w:val="en-US" w:eastAsia="zh-CN"/>
        </w:rPr>
        <w:t>10.</w:t>
      </w:r>
      <w:r>
        <w:rPr>
          <w:rFonts w:hint="eastAsia" w:ascii="宋体" w:hAnsi="宋体"/>
          <w:color w:val="000000" w:themeColor="text1"/>
          <w:sz w:val="24"/>
          <w:szCs w:val="24"/>
          <w:highlight w:val="none"/>
          <w:lang w:val="en-US" w:eastAsia="zh-CN"/>
          <w14:textFill>
            <w14:solidFill>
              <w14:schemeClr w14:val="tx1"/>
            </w14:solidFill>
          </w14:textFill>
        </w:rPr>
        <w:t>本项目采购标的对应的中小企业划分标准所属行业为“</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物业管理</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”。行业划分标准按《国民经济行业分类》执行。中小企业划分标准按《中小企业划型标准规定》（工信部联企业[2011]300号）文件规定执行。本项目专门面向中小企业采购</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请根据要求单独上传《中小企业声明函》。格式以采购文件要求为准</w:t>
      </w:r>
      <w:r>
        <w:rPr>
          <w:rFonts w:hint="eastAsia" w:ascii="宋体" w:hAnsi="宋体"/>
          <w:color w:val="000000" w:themeColor="text1"/>
          <w:sz w:val="24"/>
          <w:szCs w:val="24"/>
          <w:highlight w:val="none"/>
          <w:lang w:eastAsia="zh-CN"/>
          <w14:textFill>
            <w14:solidFill>
              <w14:schemeClr w14:val="tx1"/>
            </w14:solidFill>
          </w14:textFill>
        </w:rPr>
        <w:t>，如未按文件要求填写则</w:t>
      </w:r>
      <w:r>
        <w:rPr>
          <w:rFonts w:hint="eastAsia" w:ascii="宋体" w:hAnsi="宋体"/>
          <w:color w:val="000000" w:themeColor="text1"/>
          <w:sz w:val="24"/>
          <w:szCs w:val="24"/>
          <w:highlight w:val="none"/>
          <w:lang w:val="en-US" w:eastAsia="zh-CN"/>
          <w14:textFill>
            <w14:solidFill>
              <w14:schemeClr w14:val="tx1"/>
            </w14:solidFill>
          </w14:textFill>
        </w:rPr>
        <w:t>按无效文件处理</w:t>
      </w:r>
      <w:r>
        <w:rPr>
          <w:rFonts w:hint="eastAsia" w:ascii="宋体" w:hAnsi="宋体"/>
          <w:color w:val="000000" w:themeColor="text1"/>
          <w:sz w:val="24"/>
          <w:szCs w:val="24"/>
          <w:highlight w:val="none"/>
          <w:lang w:eastAsia="zh-CN"/>
          <w14:textFill>
            <w14:solidFill>
              <w14:schemeClr w14:val="tx1"/>
            </w14:solidFill>
          </w14:textFill>
        </w:rPr>
        <w:t>。</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6"/>
        <w:pageBreakBefore w:val="0"/>
        <w:widowControl w:val="0"/>
        <w:kinsoku/>
        <w:overflowPunct/>
        <w:topLinePunct w:val="0"/>
        <w:bidi w:val="0"/>
        <w:spacing w:before="145" w:beforeLines="50" w:after="145" w:afterLines="50" w:line="460" w:lineRule="exact"/>
        <w:ind w:firstLine="498" w:firstLineChars="155"/>
        <w:rPr>
          <w:rFonts w:hint="eastAsia"/>
        </w:rPr>
      </w:pPr>
      <w:r>
        <w:rPr>
          <w:rFonts w:hint="eastAsia"/>
        </w:rPr>
        <w:t>二、申请人的资格要求：</w:t>
      </w:r>
    </w:p>
    <w:p>
      <w:pPr>
        <w:pageBreakBefore w:val="0"/>
        <w:widowControl w:val="0"/>
        <w:kinsoku/>
        <w:overflowPunct/>
        <w:topLinePunct w:val="0"/>
        <w:bidi w:val="0"/>
        <w:spacing w:line="460" w:lineRule="exact"/>
        <w:rPr>
          <w:rFonts w:hint="default" w:eastAsia="宋体"/>
          <w:lang w:val="en-US" w:eastAsia="zh-CN"/>
        </w:rPr>
      </w:pP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ageBreakBefore w:val="0"/>
        <w:widowControl w:val="0"/>
        <w:kinsoku/>
        <w:overflowPunct/>
        <w:topLinePunct w:val="0"/>
        <w:bidi w:val="0"/>
        <w:spacing w:line="460" w:lineRule="exact"/>
        <w:ind w:firstLine="621" w:firstLineChars="259"/>
        <w:jc w:val="left"/>
        <w:rPr>
          <w:rFonts w:hint="eastAsia" w:ascii="宋体" w:hAnsi="宋体" w:eastAsia="宋体"/>
          <w:color w:val="FF0000"/>
          <w:sz w:val="24"/>
          <w:szCs w:val="24"/>
          <w:lang w:eastAsia="zh-CN"/>
        </w:rPr>
      </w:pPr>
      <w:r>
        <w:rPr>
          <w:rFonts w:hint="eastAsia" w:ascii="宋体" w:hAnsi="宋体"/>
          <w:sz w:val="24"/>
          <w:szCs w:val="24"/>
          <w:lang w:val="en-US" w:eastAsia="zh-CN"/>
        </w:rPr>
        <w:t>1.1</w:t>
      </w:r>
      <w:r>
        <w:rPr>
          <w:rFonts w:hint="eastAsia" w:ascii="宋体" w:hAnsi="宋体"/>
          <w:sz w:val="24"/>
          <w:szCs w:val="24"/>
        </w:rPr>
        <w:t>法人或者其他组织的营业执照等证明文件，自然人的身份证明；</w:t>
      </w:r>
      <w:r>
        <w:rPr>
          <w:rFonts w:hint="eastAsia" w:ascii="宋体" w:hAnsi="宋体"/>
          <w:color w:val="FF0000"/>
          <w:sz w:val="24"/>
          <w:szCs w:val="24"/>
          <w:lang w:eastAsia="zh-CN"/>
        </w:rPr>
        <w:t>（</w:t>
      </w:r>
      <w:r>
        <w:rPr>
          <w:rFonts w:hint="eastAsia" w:ascii="宋体" w:hAnsi="宋体"/>
          <w:color w:val="FF0000"/>
          <w:sz w:val="24"/>
          <w:szCs w:val="24"/>
        </w:rPr>
        <w:t>营业执照经营范围须含有：保安服务等相关内容。</w:t>
      </w:r>
      <w:r>
        <w:rPr>
          <w:rFonts w:hint="eastAsia" w:ascii="宋体" w:hAnsi="宋体"/>
          <w:color w:val="FF0000"/>
          <w:sz w:val="24"/>
          <w:szCs w:val="24"/>
          <w:lang w:eastAsia="zh-CN"/>
        </w:rPr>
        <w:t>）</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上一</w:t>
      </w:r>
      <w:r>
        <w:rPr>
          <w:rFonts w:hint="eastAsia" w:ascii="宋体" w:hAnsi="宋体"/>
          <w:sz w:val="24"/>
          <w:szCs w:val="24"/>
        </w:rPr>
        <w:t>个年度的财务状况报告（成立不满一年不需提供）；</w:t>
      </w:r>
    </w:p>
    <w:p>
      <w:pPr>
        <w:ind w:firstLine="480" w:firstLineChars="200"/>
        <w:rPr>
          <w:rFonts w:ascii="宋体" w:hAnsi="宋体"/>
          <w:sz w:val="24"/>
          <w:szCs w:val="24"/>
        </w:rPr>
      </w:pPr>
      <w:r>
        <w:rPr>
          <w:rFonts w:hint="eastAsia" w:ascii="宋体" w:hAnsi="宋体"/>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ascii="宋体" w:hAnsi="宋体"/>
          <w:sz w:val="24"/>
          <w:szCs w:val="24"/>
        </w:rPr>
      </w:pPr>
      <w:r>
        <w:rPr>
          <w:rFonts w:hint="eastAsia" w:ascii="宋体" w:hAnsi="宋体"/>
          <w:sz w:val="24"/>
          <w:szCs w:val="24"/>
        </w:rPr>
        <w:t>1.4具备履行合同所必需的设备和专业技术能力的证明材料；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pageBreakBefore w:val="0"/>
        <w:widowControl w:val="0"/>
        <w:kinsoku/>
        <w:overflowPunct/>
        <w:topLinePunct w:val="0"/>
        <w:bidi w:val="0"/>
        <w:spacing w:line="46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1.8</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22"/>
        <w:numPr>
          <w:ilvl w:val="0"/>
          <w:numId w:val="1"/>
        </w:numPr>
        <w:rPr>
          <w:rFonts w:hint="eastAsia" w:hAnsi="宋体"/>
          <w:color w:val="FF0000"/>
          <w:sz w:val="24"/>
          <w:szCs w:val="24"/>
          <w:lang w:val="en-US" w:eastAsia="zh-CN"/>
        </w:rPr>
      </w:pPr>
      <w:r>
        <w:rPr>
          <w:rFonts w:hint="eastAsia" w:hAnsi="宋体"/>
          <w:color w:val="FF0000"/>
          <w:sz w:val="24"/>
          <w:szCs w:val="24"/>
          <w:lang w:val="en-US" w:eastAsia="zh-CN"/>
        </w:rPr>
        <w:t>本项目专门面向中小企业，投标供应商须上传《中小企业声明函》；</w:t>
      </w:r>
    </w:p>
    <w:p>
      <w:pPr>
        <w:pStyle w:val="22"/>
        <w:numPr>
          <w:ilvl w:val="0"/>
          <w:numId w:val="0"/>
        </w:numPr>
        <w:ind w:firstLine="480" w:firstLineChars="200"/>
        <w:rPr>
          <w:rFonts w:hint="default" w:ascii="宋体" w:hAnsi="宋体" w:eastAsia="宋体" w:cs="Times New Roman"/>
          <w:color w:val="FF0000"/>
          <w:sz w:val="24"/>
          <w:szCs w:val="24"/>
          <w:highlight w:val="none"/>
          <w:lang w:val="en-US" w:eastAsia="zh-CN"/>
        </w:rPr>
      </w:pPr>
      <w:r>
        <w:rPr>
          <w:rFonts w:hint="eastAsia" w:hAnsi="宋体" w:cs="Times New Roman"/>
          <w:color w:val="FF0000"/>
          <w:sz w:val="24"/>
          <w:szCs w:val="24"/>
          <w:highlight w:val="none"/>
          <w:lang w:val="en-US" w:eastAsia="zh-CN"/>
        </w:rPr>
        <w:t>3.特殊资格要求：须提供由公安部门颁发的《保安服务许可证》（电子证照加盖投标人公章）。</w:t>
      </w:r>
    </w:p>
    <w:p>
      <w:pPr>
        <w:pStyle w:val="6"/>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ageBreakBefore w:val="0"/>
        <w:widowControl w:val="0"/>
        <w:kinsoku/>
        <w:overflowPunct/>
        <w:topLinePunct w:val="0"/>
        <w:bidi w:val="0"/>
        <w:spacing w:line="460" w:lineRule="exact"/>
        <w:ind w:firstLine="540"/>
        <w:rPr>
          <w:rFonts w:ascii="宋体" w:hAnsi="宋体" w:cs="宋体"/>
          <w:sz w:val="24"/>
          <w:szCs w:val="24"/>
          <w:u w:val="single"/>
        </w:rPr>
      </w:pPr>
    </w:p>
    <w:p>
      <w:pPr>
        <w:pStyle w:val="6"/>
        <w:pageBreakBefore w:val="0"/>
        <w:widowControl w:val="0"/>
        <w:kinsoku/>
        <w:overflowPunct/>
        <w:topLinePunct w:val="0"/>
        <w:bidi w:val="0"/>
        <w:spacing w:line="460" w:lineRule="exact"/>
        <w:ind w:firstLine="482" w:firstLineChars="150"/>
        <w:rPr>
          <w:rFonts w:hint="eastAsia"/>
        </w:rPr>
      </w:pPr>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本项目</w:t>
      </w:r>
      <w:r>
        <w:rPr>
          <w:rFonts w:hint="eastAsia" w:ascii="宋体" w:hAnsi="宋体" w:cs="宋体"/>
          <w:color w:val="auto"/>
          <w:sz w:val="24"/>
          <w:szCs w:val="24"/>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4</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15</w:t>
      </w:r>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16</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00</w:t>
      </w:r>
      <w:r>
        <w:rPr>
          <w:rFonts w:hint="eastAsia" w:ascii="宋体" w:hAnsi="宋体" w:cs="宋体"/>
          <w:color w:val="auto"/>
          <w:sz w:val="24"/>
          <w:szCs w:val="24"/>
          <w:highlight w:val="yellow"/>
        </w:rPr>
        <w:t>分</w:t>
      </w:r>
      <w:r>
        <w:rPr>
          <w:rFonts w:hint="eastAsia" w:ascii="宋体" w:hAnsi="宋体" w:cs="宋体"/>
          <w:sz w:val="24"/>
          <w:szCs w:val="24"/>
        </w:rPr>
        <w:t>（北京时间）</w:t>
      </w:r>
      <w:r>
        <w:rPr>
          <w:rFonts w:hint="eastAsia" w:ascii="宋体" w:hAnsi="宋体" w:cs="宋体"/>
          <w:sz w:val="24"/>
          <w:szCs w:val="24"/>
          <w:lang w:eastAsia="zh-CN"/>
        </w:rPr>
        <w:t>；</w:t>
      </w:r>
    </w:p>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6"/>
        <w:pageBreakBefore w:val="0"/>
        <w:widowControl w:val="0"/>
        <w:kinsoku/>
        <w:overflowPunct/>
        <w:topLinePunct w:val="0"/>
        <w:bidi w:val="0"/>
        <w:spacing w:before="145" w:beforeLines="50" w:after="145" w:afterLines="50" w:line="460" w:lineRule="exact"/>
        <w:ind w:firstLine="498" w:firstLineChars="155"/>
      </w:pPr>
      <w:bookmarkStart w:id="9" w:name="_Toc35393794"/>
      <w:bookmarkStart w:id="10" w:name="_Toc38985267"/>
      <w:bookmarkStart w:id="11" w:name="_Toc35393625"/>
      <w:bookmarkStart w:id="12" w:name="_Toc28359084"/>
      <w:bookmarkStart w:id="13" w:name="_Toc28359007"/>
      <w:r>
        <w:rPr>
          <w:rFonts w:hint="eastAsia"/>
        </w:rPr>
        <w:t>五、公告期限</w:t>
      </w:r>
      <w:bookmarkEnd w:id="9"/>
      <w:bookmarkEnd w:id="10"/>
      <w:bookmarkEnd w:id="11"/>
      <w:bookmarkEnd w:id="12"/>
      <w:bookmarkEnd w:id="13"/>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6"/>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投标代表务必于开标当日保持手机联系畅通。</w:t>
      </w:r>
    </w:p>
    <w:p>
      <w:pPr>
        <w:pStyle w:val="6"/>
        <w:pageBreakBefore w:val="0"/>
        <w:widowControl w:val="0"/>
        <w:kinsoku/>
        <w:overflowPunct/>
        <w:topLinePunct w:val="0"/>
        <w:bidi w:val="0"/>
        <w:spacing w:before="145" w:beforeLines="50" w:after="145" w:afterLines="50" w:line="460" w:lineRule="exact"/>
        <w:ind w:firstLine="498" w:firstLineChars="155"/>
      </w:pPr>
      <w:bookmarkStart w:id="14" w:name="_Toc28359008"/>
      <w:bookmarkStart w:id="15" w:name="_Toc38985269"/>
      <w:bookmarkStart w:id="16" w:name="_Toc35393796"/>
      <w:bookmarkStart w:id="17" w:name="_Toc28359085"/>
      <w:bookmarkStart w:id="18" w:name="_Toc35393627"/>
      <w:r>
        <w:rPr>
          <w:rFonts w:hint="eastAsia"/>
        </w:rPr>
        <w:t>七、联系</w:t>
      </w:r>
      <w:bookmarkEnd w:id="14"/>
      <w:bookmarkEnd w:id="15"/>
      <w:bookmarkEnd w:id="16"/>
      <w:bookmarkEnd w:id="17"/>
      <w:bookmarkEnd w:id="18"/>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s="宋体"/>
          <w:sz w:val="24"/>
          <w:szCs w:val="24"/>
          <w:lang w:val="en-US" w:eastAsia="zh-CN"/>
        </w:rPr>
      </w:pPr>
      <w:r>
        <w:rPr>
          <w:rFonts w:hint="eastAsia" w:ascii="宋体" w:hAnsi="宋体"/>
          <w:sz w:val="24"/>
          <w:szCs w:val="24"/>
          <w:highlight w:val="none"/>
        </w:rPr>
        <w:t>名 称：</w:t>
      </w:r>
      <w:r>
        <w:rPr>
          <w:rFonts w:hint="eastAsia" w:ascii="宋体" w:hAnsi="宋体" w:cs="宋体"/>
          <w:sz w:val="24"/>
          <w:szCs w:val="24"/>
          <w:lang w:val="en-US" w:eastAsia="zh-CN"/>
        </w:rPr>
        <w:t>昌吉州机关后勤服务中心</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sz w:val="24"/>
          <w:szCs w:val="24"/>
          <w:highlight w:val="none"/>
        </w:rPr>
        <w:t>地址：</w:t>
      </w:r>
      <w:r>
        <w:rPr>
          <w:rFonts w:ascii="宋体" w:hAnsi="宋体"/>
          <w:sz w:val="24"/>
          <w:szCs w:val="24"/>
          <w:highlight w:val="none"/>
        </w:rPr>
        <w:t xml:space="preserve"> </w:t>
      </w:r>
      <w:r>
        <w:rPr>
          <w:rFonts w:ascii="宋体" w:hAnsi="宋体" w:eastAsia="宋体" w:cs="宋体"/>
          <w:sz w:val="24"/>
          <w:szCs w:val="24"/>
        </w:rPr>
        <w:t>昌吉市</w:t>
      </w:r>
      <w:r>
        <w:rPr>
          <w:rFonts w:hint="eastAsia" w:ascii="宋体" w:hAnsi="宋体" w:cs="宋体"/>
          <w:sz w:val="24"/>
          <w:szCs w:val="24"/>
          <w:lang w:val="en-US" w:eastAsia="zh-CN"/>
        </w:rPr>
        <w:t>延安北路56号</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卢老师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联系电话：0994-2226032</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eastAsia="宋体" w:cs="Times New Roman"/>
          <w:sz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6"/>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15"/>
        <w:pageBreakBefore w:val="0"/>
        <w:widowControl w:val="0"/>
        <w:kinsoku/>
        <w:overflowPunct/>
        <w:topLinePunct w:val="0"/>
        <w:bidi w:val="0"/>
        <w:spacing w:line="4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2"/>
    <w:bookmarkEnd w:id="3"/>
    <w:bookmarkEnd w:id="4"/>
    <w:bookmarkEnd w:id="5"/>
    <w:bookmarkEnd w:id="6"/>
    <w:p>
      <w:pPr>
        <w:pStyle w:val="5"/>
        <w:pageBreakBefore w:val="0"/>
        <w:widowControl w:val="0"/>
        <w:kinsoku/>
        <w:overflowPunct/>
        <w:topLinePunct w:val="0"/>
        <w:bidi w:val="0"/>
        <w:spacing w:line="460" w:lineRule="exact"/>
        <w:ind w:firstLine="2429" w:firstLineChars="550"/>
        <w:jc w:val="both"/>
        <w:rPr>
          <w:rFonts w:ascii="黑体"/>
          <w:b w:val="0"/>
          <w:bCs w:val="0"/>
        </w:rPr>
      </w:pPr>
      <w:bookmarkStart w:id="19" w:name="_Toc120614211"/>
      <w:bookmarkStart w:id="20" w:name="_Toc534725597"/>
      <w:bookmarkStart w:id="21" w:name="_Toc534816626"/>
      <w:bookmarkStart w:id="22" w:name="_Toc513029242"/>
      <w:bookmarkStart w:id="23" w:name="_Toc16938558"/>
      <w:bookmarkStart w:id="24" w:name="_Toc20823314"/>
      <w:bookmarkStart w:id="25" w:name="_Toc120614221"/>
      <w:bookmarkStart w:id="26" w:name="_Toc479757207"/>
      <w:bookmarkStart w:id="27" w:name="_Toc494375079"/>
      <w:r>
        <w:rPr>
          <w:rFonts w:hint="eastAsia" w:ascii="黑体"/>
        </w:rPr>
        <w:t xml:space="preserve">第二章  </w:t>
      </w:r>
      <w:bookmarkEnd w:id="19"/>
      <w:bookmarkStart w:id="28" w:name="_Toc20823274"/>
      <w:bookmarkStart w:id="29" w:name="_Toc120614213"/>
      <w:bookmarkStart w:id="30" w:name="_Toc16938518"/>
      <w:bookmarkStart w:id="31" w:name="_Toc513029202"/>
      <w:r>
        <w:rPr>
          <w:rFonts w:hint="eastAsia" w:ascii="黑体"/>
        </w:rPr>
        <w:t>投标人须知</w:t>
      </w:r>
      <w:bookmarkEnd w:id="20"/>
      <w:bookmarkEnd w:id="21"/>
      <w:bookmarkEnd w:id="28"/>
      <w:bookmarkEnd w:id="29"/>
      <w:bookmarkEnd w:id="30"/>
      <w:bookmarkEnd w:id="31"/>
    </w:p>
    <w:p>
      <w:pPr>
        <w:pStyle w:val="6"/>
        <w:pageBreakBefore w:val="0"/>
        <w:widowControl w:val="0"/>
        <w:kinsoku/>
        <w:overflowPunct/>
        <w:topLinePunct w:val="0"/>
        <w:bidi w:val="0"/>
        <w:spacing w:before="145" w:beforeLines="50" w:after="145" w:afterLines="50" w:line="460" w:lineRule="exact"/>
        <w:ind w:firstLine="498" w:firstLineChars="155"/>
        <w:rPr>
          <w:rFonts w:hint="eastAsia"/>
        </w:rPr>
      </w:pPr>
      <w:bookmarkStart w:id="32" w:name="_Toc16938519"/>
      <w:bookmarkStart w:id="33" w:name="_Toc534725598"/>
      <w:bookmarkStart w:id="34" w:name="_Toc513029203"/>
      <w:bookmarkStart w:id="35" w:name="_Toc20823275"/>
      <w:bookmarkStart w:id="36" w:name="_Toc534816627"/>
      <w:bookmarkStart w:id="37" w:name="_Toc120614214"/>
      <w:r>
        <w:rPr>
          <w:rFonts w:hint="eastAsia"/>
        </w:rPr>
        <w:t>一、总则</w:t>
      </w:r>
      <w:bookmarkEnd w:id="32"/>
      <w:bookmarkEnd w:id="33"/>
      <w:bookmarkEnd w:id="34"/>
      <w:bookmarkEnd w:id="35"/>
      <w:bookmarkEnd w:id="36"/>
      <w:bookmarkEnd w:id="37"/>
    </w:p>
    <w:p>
      <w:pPr>
        <w:pStyle w:val="7"/>
        <w:pageBreakBefore w:val="0"/>
        <w:widowControl w:val="0"/>
        <w:kinsoku/>
        <w:overflowPunct/>
        <w:topLinePunct w:val="0"/>
        <w:bidi w:val="0"/>
        <w:spacing w:line="460" w:lineRule="exact"/>
        <w:rPr>
          <w:b w:val="0"/>
        </w:rPr>
      </w:pPr>
      <w:bookmarkStart w:id="38" w:name="_Hlt16619475"/>
      <w:bookmarkEnd w:id="38"/>
      <w:bookmarkStart w:id="39" w:name="_Toc458694821"/>
      <w:bookmarkStart w:id="40" w:name="_Toc513029204"/>
      <w:bookmarkStart w:id="41" w:name="_Toc20823276"/>
      <w:bookmarkStart w:id="42" w:name="_Toc16938520"/>
      <w:r>
        <w:rPr>
          <w:b w:val="0"/>
          <w:bCs/>
        </w:rPr>
        <w:t>1</w:t>
      </w:r>
      <w:bookmarkEnd w:id="39"/>
      <w:r>
        <w:rPr>
          <w:rFonts w:hint="eastAsia"/>
          <w:b w:val="0"/>
          <w:bCs/>
        </w:rPr>
        <w:t>、招标方式</w:t>
      </w:r>
      <w:bookmarkEnd w:id="40"/>
      <w:bookmarkEnd w:id="41"/>
      <w:bookmarkEnd w:id="4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7"/>
        <w:pageBreakBefore w:val="0"/>
        <w:widowControl w:val="0"/>
        <w:kinsoku/>
        <w:overflowPunct/>
        <w:topLinePunct w:val="0"/>
        <w:bidi w:val="0"/>
        <w:spacing w:line="460" w:lineRule="exact"/>
        <w:rPr>
          <w:rFonts w:hint="eastAsia"/>
          <w:b w:val="0"/>
        </w:rPr>
      </w:pPr>
      <w:bookmarkStart w:id="43" w:name="_Toc20823277"/>
      <w:bookmarkStart w:id="44" w:name="_Toc513029205"/>
      <w:bookmarkStart w:id="45" w:name="_Toc16938521"/>
      <w:r>
        <w:rPr>
          <w:b w:val="0"/>
          <w:bCs/>
        </w:rPr>
        <w:t>2</w:t>
      </w:r>
      <w:r>
        <w:rPr>
          <w:rFonts w:hint="eastAsia"/>
          <w:b w:val="0"/>
          <w:bCs/>
        </w:rPr>
        <w:t>、合格的投标人</w:t>
      </w:r>
      <w:bookmarkEnd w:id="43"/>
      <w:bookmarkEnd w:id="44"/>
      <w:bookmarkEnd w:id="4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7"/>
        <w:pageBreakBefore w:val="0"/>
        <w:widowControl w:val="0"/>
        <w:kinsoku/>
        <w:overflowPunct/>
        <w:topLinePunct w:val="0"/>
        <w:bidi w:val="0"/>
        <w:spacing w:line="460" w:lineRule="exact"/>
        <w:rPr>
          <w:rFonts w:hint="eastAsia"/>
          <w:b w:val="0"/>
        </w:rPr>
      </w:pPr>
      <w:bookmarkStart w:id="46" w:name="_Toc20823278"/>
      <w:bookmarkStart w:id="47" w:name="_Toc16938522"/>
      <w:bookmarkStart w:id="48" w:name="_Toc513029206"/>
      <w:r>
        <w:rPr>
          <w:b w:val="0"/>
          <w:bCs/>
        </w:rPr>
        <w:t>3</w:t>
      </w:r>
      <w:r>
        <w:rPr>
          <w:rFonts w:hint="eastAsia"/>
          <w:b w:val="0"/>
          <w:bCs/>
        </w:rPr>
        <w:t>、适用法律</w:t>
      </w:r>
      <w:bookmarkEnd w:id="46"/>
      <w:bookmarkEnd w:id="47"/>
      <w:bookmarkEnd w:id="48"/>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7"/>
        <w:pageBreakBefore w:val="0"/>
        <w:widowControl w:val="0"/>
        <w:kinsoku/>
        <w:overflowPunct/>
        <w:topLinePunct w:val="0"/>
        <w:bidi w:val="0"/>
        <w:spacing w:line="460" w:lineRule="exact"/>
        <w:rPr>
          <w:rFonts w:hint="eastAsia"/>
          <w:b w:val="0"/>
        </w:rPr>
      </w:pPr>
      <w:bookmarkStart w:id="49" w:name="_Toc462564067"/>
      <w:bookmarkStart w:id="50" w:name="_Toc513029207"/>
      <w:bookmarkStart w:id="51" w:name="_Toc20823279"/>
      <w:bookmarkStart w:id="52" w:name="_Toc16938523"/>
      <w:r>
        <w:rPr>
          <w:b w:val="0"/>
          <w:bCs/>
        </w:rPr>
        <w:t>4</w:t>
      </w:r>
      <w:r>
        <w:rPr>
          <w:rFonts w:hint="eastAsia"/>
          <w:b w:val="0"/>
          <w:bCs/>
        </w:rPr>
        <w:t>、投标费用</w:t>
      </w:r>
      <w:bookmarkEnd w:id="49"/>
      <w:bookmarkEnd w:id="50"/>
      <w:bookmarkEnd w:id="51"/>
      <w:bookmarkEnd w:id="5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7"/>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6"/>
        <w:pageBreakBefore w:val="0"/>
        <w:widowControl w:val="0"/>
        <w:kinsoku/>
        <w:overflowPunct/>
        <w:topLinePunct w:val="0"/>
        <w:bidi w:val="0"/>
        <w:spacing w:before="145" w:beforeLines="50" w:after="145" w:afterLines="50" w:line="460" w:lineRule="exact"/>
        <w:ind w:firstLine="321" w:firstLineChars="100"/>
        <w:rPr>
          <w:rFonts w:hint="eastAsia"/>
        </w:rPr>
      </w:pPr>
      <w:bookmarkStart w:id="53" w:name="_Toc534725599"/>
      <w:bookmarkStart w:id="54" w:name="_Toc534816628"/>
      <w:bookmarkStart w:id="55" w:name="_Toc120614215"/>
      <w:bookmarkStart w:id="56" w:name="_Toc16938525"/>
      <w:bookmarkStart w:id="57" w:name="_Toc20823281"/>
      <w:bookmarkStart w:id="58" w:name="_Toc513029209"/>
      <w:r>
        <w:rPr>
          <w:rFonts w:hint="eastAsia"/>
        </w:rPr>
        <w:t>二、招标文件</w:t>
      </w:r>
      <w:bookmarkEnd w:id="53"/>
      <w:bookmarkEnd w:id="54"/>
      <w:bookmarkEnd w:id="55"/>
      <w:bookmarkEnd w:id="56"/>
      <w:bookmarkEnd w:id="57"/>
      <w:bookmarkEnd w:id="58"/>
    </w:p>
    <w:p>
      <w:pPr>
        <w:pStyle w:val="7"/>
        <w:pageBreakBefore w:val="0"/>
        <w:widowControl w:val="0"/>
        <w:kinsoku/>
        <w:overflowPunct/>
        <w:topLinePunct w:val="0"/>
        <w:bidi w:val="0"/>
        <w:spacing w:line="460" w:lineRule="exact"/>
        <w:rPr>
          <w:b w:val="0"/>
        </w:rPr>
      </w:pPr>
      <w:bookmarkStart w:id="59" w:name="_Toc20823282"/>
      <w:bookmarkStart w:id="60" w:name="_Toc16938526"/>
      <w:bookmarkStart w:id="61" w:name="_Toc513029210"/>
      <w:r>
        <w:rPr>
          <w:b w:val="0"/>
          <w:bCs/>
        </w:rPr>
        <w:t>6</w:t>
      </w:r>
      <w:r>
        <w:rPr>
          <w:rFonts w:hint="eastAsia"/>
          <w:b w:val="0"/>
          <w:bCs/>
        </w:rPr>
        <w:t>、招标文件构成</w:t>
      </w:r>
      <w:bookmarkEnd w:id="59"/>
      <w:bookmarkEnd w:id="60"/>
      <w:bookmarkEnd w:id="6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pageBreakBefore w:val="0"/>
        <w:widowControl w:val="0"/>
        <w:kinsoku/>
        <w:overflowPunct/>
        <w:topLinePunct w:val="0"/>
        <w:bidi w:val="0"/>
        <w:spacing w:line="460" w:lineRule="exact"/>
        <w:ind w:firstLine="560" w:firstLineChars="200"/>
        <w:rPr>
          <w:rFonts w:hint="eastAsia"/>
          <w:b w:val="0"/>
        </w:rPr>
      </w:pPr>
      <w:bookmarkStart w:id="62" w:name="_Toc462564070"/>
      <w:bookmarkStart w:id="63" w:name="_Toc16938527"/>
      <w:bookmarkStart w:id="64" w:name="_Toc20823283"/>
      <w:bookmarkStart w:id="65" w:name="_Toc513029211"/>
      <w:r>
        <w:rPr>
          <w:b w:val="0"/>
          <w:bCs/>
        </w:rPr>
        <w:t>7</w:t>
      </w:r>
      <w:r>
        <w:rPr>
          <w:rFonts w:hint="eastAsia"/>
          <w:b w:val="0"/>
          <w:bCs/>
        </w:rPr>
        <w:t>、招标文件的澄清</w:t>
      </w:r>
      <w:bookmarkEnd w:id="62"/>
      <w:bookmarkEnd w:id="63"/>
      <w:bookmarkEnd w:id="64"/>
      <w:bookmarkEnd w:id="6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7"/>
        <w:pageBreakBefore w:val="0"/>
        <w:widowControl w:val="0"/>
        <w:kinsoku/>
        <w:overflowPunct/>
        <w:topLinePunct w:val="0"/>
        <w:bidi w:val="0"/>
        <w:spacing w:line="460" w:lineRule="exact"/>
        <w:ind w:firstLine="560" w:firstLineChars="200"/>
        <w:rPr>
          <w:rFonts w:hint="eastAsia"/>
          <w:b w:val="0"/>
        </w:rPr>
      </w:pPr>
      <w:bookmarkStart w:id="66" w:name="_Toc20823284"/>
      <w:bookmarkStart w:id="67" w:name="_Toc513029212"/>
      <w:bookmarkStart w:id="68" w:name="_Toc462564071"/>
      <w:bookmarkStart w:id="69" w:name="_Toc16938528"/>
      <w:r>
        <w:rPr>
          <w:b w:val="0"/>
          <w:bCs/>
        </w:rPr>
        <w:t>8</w:t>
      </w:r>
      <w:r>
        <w:rPr>
          <w:rFonts w:hint="eastAsia"/>
          <w:b w:val="0"/>
          <w:bCs/>
        </w:rPr>
        <w:t>、招标文件的修改</w:t>
      </w:r>
      <w:bookmarkEnd w:id="66"/>
      <w:bookmarkEnd w:id="67"/>
      <w:bookmarkEnd w:id="68"/>
      <w:bookmarkEnd w:id="69"/>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70" w:name="_Toc534725600"/>
      <w:bookmarkStart w:id="71" w:name="_Toc20823285"/>
      <w:bookmarkStart w:id="72" w:name="_Toc534816629"/>
      <w:bookmarkStart w:id="73" w:name="_Toc513029213"/>
      <w:bookmarkStart w:id="74" w:name="_Toc120614216"/>
      <w:bookmarkStart w:id="75" w:name="_Toc462564072"/>
      <w:bookmarkStart w:id="76" w:name="_Toc16938529"/>
      <w:r>
        <w:rPr>
          <w:rFonts w:hint="eastAsia"/>
        </w:rPr>
        <w:t>三、投标文件的编制</w:t>
      </w:r>
      <w:bookmarkEnd w:id="70"/>
      <w:bookmarkEnd w:id="71"/>
      <w:bookmarkEnd w:id="72"/>
      <w:bookmarkEnd w:id="73"/>
      <w:bookmarkEnd w:id="74"/>
      <w:bookmarkEnd w:id="75"/>
      <w:bookmarkEnd w:id="76"/>
    </w:p>
    <w:p>
      <w:pPr>
        <w:pStyle w:val="7"/>
        <w:pageBreakBefore w:val="0"/>
        <w:widowControl w:val="0"/>
        <w:kinsoku/>
        <w:overflowPunct/>
        <w:topLinePunct w:val="0"/>
        <w:bidi w:val="0"/>
        <w:spacing w:line="460" w:lineRule="exact"/>
        <w:ind w:firstLine="560" w:firstLineChars="200"/>
      </w:pPr>
      <w:bookmarkStart w:id="77" w:name="_Toc16938530"/>
      <w:bookmarkStart w:id="78" w:name="_Toc513029214"/>
      <w:bookmarkStart w:id="79" w:name="_Toc20823286"/>
      <w:bookmarkStart w:id="80" w:name="_Toc462564073"/>
      <w:r>
        <w:rPr>
          <w:b w:val="0"/>
          <w:bCs/>
        </w:rPr>
        <w:t>9</w:t>
      </w:r>
      <w:r>
        <w:rPr>
          <w:rFonts w:hint="eastAsia"/>
          <w:b w:val="0"/>
          <w:bCs/>
        </w:rPr>
        <w:t>、投标文件的语言及度量衡单位</w:t>
      </w:r>
      <w:bookmarkEnd w:id="77"/>
      <w:bookmarkEnd w:id="78"/>
      <w:bookmarkEnd w:id="79"/>
      <w:bookmarkEnd w:id="8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7"/>
        <w:pageBreakBefore w:val="0"/>
        <w:widowControl w:val="0"/>
        <w:kinsoku/>
        <w:overflowPunct/>
        <w:topLinePunct w:val="0"/>
        <w:bidi w:val="0"/>
        <w:spacing w:line="460" w:lineRule="exact"/>
        <w:rPr>
          <w:rFonts w:hint="eastAsia"/>
          <w:b w:val="0"/>
        </w:rPr>
      </w:pPr>
      <w:bookmarkStart w:id="81" w:name="_Toc20823287"/>
      <w:bookmarkStart w:id="82" w:name="_Toc513029215"/>
      <w:bookmarkStart w:id="83" w:name="_Toc462564074"/>
      <w:bookmarkStart w:id="84" w:name="_Toc16938531"/>
      <w:r>
        <w:rPr>
          <w:b w:val="0"/>
          <w:bCs/>
        </w:rPr>
        <w:t>10</w:t>
      </w:r>
      <w:r>
        <w:rPr>
          <w:rFonts w:hint="eastAsia"/>
          <w:b w:val="0"/>
          <w:bCs/>
        </w:rPr>
        <w:t>、投标文件构成</w:t>
      </w:r>
      <w:bookmarkEnd w:id="81"/>
      <w:bookmarkEnd w:id="82"/>
      <w:bookmarkEnd w:id="83"/>
      <w:bookmarkEnd w:id="84"/>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7"/>
        <w:pageBreakBefore w:val="0"/>
        <w:widowControl w:val="0"/>
        <w:kinsoku/>
        <w:overflowPunct/>
        <w:topLinePunct w:val="0"/>
        <w:bidi w:val="0"/>
        <w:spacing w:line="460" w:lineRule="exact"/>
        <w:rPr>
          <w:rFonts w:hint="eastAsia" w:eastAsia="黑体"/>
          <w:b w:val="0"/>
        </w:rPr>
      </w:pPr>
      <w:bookmarkStart w:id="85" w:name="_Hlt26670360"/>
      <w:bookmarkEnd w:id="85"/>
      <w:bookmarkStart w:id="86" w:name="_Hlt26668975"/>
      <w:bookmarkEnd w:id="86"/>
      <w:bookmarkStart w:id="87" w:name="_Hlt26954838"/>
      <w:bookmarkEnd w:id="87"/>
      <w:bookmarkStart w:id="88" w:name="_Toc14577357"/>
      <w:bookmarkStart w:id="89" w:name="_Toc513029219"/>
      <w:bookmarkStart w:id="90" w:name="_Toc49090509"/>
      <w:bookmarkStart w:id="91" w:name="_Toc14577354"/>
      <w:bookmarkStart w:id="92" w:name="_Toc513029216"/>
      <w:bookmarkStart w:id="93" w:name="_Toc49090507"/>
      <w:r>
        <w:rPr>
          <w:b w:val="0"/>
          <w:bCs/>
        </w:rPr>
        <w:t>11</w:t>
      </w:r>
      <w:r>
        <w:rPr>
          <w:rFonts w:hint="eastAsia"/>
          <w:b w:val="0"/>
          <w:bCs/>
        </w:rPr>
        <w:t>、证明投标人资格及符合招标文件规定的文件</w:t>
      </w:r>
      <w:bookmarkEnd w:id="88"/>
      <w:bookmarkEnd w:id="89"/>
      <w:bookmarkEnd w:id="9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7"/>
        <w:pageBreakBefore w:val="0"/>
        <w:widowControl w:val="0"/>
        <w:kinsoku/>
        <w:overflowPunct/>
        <w:topLinePunct w:val="0"/>
        <w:bidi w:val="0"/>
        <w:spacing w:line="460" w:lineRule="exact"/>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0" w:name="_Hlt26954844"/>
      <w:bookmarkEnd w:id="100"/>
      <w:bookmarkStart w:id="101" w:name="_Hlt26954842"/>
      <w:bookmarkEnd w:id="101"/>
      <w:bookmarkStart w:id="102" w:name="_Hlt26670403"/>
      <w:bookmarkEnd w:id="102"/>
      <w:bookmarkStart w:id="103" w:name="_Hlt26668983"/>
      <w:bookmarkEnd w:id="103"/>
      <w:bookmarkStart w:id="104" w:name="_Hlt26670425"/>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7"/>
        <w:pageBreakBefore w:val="0"/>
        <w:widowControl w:val="0"/>
        <w:kinsoku/>
        <w:overflowPunct/>
        <w:topLinePunct w:val="0"/>
        <w:bidi w:val="0"/>
        <w:spacing w:line="460" w:lineRule="exact"/>
        <w:rPr>
          <w:rFonts w:hint="eastAsia"/>
          <w:b w:val="0"/>
          <w:bCs/>
        </w:rPr>
      </w:pPr>
      <w:bookmarkStart w:id="105" w:name="_Hlt26670482"/>
      <w:bookmarkEnd w:id="105"/>
      <w:bookmarkStart w:id="106" w:name="_Hlt26954848"/>
      <w:bookmarkEnd w:id="106"/>
      <w:bookmarkStart w:id="107" w:name="_Hlt26954846"/>
      <w:bookmarkEnd w:id="107"/>
      <w:bookmarkStart w:id="108" w:name="_Hlt26670486"/>
      <w:bookmarkEnd w:id="108"/>
      <w:bookmarkStart w:id="109" w:name="_Hlt26954731"/>
      <w:bookmarkEnd w:id="109"/>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7"/>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7"/>
        <w:pageBreakBefore w:val="0"/>
        <w:widowControl w:val="0"/>
        <w:kinsoku/>
        <w:overflowPunct/>
        <w:topLinePunct w:val="0"/>
        <w:bidi w:val="0"/>
        <w:spacing w:line="460" w:lineRule="exact"/>
        <w:rPr>
          <w:rFonts w:hint="eastAsia"/>
          <w:b w:val="0"/>
        </w:rPr>
      </w:pPr>
      <w:bookmarkStart w:id="110" w:name="_Toc49090510"/>
      <w:bookmarkStart w:id="111" w:name="_Toc14577359"/>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7"/>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0"/>
      <w:bookmarkEnd w:id="111"/>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2" w:name="_Hlt26954850"/>
      <w:bookmarkEnd w:id="112"/>
      <w:bookmarkStart w:id="113" w:name="_Hlt26670489"/>
      <w:bookmarkEnd w:id="113"/>
      <w:bookmarkStart w:id="114" w:name="_Hlt26954734"/>
      <w:bookmarkEnd w:id="114"/>
      <w:bookmarkStart w:id="115" w:name="_Toc14577360"/>
      <w:bookmarkStart w:id="116" w:name="_Toc49090511"/>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9"/>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7"/>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5"/>
      <w:bookmarkEnd w:id="11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7"/>
        <w:pageBreakBefore w:val="0"/>
        <w:widowControl w:val="0"/>
        <w:kinsoku/>
        <w:overflowPunct/>
        <w:topLinePunct w:val="0"/>
        <w:bidi w:val="0"/>
        <w:spacing w:line="460" w:lineRule="exact"/>
        <w:rPr>
          <w:b w:val="0"/>
          <w:bCs/>
        </w:rPr>
      </w:pPr>
      <w:bookmarkStart w:id="117" w:name="_Hlt26954852"/>
      <w:bookmarkEnd w:id="117"/>
      <w:bookmarkStart w:id="118" w:name="_Hlt26954739"/>
      <w:bookmarkEnd w:id="118"/>
      <w:bookmarkStart w:id="119" w:name="_Toc49090512"/>
      <w:bookmarkStart w:id="120" w:name="_Toc14577361"/>
      <w:r>
        <w:rPr>
          <w:b w:val="0"/>
          <w:bCs/>
        </w:rPr>
        <w:t>18</w:t>
      </w:r>
      <w:r>
        <w:rPr>
          <w:rFonts w:hint="eastAsia"/>
          <w:b w:val="0"/>
          <w:bCs/>
        </w:rPr>
        <w:t>、</w:t>
      </w:r>
      <w:bookmarkEnd w:id="119"/>
      <w:bookmarkEnd w:id="120"/>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21" w:name="_Toc20823296"/>
      <w:bookmarkStart w:id="122" w:name="_Toc534725601"/>
      <w:bookmarkStart w:id="123" w:name="_Toc534816630"/>
      <w:bookmarkStart w:id="124" w:name="_Toc513029224"/>
      <w:bookmarkStart w:id="125" w:name="_Toc120614217"/>
      <w:bookmarkStart w:id="126" w:name="_Toc16938540"/>
      <w:r>
        <w:rPr>
          <w:rFonts w:hint="eastAsia"/>
        </w:rPr>
        <w:t>四、投标文件的递交</w:t>
      </w:r>
      <w:bookmarkEnd w:id="121"/>
      <w:bookmarkEnd w:id="122"/>
      <w:bookmarkEnd w:id="123"/>
      <w:bookmarkEnd w:id="124"/>
      <w:bookmarkEnd w:id="125"/>
      <w:bookmarkEnd w:id="126"/>
    </w:p>
    <w:p>
      <w:pPr>
        <w:pStyle w:val="7"/>
        <w:pageBreakBefore w:val="0"/>
        <w:widowControl w:val="0"/>
        <w:kinsoku/>
        <w:overflowPunct/>
        <w:topLinePunct w:val="0"/>
        <w:bidi w:val="0"/>
        <w:spacing w:line="460" w:lineRule="exact"/>
        <w:ind w:firstLine="560" w:firstLineChars="200"/>
        <w:rPr>
          <w:rFonts w:ascii="黑体"/>
          <w:b w:val="0"/>
        </w:rPr>
      </w:pPr>
      <w:bookmarkStart w:id="127" w:name="_Toc16938541"/>
      <w:bookmarkStart w:id="128" w:name="_Toc462564084"/>
      <w:bookmarkStart w:id="129" w:name="_Toc20823297"/>
      <w:bookmarkStart w:id="130" w:name="_Toc513029225"/>
      <w:r>
        <w:rPr>
          <w:rFonts w:hint="eastAsia" w:ascii="黑体"/>
          <w:b w:val="0"/>
          <w:bCs/>
        </w:rPr>
        <w:t>19、</w:t>
      </w:r>
      <w:bookmarkEnd w:id="127"/>
      <w:bookmarkEnd w:id="128"/>
      <w:bookmarkEnd w:id="129"/>
      <w:bookmarkEnd w:id="130"/>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7"/>
        <w:pageBreakBefore w:val="0"/>
        <w:widowControl w:val="0"/>
        <w:kinsoku/>
        <w:overflowPunct/>
        <w:topLinePunct w:val="0"/>
        <w:bidi w:val="0"/>
        <w:spacing w:line="460" w:lineRule="exact"/>
        <w:rPr>
          <w:rFonts w:hint="eastAsia"/>
          <w:b w:val="0"/>
          <w:bCs/>
        </w:rPr>
      </w:pPr>
      <w:bookmarkStart w:id="131" w:name="_Toc20823298"/>
      <w:bookmarkStart w:id="132" w:name="_Toc513029226"/>
      <w:bookmarkStart w:id="133" w:name="_Toc16938542"/>
      <w:r>
        <w:rPr>
          <w:b w:val="0"/>
          <w:bCs/>
        </w:rPr>
        <w:t>20</w:t>
      </w:r>
      <w:r>
        <w:rPr>
          <w:rFonts w:hint="eastAsia"/>
          <w:b w:val="0"/>
          <w:bCs/>
        </w:rPr>
        <w:t>、投标截止</w:t>
      </w:r>
      <w:bookmarkEnd w:id="131"/>
      <w:bookmarkEnd w:id="132"/>
      <w:bookmarkEnd w:id="133"/>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7"/>
        <w:pageBreakBefore w:val="0"/>
        <w:widowControl w:val="0"/>
        <w:kinsoku/>
        <w:overflowPunct/>
        <w:topLinePunct w:val="0"/>
        <w:bidi w:val="0"/>
        <w:spacing w:line="460" w:lineRule="exact"/>
        <w:rPr>
          <w:rFonts w:hint="eastAsia"/>
          <w:b w:val="0"/>
          <w:bCs/>
        </w:rPr>
      </w:pPr>
      <w:bookmarkStart w:id="134" w:name="_Toc20823299"/>
      <w:bookmarkStart w:id="135" w:name="_Toc513029227"/>
      <w:bookmarkStart w:id="136" w:name="_Toc16938543"/>
      <w:r>
        <w:rPr>
          <w:b w:val="0"/>
          <w:bCs/>
        </w:rPr>
        <w:t>21</w:t>
      </w:r>
      <w:r>
        <w:rPr>
          <w:rFonts w:hint="eastAsia"/>
          <w:b w:val="0"/>
          <w:bCs/>
        </w:rPr>
        <w:t>、</w:t>
      </w:r>
      <w:bookmarkEnd w:id="134"/>
      <w:bookmarkEnd w:id="135"/>
      <w:bookmarkEnd w:id="136"/>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7"/>
        <w:pageBreakBefore w:val="0"/>
        <w:widowControl w:val="0"/>
        <w:kinsoku/>
        <w:overflowPunct/>
        <w:topLinePunct w:val="0"/>
        <w:bidi w:val="0"/>
        <w:spacing w:line="460" w:lineRule="exact"/>
        <w:rPr>
          <w:rFonts w:hint="eastAsia"/>
          <w:b w:val="0"/>
          <w:bCs/>
        </w:rPr>
      </w:pPr>
      <w:bookmarkStart w:id="137" w:name="_Toc513029228"/>
      <w:bookmarkStart w:id="138" w:name="_Toc16938544"/>
      <w:bookmarkStart w:id="139" w:name="_Toc20823300"/>
      <w:r>
        <w:rPr>
          <w:b w:val="0"/>
          <w:bCs/>
        </w:rPr>
        <w:t>22</w:t>
      </w:r>
      <w:r>
        <w:rPr>
          <w:rFonts w:hint="eastAsia"/>
          <w:b w:val="0"/>
          <w:bCs/>
        </w:rPr>
        <w:t>、投标文件的修改和撤回</w:t>
      </w:r>
      <w:bookmarkEnd w:id="137"/>
      <w:bookmarkEnd w:id="138"/>
      <w:bookmarkEnd w:id="139"/>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40" w:name="_Toc534725602"/>
      <w:bookmarkStart w:id="141" w:name="_Toc534816631"/>
      <w:bookmarkStart w:id="142" w:name="_Toc120614218"/>
      <w:bookmarkStart w:id="143" w:name="_Toc513029229"/>
      <w:bookmarkStart w:id="144" w:name="_Toc16938545"/>
      <w:bookmarkStart w:id="145" w:name="_Toc20823301"/>
      <w:r>
        <w:rPr>
          <w:rFonts w:hint="eastAsia"/>
        </w:rPr>
        <w:t>五、开标与评标</w:t>
      </w:r>
      <w:bookmarkEnd w:id="140"/>
      <w:bookmarkEnd w:id="141"/>
      <w:bookmarkEnd w:id="142"/>
      <w:bookmarkEnd w:id="143"/>
      <w:bookmarkEnd w:id="144"/>
      <w:bookmarkEnd w:id="145"/>
    </w:p>
    <w:p>
      <w:pPr>
        <w:pStyle w:val="7"/>
        <w:pageBreakBefore w:val="0"/>
        <w:widowControl w:val="0"/>
        <w:kinsoku/>
        <w:overflowPunct/>
        <w:topLinePunct w:val="0"/>
        <w:bidi w:val="0"/>
        <w:spacing w:line="460" w:lineRule="exact"/>
        <w:rPr>
          <w:b w:val="0"/>
        </w:rPr>
      </w:pPr>
      <w:bookmarkStart w:id="146" w:name="_Toc513029230"/>
      <w:bookmarkStart w:id="147" w:name="_Toc16938546"/>
      <w:bookmarkStart w:id="148" w:name="_Toc20823302"/>
      <w:r>
        <w:rPr>
          <w:b w:val="0"/>
          <w:bCs/>
        </w:rPr>
        <w:t>23</w:t>
      </w:r>
      <w:r>
        <w:rPr>
          <w:rFonts w:hint="eastAsia"/>
          <w:b w:val="0"/>
          <w:bCs/>
        </w:rPr>
        <w:t>、开标</w:t>
      </w:r>
      <w:bookmarkEnd w:id="146"/>
      <w:bookmarkEnd w:id="147"/>
      <w:bookmarkEnd w:id="148"/>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7"/>
        <w:pageBreakBefore w:val="0"/>
        <w:widowControl w:val="0"/>
        <w:kinsoku/>
        <w:overflowPunct/>
        <w:topLinePunct w:val="0"/>
        <w:bidi w:val="0"/>
        <w:spacing w:line="460" w:lineRule="exact"/>
        <w:rPr>
          <w:rFonts w:hint="eastAsia"/>
          <w:b w:val="0"/>
        </w:rPr>
      </w:pPr>
      <w:bookmarkStart w:id="149" w:name="_Toc20823303"/>
      <w:bookmarkStart w:id="150" w:name="_Toc16938547"/>
      <w:bookmarkStart w:id="151" w:name="_Toc513029231"/>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7"/>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49"/>
    <w:bookmarkEnd w:id="150"/>
    <w:bookmarkEnd w:id="151"/>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7"/>
        <w:pageBreakBefore w:val="0"/>
        <w:widowControl w:val="0"/>
        <w:kinsoku/>
        <w:overflowPunct/>
        <w:topLinePunct w:val="0"/>
        <w:bidi w:val="0"/>
        <w:spacing w:line="460" w:lineRule="exact"/>
        <w:rPr>
          <w:rFonts w:hint="eastAsia"/>
          <w:b w:val="0"/>
        </w:rPr>
      </w:pPr>
      <w:bookmarkStart w:id="152" w:name="_Toc513029232"/>
      <w:bookmarkStart w:id="153" w:name="_Toc16938548"/>
      <w:bookmarkStart w:id="154" w:name="_Toc20823304"/>
      <w:r>
        <w:rPr>
          <w:b w:val="0"/>
          <w:bCs/>
        </w:rPr>
        <w:t>26</w:t>
      </w:r>
      <w:r>
        <w:rPr>
          <w:rFonts w:hint="eastAsia"/>
          <w:b w:val="0"/>
          <w:bCs/>
        </w:rPr>
        <w:t>．投标的澄清</w:t>
      </w:r>
      <w:bookmarkEnd w:id="152"/>
      <w:bookmarkEnd w:id="153"/>
      <w:bookmarkEnd w:id="154"/>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7"/>
        <w:pageBreakBefore w:val="0"/>
        <w:widowControl w:val="0"/>
        <w:kinsoku/>
        <w:overflowPunct/>
        <w:topLinePunct w:val="0"/>
        <w:bidi w:val="0"/>
        <w:spacing w:line="460" w:lineRule="exact"/>
        <w:rPr>
          <w:rFonts w:hint="eastAsia"/>
          <w:b w:val="0"/>
        </w:rPr>
      </w:pPr>
      <w:bookmarkStart w:id="155" w:name="_Toc513029233"/>
      <w:bookmarkStart w:id="156" w:name="_Toc16938549"/>
      <w:bookmarkStart w:id="157" w:name="_Toc20823305"/>
      <w:r>
        <w:rPr>
          <w:b w:val="0"/>
          <w:bCs/>
        </w:rPr>
        <w:t>27</w:t>
      </w:r>
      <w:r>
        <w:rPr>
          <w:rFonts w:hint="eastAsia"/>
          <w:b w:val="0"/>
          <w:bCs/>
        </w:rPr>
        <w:t>、对投标文件的初审</w:t>
      </w:r>
      <w:bookmarkEnd w:id="155"/>
      <w:bookmarkEnd w:id="156"/>
      <w:bookmarkEnd w:id="15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8" w:name="_Toc20823306"/>
      <w:bookmarkStart w:id="159" w:name="_Toc16938550"/>
      <w:bookmarkStart w:id="160" w:name="_Toc513029234"/>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7"/>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1" w:name="_Toc16938551"/>
      <w:bookmarkStart w:id="162" w:name="_Toc20823307"/>
      <w:bookmarkStart w:id="163" w:name="_Toc513029235"/>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64" w:name="_Toc534816632"/>
      <w:bookmarkStart w:id="165" w:name="_Toc534725603"/>
      <w:bookmarkStart w:id="166" w:name="_Toc120614219"/>
      <w:r>
        <w:rPr>
          <w:rFonts w:hint="eastAsia"/>
        </w:rPr>
        <w:t>六、</w:t>
      </w:r>
      <w:bookmarkEnd w:id="161"/>
      <w:bookmarkEnd w:id="162"/>
      <w:bookmarkEnd w:id="163"/>
      <w:r>
        <w:rPr>
          <w:rFonts w:hint="eastAsia"/>
        </w:rPr>
        <w:t>定标</w:t>
      </w:r>
      <w:bookmarkEnd w:id="164"/>
      <w:bookmarkEnd w:id="165"/>
      <w:bookmarkEnd w:id="166"/>
    </w:p>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7" w:name="_Toc513029238"/>
      <w:bookmarkStart w:id="168" w:name="_Toc16938554"/>
      <w:bookmarkStart w:id="169" w:name="_Toc20823310"/>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7"/>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1" w:name="_Toc534725604"/>
      <w:bookmarkStart w:id="172" w:name="_Toc120614220"/>
      <w:bookmarkStart w:id="173" w:name="_Toc534816633"/>
      <w:bookmarkStart w:id="174" w:name="_Toc20823308"/>
      <w:bookmarkStart w:id="175" w:name="_Toc16938552"/>
      <w:bookmarkStart w:id="176" w:name="_Toc513029236"/>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6"/>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1"/>
      <w:bookmarkEnd w:id="172"/>
      <w:bookmarkEnd w:id="173"/>
    </w:p>
    <w:bookmarkEnd w:id="174"/>
    <w:bookmarkEnd w:id="175"/>
    <w:bookmarkEnd w:id="176"/>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7" w:name="_Toc16938553"/>
      <w:bookmarkStart w:id="178" w:name="_Toc20823309"/>
      <w:bookmarkStart w:id="179" w:name="_Toc513029237"/>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7"/>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5"/>
        <w:pageBreakBefore w:val="0"/>
        <w:widowControl w:val="0"/>
        <w:kinsoku/>
        <w:overflowPunct/>
        <w:topLinePunct w:val="0"/>
        <w:bidi w:val="0"/>
        <w:spacing w:line="460" w:lineRule="exact"/>
        <w:rPr>
          <w:rFonts w:hint="eastAsia" w:eastAsia="黑体"/>
          <w:lang w:eastAsia="zh-CN"/>
        </w:rPr>
      </w:pPr>
      <w:bookmarkStart w:id="180" w:name="_Toc534725606"/>
      <w:bookmarkStart w:id="181" w:name="_Toc534816635"/>
      <w:r>
        <w:rPr>
          <w:rFonts w:hint="eastAsia"/>
        </w:rPr>
        <w:t>第三章  合同</w:t>
      </w:r>
      <w:bookmarkEnd w:id="22"/>
      <w:bookmarkEnd w:id="23"/>
      <w:bookmarkEnd w:id="24"/>
      <w:bookmarkEnd w:id="25"/>
      <w:bookmarkEnd w:id="26"/>
      <w:r>
        <w:rPr>
          <w:rFonts w:hint="eastAsia"/>
        </w:rPr>
        <w:t>文本</w:t>
      </w:r>
      <w:bookmarkEnd w:id="27"/>
      <w:bookmarkEnd w:id="180"/>
      <w:bookmarkEnd w:id="181"/>
      <w:r>
        <w:rPr>
          <w:rFonts w:hint="eastAsia"/>
          <w:lang w:eastAsia="zh-CN"/>
        </w:rPr>
        <w:t>（</w:t>
      </w:r>
      <w:r>
        <w:rPr>
          <w:rFonts w:hint="eastAsia"/>
          <w:lang w:val="en-US" w:eastAsia="zh-CN"/>
        </w:rPr>
        <w:t>参考</w:t>
      </w:r>
      <w:r>
        <w:rPr>
          <w:rFonts w:hint="eastAsia"/>
          <w:lang w:eastAsia="zh-CN"/>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2" w:name="_Toc513029243"/>
      <w:bookmarkStart w:id="183" w:name="_Toc20823315"/>
      <w:bookmarkStart w:id="184" w:name="_Toc16938559"/>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0"/>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0"/>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0"/>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0"/>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0"/>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0"/>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0"/>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0"/>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0"/>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0"/>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0"/>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0"/>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0"/>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0"/>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0"/>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0"/>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0"/>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0"/>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0"/>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0"/>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0"/>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0"/>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0"/>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0"/>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0"/>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0"/>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0"/>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2"/>
      <w:bookmarkEnd w:id="183"/>
      <w:bookmarkEnd w:id="184"/>
      <w:bookmarkStart w:id="185" w:name="_Hlt16619369"/>
      <w:bookmarkEnd w:id="185"/>
      <w:bookmarkStart w:id="186" w:name="_Hlt16619350"/>
      <w:bookmarkStart w:id="187" w:name="_Toc16938590"/>
      <w:bookmarkStart w:id="188" w:name="_Toc120614244"/>
      <w:bookmarkStart w:id="189" w:name="_Toc20823346"/>
      <w:bookmarkStart w:id="190" w:name="_Toc479757211"/>
      <w:bookmarkStart w:id="191" w:name="_Toc462564139"/>
    </w:p>
    <w:p>
      <w:pPr>
        <w:pStyle w:val="10"/>
        <w:pageBreakBefore w:val="0"/>
        <w:widowControl w:val="0"/>
        <w:kinsoku/>
        <w:overflowPunct/>
        <w:topLinePunct w:val="0"/>
        <w:bidi w:val="0"/>
        <w:snapToGrid w:val="0"/>
        <w:spacing w:before="120" w:after="120" w:line="460" w:lineRule="exact"/>
        <w:jc w:val="center"/>
        <w:rPr>
          <w:rFonts w:hint="eastAsia"/>
        </w:rPr>
      </w:pPr>
    </w:p>
    <w:p>
      <w:pPr>
        <w:pStyle w:val="10"/>
        <w:pageBreakBefore w:val="0"/>
        <w:widowControl w:val="0"/>
        <w:kinsoku/>
        <w:overflowPunct/>
        <w:topLinePunct w:val="0"/>
        <w:bidi w:val="0"/>
        <w:snapToGrid w:val="0"/>
        <w:spacing w:before="120" w:after="120" w:line="460" w:lineRule="exact"/>
        <w:jc w:val="center"/>
        <w:rPr>
          <w:rFonts w:ascii="黑体" w:eastAsia="黑体"/>
          <w:bCs/>
          <w:sz w:val="44"/>
        </w:rPr>
        <w:sectPr>
          <w:pgSz w:w="11906" w:h="16838"/>
          <w:pgMar w:top="1418" w:right="1588" w:bottom="1418" w:left="1365" w:header="851" w:footer="907" w:gutter="0"/>
          <w:cols w:space="720" w:num="1"/>
          <w:titlePg/>
          <w:docGrid w:type="lines" w:linePitch="290" w:charSpace="0"/>
        </w:sectPr>
      </w:pPr>
    </w:p>
    <w:p>
      <w:pPr>
        <w:pStyle w:val="5"/>
        <w:pageBreakBefore w:val="0"/>
        <w:widowControl w:val="0"/>
        <w:kinsoku/>
        <w:overflowPunct/>
        <w:topLinePunct w:val="0"/>
        <w:bidi w:val="0"/>
        <w:spacing w:line="460" w:lineRule="exact"/>
        <w:rPr>
          <w:rFonts w:hint="eastAsia"/>
        </w:rPr>
      </w:pPr>
      <w:bookmarkStart w:id="192" w:name="_Toc534725607"/>
      <w:bookmarkStart w:id="193" w:name="_Toc534816636"/>
      <w:bookmarkStart w:id="194" w:name="_Toc494375080"/>
      <w:r>
        <w:rPr>
          <w:rFonts w:hint="eastAsia"/>
        </w:rPr>
        <w:t>第</w:t>
      </w:r>
      <w:bookmarkEnd w:id="186"/>
      <w:r>
        <w:rPr>
          <w:rFonts w:hint="eastAsia"/>
        </w:rPr>
        <w:t>四章  项目需求</w:t>
      </w:r>
      <w:bookmarkEnd w:id="187"/>
      <w:bookmarkEnd w:id="188"/>
      <w:bookmarkEnd w:id="189"/>
      <w:bookmarkEnd w:id="192"/>
      <w:bookmarkEnd w:id="193"/>
      <w:bookmarkEnd w:id="194"/>
    </w:p>
    <w:p>
      <w:pPr>
        <w:pStyle w:val="8"/>
        <w:pageBreakBefore w:val="0"/>
        <w:widowControl w:val="0"/>
        <w:kinsoku/>
        <w:overflowPunct/>
        <w:topLinePunct w:val="0"/>
        <w:bidi w:val="0"/>
        <w:spacing w:line="460" w:lineRule="exact"/>
        <w:rPr>
          <w:rFonts w:hint="eastAsia"/>
          <w:lang w:val="en-US" w:eastAsia="zh-CN"/>
        </w:rPr>
      </w:pPr>
      <w:bookmarkStart w:id="195" w:name="_Toc49090575"/>
      <w:bookmarkStart w:id="196" w:name="_Toc26554093"/>
    </w:p>
    <w:p>
      <w:pPr>
        <w:pStyle w:val="6"/>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7" w:name="_Toc534816638"/>
      <w:bookmarkStart w:id="198" w:name="_Toc534725609"/>
      <w:r>
        <w:rPr>
          <w:rFonts w:hint="eastAsia" w:ascii="仿宋" w:hAnsi="仿宋" w:cs="仿宋"/>
          <w:b/>
          <w:bCs/>
          <w:kern w:val="2"/>
          <w:sz w:val="30"/>
          <w:szCs w:val="30"/>
          <w:lang w:val="en-US" w:eastAsia="zh-CN" w:bidi="ar-SA"/>
        </w:rPr>
        <w:t>一、</w:t>
      </w:r>
      <w:r>
        <w:rPr>
          <w:rFonts w:hint="eastAsia" w:ascii="仿宋" w:hAnsi="仿宋" w:eastAsia="宋体" w:cs="仿宋"/>
          <w:b/>
          <w:bCs/>
          <w:kern w:val="2"/>
          <w:sz w:val="30"/>
          <w:szCs w:val="30"/>
          <w:lang w:val="en-US" w:eastAsia="zh-CN" w:bidi="ar-SA"/>
        </w:rPr>
        <w:t>商务条款</w:t>
      </w:r>
      <w:bookmarkEnd w:id="197"/>
      <w:bookmarkEnd w:id="198"/>
    </w:p>
    <w:p>
      <w:pPr>
        <w:keepNext w:val="0"/>
        <w:keepLines w:val="0"/>
        <w:pageBreakBefore w:val="0"/>
        <w:widowControl w:val="0"/>
        <w:kinsoku/>
        <w:wordWrap/>
        <w:overflowPunct/>
        <w:topLinePunct w:val="0"/>
        <w:autoSpaceDE w:val="0"/>
        <w:autoSpaceDN/>
        <w:bidi w:val="0"/>
        <w:adjustRightInd/>
        <w:snapToGrid/>
        <w:spacing w:line="540" w:lineRule="exact"/>
        <w:ind w:firstLine="480" w:firstLineChars="200"/>
        <w:jc w:val="both"/>
        <w:textAlignment w:val="auto"/>
        <w:rPr>
          <w:rFonts w:hint="default" w:ascii="宋体" w:hAnsi="宋体" w:eastAsia="宋体" w:cs="宋体"/>
          <w:b w:val="0"/>
          <w:bCs w:val="0"/>
          <w:i/>
          <w:iCs/>
          <w:color w:val="auto"/>
          <w:sz w:val="24"/>
          <w:szCs w:val="24"/>
          <w:highlight w:val="yellow"/>
          <w:u w:val="single"/>
          <w:lang w:val="en-US"/>
        </w:rPr>
      </w:pPr>
      <w:r>
        <w:rPr>
          <w:rFonts w:hint="eastAsia" w:ascii="宋体" w:hAnsi="宋体" w:eastAsia="宋体" w:cs="宋体"/>
          <w:b w:val="0"/>
          <w:bCs w:val="0"/>
          <w:i/>
          <w:iCs/>
          <w:color w:val="auto"/>
          <w:sz w:val="24"/>
          <w:szCs w:val="24"/>
          <w:highlight w:val="yellow"/>
          <w:u w:val="single"/>
        </w:rPr>
        <w:t>1.质保期</w:t>
      </w:r>
      <w:r>
        <w:rPr>
          <w:rFonts w:hint="eastAsia" w:ascii="宋体" w:hAnsi="宋体" w:eastAsia="宋体" w:cs="宋体"/>
          <w:b w:val="0"/>
          <w:bCs w:val="0"/>
          <w:i/>
          <w:iCs/>
          <w:color w:val="auto"/>
          <w:sz w:val="24"/>
          <w:szCs w:val="24"/>
          <w:highlight w:val="yellow"/>
          <w:u w:val="single"/>
          <w:lang w:eastAsia="zh-CN"/>
        </w:rPr>
        <w:t>：</w:t>
      </w:r>
      <w:r>
        <w:rPr>
          <w:rFonts w:hint="eastAsia" w:ascii="宋体" w:hAnsi="宋体" w:cs="宋体"/>
          <w:b w:val="0"/>
          <w:bCs w:val="0"/>
          <w:i/>
          <w:iCs/>
          <w:color w:val="auto"/>
          <w:sz w:val="24"/>
          <w:szCs w:val="24"/>
          <w:highlight w:val="yellow"/>
          <w:u w:val="single"/>
          <w:lang w:val="en-US" w:eastAsia="zh-CN"/>
        </w:rPr>
        <w:t>双方合同约定</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2．交付期、交付方式及交付地点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val="0"/>
          <w:bCs w:val="0"/>
          <w:i/>
          <w:iCs/>
          <w:color w:val="FF0000"/>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 xml:space="preserve">2.1 </w:t>
      </w:r>
      <w:r>
        <w:rPr>
          <w:rFonts w:hint="eastAsia" w:hAnsi="宋体" w:cs="宋体"/>
          <w:b w:val="0"/>
          <w:bCs w:val="0"/>
          <w:i/>
          <w:iCs/>
          <w:color w:val="auto"/>
          <w:kern w:val="2"/>
          <w:sz w:val="24"/>
          <w:szCs w:val="24"/>
          <w:highlight w:val="yellow"/>
          <w:u w:val="single"/>
          <w:lang w:val="en-US" w:eastAsia="zh-CN" w:bidi="ar-SA"/>
        </w:rPr>
        <w:t>服务</w:t>
      </w:r>
      <w:r>
        <w:rPr>
          <w:rFonts w:hint="eastAsia" w:ascii="宋体" w:hAnsi="宋体" w:eastAsia="宋体" w:cs="宋体"/>
          <w:b w:val="0"/>
          <w:bCs w:val="0"/>
          <w:i/>
          <w:iCs/>
          <w:color w:val="auto"/>
          <w:kern w:val="2"/>
          <w:sz w:val="24"/>
          <w:szCs w:val="24"/>
          <w:highlight w:val="yellow"/>
          <w:u w:val="single"/>
          <w:lang w:val="en-US" w:eastAsia="zh-CN" w:bidi="ar-SA"/>
        </w:rPr>
        <w:t>期：</w:t>
      </w:r>
      <w:r>
        <w:rPr>
          <w:rFonts w:hint="eastAsia" w:ascii="宋体" w:hAnsi="宋体" w:eastAsia="宋体" w:cs="宋体"/>
          <w:b w:val="0"/>
          <w:bCs w:val="0"/>
          <w:i/>
          <w:iCs/>
          <w:color w:val="FF0000"/>
          <w:kern w:val="2"/>
          <w:sz w:val="24"/>
          <w:szCs w:val="24"/>
          <w:highlight w:val="yellow"/>
          <w:u w:val="single"/>
          <w:lang w:val="en-US" w:eastAsia="zh-CN" w:bidi="ar-SA"/>
        </w:rPr>
        <w:t>2024年11月1日-2025年2月28日。</w:t>
      </w:r>
    </w:p>
    <w:p>
      <w:pPr>
        <w:pStyle w:val="10"/>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2.2 交付方式：采购人指定。</w:t>
      </w:r>
    </w:p>
    <w:p>
      <w:pPr>
        <w:pStyle w:val="10"/>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2.3 交付地点：采购人指定。</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3．</w:t>
      </w:r>
      <w:r>
        <w:rPr>
          <w:rFonts w:hint="eastAsia" w:ascii="宋体" w:hAnsi="宋体" w:cs="宋体"/>
          <w:b w:val="0"/>
          <w:bCs w:val="0"/>
          <w:i/>
          <w:iCs/>
          <w:color w:val="auto"/>
          <w:kern w:val="2"/>
          <w:sz w:val="24"/>
          <w:szCs w:val="24"/>
          <w:highlight w:val="yellow"/>
          <w:u w:val="single"/>
          <w:lang w:val="en-US" w:eastAsia="zh-CN" w:bidi="ar-SA"/>
        </w:rPr>
        <w:t>付款方式：</w:t>
      </w:r>
    </w:p>
    <w:p>
      <w:pPr>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bookmarkStart w:id="199" w:name="_Toc534816639"/>
      <w:bookmarkStart w:id="200" w:name="_Toc494375081"/>
      <w:bookmarkStart w:id="201" w:name="_Toc534725610"/>
      <w:bookmarkStart w:id="202" w:name="_Toc120614281"/>
      <w:r>
        <w:rPr>
          <w:rFonts w:hint="eastAsia" w:ascii="宋体" w:hAnsi="宋体" w:eastAsia="宋体" w:cs="Times New Roman"/>
          <w:i/>
          <w:iCs/>
          <w:sz w:val="24"/>
          <w:szCs w:val="24"/>
          <w:highlight w:val="yellow"/>
          <w:u w:val="single"/>
          <w:lang w:val="en-US" w:eastAsia="zh-CN"/>
        </w:rPr>
        <w:t>每月由甲方按合同约定进行考核、依据考核结果按月付款。</w:t>
      </w: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numPr>
          <w:ilvl w:val="0"/>
          <w:numId w:val="3"/>
        </w:numPr>
        <w:rPr>
          <w:rFonts w:hint="eastAsia" w:ascii="仿宋" w:hAnsi="仿宋" w:eastAsia="宋体" w:cs="仿宋"/>
          <w:b/>
          <w:bCs/>
          <w:kern w:val="2"/>
          <w:sz w:val="30"/>
          <w:szCs w:val="30"/>
          <w:lang w:val="en-US" w:eastAsia="zh-CN" w:bidi="ar-SA"/>
        </w:rPr>
      </w:pPr>
      <w:r>
        <w:rPr>
          <w:rFonts w:hint="eastAsia" w:ascii="仿宋" w:hAnsi="仿宋" w:eastAsia="宋体" w:cs="仿宋"/>
          <w:b/>
          <w:bCs/>
          <w:kern w:val="2"/>
          <w:sz w:val="30"/>
          <w:szCs w:val="30"/>
          <w:lang w:val="en-US" w:eastAsia="zh-CN" w:bidi="ar-SA"/>
        </w:rPr>
        <w:t>技术需求</w:t>
      </w:r>
    </w:p>
    <w:p>
      <w:pPr>
        <w:numPr>
          <w:ilvl w:val="0"/>
          <w:numId w:val="0"/>
        </w:numPr>
        <w:jc w:val="center"/>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昌吉州机关后勤服务中心2024年州党委办公楼片区、政府办公楼片区、保密局测评中心及销毁中心保安托管服务招标要求</w:t>
      </w:r>
    </w:p>
    <w:p>
      <w:pPr>
        <w:numPr>
          <w:ilvl w:val="0"/>
          <w:numId w:val="4"/>
        </w:numPr>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预算金额:74.08万元</w:t>
      </w:r>
    </w:p>
    <w:p>
      <w:pPr>
        <w:numPr>
          <w:ilvl w:val="0"/>
          <w:numId w:val="4"/>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服务范围</w:t>
      </w:r>
    </w:p>
    <w:p>
      <w:pPr>
        <w:numPr>
          <w:ilvl w:val="0"/>
          <w:numId w:val="0"/>
        </w:numPr>
        <w:ind w:left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昌吉州党委办公楼片区、政府办公楼片区、保密局测评中心及销毁中心24小时监控、车辆及人员安检等安全保卫工作。</w:t>
      </w:r>
    </w:p>
    <w:p>
      <w:pPr>
        <w:numPr>
          <w:ilvl w:val="0"/>
          <w:numId w:val="4"/>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人员配置</w:t>
      </w:r>
    </w:p>
    <w:p>
      <w:pPr>
        <w:numPr>
          <w:ilvl w:val="0"/>
          <w:numId w:val="0"/>
        </w:numPr>
        <w:ind w:left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昌吉州党委办公楼片区、政府办公楼片区、保密局测评中心及销毁中心需配置保安共46人（主管1人、保安45人）：</w:t>
      </w:r>
    </w:p>
    <w:p>
      <w:pPr>
        <w:numPr>
          <w:ilvl w:val="0"/>
          <w:numId w:val="5"/>
        </w:numPr>
        <w:ind w:left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昌吉州党委办公楼片区保安15人；</w:t>
      </w:r>
    </w:p>
    <w:p>
      <w:pPr>
        <w:numPr>
          <w:ilvl w:val="0"/>
          <w:numId w:val="5"/>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昌吉州政府办公楼片区保安25人（主管1人、保安24人）；</w:t>
      </w:r>
    </w:p>
    <w:p>
      <w:pPr>
        <w:numPr>
          <w:ilvl w:val="0"/>
          <w:numId w:val="5"/>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保密局测评中心保安3人；</w:t>
      </w:r>
    </w:p>
    <w:p>
      <w:pPr>
        <w:numPr>
          <w:ilvl w:val="0"/>
          <w:numId w:val="5"/>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保密局销毁中心保安3人。</w:t>
      </w:r>
    </w:p>
    <w:p>
      <w:pPr>
        <w:numPr>
          <w:ilvl w:val="0"/>
          <w:numId w:val="4"/>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服务期限</w:t>
      </w:r>
    </w:p>
    <w:p>
      <w:pPr>
        <w:numPr>
          <w:ilvl w:val="0"/>
          <w:numId w:val="0"/>
        </w:numPr>
        <w:ind w:left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 xml:space="preserve"> 2024年11月1日-2025年2月28日</w:t>
      </w:r>
    </w:p>
    <w:p>
      <w:pPr>
        <w:numPr>
          <w:ilvl w:val="0"/>
          <w:numId w:val="4"/>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投标资格</w:t>
      </w:r>
    </w:p>
    <w:p>
      <w:pPr>
        <w:numPr>
          <w:ilvl w:val="0"/>
          <w:numId w:val="6"/>
        </w:numPr>
        <w:ind w:left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营业执照经营范围须含有：保安服务等相关内容。</w:t>
      </w:r>
    </w:p>
    <w:p>
      <w:pPr>
        <w:numPr>
          <w:ilvl w:val="0"/>
          <w:numId w:val="6"/>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须提供由公安部门颁发的《保安服务许可证》（电子证照加盖投标人公章）。</w:t>
      </w:r>
    </w:p>
    <w:p>
      <w:pPr>
        <w:numPr>
          <w:ilvl w:val="0"/>
          <w:numId w:val="4"/>
        </w:numPr>
        <w:ind w:left="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安保服务要求</w:t>
      </w:r>
    </w:p>
    <w:p>
      <w:pPr>
        <w:numPr>
          <w:ilvl w:val="0"/>
          <w:numId w:val="7"/>
        </w:numPr>
        <w:ind w:left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服务要求</w:t>
      </w:r>
    </w:p>
    <w:p>
      <w:pPr>
        <w:numPr>
          <w:ilvl w:val="0"/>
          <w:numId w:val="8"/>
        </w:numPr>
        <w:ind w:left="150" w:leftChars="0" w:firstLine="0" w:firstLine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严格按安全保卫各项规定执行安保服务。</w:t>
      </w:r>
    </w:p>
    <w:p>
      <w:pPr>
        <w:numPr>
          <w:ilvl w:val="0"/>
          <w:numId w:val="0"/>
        </w:numPr>
        <w:ind w:left="150" w:leftChars="0"/>
        <w:jc w:val="both"/>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2.加强安保应急演练，并配合公安机关做好各种应急突发事件的处置。</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3.保安人员应统一着装上岗，服装标识齐全；要严格遵守上下班时间，在工作期间应并服从中心管理，保持值班区域整洁，自觉接受工作人员的监督和检查。</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4.要严格履行中心规定的岗位职责要求，切实维护责任区域的正常秩序，并遵守符合法律规定的各项规章制度。</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5.在服务区域内发生的突发案事件，需及时报告中心主要领导、所管辖区主管部门及公安机关，采取措施保护事发现场，依法妥善处理责任范围内的其他突发事件。</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 xml:space="preserve"> 6.严格落实防火、防盗、防破坏等安全防范措施，发现责任区域内的安全隐患，需及时报告中心主要领导，并协助处理。</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 xml:space="preserve"> 7.加强对保安的在岗培训、监督和日常管理工作，确保安保服务优质高效。</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8.如有人员离职、不能胜任岗位要求或不能满足用工方需求，应24小时内补充、调整人员到岗。</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（二）人员要求</w:t>
      </w:r>
    </w:p>
    <w:p>
      <w:pPr>
        <w:pStyle w:val="5"/>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所有人员，男性，年龄18-60周岁，保安员须提供公安部门颁发的《中华人民共和国保安员证》。</w:t>
      </w:r>
    </w:p>
    <w:p>
      <w:pPr>
        <w:pStyle w:val="5"/>
        <w:keepNext/>
        <w:keepLines/>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付款方式：每月由甲方按合同约定进行考核、依据考核结果按月付款。</w:t>
      </w:r>
    </w:p>
    <w:p>
      <w:pPr>
        <w:pStyle w:val="5"/>
        <w:keepNext/>
        <w:keepLines/>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八、其它要求</w:t>
      </w:r>
    </w:p>
    <w:p>
      <w:pPr>
        <w:pStyle w:val="5"/>
        <w:keepNext/>
        <w:keepLines/>
        <w:pageBreakBefore w:val="0"/>
        <w:widowControl w:val="0"/>
        <w:kinsoku/>
        <w:wordWrap/>
        <w:overflowPunct/>
        <w:topLinePunct w:val="0"/>
        <w:autoSpaceDE/>
        <w:autoSpaceDN/>
        <w:bidi w:val="0"/>
        <w:adjustRightInd/>
        <w:snapToGrid/>
        <w:spacing w:line="240" w:lineRule="auto"/>
        <w:ind w:firstLine="900" w:firstLineChars="300"/>
        <w:jc w:val="both"/>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为了保证安保服务工作的连续性，中标单位自中标之日起5个工作日内完成与上一家公司的工作交接，工作交接完成后经机关后勤服务中心统一验收后，人员配备到位，方可签订合同，如人员未能按要求配备到位将视为违约，招标单位有权利不予签订合同，并报相关部门。</w:t>
      </w:r>
    </w:p>
    <w:tbl>
      <w:tblPr>
        <w:tblStyle w:val="16"/>
        <w:tblW w:w="90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03"/>
        <w:gridCol w:w="2546"/>
        <w:gridCol w:w="944"/>
        <w:gridCol w:w="122"/>
        <w:gridCol w:w="611"/>
        <w:gridCol w:w="520"/>
        <w:gridCol w:w="944"/>
        <w:gridCol w:w="945"/>
        <w:gridCol w:w="124"/>
        <w:gridCol w:w="1077"/>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2" w:hRule="atLeast"/>
          <w:jc w:val="center"/>
        </w:trPr>
        <w:tc>
          <w:tcPr>
            <w:tcW w:w="9010" w:type="dxa"/>
            <w:gridSpan w:val="11"/>
            <w:vMerge w:val="restart"/>
            <w:noWrap w:val="0"/>
            <w:vAlign w:val="center"/>
          </w:tcPr>
          <w:p>
            <w:pPr>
              <w:kinsoku/>
              <w:autoSpaceDE/>
              <w:autoSpaceDN w:val="0"/>
              <w:jc w:val="center"/>
              <w:textAlignment w:val="center"/>
              <w:rPr>
                <w:rFonts w:hint="default" w:ascii="宋体" w:hAnsi="宋体" w:eastAsia="宋体"/>
                <w:b w:val="0"/>
                <w:i w:val="0"/>
                <w:snapToGrid/>
                <w:color w:val="000000"/>
                <w:sz w:val="40"/>
                <w:u w:val="none"/>
                <w:lang w:eastAsia="zh-CN"/>
              </w:rPr>
            </w:pPr>
            <w:r>
              <w:rPr>
                <w:rFonts w:hint="default" w:ascii="宋体" w:hAnsi="宋体" w:eastAsia="宋体"/>
                <w:b w:val="0"/>
                <w:i w:val="0"/>
                <w:snapToGrid/>
                <w:color w:val="000000"/>
                <w:sz w:val="40"/>
                <w:u w:val="none"/>
                <w:lang w:eastAsia="zh-CN"/>
              </w:rPr>
              <w:t>昌吉州机关后勤服务中心保安服务项目考核标准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04" w:hRule="atLeast"/>
          <w:jc w:val="center"/>
        </w:trPr>
        <w:tc>
          <w:tcPr>
            <w:tcW w:w="9010" w:type="dxa"/>
            <w:gridSpan w:val="11"/>
            <w:vMerge w:val="continue"/>
            <w:noWrap w:val="0"/>
            <w:vAlign w:val="center"/>
          </w:tcPr>
          <w:p>
            <w:pPr>
              <w:kinsoku/>
              <w:autoSpaceDE/>
              <w:autoSpaceDN w:val="0"/>
              <w:textAlignment w:val="auto"/>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40" w:hRule="atLeast"/>
          <w:jc w:val="center"/>
        </w:trPr>
        <w:tc>
          <w:tcPr>
            <w:tcW w:w="9010" w:type="dxa"/>
            <w:gridSpan w:val="11"/>
            <w:vMerge w:val="continue"/>
            <w:noWrap w:val="0"/>
            <w:vAlign w:val="center"/>
          </w:tcPr>
          <w:p>
            <w:pPr>
              <w:kinsoku/>
              <w:autoSpaceDE/>
              <w:autoSpaceDN w:val="0"/>
              <w:textAlignment w:val="auto"/>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75" w:hRule="atLeast"/>
          <w:jc w:val="center"/>
        </w:trPr>
        <w:tc>
          <w:tcPr>
            <w:tcW w:w="4726" w:type="dxa"/>
            <w:gridSpan w:val="5"/>
            <w:tcBorders>
              <w:bottom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被考核单位：</w:t>
            </w:r>
          </w:p>
        </w:tc>
        <w:tc>
          <w:tcPr>
            <w:tcW w:w="2533" w:type="dxa"/>
            <w:gridSpan w:val="4"/>
            <w:tcBorders>
              <w:bottom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4"/>
                <w:u w:val="none"/>
                <w:lang w:eastAsia="zh-CN"/>
              </w:rPr>
            </w:pPr>
          </w:p>
        </w:tc>
        <w:tc>
          <w:tcPr>
            <w:tcW w:w="1751" w:type="dxa"/>
            <w:gridSpan w:val="2"/>
            <w:tcBorders>
              <w:bottom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考核时间：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80" w:hRule="atLeast"/>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序 号</w:t>
            </w: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标准内容</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规定分值</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扣分细则</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累计扣分值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28"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一</w:t>
            </w:r>
          </w:p>
        </w:tc>
        <w:tc>
          <w:tcPr>
            <w:tcW w:w="361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职责要求</w:t>
            </w:r>
          </w:p>
        </w:tc>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253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175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61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253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75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1、制定并执行保安人员各岗位责任制、定期巡回检查等管理制度。</w:t>
            </w:r>
          </w:p>
        </w:tc>
        <w:tc>
          <w:tcPr>
            <w:tcW w:w="611" w:type="dxa"/>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3</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4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2、制度上墙，各岗位人员配置与人数相符。</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二</w:t>
            </w: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仪容仪表</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1、按规定统一穿着制服，佩戴工作证和其他必要装备等。</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8</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2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2、不准留长发、胡须、留长指甲、不得随地吐痰，工作场所内吸烟等。</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50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3、当班期间，有上级领导、高级访客带客经过岗位时必须敬礼，敬礼姿势较准确。</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50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4、举止文明大方；动作手势规范、准确、有力；不可将手插入口袋，不可勾肩搭背。</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三</w:t>
            </w: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服务态度</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10</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87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36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1、精神饱满，热情，按规定使用礼貌用语，主动与服务对象打招呼；工作过程中使用规范礼貌用语，微笑服务，热情待客。</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253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87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2、服务意识良好，能够积极接受客户或同事的意见，不与客户或同事发生争吵或有失敬、失礼的行为。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85" w:hRule="atLeast"/>
          <w:jc w:val="center"/>
        </w:trPr>
        <w:tc>
          <w:tcPr>
            <w:tcW w:w="503" w:type="dxa"/>
            <w:vMerge w:val="restart"/>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四</w:t>
            </w:r>
          </w:p>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工作纪律</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780" w:hRule="atLeast"/>
          <w:jc w:val="center"/>
        </w:trPr>
        <w:tc>
          <w:tcPr>
            <w:tcW w:w="503" w:type="dxa"/>
            <w:vMerge w:val="continue"/>
            <w:tcBorders>
              <w:left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1、严禁空岗。</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每违规一人次扣1分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515" w:hRule="atLeast"/>
          <w:jc w:val="center"/>
        </w:trPr>
        <w:tc>
          <w:tcPr>
            <w:tcW w:w="503" w:type="dxa"/>
            <w:vMerge w:val="continue"/>
            <w:tcBorders>
              <w:left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2、上班时不得擅自离岗、脱岗、串岗、睡岗；不聚众闲聊，不做与本职工作无关的事情。</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650" w:hRule="atLeast"/>
          <w:jc w:val="center"/>
        </w:trPr>
        <w:tc>
          <w:tcPr>
            <w:tcW w:w="503" w:type="dxa"/>
            <w:vMerge w:val="continue"/>
            <w:tcBorders>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3、遵守各项规章制度，服从领导、听从指挥、对领导工作指示及安排无不执行或蓄意违抗现象。</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780" w:hRule="atLeast"/>
          <w:jc w:val="center"/>
        </w:trPr>
        <w:tc>
          <w:tcPr>
            <w:tcW w:w="503" w:type="dxa"/>
            <w:vMerge w:val="continue"/>
            <w:tcBorders>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4、严禁酗酒后上岗。</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10</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每违规一次扣2分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85"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五</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工作要求</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78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1、当值时，发生案件未及时处理报告。</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6</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每违规一次扣3分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06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2、不按规定时间巡查或不作记录和记录不实、书写不规范、有涂改。</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1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3、损坏或丢失警戒装备（除照价赔偿外另作扣分处理）。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89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4、执勤中私自扣留服务对象的物品或证件不归还或不上缴；擅自处理或挪用的；视情节扣分或作违纪辞退处理。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6</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每违规一次扣2分</w:t>
            </w:r>
          </w:p>
        </w:tc>
        <w:tc>
          <w:tcPr>
            <w:tcW w:w="3090"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85"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六</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车场管理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944" w:type="dxa"/>
            <w:tcBorders>
              <w:left w:val="single" w:color="000000" w:sz="4" w:space="0"/>
              <w:bottom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945" w:type="dxa"/>
            <w:tcBorders>
              <w:bottom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c>
          <w:tcPr>
            <w:tcW w:w="1201" w:type="dxa"/>
            <w:gridSpan w:val="2"/>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12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1、不按规定指挥车辆出入或停放；利用职能之便，故意刁难车主。</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1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2、对停车场内的监控设备不按时巡查、检修及记录。</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57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3、车辆没按规定停放或停放不整齐，巡查时未及时整理的或未阻止违章停放。 </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78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2546" w:type="dxa"/>
            <w:tcBorders>
              <w:top w:val="single" w:color="000000" w:sz="4" w:space="0"/>
              <w:left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4、造成车辆堵塞。</w:t>
            </w:r>
          </w:p>
        </w:tc>
        <w:tc>
          <w:tcPr>
            <w:tcW w:w="944"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53" w:type="dxa"/>
            <w:gridSpan w:val="3"/>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每违规一次扣1分</w:t>
            </w:r>
          </w:p>
        </w:tc>
        <w:tc>
          <w:tcPr>
            <w:tcW w:w="3090" w:type="dxa"/>
            <w:gridSpan w:val="4"/>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1140" w:hRule="atLeast"/>
          <w:jc w:val="center"/>
        </w:trPr>
        <w:tc>
          <w:tcPr>
            <w:tcW w:w="399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考核人员签字：</w:t>
            </w:r>
          </w:p>
        </w:tc>
        <w:tc>
          <w:tcPr>
            <w:tcW w:w="4343" w:type="dxa"/>
            <w:gridSpan w:val="7"/>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被考核主管签字：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870" w:hRule="atLeast"/>
          <w:jc w:val="center"/>
        </w:trPr>
        <w:tc>
          <w:tcPr>
            <w:tcW w:w="8336" w:type="dxa"/>
            <w:gridSpan w:val="10"/>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合计得分：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76" w:hRule="atLeast"/>
          <w:jc w:val="center"/>
        </w:trPr>
        <w:tc>
          <w:tcPr>
            <w:tcW w:w="8336" w:type="dxa"/>
            <w:gridSpan w:val="10"/>
            <w:vMerge w:val="restart"/>
            <w:tcBorders>
              <w:top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备注：                                                                              1、考核分值采用百分制，95分为合格。                                                   2、考核分值低于95分以下每低于1分，按照合同约定的标准扣除费用100元。                   3、本考核表中未涉及的部分按《中标通知书》、《服务招标文件》、《投标文件经济标》、《投标文件技术标》、《委托合同》、《机关后勤服务中心保安服务（月）考核标准》和《保安工作处罚制度》要求标准考核（每发现一处不符合要求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28" w:hRule="atLeast"/>
          <w:jc w:val="center"/>
        </w:trPr>
        <w:tc>
          <w:tcPr>
            <w:tcW w:w="8336" w:type="dxa"/>
            <w:gridSpan w:val="10"/>
            <w:vMerge w:val="continue"/>
            <w:tcBorders>
              <w:top w:val="single" w:color="000000" w:sz="4" w:space="0"/>
            </w:tcBorders>
            <w:noWrap w:val="0"/>
            <w:vAlign w:val="center"/>
          </w:tcPr>
          <w:p>
            <w:pPr>
              <w:kinsoku/>
              <w:autoSpaceDE/>
              <w:autoSpaceDN w:val="0"/>
              <w:textAlignment w:val="auto"/>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28" w:hRule="atLeast"/>
          <w:jc w:val="center"/>
        </w:trPr>
        <w:tc>
          <w:tcPr>
            <w:tcW w:w="8336" w:type="dxa"/>
            <w:gridSpan w:val="10"/>
            <w:vMerge w:val="continue"/>
            <w:tcBorders>
              <w:top w:val="single" w:color="000000" w:sz="4" w:space="0"/>
            </w:tcBorders>
            <w:noWrap w:val="0"/>
            <w:vAlign w:val="center"/>
          </w:tcPr>
          <w:p>
            <w:pPr>
              <w:kinsoku/>
              <w:autoSpaceDE/>
              <w:autoSpaceDN w:val="0"/>
              <w:textAlignment w:val="auto"/>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28" w:hRule="atLeast"/>
          <w:jc w:val="center"/>
        </w:trPr>
        <w:tc>
          <w:tcPr>
            <w:tcW w:w="8336" w:type="dxa"/>
            <w:gridSpan w:val="10"/>
            <w:vMerge w:val="continue"/>
            <w:tcBorders>
              <w:top w:val="single" w:color="000000" w:sz="4" w:space="0"/>
            </w:tcBorders>
            <w:noWrap w:val="0"/>
            <w:vAlign w:val="center"/>
          </w:tcPr>
          <w:p>
            <w:pPr>
              <w:kinsoku/>
              <w:autoSpaceDE/>
              <w:autoSpaceDN w:val="0"/>
              <w:textAlignment w:val="auto"/>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28" w:hRule="atLeast"/>
          <w:jc w:val="center"/>
        </w:trPr>
        <w:tc>
          <w:tcPr>
            <w:tcW w:w="8336" w:type="dxa"/>
            <w:gridSpan w:val="10"/>
            <w:vMerge w:val="continue"/>
            <w:tcBorders>
              <w:top w:val="single" w:color="000000" w:sz="4" w:space="0"/>
            </w:tcBorders>
            <w:noWrap w:val="0"/>
            <w:vAlign w:val="center"/>
          </w:tcPr>
          <w:p>
            <w:pPr>
              <w:kinsoku/>
              <w:autoSpaceDE/>
              <w:autoSpaceDN w:val="0"/>
              <w:textAlignment w:val="auto"/>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674" w:type="dxa"/>
          <w:trHeight w:val="228" w:hRule="atLeast"/>
          <w:jc w:val="center"/>
        </w:trPr>
        <w:tc>
          <w:tcPr>
            <w:tcW w:w="8336" w:type="dxa"/>
            <w:gridSpan w:val="10"/>
            <w:vMerge w:val="continue"/>
            <w:tcBorders>
              <w:top w:val="single" w:color="000000" w:sz="4" w:space="0"/>
            </w:tcBorders>
            <w:noWrap w:val="0"/>
            <w:vAlign w:val="center"/>
          </w:tcPr>
          <w:p>
            <w:pPr>
              <w:kinsoku/>
              <w:autoSpaceDE/>
              <w:autoSpaceDN w:val="0"/>
              <w:textAlignment w:val="auto"/>
              <w:rPr>
                <w:rFonts w:hint="default" w:ascii="宋体" w:hAnsi="宋体"/>
                <w:snapToGrid/>
                <w:sz w:val="24"/>
              </w:rPr>
            </w:pPr>
          </w:p>
        </w:tc>
      </w:tr>
    </w:tbl>
    <w:p>
      <w:pPr>
        <w:rPr>
          <w:rFonts w:hint="eastAsia"/>
        </w:rPr>
      </w:pPr>
    </w:p>
    <w:p>
      <w:pPr>
        <w:pStyle w:val="5"/>
        <w:pageBreakBefore w:val="0"/>
        <w:widowControl w:val="0"/>
        <w:kinsoku/>
        <w:wordWrap/>
        <w:overflowPunct/>
        <w:topLinePunct w:val="0"/>
        <w:autoSpaceDE/>
        <w:autoSpaceDN/>
        <w:bidi w:val="0"/>
        <w:snapToGrid/>
        <w:spacing w:line="640" w:lineRule="exact"/>
        <w:jc w:val="both"/>
        <w:rPr>
          <w:rFonts w:hint="eastAsia"/>
        </w:rPr>
      </w:pPr>
    </w:p>
    <w:p>
      <w:pPr>
        <w:rPr>
          <w:rFonts w:hint="eastAsia"/>
        </w:rPr>
      </w:pPr>
    </w:p>
    <w:p>
      <w:pPr>
        <w:pStyle w:val="5"/>
        <w:pageBreakBefore w:val="0"/>
        <w:widowControl w:val="0"/>
        <w:kinsoku/>
        <w:wordWrap/>
        <w:overflowPunct/>
        <w:topLinePunct w:val="0"/>
        <w:autoSpaceDE/>
        <w:autoSpaceDN/>
        <w:bidi w:val="0"/>
        <w:snapToGrid/>
        <w:spacing w:line="640" w:lineRule="exact"/>
        <w:ind w:firstLine="1325" w:firstLineChars="300"/>
        <w:jc w:val="both"/>
        <w:rPr>
          <w:rFonts w:hint="eastAsia"/>
        </w:rPr>
      </w:pPr>
      <w:r>
        <w:rPr>
          <w:rFonts w:hint="eastAsia"/>
        </w:rPr>
        <w:t>第五章  评标方法与评标标准</w:t>
      </w:r>
      <w:bookmarkEnd w:id="199"/>
      <w:bookmarkEnd w:id="200"/>
      <w:bookmarkEnd w:id="201"/>
    </w:p>
    <w:p>
      <w:pPr>
        <w:pageBreakBefore w:val="0"/>
        <w:widowControl w:val="0"/>
        <w:kinsoku/>
        <w:wordWrap/>
        <w:overflowPunct/>
        <w:topLinePunct w:val="0"/>
        <w:autoSpaceDE/>
        <w:autoSpaceDN/>
        <w:bidi w:val="0"/>
        <w:snapToGrid/>
        <w:spacing w:line="640" w:lineRule="exact"/>
        <w:rPr>
          <w:rFonts w:hint="eastAsia" w:ascii="Arial" w:hAnsi="Arial" w:eastAsia="宋体" w:cs="Arial"/>
          <w:b/>
          <w:bCs/>
          <w:kern w:val="0"/>
          <w:sz w:val="24"/>
          <w:szCs w:val="24"/>
          <w:lang w:val="en-US" w:eastAsia="zh-CN" w:bidi="ar-SA"/>
        </w:rPr>
      </w:pPr>
      <w:r>
        <w:rPr>
          <w:rFonts w:hint="eastAsia" w:ascii="Arial" w:hAnsi="Arial" w:eastAsia="宋体" w:cs="Arial"/>
          <w:b/>
          <w:bCs/>
          <w:kern w:val="0"/>
          <w:sz w:val="24"/>
          <w:szCs w:val="24"/>
          <w:lang w:val="en-US" w:eastAsia="zh-CN" w:bidi="ar-SA"/>
        </w:rPr>
        <w:t>评标办法和评标标准</w:t>
      </w:r>
    </w:p>
    <w:p>
      <w:pPr>
        <w:pStyle w:val="20"/>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eastAsia" w:cs="Arial"/>
        </w:rPr>
      </w:pPr>
      <w:r>
        <w:rPr>
          <w:rFonts w:hint="eastAsia" w:cs="Arial"/>
        </w:rPr>
        <w:t>本项目</w:t>
      </w:r>
      <w:r>
        <w:rPr>
          <w:rFonts w:cs="Arial"/>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cs="Arial"/>
        </w:rPr>
        <w:t>。本项目选取1名中标候选人。</w:t>
      </w:r>
    </w:p>
    <w:p>
      <w:pPr>
        <w:pStyle w:val="20"/>
        <w:ind w:firstLine="441" w:firstLineChars="183"/>
        <w:rPr>
          <w:rFonts w:ascii="宋体" w:hAnsi="宋体"/>
          <w:b/>
          <w:kern w:val="2"/>
          <w:highlight w:val="yellow"/>
        </w:rPr>
      </w:pPr>
      <w:r>
        <w:rPr>
          <w:rFonts w:hint="eastAsia" w:ascii="宋体" w:hAnsi="宋体"/>
          <w:b/>
          <w:kern w:val="2"/>
          <w:lang w:val="en-US" w:eastAsia="zh-CN"/>
        </w:rPr>
        <w:t>一、</w:t>
      </w:r>
      <w:r>
        <w:rPr>
          <w:rFonts w:hint="eastAsia" w:ascii="宋体" w:hAnsi="宋体"/>
          <w:b/>
          <w:kern w:val="2"/>
        </w:rPr>
        <w:t>政府采购政策功能落实</w:t>
      </w:r>
    </w:p>
    <w:p>
      <w:pPr>
        <w:pStyle w:val="20"/>
        <w:spacing w:line="0" w:lineRule="atLeast"/>
        <w:ind w:firstLine="480" w:firstLineChars="200"/>
        <w:rPr>
          <w:rFonts w:hint="eastAsia" w:ascii="宋体" w:hAnsi="宋体"/>
          <w:b/>
          <w:kern w:val="2"/>
        </w:rPr>
      </w:pPr>
      <w:r>
        <w:rPr>
          <w:rFonts w:hint="eastAsia"/>
        </w:rPr>
        <w:t>本项目专门面向中小企业（填写“中小”或“小微”）企业采购。即：提供的</w:t>
      </w:r>
      <w:r>
        <w:rPr>
          <w:rFonts w:hint="eastAsia"/>
          <w:lang w:val="en-US" w:eastAsia="zh-CN"/>
        </w:rPr>
        <w:t>服务</w:t>
      </w:r>
      <w:r>
        <w:rPr>
          <w:rFonts w:hint="eastAsia"/>
        </w:rPr>
        <w:t>全部由符合政策要求的中小/小微企业</w:t>
      </w:r>
      <w:r>
        <w:rPr>
          <w:rFonts w:hint="eastAsia"/>
          <w:lang w:val="en-US" w:eastAsia="zh-CN"/>
        </w:rPr>
        <w:t>承接</w:t>
      </w:r>
      <w:r>
        <w:rPr>
          <w:rFonts w:hint="eastAsia"/>
        </w:rPr>
        <w:t>。</w:t>
      </w:r>
    </w:p>
    <w:p>
      <w:pPr>
        <w:numPr>
          <w:ilvl w:val="0"/>
          <w:numId w:val="0"/>
        </w:numPr>
        <w:autoSpaceDE w:val="0"/>
        <w:spacing w:line="560" w:lineRule="exact"/>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二、评分标准</w:t>
      </w:r>
    </w:p>
    <w:p>
      <w:pPr>
        <w:pStyle w:val="12"/>
        <w:ind w:left="0" w:lef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评分表</w:t>
      </w:r>
    </w:p>
    <w:p>
      <w:pPr>
        <w:jc w:val="center"/>
        <w:rPr>
          <w:rFonts w:hint="eastAsia" w:ascii="宋体" w:hAnsi="宋体" w:eastAsia="宋体" w:cs="宋体"/>
          <w:color w:val="auto"/>
          <w:highlight w:val="none"/>
        </w:rPr>
      </w:pPr>
    </w:p>
    <w:tbl>
      <w:tblPr>
        <w:tblStyle w:val="16"/>
        <w:tblW w:w="10488" w:type="dxa"/>
        <w:jc w:val="center"/>
        <w:tblInd w:w="-108" w:type="dxa"/>
        <w:shd w:val="clear" w:color="auto" w:fill="FFFFFF"/>
        <w:tblLayout w:type="fixed"/>
        <w:tblCellMar>
          <w:top w:w="0" w:type="dxa"/>
          <w:left w:w="0" w:type="dxa"/>
          <w:bottom w:w="0" w:type="dxa"/>
          <w:right w:w="0" w:type="dxa"/>
        </w:tblCellMar>
      </w:tblPr>
      <w:tblGrid>
        <w:gridCol w:w="780"/>
        <w:gridCol w:w="996"/>
        <w:gridCol w:w="8712"/>
      </w:tblGrid>
      <w:tr>
        <w:tblPrEx>
          <w:tblLayout w:type="fixed"/>
          <w:tblCellMar>
            <w:top w:w="0" w:type="dxa"/>
            <w:left w:w="0" w:type="dxa"/>
            <w:bottom w:w="0" w:type="dxa"/>
            <w:right w:w="0" w:type="dxa"/>
          </w:tblCellMar>
        </w:tblPrEx>
        <w:trPr>
          <w:trHeight w:val="458" w:hRule="atLeast"/>
          <w:jc w:val="center"/>
        </w:trPr>
        <w:tc>
          <w:tcPr>
            <w:tcW w:w="1776"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20" w:lineRule="exact"/>
              <w:ind w:left="0" w:leftChars="0" w:right="0" w:rightChars="0" w:firstLine="0" w:firstLineChars="0"/>
              <w:jc w:val="center"/>
              <w:textAlignment w:val="auto"/>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项目评审</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20" w:lineRule="exact"/>
              <w:ind w:left="0" w:leftChars="0" w:right="0" w:rightChars="0" w:firstLine="0" w:firstLineChars="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分数评标标准</w:t>
            </w:r>
          </w:p>
        </w:tc>
      </w:tr>
      <w:tr>
        <w:tblPrEx>
          <w:tblLayout w:type="fixed"/>
          <w:tblCellMar>
            <w:top w:w="0" w:type="dxa"/>
            <w:left w:w="0" w:type="dxa"/>
            <w:bottom w:w="0" w:type="dxa"/>
            <w:right w:w="0" w:type="dxa"/>
          </w:tblCellMar>
        </w:tblPrEx>
        <w:trPr>
          <w:trHeight w:val="936" w:hRule="atLeast"/>
          <w:jc w:val="center"/>
        </w:trPr>
        <w:tc>
          <w:tcPr>
            <w:tcW w:w="1776"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报价得分（</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0</w:t>
            </w:r>
            <w:r>
              <w:rPr>
                <w:rFonts w:hint="eastAsia" w:ascii="宋体" w:hAnsi="宋体" w:eastAsia="宋体" w:cs="宋体"/>
                <w:color w:val="000000"/>
                <w:sz w:val="20"/>
                <w:szCs w:val="20"/>
                <w:lang w:val="en-US" w:eastAsia="zh-CN"/>
              </w:rPr>
              <w:t>分</w:t>
            </w:r>
            <w:r>
              <w:rPr>
                <w:rFonts w:hint="eastAsia" w:ascii="宋体" w:hAnsi="宋体" w:eastAsia="宋体" w:cs="宋体"/>
                <w:color w:val="000000"/>
                <w:sz w:val="20"/>
                <w:szCs w:val="20"/>
                <w:lang w:eastAsia="zh-CN"/>
              </w:rPr>
              <w:t>）</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bottom"/>
          </w:tcPr>
          <w:p>
            <w:pPr>
              <w:keepNext w:val="0"/>
              <w:keepLines w:val="0"/>
              <w:pageBreakBefore w:val="0"/>
              <w:widowControl/>
              <w:kinsoku/>
              <w:wordWrap/>
              <w:overflowPunct/>
              <w:topLinePunct w:val="0"/>
              <w:autoSpaceDE/>
              <w:autoSpaceDN/>
              <w:bidi w:val="0"/>
              <w:adjustRightInd w:val="0"/>
              <w:snapToGrid w:val="0"/>
              <w:spacing w:before="0" w:beforeLines="0" w:after="200" w:afterLines="0" w:line="240" w:lineRule="exact"/>
              <w:ind w:left="0" w:leftChars="0" w:right="0" w:rightChars="0" w:firstLine="0" w:firstLineChars="0"/>
              <w:jc w:val="both"/>
              <w:textAlignment w:val="auto"/>
              <w:outlineLvl w:val="9"/>
              <w:rPr>
                <w:rFonts w:hint="eastAsia" w:ascii="宋体" w:hAnsi="宋体" w:eastAsia="宋体" w:cs="宋体"/>
                <w:color w:val="000000"/>
                <w:sz w:val="20"/>
                <w:szCs w:val="20"/>
                <w:lang w:val="en-US" w:eastAsia="zh-CN"/>
              </w:rPr>
            </w:pPr>
            <w:r>
              <w:rPr>
                <w:rFonts w:hint="eastAsia"/>
              </w:rPr>
              <w:t xml:space="preserve">  </w:t>
            </w:r>
            <w:r>
              <w:rPr>
                <w:rFonts w:hint="eastAsia"/>
                <w:lang w:val="en-US" w:eastAsia="zh-CN"/>
              </w:rPr>
              <w:t xml:space="preserve">  </w:t>
            </w:r>
            <w:r>
              <w:rPr>
                <w:rFonts w:hint="eastAsia" w:ascii="宋体" w:hAnsi="宋体" w:eastAsia="宋体" w:cs="宋体"/>
                <w:color w:val="000000"/>
                <w:sz w:val="20"/>
                <w:szCs w:val="20"/>
                <w:lang w:val="en-US" w:eastAsia="zh-CN"/>
              </w:rPr>
              <w:t>综合评分法中的经济分统一采用平均价优先法计算，即满足招标文件要求的平均价为评标基准价，评标基准价得分为满分20分。投标人的价格分统一按照下列公式计算：投标报价得分=（评标基准价/投标报价）×价格权值×100。</w:t>
            </w:r>
          </w:p>
        </w:tc>
      </w:tr>
      <w:tr>
        <w:tblPrEx>
          <w:tblLayout w:type="fixed"/>
          <w:tblCellMar>
            <w:top w:w="0" w:type="dxa"/>
            <w:left w:w="0" w:type="dxa"/>
            <w:bottom w:w="0" w:type="dxa"/>
            <w:right w:w="0" w:type="dxa"/>
          </w:tblCellMar>
        </w:tblPrEx>
        <w:trPr>
          <w:trHeight w:val="600" w:hRule="atLeast"/>
          <w:jc w:val="center"/>
        </w:trPr>
        <w:tc>
          <w:tcPr>
            <w:tcW w:w="780" w:type="dxa"/>
            <w:vMerge w:val="restart"/>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商务  部分    </w:t>
            </w:r>
            <w:r>
              <w:rPr>
                <w:rFonts w:hint="eastAsia" w:ascii="宋体" w:hAnsi="宋体" w:eastAsia="宋体" w:cs="宋体"/>
                <w:color w:val="000000"/>
                <w:sz w:val="15"/>
                <w:szCs w:val="15"/>
                <w:lang w:val="en-US" w:eastAsia="zh-CN"/>
              </w:rPr>
              <w:t>（36分）</w:t>
            </w: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类似</w:t>
            </w:r>
            <w:r>
              <w:rPr>
                <w:rFonts w:hint="eastAsia" w:ascii="宋体" w:hAnsi="宋体" w:eastAsia="宋体" w:cs="宋体"/>
                <w:color w:val="000000"/>
                <w:sz w:val="20"/>
                <w:szCs w:val="20"/>
              </w:rPr>
              <w:t>业绩</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6分</w:t>
            </w:r>
            <w:r>
              <w:rPr>
                <w:rFonts w:hint="eastAsia" w:ascii="宋体" w:hAnsi="宋体" w:eastAsia="宋体" w:cs="宋体"/>
                <w:color w:val="000000"/>
                <w:sz w:val="20"/>
                <w:szCs w:val="20"/>
                <w:lang w:eastAsia="zh-CN"/>
              </w:rPr>
              <w:t>）</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投标人须提供近自2021年1月1日至开标之日，至少有2项类似业绩项目，每提供一项得3分，满分6分，不提供不得分。（须提供合同或中标通知书相关材料加盖公章，无证明材料不得分。）</w:t>
            </w:r>
          </w:p>
        </w:tc>
      </w:tr>
      <w:tr>
        <w:tblPrEx>
          <w:shd w:val="clear" w:color="auto" w:fill="FFFFFF"/>
          <w:tblLayout w:type="fixed"/>
          <w:tblCellMar>
            <w:top w:w="0" w:type="dxa"/>
            <w:left w:w="0" w:type="dxa"/>
            <w:bottom w:w="0" w:type="dxa"/>
            <w:right w:w="0" w:type="dxa"/>
          </w:tblCellMar>
        </w:tblPrEx>
        <w:trPr>
          <w:trHeight w:val="2684" w:hRule="atLeast"/>
          <w:jc w:val="center"/>
        </w:trPr>
        <w:tc>
          <w:tcPr>
            <w:tcW w:w="780" w:type="dxa"/>
            <w:vMerge w:val="continue"/>
            <w:tcBorders>
              <w:left w:val="single" w:color="auto" w:sz="4"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人员的配备方案</w:t>
            </w:r>
            <w:r>
              <w:rPr>
                <w:rFonts w:hint="eastAsia" w:ascii="宋体" w:hAnsi="宋体" w:eastAsia="宋体" w:cs="宋体"/>
                <w:color w:val="000000"/>
                <w:sz w:val="20"/>
                <w:szCs w:val="20"/>
                <w:lang w:val="en-US" w:eastAsia="zh-CN"/>
              </w:rPr>
              <w:t xml:space="preserve">    （30分）</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针对本项目需提供满足于招标文件要求，且人员配备数量合理：</w:t>
            </w:r>
          </w:p>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1.主管 （1 人），须提供曾被服务单位出具从事安保主管或负责人（保安队长）的服务证明加盖公章，未提供从事安保主管或负责人（保安队长）服务证明此项不得分。（1）学历大专及以上，得5分；（2）中专学历，得3分；（3）中专以下学历，得1分 （须提供从事安保主管或负责人（保安队长）服务证明、学历证明加盖投标人公章）。</w:t>
            </w:r>
          </w:p>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2.保安年龄及配置（46人）：（1）全部人员年龄为50岁以下（含50岁），得15分。</w:t>
            </w:r>
          </w:p>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（2）年龄为50岁以上（不含50岁），每超出一人，扣1分，总分不超过15分。</w:t>
            </w:r>
          </w:p>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3.保安中退役军人，满分10分。每提供一人加0.5分，总分不超过10分。（须提供退役证复印件加盖投标人公章）</w:t>
            </w:r>
          </w:p>
        </w:tc>
      </w:tr>
      <w:tr>
        <w:tblPrEx>
          <w:shd w:val="clear" w:color="auto" w:fill="FFFFFF"/>
          <w:tblLayout w:type="fixed"/>
          <w:tblCellMar>
            <w:top w:w="0" w:type="dxa"/>
            <w:left w:w="0" w:type="dxa"/>
            <w:bottom w:w="0" w:type="dxa"/>
            <w:right w:w="0" w:type="dxa"/>
          </w:tblCellMar>
        </w:tblPrEx>
        <w:trPr>
          <w:trHeight w:val="1152" w:hRule="atLeast"/>
          <w:jc w:val="center"/>
        </w:trPr>
        <w:tc>
          <w:tcPr>
            <w:tcW w:w="780" w:type="dxa"/>
            <w:vMerge w:val="restart"/>
            <w:tcBorders>
              <w:top w:val="single" w:color="auto" w:sz="8" w:space="0"/>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 xml:space="preserve">技术  部分  </w:t>
            </w:r>
            <w:r>
              <w:rPr>
                <w:rFonts w:hint="eastAsia" w:ascii="宋体" w:hAnsi="宋体" w:eastAsia="宋体" w:cs="宋体"/>
                <w:color w:val="000000"/>
                <w:sz w:val="15"/>
                <w:szCs w:val="15"/>
                <w:lang w:val="en-US" w:eastAsia="zh-CN"/>
              </w:rPr>
              <w:t>（44分）</w:t>
            </w: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安保服务方案    （10分）</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针对本项目安保服务方案中的措施完整，保安人员配置、岗位职责等进行分析比价，并根据符合本项目需求程度进行综合评分，满分10分。(1)安保服务方案完善，含服务标准、巡查制度等相关措施，目标明确，由针对性强，得10分；(2)方案较完善，有针对性，得6分；(3)方案一般，针对性一般，得2分；（4）不提供不得分。</w:t>
            </w:r>
          </w:p>
        </w:tc>
      </w:tr>
      <w:tr>
        <w:tblPrEx>
          <w:tblLayout w:type="fixed"/>
          <w:tblCellMar>
            <w:top w:w="0" w:type="dxa"/>
            <w:left w:w="0" w:type="dxa"/>
            <w:bottom w:w="0" w:type="dxa"/>
            <w:right w:w="0" w:type="dxa"/>
          </w:tblCellMar>
        </w:tblPrEx>
        <w:trPr>
          <w:trHeight w:val="968" w:hRule="atLeast"/>
          <w:jc w:val="center"/>
        </w:trPr>
        <w:tc>
          <w:tcPr>
            <w:tcW w:w="780"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服务承诺（6分）</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针对本项目提供服务承诺书（包含但不限于：安保服务质量承诺、人员配备承诺等），满分 6分。（1）承诺书内容全面，针对性强，得6分；（2）承诺书内容较完整，针对性较好，得3分；（3）承诺一般，针对性一般，得1分；（4）不提供不得分。</w:t>
            </w:r>
          </w:p>
        </w:tc>
      </w:tr>
      <w:tr>
        <w:tblPrEx>
          <w:tblLayout w:type="fixed"/>
          <w:tblCellMar>
            <w:top w:w="0" w:type="dxa"/>
            <w:left w:w="0" w:type="dxa"/>
            <w:bottom w:w="0" w:type="dxa"/>
            <w:right w:w="0" w:type="dxa"/>
          </w:tblCellMar>
        </w:tblPrEx>
        <w:trPr>
          <w:trHeight w:val="906" w:hRule="atLeast"/>
          <w:jc w:val="center"/>
        </w:trPr>
        <w:tc>
          <w:tcPr>
            <w:tcW w:w="780"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项目考核体系   （6分）</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针对本项目提供考核管理体系（包含但不限于：考核标准、奖惩制度等内容），满分6 分。（1）体系完善，考核内容详细、细致、全面，针对性强，得6分；(2)体系较完善，有针对性，得3分；(3)体系一般，针对性一般，得 1 分；（4）不提供不得分。</w:t>
            </w:r>
          </w:p>
        </w:tc>
      </w:tr>
      <w:tr>
        <w:tblPrEx>
          <w:shd w:val="clear" w:color="auto" w:fill="FFFFFF"/>
          <w:tblLayout w:type="fixed"/>
          <w:tblCellMar>
            <w:top w:w="0" w:type="dxa"/>
            <w:left w:w="0" w:type="dxa"/>
            <w:bottom w:w="0" w:type="dxa"/>
            <w:right w:w="0" w:type="dxa"/>
          </w:tblCellMar>
        </w:tblPrEx>
        <w:trPr>
          <w:trHeight w:val="870" w:hRule="atLeast"/>
          <w:jc w:val="center"/>
        </w:trPr>
        <w:tc>
          <w:tcPr>
            <w:tcW w:w="780"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项目管理制度    （6分）</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针对本项目提供管理规章制度，满分 6分。(1)日常制度全面完善（包含但不限于保安人员日常管理制度、器材设备管理制度、车辆管理制度等），针对性强，得 6分；(2)制度较完善，有针对性，得3分；(3)制度一般，针对性一般，得 1 分；（4）不提供不得分。</w:t>
            </w:r>
          </w:p>
        </w:tc>
      </w:tr>
      <w:tr>
        <w:tblPrEx>
          <w:tblLayout w:type="fixed"/>
          <w:tblCellMar>
            <w:top w:w="0" w:type="dxa"/>
            <w:left w:w="0" w:type="dxa"/>
            <w:bottom w:w="0" w:type="dxa"/>
            <w:right w:w="0" w:type="dxa"/>
          </w:tblCellMar>
        </w:tblPrEx>
        <w:trPr>
          <w:trHeight w:val="887" w:hRule="atLeast"/>
          <w:jc w:val="center"/>
        </w:trPr>
        <w:tc>
          <w:tcPr>
            <w:tcW w:w="780"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安全管理措施    （5分）</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rPr>
              <w:t xml:space="preserve">   </w:t>
            </w:r>
            <w:r>
              <w:rPr>
                <w:rFonts w:hint="eastAsia" w:ascii="宋体" w:hAnsi="宋体" w:eastAsia="宋体" w:cs="宋体"/>
                <w:color w:val="000000"/>
                <w:sz w:val="20"/>
                <w:szCs w:val="20"/>
                <w:lang w:val="en-US" w:eastAsia="zh-CN"/>
              </w:rPr>
              <w:t>针对本项目提供安全管理措施，满分5分。(1)根据服务内容（包含但不限于：治安防范、消防安全等方面）制定安全管理制度完善，针对性强，得5分；(2)措施较完善，有针对性，得2分；(3)措施一般，针对性一般，得 1 分；（4）不提供不得分。</w:t>
            </w:r>
          </w:p>
        </w:tc>
      </w:tr>
      <w:tr>
        <w:tblPrEx>
          <w:tblLayout w:type="fixed"/>
          <w:tblCellMar>
            <w:top w:w="0" w:type="dxa"/>
            <w:left w:w="0" w:type="dxa"/>
            <w:bottom w:w="0" w:type="dxa"/>
            <w:right w:w="0" w:type="dxa"/>
          </w:tblCellMar>
        </w:tblPrEx>
        <w:trPr>
          <w:trHeight w:val="1314" w:hRule="atLeast"/>
          <w:jc w:val="center"/>
        </w:trPr>
        <w:tc>
          <w:tcPr>
            <w:tcW w:w="780"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器材装备（6分） </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20" w:lineRule="exact"/>
              <w:ind w:left="0" w:leftChars="0" w:right="0" w:rightChars="0" w:firstLine="0" w:firstLineChars="0"/>
              <w:jc w:val="left"/>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rPr>
              <w:t>针对本项目配备装备、器材（提供设备图片</w:t>
            </w:r>
            <w:r>
              <w:rPr>
                <w:rFonts w:hint="eastAsia" w:ascii="宋体" w:hAnsi="宋体" w:eastAsia="宋体" w:cs="宋体"/>
                <w:color w:val="000000"/>
                <w:sz w:val="20"/>
                <w:szCs w:val="20"/>
                <w:lang w:val="en-US" w:eastAsia="zh-CN"/>
              </w:rPr>
              <w:t>加盖公章</w:t>
            </w:r>
            <w:r>
              <w:rPr>
                <w:rFonts w:hint="eastAsia" w:ascii="宋体" w:hAnsi="宋体" w:eastAsia="宋体" w:cs="宋体"/>
                <w:color w:val="000000"/>
                <w:sz w:val="20"/>
                <w:szCs w:val="20"/>
              </w:rPr>
              <w:t>）</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满分6分</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根据项目内容提供器材装备（包含但不限于安保人员工装、防刺服、头盔、盾牌、大头棒、执勤手电筒等相关器材）齐全、先进、安全可靠，且能很好的完成安保管理工作为</w:t>
            </w:r>
            <w:r>
              <w:rPr>
                <w:rFonts w:hint="eastAsia" w:ascii="宋体" w:hAnsi="宋体" w:eastAsia="宋体" w:cs="宋体"/>
                <w:color w:val="000000"/>
                <w:sz w:val="20"/>
                <w:szCs w:val="20"/>
              </w:rPr>
              <w:t>优</w:t>
            </w:r>
            <w:r>
              <w:rPr>
                <w:rFonts w:hint="eastAsia" w:ascii="宋体" w:hAnsi="宋体" w:eastAsia="宋体" w:cs="宋体"/>
                <w:color w:val="000000"/>
                <w:sz w:val="20"/>
                <w:szCs w:val="20"/>
                <w:lang w:val="en-US" w:eastAsia="zh-CN"/>
              </w:rPr>
              <w:t>，得6分</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齐全、安全可靠，且能很好的完成安保管理工作为良好，得3分</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齐全能够完成安保各项工作为</w:t>
            </w:r>
            <w:r>
              <w:rPr>
                <w:rFonts w:hint="eastAsia" w:ascii="宋体" w:hAnsi="宋体" w:eastAsia="宋体" w:cs="宋体"/>
                <w:color w:val="000000"/>
                <w:sz w:val="20"/>
                <w:szCs w:val="20"/>
              </w:rPr>
              <w:t>一般</w:t>
            </w:r>
            <w:r>
              <w:rPr>
                <w:rFonts w:hint="eastAsia" w:ascii="宋体" w:hAnsi="宋体" w:eastAsia="宋体" w:cs="宋体"/>
                <w:color w:val="000000"/>
                <w:sz w:val="20"/>
                <w:szCs w:val="20"/>
                <w:lang w:val="en-US" w:eastAsia="zh-CN"/>
              </w:rPr>
              <w:t>得</w:t>
            </w:r>
            <w:r>
              <w:rPr>
                <w:rFonts w:hint="eastAsia" w:ascii="宋体" w:hAnsi="宋体" w:eastAsia="宋体" w:cs="宋体"/>
                <w:color w:val="000000"/>
                <w:sz w:val="20"/>
                <w:szCs w:val="20"/>
              </w:rPr>
              <w:t xml:space="preserve"> </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分</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不提供装备、器材相关资料</w:t>
            </w:r>
            <w:r>
              <w:rPr>
                <w:rFonts w:hint="eastAsia" w:ascii="宋体" w:hAnsi="宋体" w:eastAsia="宋体" w:cs="宋体"/>
                <w:color w:val="000000"/>
                <w:sz w:val="20"/>
                <w:szCs w:val="20"/>
              </w:rPr>
              <w:t>不得分</w:t>
            </w:r>
            <w:r>
              <w:rPr>
                <w:rFonts w:hint="eastAsia" w:ascii="宋体" w:hAnsi="宋体" w:eastAsia="宋体" w:cs="宋体"/>
                <w:color w:val="000000"/>
                <w:sz w:val="20"/>
                <w:szCs w:val="20"/>
                <w:lang w:eastAsia="zh-CN"/>
              </w:rPr>
              <w:t>。</w:t>
            </w:r>
          </w:p>
        </w:tc>
      </w:tr>
      <w:tr>
        <w:tblPrEx>
          <w:shd w:val="clear" w:color="auto" w:fill="FFFFFF"/>
          <w:tblLayout w:type="fixed"/>
          <w:tblCellMar>
            <w:top w:w="0" w:type="dxa"/>
            <w:left w:w="0" w:type="dxa"/>
            <w:bottom w:w="0" w:type="dxa"/>
            <w:right w:w="0" w:type="dxa"/>
          </w:tblCellMar>
        </w:tblPrEx>
        <w:trPr>
          <w:trHeight w:val="1176" w:hRule="atLeast"/>
          <w:jc w:val="center"/>
        </w:trPr>
        <w:tc>
          <w:tcPr>
            <w:tcW w:w="780" w:type="dxa"/>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lang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应急预案（5分）</w:t>
            </w:r>
          </w:p>
        </w:tc>
        <w:tc>
          <w:tcPr>
            <w:tcW w:w="8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rPr>
              <w:t>应急预案能力及措施。有应急、突发事件、火灾事故、</w:t>
            </w:r>
            <w:r>
              <w:rPr>
                <w:rFonts w:hint="eastAsia" w:ascii="宋体" w:hAnsi="宋体" w:eastAsia="宋体" w:cs="宋体"/>
                <w:color w:val="000000"/>
                <w:sz w:val="20"/>
                <w:szCs w:val="20"/>
                <w:lang w:val="en-US" w:eastAsia="zh-CN"/>
              </w:rPr>
              <w:t>天然气泄露、</w:t>
            </w:r>
            <w:r>
              <w:rPr>
                <w:rFonts w:hint="eastAsia" w:ascii="宋体" w:hAnsi="宋体" w:eastAsia="宋体" w:cs="宋体"/>
                <w:color w:val="000000"/>
                <w:sz w:val="20"/>
                <w:szCs w:val="20"/>
              </w:rPr>
              <w:t>地震及灾害性天气、公共卫生安全、意外伤害事件</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群体事件</w:t>
            </w:r>
            <w:r>
              <w:rPr>
                <w:rFonts w:hint="eastAsia" w:ascii="宋体" w:hAnsi="宋体" w:eastAsia="宋体" w:cs="宋体"/>
                <w:color w:val="000000"/>
                <w:sz w:val="20"/>
                <w:szCs w:val="20"/>
              </w:rPr>
              <w:t>等应急预案，有针对性、可操作性，有日常及特殊情况服务响应时间</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满分5分</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预案完善，针对性强，</w:t>
            </w:r>
            <w:r>
              <w:rPr>
                <w:rFonts w:hint="eastAsia" w:ascii="宋体" w:hAnsi="宋体" w:eastAsia="宋体" w:cs="宋体"/>
                <w:color w:val="000000"/>
                <w:sz w:val="20"/>
                <w:szCs w:val="20"/>
                <w:lang w:val="en-US" w:eastAsia="zh-CN"/>
              </w:rPr>
              <w:t>得5分</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预案较完善，有针对性，</w:t>
            </w:r>
            <w:r>
              <w:rPr>
                <w:rFonts w:hint="eastAsia" w:ascii="宋体" w:hAnsi="宋体" w:eastAsia="宋体" w:cs="宋体"/>
                <w:color w:val="000000"/>
                <w:sz w:val="20"/>
                <w:szCs w:val="20"/>
                <w:lang w:val="en-US" w:eastAsia="zh-CN"/>
              </w:rPr>
              <w:t>得2分</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 xml:space="preserve">预案一般，针对性一般，得 </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分；（4）不提供不得分。</w:t>
            </w:r>
          </w:p>
        </w:tc>
      </w:tr>
      <w:tr>
        <w:tblPrEx>
          <w:tblLayout w:type="fixed"/>
          <w:tblCellMar>
            <w:top w:w="0" w:type="dxa"/>
            <w:left w:w="0" w:type="dxa"/>
            <w:bottom w:w="0" w:type="dxa"/>
            <w:right w:w="0" w:type="dxa"/>
          </w:tblCellMar>
        </w:tblPrEx>
        <w:trPr>
          <w:trHeight w:val="446" w:hRule="atLeast"/>
          <w:jc w:val="center"/>
        </w:trPr>
        <w:tc>
          <w:tcPr>
            <w:tcW w:w="10488" w:type="dxa"/>
            <w:gridSpan w:val="3"/>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200" w:afterLines="0" w:line="240" w:lineRule="exact"/>
              <w:ind w:left="0" w:leftChars="0" w:right="0" w:rightChars="0" w:firstLine="0" w:firstLineChars="0"/>
              <w:jc w:val="center"/>
              <w:textAlignment w:val="auto"/>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合计：100分</w:t>
            </w:r>
          </w:p>
        </w:tc>
      </w:tr>
    </w:tbl>
    <w:p>
      <w:pPr>
        <w:pStyle w:val="15"/>
        <w:rPr>
          <w:rFonts w:hint="eastAsia" w:ascii="仿宋" w:hAnsi="仿宋" w:eastAsia="仿宋" w:cs="仿宋"/>
          <w:color w:val="auto"/>
          <w:highlight w:val="none"/>
          <w:lang w:val="en-US" w:eastAsia="zh-CN"/>
        </w:rPr>
      </w:pPr>
    </w:p>
    <w:p>
      <w:pPr>
        <w:pStyle w:val="12"/>
        <w:rPr>
          <w:rFonts w:hint="eastAsia" w:ascii="仿宋" w:hAnsi="仿宋" w:eastAsia="仿宋" w:cs="仿宋"/>
          <w:color w:val="auto"/>
          <w:highlight w:val="none"/>
          <w:lang w:val="en-US" w:eastAsia="zh-CN"/>
        </w:rPr>
      </w:pPr>
    </w:p>
    <w:p>
      <w:pPr>
        <w:pStyle w:val="2"/>
      </w:pPr>
    </w:p>
    <w:p>
      <w:pPr>
        <w:pStyle w:val="20"/>
        <w:spacing w:line="0" w:lineRule="atLeast"/>
        <w:ind w:firstLine="482" w:firstLineChars="200"/>
        <w:rPr>
          <w:rFonts w:hint="eastAsia" w:ascii="宋体" w:hAnsi="宋体"/>
          <w:b/>
          <w:kern w:val="2"/>
        </w:rPr>
      </w:pPr>
    </w:p>
    <w:bookmarkEnd w:id="190"/>
    <w:bookmarkEnd w:id="191"/>
    <w:bookmarkEnd w:id="195"/>
    <w:bookmarkEnd w:id="196"/>
    <w:bookmarkEnd w:id="202"/>
    <w:p>
      <w:pPr>
        <w:pStyle w:val="5"/>
        <w:rPr>
          <w:rFonts w:hint="eastAsia"/>
        </w:rPr>
      </w:pPr>
    </w:p>
    <w:p>
      <w:pPr>
        <w:pStyle w:val="5"/>
        <w:ind w:firstLine="2209" w:firstLineChars="500"/>
        <w:jc w:val="both"/>
        <w:rPr>
          <w:rFonts w:hint="eastAsia"/>
        </w:rPr>
      </w:pPr>
    </w:p>
    <w:p>
      <w:pPr>
        <w:pStyle w:val="5"/>
        <w:ind w:firstLine="2209" w:firstLineChars="500"/>
        <w:jc w:val="both"/>
        <w:rPr>
          <w:rFonts w:hint="eastAsia"/>
        </w:rPr>
      </w:pPr>
    </w:p>
    <w:p>
      <w:pPr>
        <w:pStyle w:val="5"/>
        <w:ind w:firstLine="2209" w:firstLineChars="500"/>
        <w:jc w:val="both"/>
        <w:rPr>
          <w:rFonts w:hint="eastAsia"/>
        </w:rPr>
      </w:pPr>
    </w:p>
    <w:p>
      <w:pPr>
        <w:pStyle w:val="5"/>
        <w:ind w:firstLine="2209" w:firstLineChars="500"/>
        <w:jc w:val="both"/>
        <w:rPr>
          <w:rFonts w:hint="eastAsia"/>
        </w:rPr>
      </w:pPr>
    </w:p>
    <w:p>
      <w:pPr>
        <w:pStyle w:val="5"/>
        <w:ind w:firstLine="2209" w:firstLineChars="500"/>
        <w:jc w:val="both"/>
        <w:rPr>
          <w:rFonts w:hint="eastAsia"/>
        </w:rPr>
      </w:pPr>
    </w:p>
    <w:p>
      <w:pPr>
        <w:pStyle w:val="5"/>
        <w:jc w:val="both"/>
        <w:rPr>
          <w:rFonts w:hint="eastAsia"/>
        </w:rPr>
      </w:pPr>
    </w:p>
    <w:p>
      <w:pPr>
        <w:rPr>
          <w:rFonts w:hint="eastAsia"/>
        </w:rPr>
      </w:pPr>
    </w:p>
    <w:p>
      <w:pPr>
        <w:pStyle w:val="5"/>
        <w:ind w:firstLine="2209" w:firstLineChars="500"/>
        <w:jc w:val="both"/>
        <w:rPr>
          <w:rFonts w:hint="eastAsia"/>
        </w:rPr>
      </w:pPr>
      <w:r>
        <w:rPr>
          <w:rFonts w:hint="eastAsia"/>
        </w:rPr>
        <w:t xml:space="preserve">第六章  投标文件格式 </w:t>
      </w:r>
    </w:p>
    <w:p>
      <w:pPr>
        <w:jc w:val="center"/>
        <w:rPr>
          <w:rFonts w:hint="eastAsia" w:ascii="宋体" w:hAnsi="宋体"/>
          <w:b/>
          <w:sz w:val="72"/>
        </w:rPr>
      </w:pPr>
      <w:bookmarkStart w:id="203" w:name="_Hlt26671244"/>
      <w:bookmarkEnd w:id="203"/>
      <w:bookmarkStart w:id="204" w:name="_Hlt26955039"/>
      <w:bookmarkEnd w:id="204"/>
      <w:bookmarkStart w:id="205" w:name="_Toc49090576"/>
      <w:bookmarkStart w:id="206" w:name="_Toc120614282"/>
      <w:bookmarkStart w:id="207" w:name="_Toc26554094"/>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ascii="宋体" w:hAnsi="宋体"/>
          <w:b/>
          <w:sz w:val="30"/>
          <w:szCs w:val="30"/>
        </w:rPr>
      </w:pPr>
      <w:r>
        <w:rPr>
          <w:rFonts w:hint="eastAsia" w:ascii="宋体" w:hAnsi="宋体"/>
          <w:b/>
          <w:sz w:val="30"/>
          <w:szCs w:val="30"/>
        </w:rPr>
        <w:t>评分索引表</w:t>
      </w:r>
    </w:p>
    <w:tbl>
      <w:tblPr>
        <w:tblStyle w:val="1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3"/>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23"/>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23"/>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23"/>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23"/>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3"/>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hint="eastAsia" w:ascii="宋体" w:hAnsi="宋体"/>
          <w:i/>
          <w:sz w:val="24"/>
          <w:u w:val="single"/>
        </w:rPr>
      </w:pPr>
      <w:r>
        <w:rPr>
          <w:rFonts w:hint="eastAsia" w:ascii="宋体" w:hAnsi="宋体"/>
          <w:i/>
          <w:sz w:val="24"/>
          <w:u w:val="single"/>
        </w:rPr>
        <w:t>七、开标一览表</w:t>
      </w:r>
    </w:p>
    <w:p>
      <w:pPr>
        <w:pStyle w:val="2"/>
        <w:ind w:firstLine="480" w:firstLineChars="200"/>
        <w:rPr>
          <w:rFonts w:hint="eastAsia"/>
        </w:rPr>
      </w:pPr>
      <w:r>
        <w:rPr>
          <w:rFonts w:hint="eastAsia" w:ascii="宋体" w:hAnsi="宋体" w:eastAsia="宋体" w:cs="Times New Roman"/>
          <w:kern w:val="2"/>
          <w:sz w:val="24"/>
          <w:szCs w:val="21"/>
          <w:lang w:val="en-US" w:eastAsia="zh-CN" w:bidi="ar-SA"/>
        </w:rPr>
        <w:t>八、拟派项目人员及管理人员一览表</w:t>
      </w:r>
    </w:p>
    <w:p>
      <w:pPr>
        <w:ind w:firstLine="480" w:firstLineChars="200"/>
        <w:rPr>
          <w:rFonts w:hint="default" w:eastAsia="楷体_GB2312"/>
          <w:lang w:val="en-US" w:eastAsia="zh-CN"/>
        </w:rPr>
      </w:pPr>
      <w:r>
        <w:rPr>
          <w:rFonts w:hint="eastAsia" w:ascii="宋体" w:hAnsi="宋体" w:cs="Times New Roman"/>
          <w:kern w:val="2"/>
          <w:sz w:val="24"/>
          <w:szCs w:val="21"/>
          <w:lang w:val="en-US" w:eastAsia="zh-CN" w:bidi="ar-SA"/>
        </w:rPr>
        <w:t>九</w:t>
      </w:r>
      <w:r>
        <w:rPr>
          <w:rFonts w:hint="eastAsia" w:ascii="宋体" w:hAnsi="宋体" w:eastAsia="宋体" w:cs="Times New Roman"/>
          <w:kern w:val="2"/>
          <w:sz w:val="24"/>
          <w:szCs w:val="21"/>
          <w:lang w:val="en-US" w:eastAsia="zh-CN" w:bidi="ar-SA"/>
        </w:rPr>
        <w:t>、供应商认为有必要提供的声明及文件资料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6"/>
        <w:jc w:val="center"/>
        <w:rPr>
          <w:rFonts w:hint="eastAsia" w:ascii="黑体" w:eastAsia="黑体"/>
          <w:sz w:val="44"/>
        </w:rPr>
      </w:pPr>
      <w:r>
        <w:rPr>
          <w:sz w:val="24"/>
        </w:rPr>
        <w:br w:type="page"/>
      </w:r>
      <w:bookmarkStart w:id="208" w:name="_Toc534816641"/>
      <w:bookmarkStart w:id="209" w:name="_Toc534725612"/>
      <w:r>
        <w:rPr>
          <w:rFonts w:hint="eastAsia" w:ascii="宋体" w:hAnsi="宋体"/>
          <w:bCs w:val="0"/>
        </w:rPr>
        <w:t>一、</w:t>
      </w:r>
      <w:bookmarkEnd w:id="208"/>
      <w:bookmarkEnd w:id="209"/>
      <w:r>
        <w:rPr>
          <w:rFonts w:hint="eastAsia" w:ascii="宋体" w:hAnsi="宋体"/>
          <w:bCs w:val="0"/>
        </w:rPr>
        <w:t>资格审查响应对照表</w:t>
      </w:r>
      <w:bookmarkEnd w:id="205"/>
      <w:bookmarkEnd w:id="206"/>
      <w:bookmarkEnd w:id="207"/>
    </w:p>
    <w:p>
      <w:pPr>
        <w:snapToGrid w:val="0"/>
        <w:spacing w:before="50" w:after="50"/>
        <w:rPr>
          <w:rFonts w:ascii="黑体" w:eastAsia="黑体"/>
          <w:sz w:val="44"/>
        </w:rPr>
      </w:pPr>
    </w:p>
    <w:tbl>
      <w:tblPr>
        <w:tblStyle w:val="1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103"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1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pageBreakBefore w:val="0"/>
              <w:widowControl w:val="0"/>
              <w:kinsoku/>
              <w:overflowPunct/>
              <w:topLinePunct w:val="0"/>
              <w:bidi w:val="0"/>
              <w:spacing w:line="460" w:lineRule="exact"/>
              <w:ind w:firstLine="621" w:firstLineChars="259"/>
              <w:jc w:val="left"/>
              <w:rPr>
                <w:rFonts w:hint="eastAsia" w:ascii="宋体" w:hAnsi="宋体" w:eastAsia="宋体"/>
                <w:color w:val="FF0000"/>
                <w:sz w:val="24"/>
                <w:szCs w:val="24"/>
                <w:lang w:eastAsia="zh-CN"/>
              </w:rPr>
            </w:pPr>
            <w:r>
              <w:rPr>
                <w:rFonts w:hint="eastAsia" w:ascii="宋体" w:hAnsi="宋体"/>
                <w:iCs/>
                <w:color w:val="auto"/>
                <w:sz w:val="24"/>
                <w:szCs w:val="24"/>
                <w:highlight w:val="none"/>
              </w:rPr>
              <w:t>法人或者其他组织的营业执照等证明文件，自然人的身份证明（身份证为正、反面）</w:t>
            </w:r>
            <w:r>
              <w:rPr>
                <w:rFonts w:hint="eastAsia" w:ascii="宋体" w:hAnsi="宋体"/>
                <w:iCs/>
                <w:color w:val="auto"/>
                <w:sz w:val="24"/>
                <w:szCs w:val="24"/>
                <w:highlight w:val="none"/>
                <w:lang w:eastAsia="zh-CN"/>
              </w:rPr>
              <w:t>。（</w:t>
            </w:r>
            <w:r>
              <w:rPr>
                <w:rFonts w:hint="eastAsia" w:ascii="宋体" w:hAnsi="宋体"/>
                <w:color w:val="FF0000"/>
                <w:sz w:val="24"/>
                <w:szCs w:val="24"/>
                <w:lang w:eastAsia="zh-CN"/>
              </w:rPr>
              <w:t>（</w:t>
            </w:r>
            <w:r>
              <w:rPr>
                <w:rFonts w:hint="eastAsia" w:ascii="宋体" w:hAnsi="宋体"/>
                <w:color w:val="FF0000"/>
                <w:sz w:val="24"/>
                <w:szCs w:val="24"/>
              </w:rPr>
              <w:t>营业执照经营范围须含有：保安服务等相关内容。</w:t>
            </w:r>
            <w:r>
              <w:rPr>
                <w:rFonts w:hint="eastAsia" w:ascii="宋体" w:hAnsi="宋体"/>
                <w:color w:val="FF0000"/>
                <w:sz w:val="24"/>
                <w:szCs w:val="24"/>
                <w:lang w:eastAsia="zh-CN"/>
              </w:rPr>
              <w:t>）</w:t>
            </w:r>
          </w:p>
          <w:p>
            <w:pPr>
              <w:spacing w:line="0" w:lineRule="atLeast"/>
              <w:rPr>
                <w:rFonts w:hint="eastAsia" w:ascii="宋体" w:hAnsi="宋体" w:eastAsia="宋体"/>
                <w:iCs/>
                <w:color w:val="auto"/>
                <w:sz w:val="24"/>
                <w:szCs w:val="24"/>
                <w:highlight w:val="none"/>
                <w:lang w:eastAsia="zh-CN"/>
              </w:rPr>
            </w:pPr>
          </w:p>
        </w:tc>
        <w:tc>
          <w:tcPr>
            <w:tcW w:w="1103" w:type="dxa"/>
            <w:noWrap w:val="0"/>
            <w:vAlign w:val="center"/>
          </w:tcPr>
          <w:p>
            <w:pPr>
              <w:rPr>
                <w:rFonts w:ascii="宋体" w:hAnsi="宋体"/>
                <w:b/>
                <w:color w:val="auto"/>
                <w:highlight w:val="none"/>
              </w:rPr>
            </w:pPr>
          </w:p>
        </w:tc>
        <w:tc>
          <w:tcPr>
            <w:tcW w:w="1916" w:type="dxa"/>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lang w:val="en-US" w:eastAsia="zh-CN"/>
              </w:rPr>
              <w:t>上一个</w:t>
            </w:r>
            <w:r>
              <w:rPr>
                <w:rFonts w:hint="eastAsia" w:ascii="宋体" w:hAnsi="宋体"/>
                <w:iCs/>
                <w:color w:val="auto"/>
                <w:sz w:val="24"/>
                <w:szCs w:val="24"/>
                <w:highlight w:val="none"/>
              </w:rPr>
              <w:t>年度的财务状况报告（成立不满一年不需提供）</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5447" w:type="dxa"/>
            <w:noWrap w:val="0"/>
            <w:vAlign w:val="center"/>
          </w:tcPr>
          <w:p>
            <w:pPr>
              <w:snapToGrid w:val="0"/>
              <w:spacing w:line="0" w:lineRule="atLeast"/>
              <w:rPr>
                <w:rFonts w:hint="eastAsia" w:ascii="宋体" w:hAnsi="宋体" w:cs="Times New Roman"/>
                <w:iCs/>
                <w:color w:val="auto"/>
                <w:sz w:val="24"/>
                <w:szCs w:val="24"/>
                <w:highlight w:val="none"/>
              </w:rPr>
            </w:pPr>
            <w:r>
              <w:rPr>
                <w:rFonts w:hint="eastAsia" w:ascii="宋体" w:hAnsi="宋体" w:cs="Times New Roman"/>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hint="eastAsia"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5447" w:type="dxa"/>
            <w:noWrap w:val="0"/>
            <w:vAlign w:val="center"/>
          </w:tcPr>
          <w:p>
            <w:pPr>
              <w:snapToGrid w:val="0"/>
              <w:spacing w:line="0" w:lineRule="atLeast"/>
              <w:jc w:val="left"/>
              <w:rPr>
                <w:rFonts w:hint="eastAsia" w:ascii="宋体" w:hAnsi="宋体" w:eastAsia="宋体"/>
                <w:iCs/>
                <w:color w:val="auto"/>
                <w:sz w:val="24"/>
                <w:szCs w:val="24"/>
                <w:highlight w:val="none"/>
                <w:lang w:eastAsia="zh-CN"/>
              </w:rPr>
            </w:pPr>
            <w:r>
              <w:rPr>
                <w:rFonts w:hint="eastAsia" w:ascii="宋体" w:hAnsi="宋体"/>
                <w:iCs/>
                <w:color w:val="auto"/>
                <w:sz w:val="24"/>
                <w:szCs w:val="24"/>
                <w:highlight w:val="none"/>
                <w:lang w:eastAsia="zh-CN"/>
              </w:rPr>
              <w:t>《</w:t>
            </w:r>
            <w:r>
              <w:rPr>
                <w:rFonts w:hint="eastAsia" w:ascii="宋体" w:hAnsi="宋体"/>
                <w:iCs/>
                <w:color w:val="auto"/>
                <w:sz w:val="24"/>
                <w:szCs w:val="24"/>
                <w:highlight w:val="none"/>
                <w:lang w:val="en-US" w:eastAsia="zh-CN"/>
              </w:rPr>
              <w:t>中小企业声明函</w:t>
            </w:r>
            <w:r>
              <w:rPr>
                <w:rFonts w:hint="eastAsia" w:ascii="宋体" w:hAnsi="宋体"/>
                <w:iCs/>
                <w:color w:val="auto"/>
                <w:sz w:val="24"/>
                <w:szCs w:val="24"/>
                <w:highlight w:val="none"/>
                <w:lang w:eastAsia="zh-CN"/>
              </w:rPr>
              <w:t>》</w:t>
            </w:r>
          </w:p>
        </w:tc>
        <w:tc>
          <w:tcPr>
            <w:tcW w:w="3019" w:type="dxa"/>
            <w:gridSpan w:val="2"/>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olor w:val="auto"/>
                <w:highlight w:val="none"/>
                <w:lang w:eastAsia="zh-CN"/>
              </w:rPr>
            </w:pPr>
          </w:p>
        </w:tc>
        <w:tc>
          <w:tcPr>
            <w:tcW w:w="5447" w:type="dxa"/>
            <w:noWrap w:val="0"/>
            <w:vAlign w:val="center"/>
          </w:tcPr>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ascii="宋体" w:hAnsi="宋体"/>
                <w:color w:val="auto"/>
                <w:highlight w:val="none"/>
              </w:rPr>
            </w:pPr>
          </w:p>
        </w:tc>
      </w:tr>
    </w:tbl>
    <w:p>
      <w:pPr>
        <w:pStyle w:val="15"/>
        <w:sectPr>
          <w:footerReference r:id="rId3" w:type="first"/>
          <w:pgSz w:w="11906" w:h="16838"/>
          <w:pgMar w:top="1418" w:right="1588" w:bottom="1418" w:left="1365" w:header="851" w:footer="907" w:gutter="0"/>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cs="Times New Roman"/>
                <w:sz w:val="21"/>
                <w:lang w:val="en-US" w:eastAsia="zh-CN"/>
              </w:rPr>
              <w:t>6</w:t>
            </w:r>
          </w:p>
        </w:tc>
        <w:tc>
          <w:tcPr>
            <w:tcW w:w="5447" w:type="dxa"/>
            <w:noWrap w:val="0"/>
            <w:vAlign w:val="center"/>
          </w:tcPr>
          <w:p>
            <w:pPr>
              <w:spacing w:line="0" w:lineRule="atLeas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人员数量、年龄、资格证件等条件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8"/>
        <w:ind w:firstLine="0"/>
        <w:jc w:val="center"/>
        <w:rPr>
          <w:rFonts w:hint="eastAsia" w:ascii="黑体" w:hAnsi="宋体" w:eastAsia="黑体"/>
          <w:b/>
          <w:bCs/>
          <w:sz w:val="30"/>
          <w:szCs w:val="30"/>
          <w:lang w:eastAsia="zh-CN"/>
        </w:rPr>
        <w:sectPr>
          <w:pgSz w:w="11906" w:h="16838"/>
          <w:pgMar w:top="1418" w:right="1588" w:bottom="1418" w:left="1365" w:header="851" w:footer="907" w:gutter="0"/>
          <w:cols w:space="720" w:num="1"/>
          <w:titlePg/>
          <w:docGrid w:type="lines" w:linePitch="290" w:charSpace="0"/>
        </w:sectPr>
      </w:pPr>
      <w:bookmarkStart w:id="210" w:name="_Toc534725614"/>
      <w:bookmarkStart w:id="211" w:name="_Toc534816643"/>
      <w:bookmarkStart w:id="212" w:name="_Toc120614284"/>
    </w:p>
    <w:p>
      <w:pPr>
        <w:pStyle w:val="8"/>
        <w:ind w:firstLine="0"/>
        <w:jc w:val="center"/>
        <w:rPr>
          <w:rFonts w:hint="eastAsia" w:ascii="黑体" w:hAnsi="宋体" w:eastAsia="黑体"/>
          <w:b/>
          <w:bCs/>
          <w:sz w:val="30"/>
          <w:szCs w:val="30"/>
          <w:lang w:eastAsia="zh-CN"/>
        </w:rPr>
      </w:pPr>
    </w:p>
    <w:bookmarkEnd w:id="210"/>
    <w:bookmarkEnd w:id="211"/>
    <w:p>
      <w:pPr>
        <w:pStyle w:val="6"/>
        <w:ind w:firstLine="1928" w:firstLineChars="600"/>
        <w:jc w:val="both"/>
      </w:pPr>
      <w:r>
        <w:rPr>
          <w:rFonts w:hint="eastAsia"/>
          <w:lang w:val="en-US" w:eastAsia="zh-CN"/>
        </w:rPr>
        <w:t>四</w:t>
      </w:r>
      <w:r>
        <w:rPr>
          <w:rFonts w:hint="eastAsia"/>
        </w:rPr>
        <w:t>、投标产品配置及分项报价表</w:t>
      </w:r>
    </w:p>
    <w:tbl>
      <w:tblPr>
        <w:tblStyle w:val="16"/>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仿宋"/>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bCs/>
          <w:sz w:val="24"/>
        </w:rPr>
        <w:t>注：单价和总价采用人民币报价，以元为单位。</w:t>
      </w:r>
    </w:p>
    <w:p>
      <w:pPr>
        <w:pStyle w:val="6"/>
        <w:jc w:val="center"/>
        <w:rPr>
          <w:rFonts w:hint="eastAsia"/>
        </w:rPr>
      </w:pPr>
      <w:bookmarkStart w:id="213" w:name="_Toc534725619"/>
      <w:bookmarkStart w:id="214" w:name="_Toc534816648"/>
      <w:r>
        <w:rPr>
          <w:rFonts w:hint="eastAsia"/>
          <w:lang w:val="en-US" w:eastAsia="zh-CN"/>
        </w:rPr>
        <w:t>五</w:t>
      </w:r>
      <w:r>
        <w:rPr>
          <w:rFonts w:hint="eastAsia"/>
        </w:rPr>
        <w:t>、技术参数响应及偏离表</w:t>
      </w:r>
      <w:bookmarkEnd w:id="213"/>
      <w:bookmarkEnd w:id="214"/>
    </w:p>
    <w:p>
      <w:pPr>
        <w:jc w:val="center"/>
        <w:rPr>
          <w:rFonts w:hint="eastAsia" w:ascii="宋体" w:hAnsi="宋体"/>
          <w:sz w:val="24"/>
          <w:szCs w:val="24"/>
        </w:rPr>
      </w:pPr>
    </w:p>
    <w:tbl>
      <w:tblPr>
        <w:tblStyle w:val="16"/>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12"/>
    <w:p>
      <w:pPr>
        <w:pStyle w:val="6"/>
        <w:jc w:val="center"/>
        <w:rPr>
          <w:rFonts w:hint="eastAsia"/>
        </w:rPr>
      </w:pPr>
      <w:bookmarkStart w:id="215" w:name="_Hlt26955054"/>
      <w:bookmarkEnd w:id="215"/>
      <w:bookmarkStart w:id="216" w:name="_Toc534725620"/>
      <w:bookmarkStart w:id="217" w:name="_Toc534816649"/>
      <w:r>
        <w:rPr>
          <w:rFonts w:hint="eastAsia"/>
          <w:lang w:val="en-US" w:eastAsia="zh-CN"/>
        </w:rPr>
        <w:t>六</w:t>
      </w:r>
      <w:r>
        <w:rPr>
          <w:rFonts w:hint="eastAsia"/>
        </w:rPr>
        <w:t>、商务条款响应及偏离表</w:t>
      </w:r>
      <w:bookmarkEnd w:id="216"/>
      <w:bookmarkEnd w:id="217"/>
    </w:p>
    <w:tbl>
      <w:tblPr>
        <w:tblStyle w:val="16"/>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18" w:name="_Hlt26782999"/>
      <w:bookmarkEnd w:id="218"/>
      <w:bookmarkStart w:id="219" w:name="_Hlt24879081"/>
      <w:bookmarkEnd w:id="219"/>
      <w:bookmarkStart w:id="220" w:name="_Hlt26955056"/>
      <w:bookmarkEnd w:id="220"/>
      <w:bookmarkStart w:id="221" w:name="_Hlt26609391"/>
      <w:bookmarkEnd w:id="221"/>
      <w:bookmarkStart w:id="222" w:name="_Hlt26580838"/>
      <w:bookmarkEnd w:id="222"/>
      <w:bookmarkStart w:id="223" w:name="_Hlt26671343"/>
      <w:bookmarkEnd w:id="223"/>
      <w:bookmarkStart w:id="224" w:name="_Hlt26955064"/>
      <w:bookmarkEnd w:id="224"/>
      <w:bookmarkStart w:id="225" w:name="_Hlt26671372"/>
      <w:bookmarkEnd w:id="225"/>
    </w:p>
    <w:p>
      <w:pPr>
        <w:pStyle w:val="8"/>
        <w:ind w:firstLine="0"/>
        <w:rPr>
          <w:rFonts w:ascii="宋体" w:hAnsi="宋体"/>
          <w:sz w:val="24"/>
        </w:rPr>
        <w:sectPr>
          <w:pgSz w:w="11906" w:h="16838"/>
          <w:pgMar w:top="1418" w:right="1588" w:bottom="1418" w:left="1365" w:header="851" w:footer="907" w:gutter="0"/>
          <w:cols w:space="720" w:num="1"/>
          <w:titlePg/>
          <w:docGrid w:type="lines" w:linePitch="290" w:charSpace="0"/>
        </w:sectPr>
      </w:pPr>
      <w:bookmarkStart w:id="226" w:name="_Toc462564146"/>
    </w:p>
    <w:bookmarkEnd w:id="226"/>
    <w:p>
      <w:pPr>
        <w:pStyle w:val="6"/>
        <w:jc w:val="center"/>
        <w:rPr>
          <w:rFonts w:hint="eastAsia" w:eastAsia="仿宋_GB2312"/>
          <w:sz w:val="24"/>
          <w:szCs w:val="20"/>
        </w:rPr>
      </w:pPr>
      <w:bookmarkStart w:id="227" w:name="_格式2__法定代表人授权书"/>
      <w:bookmarkEnd w:id="227"/>
      <w:bookmarkStart w:id="228" w:name="_Toc120614283"/>
      <w:bookmarkStart w:id="229" w:name="_Toc26554095"/>
      <w:bookmarkStart w:id="230" w:name="_Toc49090577"/>
      <w:bookmarkStart w:id="231" w:name="_Toc513029276"/>
      <w:bookmarkStart w:id="232" w:name="_Toc23828478"/>
      <w:bookmarkStart w:id="233" w:name="_Toc460901585"/>
      <w:bookmarkStart w:id="234" w:name="_Toc22356580"/>
      <w:bookmarkStart w:id="235" w:name="_Toc534725621"/>
      <w:bookmarkStart w:id="236" w:name="_Toc534816650"/>
      <w:r>
        <w:rPr>
          <w:rFonts w:hint="eastAsia"/>
          <w:lang w:val="en-US" w:eastAsia="zh-CN"/>
        </w:rPr>
        <w:t>七</w:t>
      </w:r>
      <w:r>
        <w:rPr>
          <w:rFonts w:hint="eastAsia"/>
        </w:rPr>
        <w:t>、</w:t>
      </w:r>
      <w:bookmarkEnd w:id="228"/>
      <w:bookmarkEnd w:id="229"/>
      <w:bookmarkEnd w:id="230"/>
      <w:bookmarkEnd w:id="231"/>
      <w:bookmarkEnd w:id="232"/>
      <w:bookmarkEnd w:id="233"/>
      <w:bookmarkEnd w:id="234"/>
      <w:r>
        <w:rPr>
          <w:rFonts w:hint="eastAsia"/>
        </w:rPr>
        <w:t>开标一览表</w:t>
      </w:r>
      <w:bookmarkEnd w:id="235"/>
      <w:bookmarkEnd w:id="236"/>
    </w:p>
    <w:tbl>
      <w:tblPr>
        <w:tblStyle w:val="16"/>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sz w:val="24"/>
          <w:szCs w:val="24"/>
        </w:rPr>
      </w:pPr>
      <w:r>
        <w:rPr>
          <w:rFonts w:hint="eastAsia"/>
          <w:b/>
          <w:bCs/>
          <w:sz w:val="30"/>
          <w:szCs w:val="30"/>
          <w:lang w:val="en-US" w:eastAsia="zh-CN"/>
        </w:rPr>
        <w:t>八、</w:t>
      </w:r>
      <w:r>
        <w:rPr>
          <w:rFonts w:hint="eastAsia"/>
          <w:b/>
          <w:bCs/>
          <w:sz w:val="30"/>
          <w:szCs w:val="30"/>
          <w:lang w:val="en-US"/>
        </w:rPr>
        <w:t>拟派项目人</w:t>
      </w:r>
      <w:r>
        <w:rPr>
          <w:rFonts w:hint="eastAsia"/>
          <w:b/>
          <w:bCs/>
          <w:sz w:val="30"/>
          <w:szCs w:val="30"/>
          <w:lang w:val="en-US" w:eastAsia="zh-CN"/>
        </w:rPr>
        <w:t>员</w:t>
      </w:r>
      <w:r>
        <w:rPr>
          <w:rFonts w:hint="eastAsia"/>
          <w:b/>
          <w:bCs/>
          <w:sz w:val="30"/>
          <w:szCs w:val="30"/>
          <w:lang w:val="en-US"/>
        </w:rPr>
        <w:t>及管理人员一览表</w:t>
      </w:r>
    </w:p>
    <w:p>
      <w:pPr>
        <w:spacing w:line="440" w:lineRule="exact"/>
        <w:ind w:firstLine="480" w:firstLineChars="200"/>
        <w:rPr>
          <w:rFonts w:hint="eastAsia"/>
          <w:sz w:val="24"/>
          <w:szCs w:val="24"/>
        </w:rPr>
      </w:pPr>
    </w:p>
    <w:p>
      <w:pPr>
        <w:spacing w:line="440" w:lineRule="exact"/>
        <w:rPr>
          <w:rFonts w:hint="eastAsia"/>
          <w:sz w:val="24"/>
          <w:szCs w:val="24"/>
        </w:rPr>
      </w:pPr>
      <w:r>
        <w:rPr>
          <w:rFonts w:hint="eastAsia"/>
          <w:sz w:val="24"/>
          <w:szCs w:val="24"/>
        </w:rPr>
        <w:t>采购项目名称：</w:t>
      </w:r>
    </w:p>
    <w:p>
      <w:pPr>
        <w:spacing w:line="440" w:lineRule="exact"/>
        <w:rPr>
          <w:rFonts w:hint="eastAsia"/>
          <w:sz w:val="24"/>
          <w:szCs w:val="24"/>
        </w:rPr>
      </w:pPr>
      <w:r>
        <w:rPr>
          <w:rFonts w:hint="eastAsia"/>
          <w:sz w:val="24"/>
          <w:szCs w:val="24"/>
        </w:rPr>
        <w:t xml:space="preserve">项目编号：  </w:t>
      </w:r>
    </w:p>
    <w:tbl>
      <w:tblPr>
        <w:tblStyle w:val="16"/>
        <w:tblpPr w:leftFromText="180" w:rightFromText="180" w:vertAnchor="text" w:horzAnchor="page" w:tblpX="1192" w:tblpY="595"/>
        <w:tblOverlap w:val="never"/>
        <w:tblW w:w="98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24"/>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24"/>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24"/>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24"/>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24"/>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24"/>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24"/>
              <w:spacing w:before="9"/>
              <w:rPr>
                <w:sz w:val="21"/>
              </w:rPr>
            </w:pPr>
          </w:p>
          <w:p>
            <w:pPr>
              <w:pStyle w:val="24"/>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24"/>
              <w:spacing w:before="9"/>
              <w:rPr>
                <w:sz w:val="21"/>
              </w:rPr>
            </w:pPr>
          </w:p>
          <w:p>
            <w:pPr>
              <w:pStyle w:val="24"/>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24"/>
              <w:spacing w:before="9"/>
              <w:rPr>
                <w:sz w:val="21"/>
              </w:rPr>
            </w:pPr>
          </w:p>
          <w:p>
            <w:pPr>
              <w:pStyle w:val="24"/>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24"/>
              <w:spacing w:before="9"/>
              <w:rPr>
                <w:sz w:val="21"/>
              </w:rPr>
            </w:pPr>
          </w:p>
          <w:p>
            <w:pPr>
              <w:pStyle w:val="24"/>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24"/>
              <w:spacing w:before="9"/>
              <w:rPr>
                <w:sz w:val="21"/>
              </w:rPr>
            </w:pPr>
          </w:p>
          <w:p>
            <w:pPr>
              <w:pStyle w:val="24"/>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24"/>
              <w:spacing w:before="9"/>
              <w:rPr>
                <w:sz w:val="21"/>
              </w:rPr>
            </w:pPr>
          </w:p>
          <w:p>
            <w:pPr>
              <w:pStyle w:val="24"/>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4"/>
              <w:spacing w:before="11"/>
              <w:rPr>
                <w:sz w:val="20"/>
              </w:rPr>
            </w:pPr>
          </w:p>
          <w:p>
            <w:pPr>
              <w:pStyle w:val="24"/>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4"/>
              <w:spacing w:before="11"/>
              <w:rPr>
                <w:sz w:val="20"/>
              </w:rPr>
            </w:pPr>
          </w:p>
          <w:p>
            <w:pPr>
              <w:pStyle w:val="24"/>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24"/>
              <w:spacing w:before="11"/>
              <w:rPr>
                <w:sz w:val="20"/>
              </w:rPr>
            </w:pPr>
          </w:p>
          <w:p>
            <w:pPr>
              <w:pStyle w:val="24"/>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4"/>
              <w:spacing w:before="11"/>
              <w:rPr>
                <w:sz w:val="20"/>
              </w:rPr>
            </w:pPr>
          </w:p>
          <w:p>
            <w:pPr>
              <w:pStyle w:val="24"/>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4"/>
              <w:spacing w:before="11"/>
              <w:rPr>
                <w:sz w:val="20"/>
              </w:rPr>
            </w:pPr>
          </w:p>
          <w:p>
            <w:pPr>
              <w:pStyle w:val="24"/>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4"/>
              <w:spacing w:before="11"/>
              <w:rPr>
                <w:sz w:val="20"/>
              </w:rPr>
            </w:pPr>
          </w:p>
          <w:p>
            <w:pPr>
              <w:pStyle w:val="24"/>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4"/>
              <w:spacing w:before="11"/>
              <w:rPr>
                <w:sz w:val="20"/>
              </w:rPr>
            </w:pPr>
          </w:p>
          <w:p>
            <w:pPr>
              <w:pStyle w:val="24"/>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4"/>
              <w:spacing w:before="11"/>
              <w:rPr>
                <w:sz w:val="20"/>
              </w:rPr>
            </w:pPr>
          </w:p>
          <w:p>
            <w:pPr>
              <w:pStyle w:val="24"/>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4"/>
              <w:spacing w:before="11"/>
              <w:rPr>
                <w:sz w:val="20"/>
              </w:rPr>
            </w:pPr>
          </w:p>
          <w:p>
            <w:pPr>
              <w:pStyle w:val="24"/>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4"/>
              <w:spacing w:before="11"/>
              <w:rPr>
                <w:sz w:val="20"/>
              </w:rPr>
            </w:pPr>
          </w:p>
          <w:p>
            <w:pPr>
              <w:pStyle w:val="24"/>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4"/>
              <w:spacing w:before="11"/>
              <w:rPr>
                <w:sz w:val="20"/>
              </w:rPr>
            </w:pPr>
          </w:p>
          <w:p>
            <w:pPr>
              <w:pStyle w:val="24"/>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1"/>
              <w:rPr>
                <w:sz w:val="20"/>
              </w:rPr>
            </w:pPr>
          </w:p>
          <w:p>
            <w:pPr>
              <w:pStyle w:val="24"/>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4"/>
              <w:spacing w:before="11"/>
              <w:rPr>
                <w:sz w:val="20"/>
              </w:rPr>
            </w:pPr>
          </w:p>
          <w:p>
            <w:pPr>
              <w:pStyle w:val="24"/>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24"/>
              <w:spacing w:before="11"/>
              <w:rPr>
                <w:sz w:val="20"/>
              </w:rPr>
            </w:pPr>
          </w:p>
          <w:p>
            <w:pPr>
              <w:pStyle w:val="24"/>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24"/>
              <w:spacing w:before="11"/>
              <w:rPr>
                <w:sz w:val="20"/>
              </w:rPr>
            </w:pPr>
          </w:p>
          <w:p>
            <w:pPr>
              <w:pStyle w:val="24"/>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24"/>
              <w:spacing w:before="11"/>
              <w:rPr>
                <w:sz w:val="20"/>
              </w:rPr>
            </w:pPr>
          </w:p>
          <w:p>
            <w:pPr>
              <w:pStyle w:val="24"/>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24"/>
              <w:spacing w:before="11"/>
              <w:rPr>
                <w:sz w:val="20"/>
              </w:rPr>
            </w:pPr>
          </w:p>
          <w:p>
            <w:pPr>
              <w:pStyle w:val="24"/>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24"/>
              <w:spacing w:before="11"/>
              <w:rPr>
                <w:sz w:val="20"/>
              </w:rPr>
            </w:pPr>
          </w:p>
          <w:p>
            <w:pPr>
              <w:pStyle w:val="24"/>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24"/>
              <w:spacing w:before="11"/>
              <w:rPr>
                <w:sz w:val="20"/>
              </w:rPr>
            </w:pPr>
          </w:p>
          <w:p>
            <w:pPr>
              <w:pStyle w:val="24"/>
              <w:ind w:right="1151"/>
              <w:jc w:val="right"/>
              <w:rPr>
                <w:sz w:val="21"/>
              </w:rPr>
            </w:pPr>
            <w:r>
              <w:rPr>
                <w:sz w:val="21"/>
              </w:rPr>
              <w:t xml:space="preserve"> </w:t>
            </w:r>
          </w:p>
        </w:tc>
      </w:tr>
    </w:tbl>
    <w:p>
      <w:pPr>
        <w:numPr>
          <w:ilvl w:val="0"/>
          <w:numId w:val="0"/>
        </w:numPr>
        <w:rPr>
          <w:rFonts w:hint="eastAsia"/>
          <w:b/>
          <w:bCs/>
          <w:kern w:val="2"/>
          <w:sz w:val="32"/>
          <w:szCs w:val="32"/>
          <w:lang w:val="en-US" w:eastAsia="zh-CN" w:bidi="ar-SA"/>
        </w:rPr>
      </w:pPr>
    </w:p>
    <w:p>
      <w:pPr>
        <w:rPr>
          <w:rFonts w:hint="eastAsia" w:eastAsia="宋体"/>
          <w:lang w:val="en-US" w:eastAsia="zh-CN"/>
        </w:rPr>
      </w:pPr>
      <w:r>
        <w:rPr>
          <w:rFonts w:hint="eastAsia"/>
          <w:lang w:val="en-US"/>
        </w:rPr>
        <w:t>备注：根据评审表的要求提交相应证明资料复印件加盖企业公章：身份证、资格证</w:t>
      </w:r>
      <w:r>
        <w:rPr>
          <w:rFonts w:hint="eastAsia"/>
          <w:lang w:val="en-US" w:eastAsia="zh-CN"/>
        </w:rPr>
        <w:t>、劳动合同。</w:t>
      </w:r>
    </w:p>
    <w:p>
      <w:pPr>
        <w:rPr>
          <w:rFonts w:hint="eastAsia"/>
          <w:lang w:val="en-US"/>
        </w:rPr>
      </w:pPr>
    </w:p>
    <w:p>
      <w:pPr>
        <w:rPr>
          <w:rFonts w:hint="eastAsia"/>
          <w:lang w:val="en-US"/>
        </w:rPr>
      </w:pPr>
    </w:p>
    <w:p>
      <w:pPr>
        <w:rPr>
          <w:rFonts w:hint="eastAsia"/>
          <w:lang w:val="en-US"/>
        </w:rPr>
      </w:pPr>
    </w:p>
    <w:p>
      <w:pPr>
        <w:rPr>
          <w:rFonts w:hint="eastAsia"/>
          <w:lang w:val="en-US"/>
        </w:rPr>
      </w:pPr>
      <w:r>
        <w:rPr>
          <w:rFonts w:hint="eastAsia"/>
          <w:lang w:val="en-US"/>
        </w:rPr>
        <w:t xml:space="preserve">供应商名称（单位盖公章）：                              </w:t>
      </w:r>
    </w:p>
    <w:p>
      <w:pPr>
        <w:rPr>
          <w:rFonts w:hint="eastAsia"/>
          <w:lang w:val="en-US"/>
        </w:rPr>
      </w:pPr>
      <w:r>
        <w:rPr>
          <w:rFonts w:hint="eastAsia"/>
          <w:lang w:val="en-US"/>
        </w:rPr>
        <w:t xml:space="preserve"> </w:t>
      </w:r>
    </w:p>
    <w:p>
      <w:pPr>
        <w:rPr>
          <w:rFonts w:hint="eastAsia"/>
          <w:sz w:val="24"/>
          <w:szCs w:val="24"/>
        </w:rPr>
      </w:pPr>
      <w:r>
        <w:rPr>
          <w:rFonts w:hint="eastAsia"/>
          <w:lang w:val="en-US"/>
        </w:rPr>
        <w:t xml:space="preserve">日期:   </w:t>
      </w:r>
      <w:r>
        <w:rPr>
          <w:rFonts w:hint="eastAsia"/>
          <w:sz w:val="24"/>
          <w:szCs w:val="24"/>
        </w:rPr>
        <w:t xml:space="preserve">     </w:t>
      </w:r>
    </w:p>
    <w:p>
      <w:pPr>
        <w:numPr>
          <w:ilvl w:val="0"/>
          <w:numId w:val="0"/>
        </w:numPr>
        <w:rPr>
          <w:rFonts w:hint="eastAsia" w:ascii="Times New Roman" w:hAnsi="Times New Roman" w:eastAsia="宋体" w:cs="Times New Roman"/>
          <w:b/>
          <w:bCs/>
          <w:kern w:val="2"/>
          <w:sz w:val="32"/>
          <w:szCs w:val="32"/>
          <w:lang w:val="en-US" w:eastAsia="zh-CN" w:bidi="ar-SA"/>
        </w:rPr>
      </w:pPr>
      <w:bookmarkStart w:id="237" w:name="_Toc534816652"/>
      <w:bookmarkStart w:id="238" w:name="_Toc534725623"/>
    </w:p>
    <w:p>
      <w:pPr>
        <w:numPr>
          <w:ilvl w:val="0"/>
          <w:numId w:val="0"/>
        </w:numPr>
        <w:rPr>
          <w:rFonts w:hint="eastAsia" w:ascii="Times New Roman" w:hAnsi="Times New Roman" w:eastAsia="宋体" w:cs="Times New Roman"/>
          <w:b/>
          <w:bCs/>
          <w:kern w:val="2"/>
          <w:sz w:val="32"/>
          <w:szCs w:val="32"/>
          <w:lang w:val="en-US" w:eastAsia="zh-CN" w:bidi="ar-SA"/>
        </w:rPr>
      </w:pPr>
    </w:p>
    <w:p>
      <w:pPr>
        <w:numPr>
          <w:ilvl w:val="0"/>
          <w:numId w:val="0"/>
        </w:numPr>
        <w:rPr>
          <w:rFonts w:hint="eastAsia" w:ascii="Times New Roman" w:hAnsi="Times New Roman" w:eastAsia="宋体" w:cs="Times New Roman"/>
          <w:b/>
          <w:bCs/>
          <w:kern w:val="2"/>
          <w:sz w:val="32"/>
          <w:szCs w:val="32"/>
          <w:lang w:val="en-US" w:eastAsia="zh-CN" w:bidi="ar-SA"/>
        </w:rPr>
      </w:pPr>
    </w:p>
    <w:p>
      <w:pPr>
        <w:numPr>
          <w:ilvl w:val="0"/>
          <w:numId w:val="0"/>
        </w:numPr>
        <w:ind w:firstLine="964" w:firstLineChars="300"/>
        <w:rPr>
          <w:rFonts w:hint="eastAsia"/>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九、</w:t>
      </w:r>
      <w:r>
        <w:rPr>
          <w:rFonts w:hint="eastAsia"/>
          <w:b/>
          <w:bCs/>
          <w:kern w:val="2"/>
          <w:sz w:val="32"/>
          <w:szCs w:val="32"/>
          <w:lang w:val="en-US" w:eastAsia="zh-CN" w:bidi="ar-SA"/>
        </w:rPr>
        <w:t>供应商认为有必要提供的声明及文件资料</w:t>
      </w:r>
    </w:p>
    <w:p>
      <w:pPr>
        <w:pStyle w:val="2"/>
        <w:numPr>
          <w:ilvl w:val="0"/>
          <w:numId w:val="0"/>
        </w:numPr>
        <w:jc w:val="center"/>
        <w:rPr>
          <w:rFonts w:hint="default"/>
          <w:lang w:val="en-US" w:eastAsia="zh-CN"/>
        </w:rPr>
      </w:pPr>
      <w:r>
        <w:rPr>
          <w:rFonts w:hint="eastAsia"/>
          <w:lang w:val="en-US" w:eastAsia="zh-CN"/>
        </w:rPr>
        <w:t>（格式自拟）</w:t>
      </w:r>
    </w:p>
    <w:p>
      <w:pPr>
        <w:pStyle w:val="6"/>
        <w:jc w:val="center"/>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8"/>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8"/>
        <w:ind w:firstLine="0"/>
        <w:jc w:val="center"/>
        <w:rPr>
          <w:rFonts w:hint="eastAsia" w:ascii="黑体" w:hAnsi="宋体" w:eastAsia="黑体"/>
          <w:b/>
          <w:bCs/>
          <w:sz w:val="30"/>
          <w:szCs w:val="30"/>
        </w:rPr>
      </w:pPr>
    </w:p>
    <w:p>
      <w:pPr>
        <w:pStyle w:val="8"/>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8"/>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0"/>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39" w:name="_Toc534816644"/>
      <w:bookmarkStart w:id="240" w:name="_Toc534725615"/>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39"/>
      <w:bookmarkEnd w:id="240"/>
    </w:p>
    <w:p>
      <w:pPr>
        <w:pStyle w:val="2"/>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0"/>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1" w:name="_Toc534816645"/>
      <w:bookmarkStart w:id="242" w:name="_Toc534725616"/>
      <w:r>
        <w:rPr>
          <w:rFonts w:hint="eastAsia" w:ascii="宋体" w:hAnsi="宋体" w:eastAsia="宋体" w:cs="宋体"/>
          <w:b w:val="0"/>
          <w:bCs w:val="0"/>
          <w:sz w:val="30"/>
          <w:szCs w:val="30"/>
          <w:lang w:val="en-US" w:eastAsia="zh-CN"/>
        </w:rPr>
        <w:t>格式三</w:t>
      </w:r>
    </w:p>
    <w:p>
      <w:pPr>
        <w:spacing w:before="145" w:beforeLines="50" w:after="145" w:afterLines="50" w:line="300" w:lineRule="auto"/>
        <w:ind w:firstLine="3313" w:firstLineChars="1100"/>
        <w:jc w:val="both"/>
        <w:rPr>
          <w:rFonts w:hint="eastAsia" w:ascii="黑体" w:hAnsi="宋体" w:eastAsia="黑体"/>
          <w:b/>
          <w:bCs/>
          <w:sz w:val="30"/>
          <w:szCs w:val="30"/>
        </w:rPr>
      </w:pPr>
      <w:r>
        <w:rPr>
          <w:rFonts w:hint="eastAsia" w:ascii="黑体" w:hAnsi="宋体" w:eastAsia="黑体"/>
          <w:b/>
          <w:bCs/>
          <w:sz w:val="30"/>
          <w:szCs w:val="30"/>
        </w:rPr>
        <w:t>法人授权书</w:t>
      </w:r>
      <w:bookmarkEnd w:id="241"/>
      <w:bookmarkEnd w:id="242"/>
    </w:p>
    <w:p>
      <w:pPr>
        <w:pStyle w:val="25"/>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25"/>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25"/>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25"/>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25"/>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25"/>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25"/>
        <w:spacing w:before="145" w:beforeLines="50" w:after="145" w:afterLines="50" w:line="300" w:lineRule="auto"/>
        <w:ind w:firstLine="480"/>
        <w:rPr>
          <w:rFonts w:hint="eastAsia"/>
          <w:sz w:val="24"/>
          <w:szCs w:val="24"/>
          <w:u w:val="single"/>
        </w:rPr>
      </w:pPr>
      <w:r>
        <w:rPr>
          <w:rFonts w:hint="eastAsia"/>
          <w:sz w:val="24"/>
          <w:szCs w:val="24"/>
        </w:rPr>
        <w:t>日期：</w:t>
      </w:r>
      <w:bookmarkStart w:id="243" w:name="_格式3__银行出具的资信证明"/>
      <w:bookmarkEnd w:id="243"/>
      <w:bookmarkStart w:id="244" w:name="_Hlt26955070"/>
      <w:bookmarkEnd w:id="244"/>
      <w:bookmarkStart w:id="245" w:name="_Hlt26671380"/>
      <w:bookmarkEnd w:id="245"/>
      <w:r>
        <w:rPr>
          <w:rFonts w:hint="eastAsia"/>
          <w:sz w:val="24"/>
          <w:szCs w:val="24"/>
        </w:rPr>
        <w:t>________________________________________</w:t>
      </w:r>
      <w:r>
        <w:rPr>
          <w:rFonts w:hint="eastAsia"/>
          <w:sz w:val="24"/>
          <w:szCs w:val="24"/>
          <w:u w:val="single"/>
        </w:rPr>
        <w:t xml:space="preserve">                                         </w:t>
      </w:r>
    </w:p>
    <w:p>
      <w:pPr>
        <w:pStyle w:val="25"/>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授权人身份证正反面复印件</w:t>
      </w:r>
    </w:p>
    <w:tbl>
      <w:tblPr>
        <w:tblStyle w:val="17"/>
        <w:tblpPr w:leftFromText="180" w:rightFromText="180" w:vertAnchor="text" w:horzAnchor="page" w:tblpX="1315" w:tblpY="460"/>
        <w:tblOverlap w:val="never"/>
        <w:tblW w:w="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4220" w:type="dxa"/>
          </w:tcPr>
          <w:p>
            <w:pPr>
              <w:pStyle w:val="25"/>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法人代表身份证正面（国徽面）</w:t>
            </w:r>
          </w:p>
        </w:tc>
      </w:tr>
    </w:tbl>
    <w:tbl>
      <w:tblPr>
        <w:tblStyle w:val="17"/>
        <w:tblpPr w:leftFromText="180" w:rightFromText="180" w:vertAnchor="text" w:horzAnchor="page" w:tblpX="6100" w:tblpY="630"/>
        <w:tblOverlap w:val="never"/>
        <w:tblW w:w="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4425" w:type="dxa"/>
          </w:tcPr>
          <w:p>
            <w:pPr>
              <w:pStyle w:val="25"/>
              <w:spacing w:before="145" w:beforeLines="50" w:after="145" w:afterLines="50" w:line="300" w:lineRule="auto"/>
              <w:rPr>
                <w:rFonts w:hint="eastAsia"/>
                <w:sz w:val="24"/>
                <w:szCs w:val="24"/>
                <w:u w:val="single"/>
                <w:vertAlign w:val="baseline"/>
              </w:rPr>
            </w:pPr>
            <w:r>
              <w:rPr>
                <w:rFonts w:hint="eastAsia"/>
                <w:sz w:val="24"/>
                <w:szCs w:val="24"/>
                <w:u w:val="single"/>
                <w:vertAlign w:val="baseline"/>
                <w:lang w:val="en-US" w:eastAsia="zh-CN"/>
              </w:rPr>
              <w:t>法人代表身份证反面（人像面）</w:t>
            </w:r>
          </w:p>
        </w:tc>
      </w:tr>
    </w:tbl>
    <w:p>
      <w:pPr>
        <w:pStyle w:val="25"/>
        <w:spacing w:before="145" w:beforeLines="50" w:after="145" w:afterLines="50" w:line="300" w:lineRule="auto"/>
        <w:ind w:left="0" w:leftChars="0" w:firstLine="0" w:firstLineChars="0"/>
        <w:rPr>
          <w:rFonts w:hint="default" w:eastAsia="宋体"/>
          <w:sz w:val="24"/>
          <w:szCs w:val="24"/>
          <w:u w:val="single"/>
          <w:lang w:val="en-US" w:eastAsia="zh-CN"/>
        </w:rPr>
      </w:pPr>
      <w:r>
        <w:rPr>
          <w:rFonts w:hint="eastAsia"/>
          <w:sz w:val="24"/>
          <w:szCs w:val="24"/>
          <w:u w:val="single"/>
          <w:lang w:val="en-US" w:eastAsia="zh-CN"/>
        </w:rPr>
        <w:t>被授权人身份证正反面复印件</w:t>
      </w:r>
    </w:p>
    <w:tbl>
      <w:tblPr>
        <w:tblStyle w:val="17"/>
        <w:tblpPr w:leftFromText="180" w:rightFromText="180" w:vertAnchor="text" w:horzAnchor="page" w:tblpX="6090" w:tblpY="345"/>
        <w:tblOverlap w:val="never"/>
        <w:tblW w:w="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4435" w:type="dxa"/>
          </w:tcPr>
          <w:p>
            <w:pPr>
              <w:pStyle w:val="25"/>
              <w:spacing w:before="145" w:beforeLines="50" w:after="145" w:afterLines="50" w:line="300" w:lineRule="auto"/>
              <w:rPr>
                <w:rFonts w:hint="eastAsia"/>
                <w:sz w:val="24"/>
                <w:szCs w:val="24"/>
                <w:u w:val="single"/>
                <w:vertAlign w:val="baseline"/>
              </w:rPr>
            </w:pPr>
            <w:r>
              <w:rPr>
                <w:rFonts w:hint="eastAsia"/>
                <w:sz w:val="24"/>
                <w:szCs w:val="24"/>
                <w:u w:val="single"/>
                <w:vertAlign w:val="baseline"/>
                <w:lang w:val="en-US" w:eastAsia="zh-CN"/>
              </w:rPr>
              <w:t>被授权人身份证反面（人像面）</w:t>
            </w:r>
          </w:p>
        </w:tc>
      </w:tr>
    </w:tbl>
    <w:tbl>
      <w:tblPr>
        <w:tblStyle w:val="17"/>
        <w:tblpPr w:leftFromText="180" w:rightFromText="180" w:vertAnchor="text" w:horzAnchor="page" w:tblpX="1320" w:tblpY="467"/>
        <w:tblOverlap w:val="never"/>
        <w:tblW w:w="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4210" w:type="dxa"/>
          </w:tcPr>
          <w:p>
            <w:pPr>
              <w:pStyle w:val="25"/>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被授权人身份证正面（国徽面）</w:t>
            </w:r>
          </w:p>
        </w:tc>
      </w:tr>
    </w:tbl>
    <w:p>
      <w:pPr>
        <w:pStyle w:val="25"/>
        <w:spacing w:before="145" w:beforeLines="50" w:after="145" w:afterLines="50" w:line="300" w:lineRule="auto"/>
        <w:ind w:firstLine="480"/>
        <w:rPr>
          <w:rFonts w:hint="eastAsia"/>
          <w:sz w:val="24"/>
          <w:szCs w:val="24"/>
          <w:u w:val="single"/>
        </w:rPr>
      </w:pPr>
    </w:p>
    <w:p>
      <w:pPr>
        <w:pStyle w:val="5"/>
        <w:spacing w:before="145" w:beforeLines="50" w:after="145" w:afterLines="50" w:line="300" w:lineRule="auto"/>
        <w:jc w:val="left"/>
        <w:rPr>
          <w:rFonts w:hint="eastAsia" w:ascii="宋体" w:hAnsi="宋体" w:eastAsia="宋体" w:cs="Times New Roman"/>
          <w:bCs w:val="0"/>
          <w:sz w:val="32"/>
          <w:szCs w:val="32"/>
        </w:rPr>
      </w:pPr>
      <w:bookmarkStart w:id="246" w:name="_Toc534725617"/>
      <w:bookmarkStart w:id="247" w:name="_Toc534816646"/>
      <w:r>
        <w:rPr>
          <w:rFonts w:hint="eastAsia" w:ascii="宋体" w:hAnsi="宋体" w:eastAsia="宋体" w:cs="宋体"/>
          <w:b w:val="0"/>
          <w:bCs w:val="0"/>
          <w:sz w:val="30"/>
          <w:szCs w:val="30"/>
          <w:lang w:val="en-US" w:eastAsia="zh-CN"/>
        </w:rPr>
        <w:t>格式四</w:t>
      </w:r>
    </w:p>
    <w:p>
      <w:pPr>
        <w:pStyle w:val="5"/>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6"/>
      <w:bookmarkEnd w:id="247"/>
    </w:p>
    <w:p>
      <w:pPr>
        <w:pStyle w:val="20"/>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0"/>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pStyle w:val="9"/>
        <w:widowControl w:val="0"/>
        <w:numPr>
          <w:ilvl w:val="0"/>
          <w:numId w:val="0"/>
        </w:numPr>
        <w:jc w:val="both"/>
        <w:rPr>
          <w:rFonts w:hint="default"/>
          <w:lang w:val="en-US" w:eastAsia="zh-CN"/>
        </w:rPr>
      </w:pPr>
      <w:r>
        <w:rPr>
          <w:rFonts w:hint="eastAsia"/>
          <w:lang w:val="en-US" w:eastAsia="zh-CN"/>
        </w:rPr>
        <w:t>格式五</w:t>
      </w:r>
    </w:p>
    <w:p>
      <w:pPr>
        <w:rPr>
          <w:rFonts w:hint="eastAsia"/>
          <w:lang w:val="en-US" w:eastAsia="zh-CN"/>
        </w:rPr>
      </w:pPr>
    </w:p>
    <w:p>
      <w:pPr>
        <w:pStyle w:val="9"/>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r>
        <w:rPr>
          <w:rFonts w:hint="eastAsia" w:ascii="方正小标宋_GBK" w:hAnsi="方正小标宋_GBK" w:eastAsia="方正小标宋_GBK" w:cs="方正小标宋_GBK"/>
          <w:sz w:val="36"/>
          <w:szCs w:val="22"/>
        </w:rPr>
        <w:t>中小企业声明函（工程、服务）</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1.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2.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日期：</w:t>
      </w:r>
    </w:p>
    <w:p>
      <w:pPr>
        <w:pStyle w:val="9"/>
        <w:ind w:left="0" w:leftChars="0" w:firstLine="0" w:firstLineChars="0"/>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b/>
          <w:bCs/>
          <w:sz w:val="18"/>
          <w:szCs w:val="22"/>
          <w:lang w:val="en-US" w:eastAsia="zh-CN"/>
        </w:rPr>
        <w:t>2、</w:t>
      </w: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p>
    <w:p>
      <w:pPr>
        <w:spacing w:before="145" w:beforeLines="50" w:after="145" w:afterLines="50" w:line="300" w:lineRule="auto"/>
        <w:rPr>
          <w:rFonts w:hint="eastAsia" w:ascii="宋体" w:hAnsi="宋体"/>
          <w:bCs/>
          <w:sz w:val="24"/>
        </w:rPr>
      </w:pPr>
    </w:p>
    <w:p>
      <w:pPr>
        <w:pStyle w:val="9"/>
        <w:rPr>
          <w:rFonts w:hint="eastAsia" w:ascii="宋体" w:hAnsi="宋体"/>
          <w:bCs/>
          <w:sz w:val="24"/>
        </w:rPr>
      </w:pPr>
    </w:p>
    <w:p>
      <w:pPr>
        <w:rPr>
          <w:rFonts w:hint="eastAsia" w:ascii="宋体" w:hAnsi="宋体"/>
          <w:bCs/>
          <w:sz w:val="24"/>
        </w:rPr>
      </w:pPr>
    </w:p>
    <w:p>
      <w:pPr>
        <w:pStyle w:val="9"/>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bookmarkEnd w:id="237"/>
    <w:bookmarkEnd w:id="238"/>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1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须符合</w:t>
            </w:r>
            <w:r>
              <w:rPr>
                <w:rFonts w:hint="default" w:ascii="方正仿宋简体" w:hAnsi="方正仿宋简体" w:eastAsia="方正仿宋简体" w:cs="方正仿宋简体"/>
                <w:i w:val="0"/>
                <w:iCs w:val="0"/>
                <w:caps w:val="0"/>
                <w:color w:val="333333"/>
                <w:spacing w:val="0"/>
                <w:sz w:val="21"/>
                <w:szCs w:val="21"/>
                <w:lang w:val="en-US"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政府采购质疑和投诉办法</w:t>
            </w:r>
            <w:r>
              <w:rPr>
                <w:rFonts w:hint="default" w:ascii="方正仿宋简体" w:hAnsi="方正仿宋简体" w:eastAsia="方正仿宋简体" w:cs="方正仿宋简体"/>
                <w:i w:val="0"/>
                <w:iCs w:val="0"/>
                <w:caps w:val="0"/>
                <w:color w:val="333333"/>
                <w:spacing w:val="0"/>
                <w:sz w:val="21"/>
                <w:szCs w:val="21"/>
                <w:lang w:val="en-US" w:eastAsia="zh-CN"/>
              </w:rPr>
              <w:t>》中华人民共和国财政部令第94号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要求，否则昌吉州政务服务和公共资源交易</w:t>
            </w:r>
            <w:r>
              <w:rPr>
                <w:rFonts w:hint="default" w:ascii="方正仿宋简体" w:hAnsi="方正仿宋简体" w:eastAsia="方正仿宋简体" w:cs="方正仿宋简体"/>
                <w:i w:val="0"/>
                <w:iCs w:val="0"/>
                <w:caps w:val="0"/>
                <w:color w:val="333333"/>
                <w:spacing w:val="0"/>
                <w:sz w:val="21"/>
                <w:szCs w:val="21"/>
                <w:lang w:val="en-US" w:eastAsia="zh-CN"/>
              </w:rPr>
              <w:t>中心不予受理。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9"/>
        <w:ind w:left="0" w:leftChars="0" w:firstLine="0" w:firstLineChars="0"/>
        <w:rPr>
          <w:rFonts w:hint="default"/>
          <w:lang w:val="en-US" w:eastAsia="zh-CN"/>
        </w:rPr>
      </w:pPr>
      <w:r>
        <w:rPr>
          <w:rFonts w:hint="eastAsia"/>
        </w:rPr>
        <w:br w:type="page"/>
      </w:r>
    </w:p>
    <w:p/>
    <w:p/>
    <w:p/>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decorative"/>
    <w:pitch w:val="default"/>
    <w:sig w:usb0="00000003" w:usb1="00000000" w:usb2="00000000" w:usb3="00000000" w:csb0="2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A3615"/>
    <w:multiLevelType w:val="singleLevel"/>
    <w:tmpl w:val="8ABA3615"/>
    <w:lvl w:ilvl="0" w:tentative="0">
      <w:start w:val="1"/>
      <w:numFmt w:val="decimal"/>
      <w:suff w:val="nothing"/>
      <w:lvlText w:val="（%1）"/>
      <w:lvlJc w:val="left"/>
    </w:lvl>
  </w:abstractNum>
  <w:abstractNum w:abstractNumId="1">
    <w:nsid w:val="BB9FDB9C"/>
    <w:multiLevelType w:val="singleLevel"/>
    <w:tmpl w:val="BB9FDB9C"/>
    <w:lvl w:ilvl="0" w:tentative="0">
      <w:start w:val="2"/>
      <w:numFmt w:val="chineseCounting"/>
      <w:suff w:val="nothing"/>
      <w:lvlText w:val="%1、"/>
      <w:lvlJc w:val="left"/>
      <w:rPr>
        <w:rFonts w:hint="eastAsia"/>
      </w:rPr>
    </w:lvl>
  </w:abstractNum>
  <w:abstractNum w:abstractNumId="2">
    <w:nsid w:val="101E2FBD"/>
    <w:multiLevelType w:val="singleLevel"/>
    <w:tmpl w:val="101E2FBD"/>
    <w:lvl w:ilvl="0" w:tentative="0">
      <w:start w:val="2"/>
      <w:numFmt w:val="decimal"/>
      <w:lvlText w:val="%1."/>
      <w:lvlJc w:val="left"/>
      <w:pPr>
        <w:tabs>
          <w:tab w:val="left" w:pos="312"/>
        </w:tabs>
      </w:pPr>
    </w:lvl>
  </w:abstractNum>
  <w:abstractNum w:abstractNumId="3">
    <w:nsid w:val="13501FE7"/>
    <w:multiLevelType w:val="singleLevel"/>
    <w:tmpl w:val="13501FE7"/>
    <w:lvl w:ilvl="0" w:tentative="0">
      <w:start w:val="1"/>
      <w:numFmt w:val="chineseCounting"/>
      <w:suff w:val="nothing"/>
      <w:lvlText w:val="%1、"/>
      <w:lvlJc w:val="left"/>
      <w:rPr>
        <w:rFonts w:hint="eastAsia"/>
      </w:rPr>
    </w:lvl>
  </w:abstractNum>
  <w:abstractNum w:abstractNumId="4">
    <w:nsid w:val="31A5409C"/>
    <w:multiLevelType w:val="singleLevel"/>
    <w:tmpl w:val="31A5409C"/>
    <w:lvl w:ilvl="0" w:tentative="0">
      <w:start w:val="1"/>
      <w:numFmt w:val="decimal"/>
      <w:lvlText w:val="%1."/>
      <w:lvlJc w:val="left"/>
      <w:pPr>
        <w:tabs>
          <w:tab w:val="left" w:pos="312"/>
        </w:tabs>
        <w:ind w:left="150" w:leftChars="0" w:firstLine="0" w:firstLineChars="0"/>
      </w:pPr>
    </w:lvl>
  </w:abstractNum>
  <w:abstractNum w:abstractNumId="5">
    <w:nsid w:val="328AC9B5"/>
    <w:multiLevelType w:val="singleLevel"/>
    <w:tmpl w:val="328AC9B5"/>
    <w:lvl w:ilvl="0" w:tentative="0">
      <w:start w:val="1"/>
      <w:numFmt w:val="chineseCounting"/>
      <w:suff w:val="nothing"/>
      <w:lvlText w:val="（%1）"/>
      <w:lvlJc w:val="left"/>
      <w:rPr>
        <w:rFonts w:hint="eastAsia"/>
      </w:rPr>
    </w:lvl>
  </w:abstractNum>
  <w:abstractNum w:abstractNumId="6">
    <w:nsid w:val="56DA70F1"/>
    <w:multiLevelType w:val="singleLevel"/>
    <w:tmpl w:val="56DA70F1"/>
    <w:lvl w:ilvl="0" w:tentative="0">
      <w:start w:val="2"/>
      <w:numFmt w:val="decimal"/>
      <w:suff w:val="space"/>
      <w:lvlText w:val="%1."/>
      <w:lvlJc w:val="left"/>
    </w:lvl>
  </w:abstractNum>
  <w:abstractNum w:abstractNumId="7">
    <w:nsid w:val="6ACE0CF3"/>
    <w:multiLevelType w:val="singleLevel"/>
    <w:tmpl w:val="6ACE0CF3"/>
    <w:lvl w:ilvl="0" w:tentative="0">
      <w:start w:val="1"/>
      <w:numFmt w:val="decimal"/>
      <w:lvlText w:val="%1."/>
      <w:lvlJc w:val="left"/>
      <w:pPr>
        <w:tabs>
          <w:tab w:val="left" w:pos="312"/>
        </w:tabs>
      </w:pPr>
    </w:lvl>
  </w:abstractNum>
  <w:num w:numId="1">
    <w:abstractNumId w:val="2"/>
  </w:num>
  <w:num w:numId="2">
    <w:abstractNumId w:val="6"/>
  </w:num>
  <w:num w:numId="3">
    <w:abstractNumId w:val="1"/>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96985"/>
    <w:rsid w:val="1A59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ind w:firstLine="420" w:firstLineChars="150"/>
      <w:outlineLvl w:val="3"/>
    </w:pPr>
    <w:rPr>
      <w:rFonts w:ascii="Arial" w:hAnsi="Arial" w:cs="Arial"/>
      <w:b/>
      <w:sz w:val="28"/>
      <w:szCs w:val="28"/>
    </w:rPr>
  </w:style>
  <w:style w:type="character" w:default="1" w:styleId="18">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next w:val="1"/>
    <w:qFormat/>
    <w:uiPriority w:val="0"/>
    <w:pPr>
      <w:ind w:firstLine="420"/>
    </w:pPr>
  </w:style>
  <w:style w:type="paragraph" w:styleId="9">
    <w:name w:val="index 6"/>
    <w:basedOn w:val="1"/>
    <w:next w:val="1"/>
    <w:qFormat/>
    <w:uiPriority w:val="99"/>
    <w:pPr>
      <w:ind w:left="2100"/>
    </w:pPr>
  </w:style>
  <w:style w:type="paragraph" w:styleId="10">
    <w:name w:val="Plain Text"/>
    <w:basedOn w:val="1"/>
    <w:qFormat/>
    <w:uiPriority w:val="0"/>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toc 6"/>
    <w:basedOn w:val="1"/>
    <w:next w:val="1"/>
    <w:qFormat/>
    <w:uiPriority w:val="39"/>
    <w:pPr>
      <w:ind w:left="2100" w:leftChars="1000"/>
    </w:pPr>
  </w:style>
  <w:style w:type="paragraph" w:styleId="13">
    <w:name w:val="toc 2"/>
    <w:basedOn w:val="1"/>
    <w:next w:val="1"/>
    <w:qFormat/>
    <w:uiPriority w:val="39"/>
    <w:pPr>
      <w:ind w:left="210"/>
      <w:jc w:val="left"/>
    </w:pPr>
    <w:rPr>
      <w:smallCaps/>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2"/>
    <w:next w:val="12"/>
    <w:qFormat/>
    <w:uiPriority w:val="0"/>
    <w:pPr>
      <w:spacing w:line="360" w:lineRule="auto"/>
      <w:ind w:firstLine="200" w:firstLineChars="200"/>
    </w:pPr>
    <w:rPr>
      <w:rFonts w:ascii="仿宋_GB2312" w:eastAsia="仿宋_GB2312"/>
      <w:sz w:val="30"/>
      <w:szCs w:val="30"/>
    </w:rPr>
  </w:style>
  <w:style w:type="table" w:styleId="17">
    <w:name w:val="Table Grid"/>
    <w:basedOn w:val="1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qFormat/>
    <w:uiPriority w:val="99"/>
    <w:rPr>
      <w:color w:val="0000FF"/>
      <w:u w:val="single"/>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_Style 11"/>
    <w:basedOn w:val="4"/>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3">
    <w:name w:val="列出段落1"/>
    <w:basedOn w:val="1"/>
    <w:qFormat/>
    <w:uiPriority w:val="0"/>
    <w:pPr>
      <w:widowControl/>
      <w:ind w:left="720"/>
      <w:contextualSpacing/>
      <w:jc w:val="left"/>
    </w:pPr>
    <w:rPr>
      <w:kern w:val="0"/>
      <w:sz w:val="24"/>
      <w:szCs w:val="24"/>
      <w:lang w:eastAsia="en-US" w:bidi="en-US"/>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2024-09-30T08:34:00Z</dcterms:created>
  <dc:creator>98505</dc:creator>
  <cp:lastModifiedBy>98505</cp:lastModifiedBy>
  <dcterms:modified xsi:type="dcterms:W3CDTF">2024-09-30T08:36:24Z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