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r>
        <w:rPr>
          <w:rFonts w:ascii="宋体" w:hAnsi="宋体" w:eastAsia="宋体" w:cs="宋体"/>
          <w:b/>
          <w:i w:val="0"/>
          <w:strike w:val="0"/>
          <w:color w:val="000000"/>
          <w:sz w:val="111"/>
        </w:rPr>
        <w:t>招 标 文 件</w:t>
      </w:r>
    </w:p>
    <w:p>
      <w:pPr>
        <w:wordWrap w:val="0"/>
        <w:spacing w:before="1080" w:after="0" w:line="460" w:lineRule="atLeast"/>
        <w:ind w:left="2175" w:leftChars="247" w:right="0" w:hanging="1656" w:hangingChars="5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 购</w:t>
      </w:r>
      <w:r>
        <w:rPr>
          <w:rFonts w:ascii="宋体" w:hAnsi="宋体" w:eastAsia="宋体" w:cs="宋体"/>
          <w:b/>
          <w:i w:val="0"/>
          <w:strike w:val="0"/>
          <w:color w:val="000000"/>
          <w:sz w:val="33"/>
        </w:rPr>
        <w:t>项目</w:t>
      </w:r>
      <w:r>
        <w:rPr>
          <w:rFonts w:hint="eastAsia" w:ascii="宋体" w:hAnsi="宋体" w:eastAsia="宋体" w:cs="宋体"/>
          <w:b/>
          <w:i w:val="0"/>
          <w:strike w:val="0"/>
          <w:color w:val="000000"/>
          <w:sz w:val="33"/>
          <w:lang w:eastAsia="zh-CN"/>
        </w:rPr>
        <w:t>标项</w:t>
      </w:r>
      <w:r>
        <w:rPr>
          <w:rFonts w:hint="eastAsia" w:ascii="宋体" w:hAnsi="宋体" w:eastAsia="宋体" w:cs="宋体"/>
          <w:b/>
          <w:i w:val="0"/>
          <w:strike w:val="0"/>
          <w:color w:val="000000"/>
          <w:sz w:val="33"/>
          <w:lang w:val="en-US" w:eastAsia="zh-CN"/>
        </w:rPr>
        <w:t>5</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rPr>
        <w:t>呼图壁县第一中学初中部教学仪器设备采购项目</w:t>
      </w:r>
      <w:r>
        <w:rPr>
          <w:rFonts w:hint="eastAsia" w:ascii="宋体" w:hAnsi="宋体" w:eastAsia="宋体" w:cs="宋体"/>
          <w:b w:val="0"/>
          <w:i w:val="0"/>
          <w:strike w:val="0"/>
          <w:color w:val="000000"/>
          <w:sz w:val="28"/>
          <w:szCs w:val="28"/>
          <w:highlight w:val="none"/>
          <w:u w:val="single"/>
          <w:lang w:eastAsia="zh-CN"/>
        </w:rPr>
        <w:t>标项</w:t>
      </w:r>
      <w:r>
        <w:rPr>
          <w:rFonts w:hint="eastAsia" w:ascii="宋体" w:hAnsi="宋体" w:eastAsia="宋体" w:cs="宋体"/>
          <w:b w:val="0"/>
          <w:i w:val="0"/>
          <w:strike w:val="0"/>
          <w:color w:val="000000"/>
          <w:sz w:val="28"/>
          <w:szCs w:val="28"/>
          <w:highlight w:val="none"/>
          <w:u w:val="single"/>
          <w:lang w:val="en-US" w:eastAsia="zh-CN"/>
        </w:rPr>
        <w:t>5</w:t>
      </w:r>
      <w:r>
        <w:rPr>
          <w:rFonts w:hint="eastAsia" w:ascii="宋体" w:hAnsi="宋体" w:eastAsia="宋体" w:cs="宋体"/>
          <w:b w:val="0"/>
          <w:bCs w:val="0"/>
          <w:i w:val="0"/>
          <w:strike w:val="0"/>
          <w:color w:val="000000"/>
          <w:kern w:val="0"/>
          <w:sz w:val="28"/>
          <w:szCs w:val="28"/>
          <w:u w:val="single"/>
          <w:lang w:eastAsia="zh-CN"/>
        </w:rPr>
        <w:t>（</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highlight w:val="none"/>
        </w:rPr>
      </w:pPr>
    </w:p>
    <w:p>
      <w:pPr>
        <w:wordWrap w:val="0"/>
        <w:spacing w:before="0" w:after="0" w:line="380" w:lineRule="atLeast"/>
        <w:ind w:left="480" w:right="0"/>
        <w:jc w:val="both"/>
        <w:textAlignment w:val="baseline"/>
        <w:rPr>
          <w:sz w:val="28"/>
          <w:highlight w:val="none"/>
        </w:rPr>
      </w:pPr>
      <w:r>
        <w:rPr>
          <w:rFonts w:ascii="宋体" w:hAnsi="宋体" w:eastAsia="宋体" w:cs="宋体"/>
          <w:b/>
          <w:i w:val="0"/>
          <w:strike w:val="0"/>
          <w:color w:val="000000"/>
          <w:sz w:val="28"/>
          <w:highlight w:val="none"/>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1.项目名称：呼图壁县第一中学初中部教学仪器设备采购项目标项</w:t>
      </w:r>
      <w:r>
        <w:rPr>
          <w:rFonts w:hint="eastAsia" w:ascii="宋体" w:hAnsi="宋体" w:eastAsia="宋体" w:cs="宋体"/>
          <w:b w:val="0"/>
          <w:i w:val="0"/>
          <w:strike w:val="0"/>
          <w:color w:val="000000"/>
          <w:sz w:val="28"/>
          <w:szCs w:val="28"/>
          <w:highlight w:val="none"/>
          <w:lang w:val="en-US" w:eastAsia="zh-CN"/>
        </w:rPr>
        <w:t>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 xml:space="preserve">预算金额: </w:t>
      </w:r>
      <w:r>
        <w:rPr>
          <w:rFonts w:hint="eastAsia" w:ascii="宋体" w:hAnsi="宋体" w:eastAsia="宋体" w:cs="宋体"/>
          <w:b w:val="0"/>
          <w:i w:val="0"/>
          <w:strike w:val="0"/>
          <w:color w:val="000000"/>
          <w:sz w:val="28"/>
          <w:szCs w:val="28"/>
          <w:highlight w:val="none"/>
          <w:lang w:val="en-US" w:eastAsia="zh-CN"/>
        </w:rPr>
        <w:t>767400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 xml:space="preserve">最高限价: </w:t>
      </w:r>
      <w:r>
        <w:rPr>
          <w:rFonts w:hint="eastAsia" w:ascii="宋体" w:hAnsi="宋体" w:eastAsia="宋体" w:cs="宋体"/>
          <w:b w:val="0"/>
          <w:i w:val="0"/>
          <w:strike w:val="0"/>
          <w:color w:val="000000"/>
          <w:sz w:val="28"/>
          <w:szCs w:val="28"/>
          <w:highlight w:val="none"/>
          <w:lang w:val="en-US" w:eastAsia="zh-CN"/>
        </w:rPr>
        <w:t>758000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4.付款方式：</w:t>
      </w:r>
      <w:r>
        <w:rPr>
          <w:rFonts w:hint="eastAsia" w:ascii="宋体" w:hAnsi="宋体" w:eastAsia="宋体" w:cs="宋体"/>
          <w:b w:val="0"/>
          <w:i w:val="0"/>
          <w:strike w:val="0"/>
          <w:color w:val="000000"/>
          <w:sz w:val="28"/>
          <w:szCs w:val="28"/>
          <w:highlight w:val="none"/>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5. 采购需求：</w:t>
      </w:r>
      <w:r>
        <w:rPr>
          <w:rFonts w:hint="eastAsia" w:ascii="宋体" w:hAnsi="宋体" w:eastAsia="宋体" w:cs="宋体"/>
          <w:b w:val="0"/>
          <w:i w:val="0"/>
          <w:strike w:val="0"/>
          <w:color w:val="000000"/>
          <w:sz w:val="28"/>
          <w:szCs w:val="28"/>
          <w:highlight w:val="none"/>
          <w:lang w:val="en-US" w:eastAsia="zh-CN"/>
        </w:rPr>
        <w:t>1.初中生物、物理、化学成套实验桌凳柜及教学仪器；2.办公室沙发（详见附表）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000000"/>
          <w:sz w:val="28"/>
          <w:szCs w:val="28"/>
          <w:highlight w:val="none"/>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7.本项目不接受联合体投标。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8.本项目仅接受中国品牌投标。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lang w:eastAsia="zh-CN"/>
        </w:rPr>
      </w:pPr>
      <w:r>
        <w:rPr>
          <w:rFonts w:hint="eastAsia" w:ascii="宋体" w:hAnsi="宋体" w:eastAsia="宋体" w:cs="宋体"/>
          <w:b w:val="0"/>
          <w:i w:val="0"/>
          <w:strike w:val="0"/>
          <w:color w:val="auto"/>
          <w:sz w:val="28"/>
          <w:szCs w:val="28"/>
          <w:highlight w:val="none"/>
          <w:lang w:eastAsia="zh-CN"/>
        </w:rPr>
        <w:t>9.本项目属于货物</w:t>
      </w:r>
      <w:r>
        <w:rPr>
          <w:rFonts w:hint="eastAsia" w:ascii="宋体" w:hAnsi="宋体" w:eastAsia="宋体" w:cs="宋体"/>
          <w:b w:val="0"/>
          <w:i w:val="0"/>
          <w:strike w:val="0"/>
          <w:color w:val="auto"/>
          <w:sz w:val="28"/>
          <w:szCs w:val="28"/>
          <w:lang w:eastAsia="zh-CN"/>
        </w:rPr>
        <w:t xml:space="preserve">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auto"/>
          <w:sz w:val="28"/>
          <w:szCs w:val="28"/>
          <w:lang w:eastAsia="zh-CN"/>
        </w:rPr>
        <w:t>10.本项目采购标的对</w:t>
      </w:r>
      <w:r>
        <w:rPr>
          <w:rFonts w:hint="eastAsia" w:ascii="宋体" w:hAnsi="宋体" w:eastAsia="宋体" w:cs="宋体"/>
          <w:b w:val="0"/>
          <w:i w:val="0"/>
          <w:strike w:val="0"/>
          <w:color w:val="000000"/>
          <w:sz w:val="28"/>
          <w:szCs w:val="28"/>
          <w:lang w:eastAsia="zh-CN"/>
        </w:rPr>
        <w:t>应的中小企业划分标准所属行业为工业。行业划分标准按《国民经济行业分类》执行。中小企业划分标准按《中小企业划型标准规定》(工信部联企业[2011]300号)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1.1法人或者其他组织的营业执照等证明文件，自然人的身份证明；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2.方式：在“政采云平台”-“项目采购”-“获取采购文件”中自行免费下载招标文件,(https://www.zcygov.cn)。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2.地点：政采云平台。</w:t>
      </w:r>
    </w:p>
    <w:p>
      <w:pPr>
        <w:pStyle w:val="4"/>
        <w:rPr>
          <w:rFonts w:hint="eastAsia"/>
          <w:highlight w:val="none"/>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15000</w:t>
      </w:r>
      <w:r>
        <w:rPr>
          <w:rFonts w:hint="eastAsia" w:ascii="宋体" w:hAnsi="宋体" w:eastAsia="宋体" w:cs="宋体"/>
          <w:b w:val="0"/>
          <w:i w:val="0"/>
          <w:strike w:val="0"/>
          <w:color w:val="000000"/>
          <w:sz w:val="28"/>
          <w:szCs w:val="28"/>
          <w:lang w:eastAsia="zh-CN"/>
        </w:rPr>
        <w:t>元(大写:人民币壹万伍仟圆</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pStyle w:val="4"/>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w:t>
      </w:r>
      <w:r>
        <w:rPr>
          <w:rFonts w:hint="eastAsia" w:ascii="宋体" w:hAnsi="宋体" w:eastAsia="宋体" w:cs="宋体"/>
          <w:b w:val="0"/>
          <w:i w:val="0"/>
          <w:strike w:val="0"/>
          <w:color w:val="000000"/>
          <w:sz w:val="28"/>
          <w:szCs w:val="28"/>
          <w:lang w:val="en-US" w:eastAsia="zh-CN"/>
        </w:rPr>
        <w:t>）</w:t>
      </w:r>
      <w:r>
        <w:rPr>
          <w:rFonts w:hint="eastAsia" w:ascii="宋体" w:hAnsi="宋体" w:eastAsia="宋体" w:cs="宋体"/>
          <w:b w:val="0"/>
          <w:i w:val="0"/>
          <w:strike w:val="0"/>
          <w:color w:val="000000"/>
          <w:sz w:val="28"/>
          <w:szCs w:val="28"/>
          <w:lang w:eastAsia="zh-CN"/>
        </w:rPr>
        <w:t>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w:t>
      </w:r>
      <w:r>
        <w:rPr>
          <w:rFonts w:hint="eastAsia"/>
          <w:sz w:val="28"/>
          <w:szCs w:val="28"/>
        </w:rPr>
        <w:t>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pStyle w:val="4"/>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（3）金额为100%（合计金额为合同价款100%）的增值税专用发票；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highlight w:val="none"/>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highlight w:val="none"/>
          <w:lang w:eastAsia="zh-CN"/>
        </w:rPr>
      </w:pPr>
      <w:r>
        <w:rPr>
          <w:rFonts w:hint="eastAsia" w:ascii="宋体" w:hAnsi="宋体" w:eastAsia="宋体" w:cs="宋体"/>
          <w:b/>
          <w:i w:val="0"/>
          <w:strike w:val="0"/>
          <w:color w:val="000000"/>
          <w:sz w:val="30"/>
          <w:highlight w:val="none"/>
          <w:lang w:eastAsia="zh-CN"/>
        </w:rPr>
        <w:t>技术需求</w:t>
      </w:r>
    </w:p>
    <w:p>
      <w:pPr>
        <w:pStyle w:val="7"/>
        <w:numPr>
          <w:ilvl w:val="0"/>
          <w:numId w:val="0"/>
        </w:numPr>
        <w:rPr>
          <w:rFonts w:hint="default"/>
          <w:highlight w:val="none"/>
          <w:lang w:val="en-US" w:eastAsia="zh-CN"/>
        </w:rPr>
      </w:pPr>
      <w:r>
        <w:rPr>
          <w:rFonts w:hint="eastAsia"/>
          <w:highlight w:val="none"/>
          <w:lang w:val="en-US" w:eastAsia="zh-CN"/>
        </w:rPr>
        <w:t xml:space="preserve"> </w:t>
      </w:r>
      <w:r>
        <w:rPr>
          <w:rFonts w:hint="eastAsia" w:ascii="宋体" w:hAnsi="宋体" w:eastAsia="宋体" w:cs="宋体"/>
          <w:b w:val="0"/>
          <w:i w:val="0"/>
          <w:strike w:val="0"/>
          <w:color w:val="000000"/>
          <w:sz w:val="28"/>
          <w:szCs w:val="28"/>
          <w:highlight w:val="none"/>
          <w:lang w:val="en-US" w:eastAsia="zh-CN"/>
        </w:rPr>
        <w:t xml:space="preserve">   详见附件中第5包初中成套实验桌凳柜及教学仪器+沙发。</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p>
      <w:pPr>
        <w:wordWrap w:val="0"/>
        <w:spacing w:before="0" w:after="0" w:line="460" w:lineRule="exact"/>
        <w:ind w:left="0" w:right="0"/>
        <w:jc w:val="center"/>
        <w:textAlignment w:val="baseline"/>
        <w:rPr>
          <w:sz w:val="36"/>
          <w:szCs w:val="24"/>
        </w:rPr>
      </w:pPr>
    </w:p>
    <w:tbl>
      <w:tblPr>
        <w:tblStyle w:val="16"/>
        <w:tblpPr w:leftFromText="180" w:rightFromText="180" w:vertAnchor="text" w:horzAnchor="page" w:tblpX="1210" w:tblpY="305"/>
        <w:tblOverlap w:val="never"/>
        <w:tblW w:w="9550"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75"/>
        <w:gridCol w:w="1187"/>
        <w:gridCol w:w="624"/>
        <w:gridCol w:w="716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1" w:hRule="atLeast"/>
        </w:trPr>
        <w:tc>
          <w:tcPr>
            <w:tcW w:w="575" w:type="dxa"/>
            <w:vAlign w:val="top"/>
          </w:tcPr>
          <w:p>
            <w:pPr>
              <w:kinsoku w:val="0"/>
              <w:autoSpaceDE w:val="0"/>
              <w:autoSpaceDN w:val="0"/>
              <w:adjustRightInd w:val="0"/>
              <w:snapToGrid w:val="0"/>
              <w:spacing w:before="260" w:line="222" w:lineRule="auto"/>
              <w:jc w:val="center"/>
              <w:textAlignment w:val="baseline"/>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b/>
                <w:bCs/>
                <w:snapToGrid w:val="0"/>
                <w:color w:val="000000"/>
                <w:spacing w:val="-10"/>
                <w:kern w:val="0"/>
                <w:sz w:val="21"/>
                <w:szCs w:val="21"/>
                <w:lang w:val="en-US" w:eastAsia="zh-CN" w:bidi="ar-SA"/>
              </w:rPr>
              <w:t>类别</w:t>
            </w:r>
          </w:p>
        </w:tc>
        <w:tc>
          <w:tcPr>
            <w:tcW w:w="1187" w:type="dxa"/>
            <w:vAlign w:val="center"/>
          </w:tcPr>
          <w:p>
            <w:pPr>
              <w:kinsoku w:val="0"/>
              <w:autoSpaceDE w:val="0"/>
              <w:autoSpaceDN w:val="0"/>
              <w:adjustRightInd w:val="0"/>
              <w:snapToGrid w:val="0"/>
              <w:spacing w:before="114" w:line="223" w:lineRule="auto"/>
              <w:ind w:right="79"/>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10"/>
                <w:kern w:val="0"/>
                <w:sz w:val="21"/>
                <w:szCs w:val="21"/>
                <w:lang w:val="en-US" w:eastAsia="en-US" w:bidi="ar-SA"/>
              </w:rPr>
              <w:t>评分</w:t>
            </w:r>
            <w:r>
              <w:rPr>
                <w:rFonts w:hint="eastAsia" w:ascii="宋体" w:hAnsi="宋体" w:eastAsia="宋体" w:cs="宋体"/>
                <w:b/>
                <w:bCs/>
                <w:snapToGrid w:val="0"/>
                <w:color w:val="000000"/>
                <w:spacing w:val="-3"/>
                <w:kern w:val="0"/>
                <w:sz w:val="21"/>
                <w:szCs w:val="21"/>
                <w:lang w:val="en-US" w:eastAsia="en-US" w:bidi="ar-SA"/>
              </w:rPr>
              <w:t>项</w:t>
            </w:r>
          </w:p>
        </w:tc>
        <w:tc>
          <w:tcPr>
            <w:tcW w:w="624" w:type="dxa"/>
            <w:vAlign w:val="top"/>
          </w:tcPr>
          <w:p>
            <w:pPr>
              <w:kinsoku w:val="0"/>
              <w:autoSpaceDE w:val="0"/>
              <w:autoSpaceDN w:val="0"/>
              <w:adjustRightInd w:val="0"/>
              <w:snapToGrid w:val="0"/>
              <w:spacing w:before="259" w:line="223" w:lineRule="auto"/>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11"/>
                <w:kern w:val="0"/>
                <w:sz w:val="21"/>
                <w:szCs w:val="21"/>
                <w:lang w:val="en-US" w:eastAsia="en-US" w:bidi="ar-SA"/>
              </w:rPr>
              <w:t>分值</w:t>
            </w:r>
          </w:p>
        </w:tc>
        <w:tc>
          <w:tcPr>
            <w:tcW w:w="7164" w:type="dxa"/>
            <w:vAlign w:val="top"/>
          </w:tcPr>
          <w:p>
            <w:pPr>
              <w:kinsoku w:val="0"/>
              <w:autoSpaceDE w:val="0"/>
              <w:autoSpaceDN w:val="0"/>
              <w:adjustRightInd w:val="0"/>
              <w:snapToGrid w:val="0"/>
              <w:spacing w:before="260" w:line="222" w:lineRule="auto"/>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b/>
                <w:bCs/>
                <w:snapToGrid w:val="0"/>
                <w:color w:val="000000"/>
                <w:spacing w:val="-6"/>
                <w:kern w:val="0"/>
                <w:sz w:val="21"/>
                <w:szCs w:val="21"/>
                <w:lang w:val="en-US" w:eastAsia="en-US" w:bidi="ar-SA"/>
              </w:rPr>
              <w:t>评标内容</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0" w:hRule="atLeast"/>
        </w:trPr>
        <w:tc>
          <w:tcPr>
            <w:tcW w:w="575" w:type="dxa"/>
            <w:tcBorders>
              <w:bottom w:val="single" w:color="auto" w:sz="4" w:space="0"/>
            </w:tcBorders>
            <w:vAlign w:val="center"/>
          </w:tcPr>
          <w:p>
            <w:pPr>
              <w:kinsoku w:val="0"/>
              <w:autoSpaceDE w:val="0"/>
              <w:autoSpaceDN w:val="0"/>
              <w:adjustRightInd w:val="0"/>
              <w:snapToGrid w:val="0"/>
              <w:spacing w:before="78" w:line="181" w:lineRule="auto"/>
              <w:jc w:val="both"/>
              <w:textAlignment w:val="baseline"/>
              <w:rPr>
                <w:rFonts w:hint="eastAsia" w:ascii="宋体" w:hAnsi="宋体" w:eastAsia="宋体" w:cs="宋体"/>
                <w:snapToGrid w:val="0"/>
                <w:color w:val="000000"/>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报价</w:t>
            </w:r>
          </w:p>
        </w:tc>
        <w:tc>
          <w:tcPr>
            <w:tcW w:w="1187" w:type="dxa"/>
            <w:tcBorders>
              <w:bottom w:val="single" w:color="auto"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仿宋_GB2312" w:hAnsi="仿宋_GB2312" w:eastAsia="仿宋_GB2312" w:cs="仿宋_GB2312"/>
                <w:color w:val="000000"/>
                <w:kern w:val="0"/>
                <w:sz w:val="21"/>
                <w:szCs w:val="21"/>
                <w:lang w:val="en-US" w:eastAsia="en-US"/>
              </w:rPr>
            </w:pPr>
            <w:r>
              <w:rPr>
                <w:rFonts w:hint="eastAsia" w:ascii="仿宋_GB2312" w:hAnsi="仿宋_GB2312" w:eastAsia="仿宋_GB2312" w:cs="仿宋_GB2312"/>
                <w:color w:val="000000"/>
                <w:kern w:val="0"/>
                <w:sz w:val="21"/>
                <w:szCs w:val="21"/>
                <w:lang w:val="en-US" w:eastAsia="en-US"/>
              </w:rPr>
              <w:t>报价</w:t>
            </w:r>
          </w:p>
        </w:tc>
        <w:tc>
          <w:tcPr>
            <w:tcW w:w="624" w:type="dxa"/>
            <w:tcBorders>
              <w:bottom w:val="single" w:color="auto" w:sz="4" w:space="0"/>
            </w:tcBorders>
            <w:vAlign w:val="center"/>
          </w:tcPr>
          <w:p>
            <w:pPr>
              <w:kinsoku w:val="0"/>
              <w:autoSpaceDE w:val="0"/>
              <w:autoSpaceDN w:val="0"/>
              <w:adjustRightInd w:val="0"/>
              <w:snapToGrid w:val="0"/>
              <w:spacing w:before="78" w:line="180" w:lineRule="auto"/>
              <w:ind w:left="158"/>
              <w:jc w:val="center"/>
              <w:textAlignment w:val="baseline"/>
              <w:rPr>
                <w:rFonts w:hint="eastAsia" w:ascii="宋体" w:hAnsi="宋体" w:eastAsia="宋体" w:cs="宋体"/>
                <w:snapToGrid w:val="0"/>
                <w:color w:val="000000"/>
                <w:kern w:val="0"/>
                <w:sz w:val="21"/>
                <w:szCs w:val="21"/>
                <w:lang w:val="en-US" w:eastAsia="en-US" w:bidi="ar-SA"/>
              </w:rPr>
            </w:pPr>
            <w:r>
              <w:rPr>
                <w:rFonts w:hint="eastAsia" w:ascii="宋体" w:hAnsi="宋体" w:eastAsia="宋体" w:cs="宋体"/>
                <w:snapToGrid w:val="0"/>
                <w:color w:val="000000"/>
                <w:spacing w:val="-7"/>
                <w:kern w:val="0"/>
                <w:sz w:val="21"/>
                <w:szCs w:val="21"/>
                <w:lang w:val="en-US" w:eastAsia="en-US" w:bidi="ar-SA"/>
              </w:rPr>
              <w:t>30</w:t>
            </w:r>
          </w:p>
        </w:tc>
        <w:tc>
          <w:tcPr>
            <w:tcW w:w="7164" w:type="dxa"/>
            <w:tcBorders>
              <w:bottom w:val="single" w:color="auto" w:sz="4" w:space="0"/>
            </w:tcBorders>
            <w:vAlign w:val="top"/>
          </w:tcPr>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en-US"/>
              </w:rPr>
              <w:t>满足</w:t>
            </w:r>
            <w:r>
              <w:rPr>
                <w:rFonts w:hint="eastAsia" w:ascii="仿宋" w:hAnsi="仿宋" w:eastAsia="仿宋" w:cs="仿宋"/>
                <w:color w:val="000000"/>
                <w:kern w:val="0"/>
                <w:sz w:val="18"/>
                <w:szCs w:val="18"/>
                <w:lang w:val="en-US" w:eastAsia="zh-CN"/>
              </w:rPr>
              <w:t>招标</w:t>
            </w:r>
            <w:r>
              <w:rPr>
                <w:rFonts w:hint="eastAsia" w:ascii="仿宋" w:hAnsi="仿宋" w:eastAsia="仿宋" w:cs="仿宋"/>
                <w:color w:val="000000"/>
                <w:kern w:val="0"/>
                <w:sz w:val="18"/>
                <w:szCs w:val="18"/>
                <w:lang w:eastAsia="en-US"/>
              </w:rPr>
              <w:t>文件要求（通过资格、符合性审查）</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评分标准=（评标基准价/有效投标报价）*最大分值</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其中：评标基准价=最低投标报价。</w:t>
            </w:r>
          </w:p>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000000"/>
                <w:kern w:val="0"/>
                <w:sz w:val="24"/>
                <w:szCs w:val="24"/>
                <w:lang w:val="en-US" w:eastAsia="zh-CN" w:bidi="ar-SA"/>
              </w:rPr>
            </w:pPr>
            <w:r>
              <w:rPr>
                <w:rFonts w:hint="eastAsia" w:ascii="仿宋" w:hAnsi="仿宋" w:eastAsia="仿宋" w:cs="仿宋"/>
                <w:color w:val="000000"/>
                <w:kern w:val="0"/>
                <w:sz w:val="18"/>
                <w:szCs w:val="18"/>
                <w:lang w:val="en-US" w:eastAsia="en-US"/>
              </w:rPr>
              <w:t>报价得分=(</w:t>
            </w:r>
            <w:r>
              <w:rPr>
                <w:rFonts w:hint="eastAsia" w:ascii="仿宋" w:hAnsi="仿宋" w:eastAsia="仿宋" w:cs="仿宋"/>
                <w:color w:val="000000"/>
                <w:kern w:val="0"/>
                <w:sz w:val="18"/>
                <w:szCs w:val="18"/>
                <w:lang w:eastAsia="zh-CN"/>
              </w:rPr>
              <w:t>基准平均价</w:t>
            </w:r>
            <w:r>
              <w:rPr>
                <w:rFonts w:hint="eastAsia" w:ascii="仿宋" w:hAnsi="仿宋" w:eastAsia="仿宋" w:cs="仿宋"/>
                <w:color w:val="000000"/>
                <w:kern w:val="0"/>
                <w:sz w:val="18"/>
                <w:szCs w:val="18"/>
                <w:lang w:val="en-US" w:eastAsia="en-US"/>
              </w:rPr>
              <w:t>/</w:t>
            </w:r>
            <w:r>
              <w:rPr>
                <w:rFonts w:hint="eastAsia" w:ascii="仿宋" w:hAnsi="仿宋" w:eastAsia="仿宋" w:cs="仿宋"/>
                <w:color w:val="000000"/>
                <w:kern w:val="0"/>
                <w:sz w:val="18"/>
                <w:szCs w:val="18"/>
                <w:lang w:val="en-US" w:eastAsia="zh-CN"/>
              </w:rPr>
              <w:t>投标</w:t>
            </w:r>
            <w:r>
              <w:rPr>
                <w:rFonts w:hint="eastAsia" w:ascii="仿宋" w:hAnsi="仿宋" w:eastAsia="仿宋" w:cs="仿宋"/>
                <w:color w:val="000000"/>
                <w:kern w:val="0"/>
                <w:sz w:val="18"/>
                <w:szCs w:val="18"/>
                <w:lang w:val="en-US" w:eastAsia="en-US"/>
              </w:rPr>
              <w:t>商报价)×</w:t>
            </w:r>
            <w:r>
              <w:rPr>
                <w:rFonts w:hint="eastAsia" w:ascii="仿宋" w:hAnsi="仿宋" w:eastAsia="仿宋" w:cs="仿宋"/>
                <w:color w:val="000000"/>
                <w:kern w:val="0"/>
                <w:sz w:val="18"/>
                <w:szCs w:val="18"/>
                <w:lang w:val="en-US" w:eastAsia="zh-CN"/>
              </w:rPr>
              <w:t>30%</w:t>
            </w:r>
            <w:r>
              <w:rPr>
                <w:rFonts w:hint="eastAsia" w:ascii="仿宋" w:hAnsi="仿宋" w:eastAsia="仿宋" w:cs="仿宋"/>
                <w:color w:val="000000"/>
                <w:kern w:val="0"/>
                <w:sz w:val="18"/>
                <w:szCs w:val="18"/>
                <w:lang w:val="en-US" w:eastAsia="en-US"/>
              </w:rPr>
              <w:t xml:space="preserve">×100 </w:t>
            </w:r>
            <w:r>
              <w:rPr>
                <w:rFonts w:hint="eastAsia" w:ascii="仿宋" w:hAnsi="仿宋" w:eastAsia="仿宋" w:cs="仿宋"/>
                <w:color w:val="000000"/>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7" w:hRule="atLeast"/>
        </w:trPr>
        <w:tc>
          <w:tcPr>
            <w:tcW w:w="575" w:type="dxa"/>
            <w:vMerge w:val="restart"/>
            <w:tcBorders>
              <w:top w:val="single" w:color="auto" w:sz="4" w:space="0"/>
            </w:tcBorders>
            <w:vAlign w:val="center"/>
          </w:tcPr>
          <w:p>
            <w:pPr>
              <w:kinsoku w:val="0"/>
              <w:autoSpaceDE w:val="0"/>
              <w:autoSpaceDN w:val="0"/>
              <w:adjustRightInd w:val="0"/>
              <w:snapToGrid w:val="0"/>
              <w:spacing w:before="78" w:line="181" w:lineRule="auto"/>
              <w:jc w:val="both"/>
              <w:textAlignment w:val="baseline"/>
              <w:rPr>
                <w:rFonts w:hint="eastAsia" w:ascii="宋体" w:hAnsi="宋体" w:eastAsia="宋体" w:cs="宋体"/>
                <w:snapToGrid w:val="0"/>
                <w:color w:val="000000"/>
                <w:kern w:val="0"/>
                <w:sz w:val="24"/>
                <w:szCs w:val="24"/>
                <w:lang w:val="en-US" w:eastAsia="zh-CN" w:bidi="ar-SA"/>
              </w:rPr>
            </w:pPr>
            <w:r>
              <w:rPr>
                <w:rFonts w:hint="eastAsia" w:asciiTheme="minorEastAsia" w:hAnsiTheme="minorEastAsia" w:eastAsiaTheme="minorEastAsia" w:cstheme="minorEastAsia"/>
                <w:spacing w:val="-15"/>
                <w:sz w:val="21"/>
                <w:szCs w:val="21"/>
              </w:rPr>
              <w:t>商务部分</w:t>
            </w:r>
          </w:p>
        </w:tc>
        <w:tc>
          <w:tcPr>
            <w:tcW w:w="1187" w:type="dxa"/>
            <w:tcBorders>
              <w:top w:val="single" w:color="auto" w:sz="4" w:space="0"/>
              <w:bottom w:val="single" w:color="000000"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default" w:ascii="仿宋_GB2312" w:hAnsi="仿宋_GB2312" w:eastAsia="仿宋_GB2312" w:cs="仿宋_GB2312"/>
                <w:color w:val="000000"/>
                <w:kern w:val="0"/>
                <w:sz w:val="21"/>
                <w:szCs w:val="21"/>
                <w:lang w:val="en-US" w:eastAsia="zh-CN"/>
              </w:rPr>
            </w:pPr>
            <w:r>
              <w:rPr>
                <w:rFonts w:hint="eastAsia" w:ascii="仿宋_GB2312" w:hAnsi="仿宋_GB2312" w:eastAsia="仿宋_GB2312" w:cs="仿宋_GB2312"/>
                <w:color w:val="000000"/>
                <w:kern w:val="0"/>
                <w:sz w:val="21"/>
                <w:szCs w:val="21"/>
                <w:lang w:val="en-US" w:eastAsia="zh-CN"/>
              </w:rPr>
              <w:t>质量认证</w:t>
            </w:r>
          </w:p>
        </w:tc>
        <w:tc>
          <w:tcPr>
            <w:tcW w:w="624" w:type="dxa"/>
            <w:tcBorders>
              <w:top w:val="single" w:color="auto" w:sz="4" w:space="0"/>
              <w:bottom w:val="single" w:color="000000" w:sz="4" w:space="0"/>
            </w:tcBorders>
            <w:vAlign w:val="center"/>
          </w:tcPr>
          <w:p>
            <w:pPr>
              <w:kinsoku w:val="0"/>
              <w:autoSpaceDE w:val="0"/>
              <w:autoSpaceDN w:val="0"/>
              <w:adjustRightInd w:val="0"/>
              <w:snapToGrid w:val="0"/>
              <w:spacing w:before="78" w:line="180" w:lineRule="auto"/>
              <w:ind w:left="158"/>
              <w:jc w:val="center"/>
              <w:textAlignment w:val="baseline"/>
              <w:rPr>
                <w:rFonts w:hint="default" w:ascii="宋体" w:hAnsi="宋体" w:eastAsia="宋体" w:cs="宋体"/>
                <w:snapToGrid w:val="0"/>
                <w:color w:val="000000"/>
                <w:spacing w:val="-7"/>
                <w:kern w:val="0"/>
                <w:sz w:val="21"/>
                <w:szCs w:val="21"/>
                <w:lang w:val="en-US" w:eastAsia="zh-CN" w:bidi="ar-SA"/>
              </w:rPr>
            </w:pPr>
            <w:r>
              <w:rPr>
                <w:rFonts w:hint="eastAsia" w:ascii="宋体" w:hAnsi="宋体" w:eastAsia="宋体" w:cs="宋体"/>
                <w:snapToGrid w:val="0"/>
                <w:color w:val="000000"/>
                <w:spacing w:val="-7"/>
                <w:kern w:val="0"/>
                <w:sz w:val="21"/>
                <w:szCs w:val="21"/>
                <w:lang w:val="en-US" w:eastAsia="zh-CN" w:bidi="ar-SA"/>
              </w:rPr>
              <w:t>10</w:t>
            </w:r>
          </w:p>
        </w:tc>
        <w:tc>
          <w:tcPr>
            <w:tcW w:w="7164" w:type="dxa"/>
            <w:tcBorders>
              <w:top w:val="single" w:color="auto" w:sz="4" w:space="0"/>
              <w:bottom w:val="single" w:color="000000" w:sz="4" w:space="0"/>
            </w:tcBorders>
            <w:vAlign w:val="top"/>
          </w:tcPr>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000000"/>
                <w:kern w:val="0"/>
                <w:sz w:val="24"/>
                <w:szCs w:val="24"/>
                <w:lang w:val="en-US" w:eastAsia="en-US" w:bidi="ar-SA"/>
              </w:rPr>
            </w:pPr>
            <w:r>
              <w:rPr>
                <w:rFonts w:hint="eastAsia" w:ascii="仿宋" w:hAnsi="仿宋" w:eastAsia="仿宋" w:cs="仿宋"/>
                <w:color w:val="000000"/>
                <w:kern w:val="0"/>
                <w:sz w:val="18"/>
                <w:szCs w:val="18"/>
              </w:rPr>
              <w:t>1、投标人或生产厂家提供ISO9001中国质量管理体系认证</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rPr>
              <w:t>ISO14001中国环境管理体系认证证书，ISO</w:t>
            </w:r>
            <w:r>
              <w:rPr>
                <w:rFonts w:hint="eastAsia" w:ascii="仿宋" w:hAnsi="仿宋" w:eastAsia="仿宋" w:cs="仿宋"/>
                <w:color w:val="000000"/>
                <w:kern w:val="0"/>
                <w:sz w:val="18"/>
                <w:szCs w:val="18"/>
                <w:lang w:val="en-US" w:eastAsia="zh-CN"/>
              </w:rPr>
              <w:t>45001</w:t>
            </w:r>
            <w:r>
              <w:rPr>
                <w:rFonts w:hint="eastAsia" w:ascii="仿宋" w:hAnsi="仿宋" w:eastAsia="仿宋" w:cs="仿宋"/>
                <w:color w:val="000000"/>
                <w:kern w:val="0"/>
                <w:sz w:val="18"/>
                <w:szCs w:val="18"/>
              </w:rPr>
              <w:t>中国职业健康安全管理体系认证证书</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rPr>
              <w:t>投标人或授权生产厂家具有中国环境标志产品认证证书</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每提供一项得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rPr>
              <w:t>分，此项满分</w:t>
            </w:r>
            <w:r>
              <w:rPr>
                <w:rFonts w:hint="eastAsia" w:ascii="仿宋" w:hAnsi="仿宋" w:eastAsia="仿宋" w:cs="仿宋"/>
                <w:color w:val="000000"/>
                <w:kern w:val="0"/>
                <w:sz w:val="18"/>
                <w:szCs w:val="18"/>
                <w:lang w:val="en-US" w:eastAsia="zh-CN"/>
              </w:rPr>
              <w:t>8</w:t>
            </w:r>
            <w:r>
              <w:rPr>
                <w:rFonts w:hint="eastAsia" w:ascii="仿宋" w:hAnsi="仿宋" w:eastAsia="仿宋" w:cs="仿宋"/>
                <w:color w:val="000000"/>
                <w:kern w:val="0"/>
                <w:sz w:val="18"/>
                <w:szCs w:val="18"/>
              </w:rPr>
              <w:t>分，没有不得分。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2、投标人或生产厂家具有信用等级AAA级证书并提供信用等级报告</w:t>
            </w:r>
            <w:r>
              <w:rPr>
                <w:rFonts w:hint="eastAsia" w:ascii="仿宋" w:hAnsi="仿宋" w:eastAsia="仿宋" w:cs="仿宋"/>
                <w:color w:val="000000"/>
                <w:kern w:val="0"/>
                <w:sz w:val="18"/>
                <w:szCs w:val="18"/>
                <w:lang w:val="en-US" w:eastAsia="zh-CN"/>
              </w:rPr>
              <w:t>或</w:t>
            </w:r>
            <w:r>
              <w:rPr>
                <w:rFonts w:hint="eastAsia" w:ascii="仿宋" w:hAnsi="仿宋" w:eastAsia="仿宋" w:cs="仿宋"/>
                <w:color w:val="000000"/>
                <w:kern w:val="0"/>
                <w:sz w:val="18"/>
                <w:szCs w:val="18"/>
              </w:rPr>
              <w:t>具有重合同守信用AAA级企业证书</w:t>
            </w:r>
            <w:r>
              <w:rPr>
                <w:rFonts w:hint="eastAsia" w:ascii="仿宋" w:hAnsi="仿宋" w:eastAsia="仿宋" w:cs="仿宋"/>
                <w:color w:val="000000"/>
                <w:kern w:val="0"/>
                <w:sz w:val="18"/>
                <w:szCs w:val="18"/>
                <w:lang w:eastAsia="zh-CN"/>
              </w:rPr>
              <w:t>或</w:t>
            </w:r>
            <w:r>
              <w:rPr>
                <w:rFonts w:hint="eastAsia" w:ascii="仿宋" w:hAnsi="仿宋" w:eastAsia="仿宋" w:cs="仿宋"/>
                <w:color w:val="000000"/>
                <w:kern w:val="0"/>
                <w:sz w:val="18"/>
                <w:szCs w:val="18"/>
              </w:rPr>
              <w:t>具有工商部门</w:t>
            </w:r>
            <w:r>
              <w:rPr>
                <w:rFonts w:hint="eastAsia" w:ascii="仿宋" w:hAnsi="仿宋" w:eastAsia="仿宋" w:cs="仿宋"/>
                <w:color w:val="000000"/>
                <w:kern w:val="0"/>
                <w:sz w:val="18"/>
                <w:szCs w:val="18"/>
                <w:lang w:val="en-US" w:eastAsia="en-US"/>
              </w:rPr>
              <w:t>颁发</w:t>
            </w:r>
            <w:r>
              <w:rPr>
                <w:rFonts w:hint="eastAsia" w:ascii="仿宋" w:hAnsi="仿宋" w:eastAsia="仿宋" w:cs="仿宋"/>
                <w:color w:val="000000"/>
                <w:kern w:val="0"/>
                <w:sz w:val="18"/>
                <w:szCs w:val="18"/>
              </w:rPr>
              <w:t>的守合同重信用证书，得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w:t>
            </w:r>
            <w:r>
              <w:rPr>
                <w:rFonts w:hint="eastAsia" w:ascii="仿宋" w:hAnsi="仿宋" w:eastAsia="仿宋" w:cs="仿宋"/>
                <w:color w:val="000000"/>
                <w:kern w:val="0"/>
                <w:sz w:val="18"/>
                <w:szCs w:val="18"/>
              </w:rPr>
              <w:br w:type="textWrapping"/>
            </w:r>
            <w:r>
              <w:rPr>
                <w:rFonts w:hint="eastAsia" w:ascii="仿宋" w:hAnsi="仿宋" w:eastAsia="仿宋" w:cs="仿宋"/>
                <w:color w:val="000000"/>
                <w:kern w:val="0"/>
                <w:sz w:val="18"/>
                <w:szCs w:val="18"/>
              </w:rPr>
              <w:t>3、提供</w:t>
            </w:r>
            <w:r>
              <w:rPr>
                <w:rFonts w:hint="eastAsia" w:ascii="仿宋" w:hAnsi="仿宋" w:eastAsia="仿宋" w:cs="仿宋"/>
                <w:color w:val="000000"/>
                <w:kern w:val="0"/>
                <w:sz w:val="18"/>
                <w:szCs w:val="18"/>
                <w:lang w:eastAsia="zh-CN"/>
              </w:rPr>
              <w:t>本项目中所有</w:t>
            </w:r>
            <w:r>
              <w:rPr>
                <w:rFonts w:hint="eastAsia" w:ascii="仿宋" w:hAnsi="仿宋" w:eastAsia="仿宋" w:cs="仿宋"/>
                <w:color w:val="000000"/>
                <w:kern w:val="0"/>
                <w:sz w:val="18"/>
                <w:szCs w:val="18"/>
              </w:rPr>
              <w:t>应用软件的软件著作权证书和软件测试报告，得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rPr>
              <w:t>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 w:hRule="atLeast"/>
        </w:trPr>
        <w:tc>
          <w:tcPr>
            <w:tcW w:w="575" w:type="dxa"/>
            <w:vMerge w:val="continue"/>
            <w:vAlign w:val="center"/>
          </w:tcPr>
          <w:p>
            <w:pPr>
              <w:kinsoku w:val="0"/>
              <w:autoSpaceDE w:val="0"/>
              <w:autoSpaceDN w:val="0"/>
              <w:adjustRightInd w:val="0"/>
              <w:snapToGrid w:val="0"/>
              <w:spacing w:before="78" w:line="181" w:lineRule="auto"/>
              <w:ind w:left="253" w:leftChars="0"/>
              <w:jc w:val="center"/>
              <w:textAlignment w:val="baseline"/>
              <w:rPr>
                <w:rFonts w:hint="eastAsia" w:ascii="宋体" w:hAnsi="宋体" w:eastAsia="宋体" w:cs="宋体"/>
                <w:snapToGrid w:val="0"/>
                <w:color w:val="000000"/>
                <w:kern w:val="0"/>
                <w:sz w:val="24"/>
                <w:szCs w:val="24"/>
                <w:lang w:val="en-US" w:eastAsia="zh-CN" w:bidi="ar-SA"/>
              </w:rPr>
            </w:pPr>
          </w:p>
        </w:tc>
        <w:tc>
          <w:tcPr>
            <w:tcW w:w="1187" w:type="dxa"/>
            <w:tcBorders>
              <w:top w:val="single" w:color="000000"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Theme="minorEastAsia" w:hAnsiTheme="minorEastAsia" w:eastAsiaTheme="minorEastAsia" w:cstheme="minorEastAsia"/>
                <w:spacing w:val="-15"/>
                <w:kern w:val="2"/>
                <w:sz w:val="21"/>
                <w:szCs w:val="21"/>
                <w:lang w:val="en-US" w:eastAsia="zh-CN" w:bidi="ar-SA"/>
              </w:rPr>
            </w:pPr>
            <w:r>
              <w:rPr>
                <w:rFonts w:hint="eastAsia" w:ascii="仿宋_GB2312" w:hAnsi="仿宋_GB2312" w:eastAsia="仿宋_GB2312" w:cs="仿宋_GB2312"/>
                <w:color w:val="000000"/>
                <w:kern w:val="0"/>
                <w:sz w:val="21"/>
                <w:szCs w:val="21"/>
              </w:rPr>
              <w:t>产品质量保证措施</w:t>
            </w:r>
          </w:p>
        </w:tc>
        <w:tc>
          <w:tcPr>
            <w:tcW w:w="624" w:type="dxa"/>
            <w:tcBorders>
              <w:top w:val="single" w:color="000000"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宋体" w:hAnsi="宋体" w:eastAsia="宋体" w:cs="宋体"/>
                <w:snapToGrid w:val="0"/>
                <w:color w:val="000000"/>
                <w:spacing w:val="-7"/>
                <w:kern w:val="0"/>
                <w:sz w:val="21"/>
                <w:szCs w:val="21"/>
                <w:lang w:val="en-US" w:eastAsia="zh-CN" w:bidi="ar-SA"/>
              </w:rPr>
            </w:pPr>
            <w:r>
              <w:rPr>
                <w:rFonts w:hint="eastAsia" w:ascii="宋体" w:hAnsi="宋体" w:eastAsia="宋体" w:cs="宋体"/>
                <w:snapToGrid w:val="0"/>
                <w:color w:val="000000"/>
                <w:spacing w:val="-7"/>
                <w:kern w:val="0"/>
                <w:sz w:val="21"/>
                <w:szCs w:val="21"/>
                <w:lang w:val="en-US" w:eastAsia="zh-CN" w:bidi="ar-SA"/>
              </w:rPr>
              <w:t>6</w:t>
            </w:r>
          </w:p>
        </w:tc>
        <w:tc>
          <w:tcPr>
            <w:tcW w:w="7164" w:type="dxa"/>
            <w:tcBorders>
              <w:top w:val="single" w:color="000000"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1、对投标人货物的供货、运输进行评审，货物的供货时间短、运输及时得2分；货物的供货时间能在供货期内完成得1分；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2、对投标人安装调试过程中的质量保证体系和质量保证措施进行评审，安装调试过程中质量保证体系完备和质量保证措施得当得2分；安装调试过程中质量保证体系基本齐全和质量保证措施基本符合得1分；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3、对投标人安装调试过程中的质量承诺进行评审,安装调试过程中的质量承诺合理、优惠力度大得2分；安装调试过程中的质量承诺、优惠情况有体现得1分。</w:t>
            </w:r>
          </w:p>
          <w:p>
            <w:pPr>
              <w:kinsoku w:val="0"/>
              <w:autoSpaceDE w:val="0"/>
              <w:autoSpaceDN w:val="0"/>
              <w:adjustRightInd w:val="0"/>
              <w:snapToGrid w:val="0"/>
              <w:spacing w:before="4" w:line="222" w:lineRule="auto"/>
              <w:ind w:left="31" w:leftChars="0"/>
              <w:jc w:val="left"/>
              <w:textAlignment w:val="baseline"/>
              <w:rPr>
                <w:rFonts w:hint="eastAsia" w:ascii="仿宋" w:hAnsi="仿宋" w:eastAsia="仿宋" w:cs="仿宋"/>
                <w:color w:val="000000"/>
                <w:kern w:val="0"/>
                <w:sz w:val="18"/>
                <w:szCs w:val="18"/>
                <w:lang w:val="en-US" w:eastAsia="en-US" w:bidi="ar-SA"/>
              </w:rPr>
            </w:pPr>
            <w:r>
              <w:rPr>
                <w:rFonts w:hint="eastAsia" w:ascii="仿宋" w:hAnsi="仿宋" w:eastAsia="仿宋" w:cs="仿宋"/>
                <w:color w:val="000000"/>
                <w:kern w:val="0"/>
                <w:sz w:val="18"/>
                <w:szCs w:val="18"/>
                <w:lang w:val="en-US" w:eastAsia="en-US"/>
              </w:rPr>
              <w:t>以上项目未描述者不得分。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 w:hRule="atLeast"/>
        </w:trPr>
        <w:tc>
          <w:tcPr>
            <w:tcW w:w="575" w:type="dxa"/>
            <w:vMerge w:val="continue"/>
            <w:vAlign w:val="center"/>
          </w:tcPr>
          <w:p>
            <w:pPr>
              <w:kinsoku w:val="0"/>
              <w:autoSpaceDE w:val="0"/>
              <w:autoSpaceDN w:val="0"/>
              <w:adjustRightInd w:val="0"/>
              <w:snapToGrid w:val="0"/>
              <w:spacing w:before="78" w:line="181" w:lineRule="auto"/>
              <w:ind w:left="253" w:leftChars="0"/>
              <w:jc w:val="center"/>
              <w:textAlignment w:val="baseline"/>
              <w:rPr>
                <w:rFonts w:hint="eastAsia" w:ascii="宋体" w:hAnsi="宋体" w:eastAsia="宋体" w:cs="宋体"/>
                <w:snapToGrid w:val="0"/>
                <w:color w:val="000000"/>
                <w:kern w:val="0"/>
                <w:sz w:val="24"/>
                <w:szCs w:val="24"/>
                <w:lang w:val="en-US" w:eastAsia="zh-CN" w:bidi="ar-SA"/>
              </w:rPr>
            </w:pPr>
          </w:p>
        </w:tc>
        <w:tc>
          <w:tcPr>
            <w:tcW w:w="1187" w:type="dxa"/>
            <w:tcBorders>
              <w:top w:val="single" w:color="000000"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bidi="ar"/>
              </w:rPr>
              <w:t>类似业绩</w:t>
            </w:r>
          </w:p>
        </w:tc>
        <w:tc>
          <w:tcPr>
            <w:tcW w:w="624" w:type="dxa"/>
            <w:tcBorders>
              <w:top w:val="single" w:color="000000"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宋体" w:hAnsi="宋体" w:eastAsia="宋体" w:cs="宋体"/>
                <w:snapToGrid w:val="0"/>
                <w:color w:val="000000"/>
                <w:spacing w:val="-7"/>
                <w:kern w:val="0"/>
                <w:sz w:val="21"/>
                <w:szCs w:val="21"/>
                <w:lang w:val="en-US" w:eastAsia="zh-CN" w:bidi="ar-SA"/>
              </w:rPr>
            </w:pPr>
            <w:r>
              <w:rPr>
                <w:rFonts w:hint="eastAsia" w:ascii="宋体" w:hAnsi="宋体" w:eastAsia="宋体" w:cs="宋体"/>
                <w:snapToGrid w:val="0"/>
                <w:color w:val="000000"/>
                <w:spacing w:val="-7"/>
                <w:kern w:val="0"/>
                <w:sz w:val="21"/>
                <w:szCs w:val="21"/>
                <w:lang w:val="en-US" w:eastAsia="zh-CN" w:bidi="ar-SA"/>
              </w:rPr>
              <w:t>3</w:t>
            </w:r>
          </w:p>
        </w:tc>
        <w:tc>
          <w:tcPr>
            <w:tcW w:w="7164" w:type="dxa"/>
            <w:tcBorders>
              <w:top w:val="single" w:color="000000" w:sz="4" w:space="0"/>
            </w:tcBorders>
            <w:vAlign w:val="top"/>
          </w:tcPr>
          <w:p>
            <w:pPr>
              <w:kinsoku w:val="0"/>
              <w:autoSpaceDE w:val="0"/>
              <w:autoSpaceDN w:val="0"/>
              <w:adjustRightInd w:val="0"/>
              <w:snapToGrid w:val="0"/>
              <w:spacing w:before="4" w:line="222" w:lineRule="auto"/>
              <w:ind w:left="31" w:leftChars="0"/>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供应商从2021年1月1日至今（以合同签订时间为准）具有同类项目业绩的，每提供一个计1分，最多计3分。（提供中标（成交）通知书扫描件</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lang w:val="en-US" w:eastAsia="en-US"/>
              </w:rPr>
              <w:t>合同扫描件并加盖供应商公章，否则不计分。）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2" w:hRule="atLeast"/>
        </w:trPr>
        <w:tc>
          <w:tcPr>
            <w:tcW w:w="575" w:type="dxa"/>
            <w:vMerge w:val="continue"/>
            <w:vAlign w:val="center"/>
          </w:tcPr>
          <w:p>
            <w:pPr>
              <w:kinsoku w:val="0"/>
              <w:autoSpaceDE w:val="0"/>
              <w:autoSpaceDN w:val="0"/>
              <w:adjustRightInd w:val="0"/>
              <w:snapToGrid w:val="0"/>
              <w:spacing w:before="78" w:line="181" w:lineRule="auto"/>
              <w:ind w:left="253" w:leftChars="0"/>
              <w:jc w:val="center"/>
              <w:textAlignment w:val="baseline"/>
              <w:rPr>
                <w:rFonts w:hint="eastAsia" w:ascii="宋体" w:hAnsi="宋体" w:eastAsia="宋体" w:cs="宋体"/>
                <w:snapToGrid w:val="0"/>
                <w:color w:val="000000"/>
                <w:kern w:val="0"/>
                <w:sz w:val="24"/>
                <w:szCs w:val="24"/>
                <w:lang w:val="en-US" w:eastAsia="zh-CN" w:bidi="ar-SA"/>
              </w:rPr>
            </w:pPr>
          </w:p>
        </w:tc>
        <w:tc>
          <w:tcPr>
            <w:tcW w:w="1187" w:type="dxa"/>
            <w:tcBorders>
              <w:top w:val="single" w:color="000000" w:sz="4" w:space="0"/>
            </w:tcBorders>
            <w:vAlign w:val="center"/>
          </w:tcPr>
          <w:p>
            <w:pPr>
              <w:kinsoku w:val="0"/>
              <w:autoSpaceDE w:val="0"/>
              <w:autoSpaceDN w:val="0"/>
              <w:adjustRightInd w:val="0"/>
              <w:snapToGrid w:val="0"/>
              <w:spacing w:before="78" w:line="225" w:lineRule="auto"/>
              <w:ind w:left="224" w:leftChars="0" w:right="79" w:rightChars="0" w:hanging="122" w:firstLineChars="0"/>
              <w:jc w:val="center"/>
              <w:textAlignment w:val="baseline"/>
              <w:rPr>
                <w:rFonts w:hint="eastAsia" w:ascii="仿宋_GB2312" w:hAnsi="仿宋_GB2312" w:eastAsia="仿宋_GB2312" w:cs="仿宋_GB2312"/>
                <w:snapToGrid w:val="0"/>
                <w:color w:val="000000"/>
                <w:spacing w:val="-8"/>
                <w:kern w:val="0"/>
                <w:sz w:val="21"/>
                <w:szCs w:val="21"/>
                <w:lang w:val="en-US" w:eastAsia="en-US" w:bidi="ar-SA"/>
              </w:rPr>
            </w:pPr>
            <w:r>
              <w:rPr>
                <w:rFonts w:hint="eastAsia" w:ascii="仿宋" w:hAnsi="仿宋" w:eastAsia="仿宋" w:cs="仿宋"/>
                <w:color w:val="000000"/>
                <w:kern w:val="0"/>
                <w:szCs w:val="21"/>
              </w:rPr>
              <w:t>标书制作</w:t>
            </w:r>
          </w:p>
        </w:tc>
        <w:tc>
          <w:tcPr>
            <w:tcW w:w="624" w:type="dxa"/>
            <w:tcBorders>
              <w:top w:val="single" w:color="000000" w:sz="4" w:space="0"/>
            </w:tcBorders>
            <w:vAlign w:val="center"/>
          </w:tcPr>
          <w:p>
            <w:pPr>
              <w:kinsoku w:val="0"/>
              <w:autoSpaceDE w:val="0"/>
              <w:autoSpaceDN w:val="0"/>
              <w:adjustRightInd w:val="0"/>
              <w:snapToGrid w:val="0"/>
              <w:spacing w:before="78" w:line="180" w:lineRule="auto"/>
              <w:ind w:left="158" w:leftChars="0"/>
              <w:jc w:val="center"/>
              <w:textAlignment w:val="baseline"/>
              <w:rPr>
                <w:rFonts w:hint="eastAsia" w:ascii="宋体" w:hAnsi="宋体" w:eastAsia="宋体" w:cs="宋体"/>
                <w:snapToGrid w:val="0"/>
                <w:color w:val="000000"/>
                <w:spacing w:val="-7"/>
                <w:kern w:val="0"/>
                <w:sz w:val="21"/>
                <w:szCs w:val="21"/>
                <w:lang w:val="en-US" w:eastAsia="zh-CN" w:bidi="ar-SA"/>
              </w:rPr>
            </w:pPr>
            <w:r>
              <w:rPr>
                <w:rFonts w:hint="eastAsia" w:ascii="宋体" w:hAnsi="宋体" w:eastAsia="宋体" w:cs="宋体"/>
                <w:snapToGrid w:val="0"/>
                <w:color w:val="000000"/>
                <w:spacing w:val="-7"/>
                <w:kern w:val="0"/>
                <w:sz w:val="21"/>
                <w:szCs w:val="21"/>
                <w:lang w:val="en-US" w:eastAsia="zh-CN" w:bidi="ar-SA"/>
              </w:rPr>
              <w:t>3</w:t>
            </w:r>
          </w:p>
        </w:tc>
        <w:tc>
          <w:tcPr>
            <w:tcW w:w="7164" w:type="dxa"/>
            <w:tcBorders>
              <w:top w:val="single" w:color="000000" w:sz="4" w:space="0"/>
            </w:tcBorders>
            <w:vAlign w:val="top"/>
          </w:tcPr>
          <w:p>
            <w:pPr>
              <w:kinsoku w:val="0"/>
              <w:autoSpaceDE w:val="0"/>
              <w:autoSpaceDN w:val="0"/>
              <w:adjustRightInd w:val="0"/>
              <w:snapToGrid w:val="0"/>
              <w:spacing w:before="4" w:line="222" w:lineRule="auto"/>
              <w:ind w:left="31" w:leftChars="0"/>
              <w:jc w:val="left"/>
              <w:textAlignment w:val="baseline"/>
              <w:rPr>
                <w:rFonts w:hint="eastAsia" w:ascii="宋体" w:hAnsi="宋体" w:eastAsia="宋体" w:cs="宋体"/>
                <w:snapToGrid w:val="0"/>
                <w:color w:val="000000"/>
                <w:kern w:val="0"/>
                <w:sz w:val="24"/>
                <w:szCs w:val="24"/>
                <w:lang w:val="en-US" w:eastAsia="en-US" w:bidi="ar-SA"/>
              </w:rPr>
            </w:pPr>
            <w:r>
              <w:rPr>
                <w:rFonts w:hint="eastAsia" w:ascii="仿宋" w:hAnsi="仿宋" w:eastAsia="仿宋" w:cs="仿宋"/>
                <w:color w:val="000000"/>
                <w:kern w:val="0"/>
                <w:sz w:val="18"/>
                <w:szCs w:val="18"/>
                <w:lang w:val="en-US" w:eastAsia="en-US"/>
              </w:rPr>
              <w:t>根据投标人对响应文件的制作：响应文件制作规范，资料齐全详备，各项描述准确清晰，综合得3分；响应文件制作符合磋商文件要求，规范，提供资料真实无误，综合得2分；响应文件制作一般，各项描述含糊不清，综合得1分，此条缺项不得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8" w:hRule="atLeast"/>
        </w:trPr>
        <w:tc>
          <w:tcPr>
            <w:tcW w:w="575" w:type="dxa"/>
            <w:tcBorders>
              <w:top w:val="single" w:color="auto" w:sz="4" w:space="0"/>
              <w:bottom w:val="single" w:color="000000" w:sz="4" w:space="0"/>
            </w:tcBorders>
            <w:vAlign w:val="center"/>
          </w:tcPr>
          <w:p>
            <w:pPr>
              <w:kinsoku w:val="0"/>
              <w:autoSpaceDE w:val="0"/>
              <w:autoSpaceDN w:val="0"/>
              <w:adjustRightInd w:val="0"/>
              <w:snapToGrid w:val="0"/>
              <w:spacing w:before="78" w:line="181" w:lineRule="auto"/>
              <w:ind w:left="253"/>
              <w:jc w:val="center"/>
              <w:textAlignment w:val="baseline"/>
              <w:rPr>
                <w:rFonts w:hint="eastAsia" w:ascii="宋体" w:hAnsi="宋体" w:eastAsia="宋体" w:cs="宋体"/>
                <w:snapToGrid w:val="0"/>
                <w:color w:val="000000"/>
                <w:kern w:val="0"/>
                <w:sz w:val="24"/>
                <w:szCs w:val="24"/>
                <w:lang w:val="en-US" w:eastAsia="zh-CN" w:bidi="ar-SA"/>
              </w:rPr>
            </w:pPr>
            <w:r>
              <w:rPr>
                <w:rFonts w:hint="eastAsia" w:ascii="仿宋_GB2312" w:hAnsi="仿宋_GB2312" w:eastAsia="仿宋_GB2312" w:cs="仿宋_GB2312"/>
                <w:spacing w:val="-9"/>
                <w:sz w:val="21"/>
                <w:szCs w:val="21"/>
              </w:rPr>
              <w:t>技术</w:t>
            </w:r>
            <w:r>
              <w:rPr>
                <w:rFonts w:hint="eastAsia" w:ascii="仿宋_GB2312" w:hAnsi="仿宋_GB2312" w:eastAsia="仿宋_GB2312" w:cs="仿宋_GB2312"/>
                <w:spacing w:val="-8"/>
                <w:sz w:val="21"/>
                <w:szCs w:val="21"/>
                <w:lang w:eastAsia="zh-CN"/>
              </w:rPr>
              <w:t>部分</w:t>
            </w:r>
          </w:p>
        </w:tc>
        <w:tc>
          <w:tcPr>
            <w:tcW w:w="1187" w:type="dxa"/>
            <w:tcBorders>
              <w:top w:val="single" w:color="auto" w:sz="4" w:space="0"/>
              <w:bottom w:val="single" w:color="000000" w:sz="4" w:space="0"/>
            </w:tcBorders>
            <w:vAlign w:val="center"/>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Cs w:val="21"/>
              </w:rPr>
              <w:t>设备的质量、性能</w:t>
            </w:r>
          </w:p>
          <w:p>
            <w:pPr>
              <w:kinsoku w:val="0"/>
              <w:autoSpaceDE w:val="0"/>
              <w:autoSpaceDN w:val="0"/>
              <w:adjustRightInd w:val="0"/>
              <w:snapToGrid w:val="0"/>
              <w:spacing w:before="78" w:line="225" w:lineRule="auto"/>
              <w:ind w:left="224" w:right="79" w:hanging="122"/>
              <w:jc w:val="center"/>
              <w:textAlignment w:val="baseline"/>
              <w:rPr>
                <w:rFonts w:hint="eastAsia" w:ascii="宋体" w:hAnsi="宋体" w:cs="宋体" w:eastAsiaTheme="minorEastAsia"/>
                <w:snapToGrid w:val="0"/>
                <w:color w:val="000000"/>
                <w:spacing w:val="-8"/>
                <w:kern w:val="0"/>
                <w:sz w:val="24"/>
                <w:szCs w:val="24"/>
                <w:lang w:val="en-US" w:eastAsia="zh-CN" w:bidi="ar-SA"/>
              </w:rPr>
            </w:pPr>
          </w:p>
        </w:tc>
        <w:tc>
          <w:tcPr>
            <w:tcW w:w="624" w:type="dxa"/>
            <w:tcBorders>
              <w:top w:val="single" w:color="auto" w:sz="4" w:space="0"/>
              <w:bottom w:val="single" w:color="000000" w:sz="4" w:space="0"/>
            </w:tcBorders>
            <w:vAlign w:val="center"/>
          </w:tcPr>
          <w:p>
            <w:pPr>
              <w:kinsoku w:val="0"/>
              <w:autoSpaceDE w:val="0"/>
              <w:autoSpaceDN w:val="0"/>
              <w:adjustRightInd w:val="0"/>
              <w:snapToGrid w:val="0"/>
              <w:spacing w:before="78" w:line="180" w:lineRule="auto"/>
              <w:ind w:left="158"/>
              <w:jc w:val="center"/>
              <w:textAlignment w:val="baseline"/>
              <w:rPr>
                <w:rFonts w:hint="default" w:ascii="宋体" w:hAnsi="宋体" w:eastAsia="宋体" w:cs="宋体"/>
                <w:snapToGrid w:val="0"/>
                <w:color w:val="000000"/>
                <w:spacing w:val="-7"/>
                <w:kern w:val="0"/>
                <w:sz w:val="21"/>
                <w:szCs w:val="21"/>
                <w:lang w:val="en-US" w:eastAsia="zh-CN" w:bidi="ar-SA"/>
              </w:rPr>
            </w:pPr>
            <w:r>
              <w:rPr>
                <w:rFonts w:hint="eastAsia" w:ascii="宋体" w:hAnsi="宋体" w:eastAsia="宋体" w:cs="宋体"/>
                <w:snapToGrid w:val="0"/>
                <w:color w:val="000000"/>
                <w:spacing w:val="-7"/>
                <w:kern w:val="0"/>
                <w:sz w:val="21"/>
                <w:szCs w:val="21"/>
                <w:lang w:val="en-US" w:eastAsia="zh-CN" w:bidi="ar-SA"/>
              </w:rPr>
              <w:t>36</w:t>
            </w:r>
          </w:p>
        </w:tc>
        <w:tc>
          <w:tcPr>
            <w:tcW w:w="7164" w:type="dxa"/>
            <w:tcBorders>
              <w:top w:val="single" w:color="auto" w:sz="4" w:space="0"/>
              <w:bottom w:val="single" w:color="000000"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参数评价3</w:t>
            </w:r>
            <w:r>
              <w:rPr>
                <w:rFonts w:hint="eastAsia" w:ascii="仿宋" w:hAnsi="仿宋" w:eastAsia="仿宋" w:cs="仿宋"/>
                <w:color w:val="000000"/>
                <w:kern w:val="0"/>
                <w:sz w:val="18"/>
                <w:szCs w:val="18"/>
                <w:lang w:val="en-US" w:eastAsia="zh-CN"/>
              </w:rPr>
              <w:t>6</w:t>
            </w:r>
            <w:r>
              <w:rPr>
                <w:rFonts w:hint="eastAsia" w:ascii="仿宋" w:hAnsi="仿宋" w:eastAsia="仿宋" w:cs="仿宋"/>
                <w:color w:val="000000"/>
                <w:kern w:val="0"/>
                <w:sz w:val="18"/>
                <w:szCs w:val="18"/>
                <w:lang w:val="en-US" w:eastAsia="en-US"/>
              </w:rPr>
              <w:t>分（参数响应须按照具体技术需求提供加盖生产厂商公章的对应证明材料，未提供或提供的材料不能证明完全响应参数要求的视为不满足）</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所投产品的技术参数完全满足或优于招标文件技术参数要求的得3</w:t>
            </w:r>
            <w:r>
              <w:rPr>
                <w:rFonts w:hint="eastAsia" w:ascii="仿宋" w:hAnsi="仿宋" w:eastAsia="仿宋" w:cs="仿宋"/>
                <w:color w:val="000000"/>
                <w:kern w:val="0"/>
                <w:sz w:val="18"/>
                <w:szCs w:val="18"/>
                <w:lang w:val="en-US" w:eastAsia="zh-CN"/>
              </w:rPr>
              <w:t>6</w:t>
            </w:r>
            <w:r>
              <w:rPr>
                <w:rFonts w:hint="eastAsia" w:ascii="仿宋" w:hAnsi="仿宋" w:eastAsia="仿宋" w:cs="仿宋"/>
                <w:color w:val="000000"/>
                <w:kern w:val="0"/>
                <w:sz w:val="18"/>
                <w:szCs w:val="18"/>
                <w:lang w:val="en-US" w:eastAsia="en-US"/>
              </w:rPr>
              <w:t>分。带★项参数（非否决项）每有1项负偏离</w:t>
            </w:r>
            <w:r>
              <w:rPr>
                <w:rFonts w:hint="eastAsia" w:ascii="仿宋" w:hAnsi="仿宋" w:eastAsia="仿宋" w:cs="仿宋"/>
                <w:color w:val="000000"/>
                <w:kern w:val="0"/>
                <w:sz w:val="18"/>
                <w:szCs w:val="18"/>
                <w:lang w:val="en-US" w:eastAsia="zh-CN"/>
              </w:rPr>
              <w:t>（不满足）</w:t>
            </w:r>
            <w:r>
              <w:rPr>
                <w:rFonts w:hint="eastAsia" w:ascii="仿宋" w:hAnsi="仿宋" w:eastAsia="仿宋" w:cs="仿宋"/>
                <w:color w:val="000000"/>
                <w:kern w:val="0"/>
                <w:sz w:val="18"/>
                <w:szCs w:val="18"/>
                <w:lang w:val="en-US" w:eastAsia="en-US"/>
              </w:rPr>
              <w:t>的扣除</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lang w:val="en-US" w:eastAsia="en-US"/>
              </w:rPr>
              <w:t>分，未带★项的参数每有1负偏离</w:t>
            </w:r>
            <w:r>
              <w:rPr>
                <w:rFonts w:hint="eastAsia" w:ascii="仿宋" w:hAnsi="仿宋" w:eastAsia="仿宋" w:cs="仿宋"/>
                <w:color w:val="000000"/>
                <w:kern w:val="0"/>
                <w:sz w:val="18"/>
                <w:szCs w:val="18"/>
                <w:lang w:val="en-US" w:eastAsia="zh-CN"/>
              </w:rPr>
              <w:t>（不满足）</w:t>
            </w:r>
            <w:r>
              <w:rPr>
                <w:rFonts w:hint="eastAsia" w:ascii="仿宋" w:hAnsi="仿宋" w:eastAsia="仿宋" w:cs="仿宋"/>
                <w:color w:val="000000"/>
                <w:kern w:val="0"/>
                <w:sz w:val="18"/>
                <w:szCs w:val="18"/>
                <w:lang w:val="en-US" w:eastAsia="en-US"/>
              </w:rPr>
              <w:t>的扣</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lang w:val="en-US" w:eastAsia="en-US"/>
              </w:rPr>
              <w:t>分，两项合计扣至0分为止。</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一、</w:t>
            </w:r>
            <w:r>
              <w:rPr>
                <w:rFonts w:hint="eastAsia" w:ascii="仿宋" w:hAnsi="仿宋" w:eastAsia="仿宋" w:cs="仿宋"/>
                <w:color w:val="000000"/>
                <w:kern w:val="0"/>
                <w:sz w:val="18"/>
                <w:szCs w:val="18"/>
                <w:lang w:val="en-US" w:eastAsia="en-US"/>
              </w:rPr>
              <w:t>所投产品“仪器柜”整体具有以下检测报告：</w:t>
            </w:r>
            <w:r>
              <w:rPr>
                <w:rFonts w:hint="eastAsia" w:ascii="仿宋" w:hAnsi="仿宋" w:eastAsia="仿宋" w:cs="仿宋"/>
                <w:color w:val="FF0000"/>
                <w:kern w:val="0"/>
                <w:sz w:val="18"/>
                <w:szCs w:val="18"/>
                <w:lang w:val="en-US" w:eastAsia="zh-CN"/>
              </w:rPr>
              <w:t>（2</w:t>
            </w:r>
            <w:r>
              <w:rPr>
                <w:rFonts w:hint="eastAsia" w:ascii="仿宋" w:hAnsi="仿宋" w:eastAsia="仿宋" w:cs="仿宋"/>
                <w:color w:val="FF0000"/>
                <w:kern w:val="0"/>
                <w:sz w:val="18"/>
                <w:szCs w:val="18"/>
                <w:lang w:val="en-US" w:eastAsia="en-US"/>
              </w:rPr>
              <w:t>分</w:t>
            </w:r>
            <w:r>
              <w:rPr>
                <w:rFonts w:hint="eastAsia" w:ascii="仿宋" w:hAnsi="仿宋" w:eastAsia="仿宋" w:cs="仿宋"/>
                <w:color w:val="FF0000"/>
                <w:kern w:val="0"/>
                <w:sz w:val="18"/>
                <w:szCs w:val="18"/>
                <w:lang w:val="en-US" w:eastAsia="zh-CN"/>
              </w:rPr>
              <w:t>）</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仪器柜整体通过GB/T 32487-2016 塑料家具通用技术条件检测，柜类强度和耐久性，塑料件外观，理化性能，有害物质限量。测试结果符合指标要求。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二、所投产品“柜体箱”整体具有以下检测报告：</w:t>
            </w:r>
            <w:r>
              <w:rPr>
                <w:rFonts w:hint="eastAsia" w:ascii="仿宋" w:hAnsi="仿宋" w:eastAsia="仿宋" w:cs="仿宋"/>
                <w:color w:val="FF0000"/>
                <w:kern w:val="0"/>
                <w:sz w:val="18"/>
                <w:szCs w:val="18"/>
                <w:lang w:val="en-US" w:eastAsia="zh-CN"/>
              </w:rPr>
              <w:t>（2</w:t>
            </w:r>
            <w:r>
              <w:rPr>
                <w:rFonts w:hint="eastAsia" w:ascii="仿宋" w:hAnsi="仿宋" w:eastAsia="仿宋" w:cs="仿宋"/>
                <w:color w:val="FF0000"/>
                <w:kern w:val="0"/>
                <w:sz w:val="18"/>
                <w:szCs w:val="18"/>
                <w:lang w:val="en-US" w:eastAsia="en-US"/>
              </w:rPr>
              <w:t>分</w:t>
            </w:r>
            <w:r>
              <w:rPr>
                <w:rFonts w:hint="eastAsia" w:ascii="仿宋" w:hAnsi="仿宋" w:eastAsia="仿宋" w:cs="仿宋"/>
                <w:color w:val="FF0000"/>
                <w:kern w:val="0"/>
                <w:sz w:val="18"/>
                <w:szCs w:val="18"/>
                <w:lang w:val="en-US" w:eastAsia="zh-CN"/>
              </w:rPr>
              <w:t>）</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柜体箱整体通过GB/T 32487-2016 塑料家具通用技术条件检测，塑料件外观要求，塑料件理化性能，有害物质限量。测试结果符合指标要求。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三、所投产品“学生凳”整体具有以下检测报告：</w:t>
            </w:r>
            <w:r>
              <w:rPr>
                <w:rFonts w:hint="eastAsia" w:ascii="仿宋" w:hAnsi="仿宋" w:eastAsia="仿宋" w:cs="仿宋"/>
                <w:color w:val="FF0000"/>
                <w:kern w:val="0"/>
                <w:sz w:val="18"/>
                <w:szCs w:val="18"/>
                <w:lang w:val="en-US" w:eastAsia="zh-CN"/>
              </w:rPr>
              <w:t>（2</w:t>
            </w:r>
            <w:r>
              <w:rPr>
                <w:rFonts w:hint="eastAsia" w:ascii="仿宋" w:hAnsi="仿宋" w:eastAsia="仿宋" w:cs="仿宋"/>
                <w:color w:val="FF0000"/>
                <w:kern w:val="0"/>
                <w:sz w:val="18"/>
                <w:szCs w:val="18"/>
                <w:lang w:val="en-US" w:eastAsia="en-US"/>
              </w:rPr>
              <w:t>分</w:t>
            </w:r>
            <w:r>
              <w:rPr>
                <w:rFonts w:hint="eastAsia" w:ascii="仿宋" w:hAnsi="仿宋" w:eastAsia="仿宋" w:cs="仿宋"/>
                <w:color w:val="FF0000"/>
                <w:kern w:val="0"/>
                <w:sz w:val="18"/>
                <w:szCs w:val="18"/>
                <w:lang w:val="en-US" w:eastAsia="zh-CN"/>
              </w:rPr>
              <w:t>）</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学生凳整体通过GB/T 3325-2017金属家具通用技术条件检测，外观要求，结构安全，金属喷漆涂层，椅凳类强度和耐久度。测试结果符合指标要求。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四、所投产品“教师演示台”台面具有以下检测报告：</w:t>
            </w:r>
            <w:r>
              <w:rPr>
                <w:rFonts w:hint="eastAsia" w:ascii="仿宋" w:hAnsi="仿宋" w:eastAsia="仿宋" w:cs="仿宋"/>
                <w:color w:val="000000"/>
                <w:kern w:val="0"/>
                <w:sz w:val="18"/>
                <w:szCs w:val="18"/>
                <w:lang w:val="en-US" w:eastAsia="zh-CN"/>
              </w:rPr>
              <w:t>（</w:t>
            </w:r>
            <w:r>
              <w:rPr>
                <w:rFonts w:hint="eastAsia" w:ascii="仿宋" w:hAnsi="仿宋" w:eastAsia="仿宋" w:cs="仿宋"/>
                <w:color w:val="FF0000"/>
                <w:kern w:val="0"/>
                <w:sz w:val="18"/>
                <w:szCs w:val="18"/>
                <w:lang w:val="en-US" w:eastAsia="zh-CN"/>
              </w:rPr>
              <w:t>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1、通过检测：硫酸（98%）、盐酸（37%）、硝酸（65%）、磷酸（85%）等不低于36项化学试剂检测，检测结果达到5级标准。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2、通过检测，提供耐沸水性能、抗拉强度、弯曲强度等不低于</w:t>
            </w:r>
            <w:r>
              <w:rPr>
                <w:rFonts w:hint="eastAsia" w:ascii="宋体" w:hAnsi="宋体" w:eastAsia="宋体" w:cs="宋体"/>
                <w:color w:val="000000"/>
                <w:kern w:val="0"/>
                <w:sz w:val="18"/>
                <w:szCs w:val="18"/>
                <w:lang w:val="en-US" w:eastAsia="en-US"/>
              </w:rPr>
              <w:t>≧</w:t>
            </w:r>
            <w:r>
              <w:rPr>
                <w:rFonts w:hint="eastAsia" w:ascii="仿宋" w:hAnsi="仿宋" w:eastAsia="仿宋" w:cs="仿宋"/>
                <w:color w:val="000000"/>
                <w:kern w:val="0"/>
                <w:sz w:val="18"/>
                <w:szCs w:val="18"/>
                <w:lang w:val="en-US" w:eastAsia="en-US"/>
              </w:rPr>
              <w:t>15项物理性能检测。</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3、通过检测, 执行标准GB18580-2017《室内装饰材料人造板及其制品中甲醛释放量》，甲醛释放量小于等于 0.005mg/m3，达到环保E1级标准。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4、通过检测，按照国家标准《建筑产品和家具的挥发性有机化合物的测定排放试验室法（ISO 16000-9-2006）》检测,要求总挥发性有机物（苯、二甲苯和TVOC）的释放率&lt;2μg/㎡·h。</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5、通过检测，检测依据:JC/T1074-2008《室内空气净化功能涂覆材料净化性能》，提供（生物抗菌型净化）高能板的甲醛净化功能检测报告,要求甲醛净化效率≥30%。</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zh-CN"/>
              </w:rPr>
              <w:t>五、</w:t>
            </w:r>
            <w:r>
              <w:rPr>
                <w:rFonts w:hint="eastAsia" w:ascii="仿宋" w:hAnsi="仿宋" w:eastAsia="仿宋" w:cs="仿宋"/>
                <w:color w:val="000000"/>
                <w:kern w:val="0"/>
                <w:sz w:val="18"/>
                <w:szCs w:val="18"/>
                <w:lang w:val="en-US" w:eastAsia="en-US"/>
              </w:rPr>
              <w:t>所投产品“教师演示台”整体具有以下检测报告：</w:t>
            </w:r>
            <w:r>
              <w:rPr>
                <w:rFonts w:hint="eastAsia" w:ascii="仿宋" w:hAnsi="仿宋" w:eastAsia="仿宋" w:cs="仿宋"/>
                <w:color w:val="FF0000"/>
                <w:kern w:val="0"/>
                <w:sz w:val="18"/>
                <w:szCs w:val="18"/>
                <w:lang w:val="en-US" w:eastAsia="zh-CN"/>
              </w:rPr>
              <w:t>（2</w:t>
            </w:r>
            <w:r>
              <w:rPr>
                <w:rFonts w:hint="eastAsia" w:ascii="仿宋" w:hAnsi="仿宋" w:eastAsia="仿宋" w:cs="仿宋"/>
                <w:color w:val="FF0000"/>
                <w:kern w:val="0"/>
                <w:sz w:val="18"/>
                <w:szCs w:val="18"/>
                <w:lang w:val="en-US" w:eastAsia="en-US"/>
              </w:rPr>
              <w:t>分</w:t>
            </w:r>
            <w:r>
              <w:rPr>
                <w:rFonts w:hint="eastAsia" w:ascii="仿宋" w:hAnsi="仿宋" w:eastAsia="仿宋" w:cs="仿宋"/>
                <w:color w:val="FF0000"/>
                <w:kern w:val="0"/>
                <w:sz w:val="18"/>
                <w:szCs w:val="18"/>
                <w:lang w:val="en-US" w:eastAsia="zh-CN"/>
              </w:rPr>
              <w:t>）</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教师演示台整体通过GB/T 21747-2008 教学实验室设备 实验台（桌）的安全要求及试验方法标准检测，力学性能要求，理化性能要求，甲醛释放量，测试结果符合指标要求。</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zh-CN"/>
              </w:rPr>
              <w:t>六、</w:t>
            </w:r>
            <w:r>
              <w:rPr>
                <w:rFonts w:hint="eastAsia" w:ascii="仿宋" w:hAnsi="仿宋" w:eastAsia="仿宋" w:cs="仿宋"/>
                <w:color w:val="000000"/>
                <w:kern w:val="0"/>
                <w:sz w:val="18"/>
                <w:szCs w:val="18"/>
                <w:lang w:val="en-US" w:eastAsia="en-US"/>
              </w:rPr>
              <w:t>所投产品“实验桌(学生)”台面具有以下检测报告：</w:t>
            </w:r>
            <w:r>
              <w:rPr>
                <w:rFonts w:hint="eastAsia" w:ascii="仿宋" w:hAnsi="仿宋" w:eastAsia="仿宋" w:cs="仿宋"/>
                <w:color w:val="000000"/>
                <w:kern w:val="0"/>
                <w:sz w:val="18"/>
                <w:szCs w:val="18"/>
                <w:lang w:val="en-US" w:eastAsia="zh-CN"/>
              </w:rPr>
              <w:t>（9分）</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1、化学性能检测：参照GB/T17657-2022《人造板及饰面人造板理化性能试验方法》检测标准：盐酸（37%）、硝酸（65%）、硫酸（98%）等不低于138项酸碱测试，测试结果为5级，提供耐腐蚀检验报告 ；</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2、物理性能检测：参照GB/T17657-2022《人造板及饰面人造板理化性能试验方法》检测标准：握螺钉力≥5290N、含水率≤0.1%、24h吸水率≤0.1%、密度≥1.53g/cm3、表面耐龟裂性能≥5级、表面耐湿热性能≥五级、耐光色牢度性能&gt;4级、色泽稳定性能、漆膜硬度&gt;9H、表面耐磨性能≥1200r等不低于16项物理性能测试提供物理性能检验报告；</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3、甲醛释放量检测：检测依据GB 18580-2017《室内装饰装修材料人造板及其制品中甲醛释放限量》检测，检测结果为未检出。</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4、抗菌性能检测及防霉性能检测:依据JC/T2039-2010《抗菌防霉木质装饰板》，提供大肠杆菌、金黄色葡萄球菌、肺炎克雷佰氏菌、鼠伤寒沙门氏菌、表皮葡萄球菌、铜绿假单胞菌、宋内志贺氏菌、白色葡萄球菌、粪肠球菌、耐甲氧西林金黄色葡萄球菌、单增细胞增生李斯特氏菌、变化考克氏菌、乙型溶血性链球群等13种菌种检测，而且抗菌率≥99.99%；。依据JC/T2039-2010《抗菌防霉木质装饰板》，提供黑曲霉、土曲霉、宛氏拟青霉、绳状青霉、出芽短梗霉、球毛壳霉等6种霉菌检测，而且防霉等级为0级；;</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5、抗老化性检测：检测依据GB/T24508-2020，表面无开裂、无鼓泡、无粉化，提供相关检测报告。;</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6、重金属检测：检测依据GB18584-2001《室内装饰装修材料木家具中有害物质限量》，检测内容为可溶性铅、可溶性镉、可溶性铬、可溶性汞，检测结果均为合格。;</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7、燃烧性能检测：检测依据GB8624-2012《建筑材料及制品燃烧性能分级》,检测内容包括燃烧增长速率指数：FIGRA0.2MJW/s≤120，60s内焰尖高度：Fsmm≤150，60s内无燃烧滴落物引燃滤纸现象,,检测结果达到B1级;产烟特性等级S2级，燃烧滴落物/微粒等级d0级。;</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8、环保性能检测：依据QB/T 2761-2006 《室内空气净化产品净化效果测定方法》检测，甲醛去除率≥50%；</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9、环保性能检测：依据QB/T 2761-2006 《室内空气净化产品净化效果测定方法》检测，甲苯去除率≥20%。</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zh-CN"/>
              </w:rPr>
              <w:t>七、</w:t>
            </w:r>
            <w:r>
              <w:rPr>
                <w:rFonts w:hint="eastAsia" w:ascii="仿宋" w:hAnsi="仿宋" w:eastAsia="仿宋" w:cs="仿宋"/>
                <w:color w:val="000000"/>
                <w:kern w:val="0"/>
                <w:sz w:val="18"/>
                <w:szCs w:val="18"/>
                <w:lang w:val="en-US" w:eastAsia="en-US"/>
              </w:rPr>
              <w:t>所投产品“实验桌(学生)”整体具有以下检测报告：</w:t>
            </w:r>
            <w:r>
              <w:rPr>
                <w:rFonts w:hint="eastAsia" w:ascii="仿宋" w:hAnsi="仿宋" w:eastAsia="仿宋" w:cs="仿宋"/>
                <w:color w:val="000000"/>
                <w:kern w:val="0"/>
                <w:sz w:val="18"/>
                <w:szCs w:val="18"/>
                <w:lang w:val="en-US" w:eastAsia="zh-CN"/>
              </w:rPr>
              <w:t>（8分）</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1、实验桌(学生)整体通过GB/T 3325-2017金属家具通用技术条件检测，外观性能要求，安全性能要求，金属喷漆涂层要求，桌类稳定性要求。测试结果符合指标要求。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2、实验桌(学生)整体通过GB/T 21747-2008 教学实验室设备 实验台（桌）的安全要求及试验方法标准检测，力学性能要求，理化性能要求，甲醛释放量。测试结果符合指标要求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3、ABS电源盒整体通过GB/T 32487-2016 塑料家具通用技术条件检测，塑料件外观要求，塑料件理化性能，有害物质限量。测试结果符合指标要求。</w:t>
            </w:r>
            <w:r>
              <w:rPr>
                <w:rFonts w:hint="eastAsia" w:ascii="仿宋" w:hAnsi="仿宋" w:eastAsia="仿宋" w:cs="仿宋"/>
                <w:color w:val="000000"/>
                <w:kern w:val="0"/>
                <w:sz w:val="18"/>
                <w:szCs w:val="18"/>
                <w:lang w:val="en-US" w:eastAsia="en-US"/>
              </w:rPr>
              <w:br w:type="textWrapping"/>
            </w:r>
            <w:r>
              <w:rPr>
                <w:rFonts w:hint="eastAsia" w:ascii="仿宋" w:hAnsi="仿宋" w:eastAsia="仿宋" w:cs="仿宋"/>
                <w:color w:val="000000"/>
                <w:kern w:val="0"/>
                <w:sz w:val="18"/>
                <w:szCs w:val="18"/>
                <w:lang w:val="en-US" w:eastAsia="en-US"/>
              </w:rPr>
              <w:t>4、书包斗整体通过GB/T 32487-2016 塑料家具通用技术条件检测，塑料件外观要求，塑料件理化性能，有害物质限量。测试结果符合指标要求。</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备注：为确保产品质量，需提供具有CMA或CNAS标识的检测报告扫描件并加盖制造商公章。本项</w:t>
            </w:r>
            <w:r>
              <w:rPr>
                <w:rFonts w:hint="eastAsia" w:ascii="仿宋" w:hAnsi="仿宋" w:eastAsia="仿宋" w:cs="仿宋"/>
                <w:color w:val="000000"/>
                <w:kern w:val="0"/>
                <w:sz w:val="18"/>
                <w:szCs w:val="18"/>
                <w:lang w:val="en-US" w:eastAsia="zh-CN"/>
              </w:rPr>
              <w:t>每项</w:t>
            </w:r>
            <w:r>
              <w:rPr>
                <w:rFonts w:hint="eastAsia" w:ascii="仿宋" w:hAnsi="仿宋" w:eastAsia="仿宋" w:cs="仿宋"/>
                <w:color w:val="000000"/>
                <w:kern w:val="0"/>
                <w:sz w:val="18"/>
                <w:szCs w:val="18"/>
                <w:lang w:val="en-US" w:eastAsia="en-US"/>
              </w:rPr>
              <w:t>完全满足计</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lang w:val="en-US" w:eastAsia="en-US"/>
              </w:rPr>
              <w:t>分，一项不满足扣</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lang w:val="en-US" w:eastAsia="en-US"/>
              </w:rPr>
              <w:t>分，扣完为止。</w:t>
            </w:r>
          </w:p>
          <w:p>
            <w:pPr>
              <w:kinsoku w:val="0"/>
              <w:autoSpaceDE w:val="0"/>
              <w:autoSpaceDN w:val="0"/>
              <w:adjustRightInd w:val="0"/>
              <w:snapToGrid w:val="0"/>
              <w:spacing w:before="4" w:line="222" w:lineRule="auto"/>
              <w:ind w:left="31"/>
              <w:jc w:val="left"/>
              <w:textAlignment w:val="baseline"/>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八、</w:t>
            </w:r>
            <w:r>
              <w:rPr>
                <w:rFonts w:hint="eastAsia" w:ascii="仿宋" w:hAnsi="仿宋" w:eastAsia="仿宋" w:cs="仿宋"/>
                <w:color w:val="000000"/>
                <w:kern w:val="0"/>
                <w:sz w:val="18"/>
                <w:szCs w:val="18"/>
                <w:lang w:val="en-US" w:eastAsia="en-US"/>
              </w:rPr>
              <w:t>所投产品“水槽柜”具有以下检测报告：</w:t>
            </w:r>
            <w:r>
              <w:rPr>
                <w:rFonts w:hint="eastAsia" w:ascii="仿宋" w:hAnsi="仿宋" w:eastAsia="仿宋" w:cs="仿宋"/>
                <w:color w:val="000000"/>
                <w:kern w:val="0"/>
                <w:sz w:val="18"/>
                <w:szCs w:val="18"/>
                <w:lang w:val="en-US" w:eastAsia="zh-CN"/>
              </w:rPr>
              <w:t>（2分）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1、依据QB/T 2761-2006《室内空气净化产品净化效果测定方法》检测：甲醛去除率≥80%；</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2、依据QB/T 2761-2006《室内空气净化产品净化效果测定方法》检测：甲苯去除率≥25%。备注：为确保产品质量，需提供具有CMA或CNAS标识的检测报告扫描件并加盖制造商公章。本项完全满足计2分，一项不满足扣1分，扣完为止。所投产品“学生凳”整体具有以下检测报告：</w:t>
            </w:r>
          </w:p>
          <w:p>
            <w:pPr>
              <w:kinsoku w:val="0"/>
              <w:autoSpaceDE w:val="0"/>
              <w:autoSpaceDN w:val="0"/>
              <w:adjustRightInd w:val="0"/>
              <w:snapToGrid w:val="0"/>
              <w:spacing w:before="4" w:line="222" w:lineRule="auto"/>
              <w:ind w:left="31"/>
              <w:jc w:val="left"/>
              <w:textAlignment w:val="baseline"/>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九、</w:t>
            </w:r>
            <w:r>
              <w:rPr>
                <w:rFonts w:hint="eastAsia" w:ascii="仿宋" w:hAnsi="仿宋" w:eastAsia="仿宋" w:cs="仿宋"/>
                <w:color w:val="000000"/>
                <w:kern w:val="0"/>
                <w:sz w:val="18"/>
                <w:szCs w:val="18"/>
                <w:lang w:val="en-US" w:eastAsia="en-US"/>
              </w:rPr>
              <w:t>所投产品</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lang w:val="en-US" w:eastAsia="en-US"/>
              </w:rPr>
              <w:t>学生凳</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lang w:val="en-US" w:eastAsia="en-US"/>
              </w:rPr>
              <w:t>整体通过GB/T 3325-2017金属家具通用技术条件检测，外观要求，结构安全，金属喷漆涂层，椅凳类强度和耐久度。测试结果符合指标要求。</w:t>
            </w:r>
            <w:r>
              <w:rPr>
                <w:rFonts w:hint="eastAsia" w:ascii="仿宋" w:hAnsi="仿宋" w:eastAsia="仿宋" w:cs="仿宋"/>
                <w:color w:val="000000"/>
                <w:kern w:val="0"/>
                <w:sz w:val="18"/>
                <w:szCs w:val="18"/>
                <w:lang w:val="en-US" w:eastAsia="zh-CN"/>
              </w:rPr>
              <w:t>（2分）</w:t>
            </w:r>
          </w:p>
          <w:p>
            <w:pPr>
              <w:pStyle w:val="5"/>
              <w:ind w:left="0" w:leftChars="0" w:firstLine="0" w:firstLineChars="0"/>
              <w:rPr>
                <w:rFonts w:hint="default" w:eastAsiaTheme="minorEastAsia"/>
                <w:lang w:val="en-US" w:eastAsia="zh-CN"/>
              </w:rPr>
            </w:pPr>
            <w:r>
              <w:rPr>
                <w:rFonts w:hint="eastAsia" w:ascii="仿宋" w:hAnsi="仿宋" w:eastAsia="仿宋" w:cs="仿宋"/>
                <w:color w:val="000000"/>
                <w:kern w:val="0"/>
                <w:sz w:val="18"/>
                <w:szCs w:val="18"/>
                <w:lang w:val="en-US" w:eastAsia="zh-CN" w:bidi="ar-SA"/>
              </w:rPr>
              <w:t>十、</w:t>
            </w:r>
            <w:r>
              <w:rPr>
                <w:rFonts w:hint="eastAsia" w:ascii="仿宋" w:hAnsi="仿宋" w:eastAsia="仿宋" w:cs="仿宋"/>
                <w:color w:val="000000"/>
                <w:kern w:val="0"/>
                <w:sz w:val="18"/>
                <w:szCs w:val="18"/>
                <w:lang w:val="en-US" w:eastAsia="en-US" w:bidi="ar-SA"/>
              </w:rPr>
              <w:t>所投产品</w:t>
            </w:r>
            <w:r>
              <w:rPr>
                <w:rFonts w:hint="eastAsia" w:ascii="仿宋" w:hAnsi="仿宋" w:eastAsia="仿宋" w:cs="仿宋"/>
                <w:color w:val="000000"/>
                <w:kern w:val="0"/>
                <w:sz w:val="18"/>
                <w:szCs w:val="18"/>
                <w:lang w:val="en-US" w:eastAsia="zh-CN" w:bidi="ar-SA"/>
              </w:rPr>
              <w:t>“沙发”符合材质、环保要求，提供符合QB/T 4768-2014;GB 18584-2001标准的检测报告（</w:t>
            </w:r>
            <w:r>
              <w:rPr>
                <w:rFonts w:hint="eastAsia" w:ascii="仿宋" w:hAnsi="仿宋" w:eastAsia="仿宋" w:cs="仿宋"/>
                <w:color w:val="000000"/>
                <w:kern w:val="0"/>
                <w:sz w:val="18"/>
                <w:szCs w:val="18"/>
                <w:lang w:val="en-US" w:eastAsia="en-US" w:bidi="ar-SA"/>
              </w:rPr>
              <w:t>需有CMA</w:t>
            </w:r>
            <w:r>
              <w:rPr>
                <w:rFonts w:hint="eastAsia" w:ascii="仿宋" w:hAnsi="仿宋" w:eastAsia="仿宋" w:cs="仿宋"/>
                <w:color w:val="000000"/>
                <w:kern w:val="0"/>
                <w:sz w:val="18"/>
                <w:szCs w:val="18"/>
                <w:lang w:val="en-US" w:eastAsia="zh-CN" w:bidi="ar-SA"/>
              </w:rPr>
              <w:t>、</w:t>
            </w:r>
            <w:r>
              <w:rPr>
                <w:rFonts w:hint="eastAsia" w:ascii="仿宋" w:hAnsi="仿宋" w:eastAsia="仿宋" w:cs="仿宋"/>
                <w:color w:val="000000"/>
                <w:kern w:val="0"/>
                <w:sz w:val="18"/>
                <w:szCs w:val="18"/>
                <w:lang w:val="en-US" w:eastAsia="en-US" w:bidi="ar-SA"/>
              </w:rPr>
              <w:t>CNAS标识的检测报告扫描件并加盖制造商公章</w:t>
            </w:r>
            <w:r>
              <w:rPr>
                <w:rFonts w:hint="eastAsia" w:ascii="仿宋" w:hAnsi="仿宋" w:eastAsia="仿宋" w:cs="仿宋"/>
                <w:color w:val="000000"/>
                <w:kern w:val="0"/>
                <w:sz w:val="18"/>
                <w:szCs w:val="18"/>
                <w:lang w:val="en-US" w:eastAsia="zh-CN" w:bidi="ar-SA"/>
              </w:rPr>
              <w:t>）2分</w:t>
            </w:r>
            <w:r>
              <w:rPr>
                <w:rFonts w:hint="eastAsia" w:ascii="仿宋" w:hAnsi="仿宋" w:eastAsia="仿宋" w:cs="仿宋"/>
                <w:color w:val="000000"/>
                <w:kern w:val="0"/>
                <w:sz w:val="18"/>
                <w:szCs w:val="18"/>
                <w:lang w:val="en-US" w:eastAsia="en-US" w:bidi="ar-SA"/>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9" w:hRule="atLeast"/>
        </w:trPr>
        <w:tc>
          <w:tcPr>
            <w:tcW w:w="575" w:type="dxa"/>
            <w:tcBorders>
              <w:top w:val="single" w:color="auto" w:sz="4" w:space="0"/>
            </w:tcBorders>
            <w:vAlign w:val="center"/>
          </w:tcPr>
          <w:p>
            <w:pPr>
              <w:kinsoku w:val="0"/>
              <w:autoSpaceDE w:val="0"/>
              <w:autoSpaceDN w:val="0"/>
              <w:adjustRightInd w:val="0"/>
              <w:snapToGrid w:val="0"/>
              <w:spacing w:before="78" w:line="181" w:lineRule="auto"/>
              <w:ind w:left="253"/>
              <w:jc w:val="center"/>
              <w:textAlignment w:val="baseline"/>
              <w:rPr>
                <w:rFonts w:hint="eastAsia" w:ascii="宋体" w:hAnsi="宋体" w:eastAsia="仿宋_GB2312" w:cs="宋体"/>
                <w:snapToGrid w:val="0"/>
                <w:color w:val="000000"/>
                <w:kern w:val="0"/>
                <w:sz w:val="24"/>
                <w:szCs w:val="24"/>
                <w:lang w:val="en-US" w:eastAsia="zh-CN" w:bidi="ar-SA"/>
              </w:rPr>
            </w:pPr>
            <w:r>
              <w:rPr>
                <w:rFonts w:hint="eastAsia" w:ascii="仿宋_GB2312" w:hAnsi="仿宋_GB2312" w:eastAsia="仿宋_GB2312" w:cs="仿宋_GB2312"/>
                <w:color w:val="000000"/>
                <w:kern w:val="0"/>
                <w:sz w:val="22"/>
                <w:szCs w:val="22"/>
                <w:lang w:bidi="ar"/>
              </w:rPr>
              <w:t>售后</w:t>
            </w:r>
            <w:r>
              <w:rPr>
                <w:rFonts w:hint="eastAsia" w:ascii="仿宋_GB2312" w:hAnsi="仿宋_GB2312" w:eastAsia="仿宋_GB2312" w:cs="仿宋_GB2312"/>
                <w:color w:val="000000"/>
                <w:kern w:val="0"/>
                <w:sz w:val="22"/>
                <w:szCs w:val="22"/>
                <w:lang w:val="en-US" w:eastAsia="zh-CN" w:bidi="ar"/>
              </w:rPr>
              <w:t>部分</w:t>
            </w:r>
          </w:p>
        </w:tc>
        <w:tc>
          <w:tcPr>
            <w:tcW w:w="1187" w:type="dxa"/>
            <w:tcBorders>
              <w:top w:val="single" w:color="auto" w:sz="4" w:space="0"/>
            </w:tcBorders>
            <w:vAlign w:val="center"/>
          </w:tcPr>
          <w:p>
            <w:pPr>
              <w:kinsoku w:val="0"/>
              <w:autoSpaceDE w:val="0"/>
              <w:autoSpaceDN w:val="0"/>
              <w:adjustRightInd w:val="0"/>
              <w:snapToGrid w:val="0"/>
              <w:spacing w:before="78" w:line="225" w:lineRule="auto"/>
              <w:ind w:left="224" w:right="79" w:hanging="122"/>
              <w:jc w:val="center"/>
              <w:textAlignment w:val="baseline"/>
              <w:rPr>
                <w:rFonts w:hint="eastAsia" w:ascii="宋体" w:hAnsi="宋体" w:eastAsia="仿宋_GB2312" w:cs="宋体"/>
                <w:snapToGrid w:val="0"/>
                <w:color w:val="000000"/>
                <w:spacing w:val="-8"/>
                <w:kern w:val="0"/>
                <w:sz w:val="24"/>
                <w:szCs w:val="24"/>
                <w:lang w:val="en-US" w:eastAsia="zh-CN" w:bidi="ar-SA"/>
              </w:rPr>
            </w:pPr>
            <w:r>
              <w:rPr>
                <w:rFonts w:hint="eastAsia" w:ascii="仿宋_GB2312" w:hAnsi="仿宋_GB2312" w:eastAsia="仿宋_GB2312" w:cs="仿宋_GB2312"/>
                <w:color w:val="000000"/>
                <w:kern w:val="0"/>
                <w:sz w:val="22"/>
                <w:szCs w:val="22"/>
                <w:lang w:bidi="ar"/>
              </w:rPr>
              <w:t>售后服务</w:t>
            </w:r>
            <w:r>
              <w:rPr>
                <w:rFonts w:hint="eastAsia" w:ascii="仿宋_GB2312" w:hAnsi="仿宋_GB2312" w:eastAsia="仿宋_GB2312" w:cs="仿宋_GB2312"/>
                <w:color w:val="000000"/>
                <w:kern w:val="0"/>
                <w:sz w:val="22"/>
                <w:szCs w:val="22"/>
                <w:lang w:val="en-US" w:eastAsia="zh-CN" w:bidi="ar"/>
              </w:rPr>
              <w:t>能力</w:t>
            </w:r>
          </w:p>
        </w:tc>
        <w:tc>
          <w:tcPr>
            <w:tcW w:w="624" w:type="dxa"/>
            <w:tcBorders>
              <w:top w:val="single" w:color="auto" w:sz="4" w:space="0"/>
            </w:tcBorders>
            <w:vAlign w:val="center"/>
          </w:tcPr>
          <w:p>
            <w:pPr>
              <w:kinsoku w:val="0"/>
              <w:autoSpaceDE w:val="0"/>
              <w:autoSpaceDN w:val="0"/>
              <w:adjustRightInd w:val="0"/>
              <w:snapToGrid w:val="0"/>
              <w:spacing w:before="78" w:line="180" w:lineRule="auto"/>
              <w:ind w:left="158"/>
              <w:jc w:val="center"/>
              <w:textAlignment w:val="baseline"/>
              <w:rPr>
                <w:rFonts w:hint="eastAsia" w:ascii="宋体" w:hAnsi="宋体" w:eastAsia="宋体" w:cs="宋体"/>
                <w:snapToGrid w:val="0"/>
                <w:color w:val="000000"/>
                <w:spacing w:val="-7"/>
                <w:kern w:val="0"/>
                <w:sz w:val="24"/>
                <w:szCs w:val="24"/>
                <w:lang w:val="en-US" w:eastAsia="zh-CN" w:bidi="ar-SA"/>
              </w:rPr>
            </w:pPr>
            <w:r>
              <w:rPr>
                <w:rFonts w:hint="eastAsia" w:ascii="宋体" w:hAnsi="宋体" w:eastAsia="宋体" w:cs="宋体"/>
                <w:snapToGrid w:val="0"/>
                <w:color w:val="000000"/>
                <w:spacing w:val="-7"/>
                <w:kern w:val="0"/>
                <w:sz w:val="21"/>
                <w:szCs w:val="21"/>
                <w:lang w:val="en-US" w:eastAsia="zh-CN" w:bidi="ar-SA"/>
              </w:rPr>
              <w:t>12</w:t>
            </w:r>
          </w:p>
        </w:tc>
        <w:tc>
          <w:tcPr>
            <w:tcW w:w="7164" w:type="dxa"/>
            <w:tcBorders>
              <w:top w:val="single" w:color="auto" w:sz="4" w:space="0"/>
            </w:tcBorders>
            <w:vAlign w:val="top"/>
          </w:tcPr>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bookmarkStart w:id="0" w:name="_GoBack"/>
            <w:r>
              <w:rPr>
                <w:rFonts w:hint="eastAsia" w:ascii="仿宋" w:hAnsi="仿宋" w:eastAsia="仿宋" w:cs="仿宋"/>
                <w:color w:val="000000"/>
                <w:kern w:val="0"/>
                <w:sz w:val="18"/>
                <w:szCs w:val="18"/>
                <w:lang w:val="en-US" w:eastAsia="en-US"/>
              </w:rPr>
              <w:t>1、根据投标人所投货物的售后服务保障体系进行评审，售后服务保障体系完善、保障力度高得2分；售后服务保障体系基本可行、保障力度基本符合用户要求得1分；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2、售后服务承诺进行评审，售后服务承诺具体、力度高得2分；售后服务承诺只简单描述、保障力度基本符合得1分；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3、售后服务人员等技术能力进行评审，售后服务人员等技术能力强得2分；售后服务人员等技术能力基本满足项目需要得1分；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4、根据投标人所投货物的服务措施、可行性进行评审，服务措施完善、可行性强得2分；服务措施有体现得1分；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5、维修计划进行评审，有完整的维修计划得1分；有简单的维修计划得0.5分；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6、根据投标人所投货物的备品备件进行评审，货物的备品备件充足得1分；货物的备品备件不充足但能提供得0.5分；</w:t>
            </w:r>
          </w:p>
          <w:p>
            <w:pPr>
              <w:kinsoku w:val="0"/>
              <w:autoSpaceDE w:val="0"/>
              <w:autoSpaceDN w:val="0"/>
              <w:adjustRightInd w:val="0"/>
              <w:snapToGrid w:val="0"/>
              <w:spacing w:before="4" w:line="222" w:lineRule="auto"/>
              <w:ind w:left="31"/>
              <w:jc w:val="left"/>
              <w:textAlignment w:val="baseline"/>
              <w:rPr>
                <w:rFonts w:hint="eastAsia" w:ascii="仿宋" w:hAnsi="仿宋" w:eastAsia="仿宋" w:cs="仿宋"/>
                <w:color w:val="000000"/>
                <w:kern w:val="0"/>
                <w:sz w:val="18"/>
                <w:szCs w:val="18"/>
                <w:lang w:val="en-US" w:eastAsia="en-US"/>
              </w:rPr>
            </w:pPr>
            <w:r>
              <w:rPr>
                <w:rFonts w:hint="eastAsia" w:ascii="仿宋" w:hAnsi="仿宋" w:eastAsia="仿宋" w:cs="仿宋"/>
                <w:color w:val="000000"/>
                <w:kern w:val="0"/>
                <w:sz w:val="18"/>
                <w:szCs w:val="18"/>
                <w:lang w:val="en-US" w:eastAsia="en-US"/>
              </w:rPr>
              <w:t>7、投标人或生产厂家具有符合GB/T27922-2011的《售后服务认证证书》五星级，得2分，没有不得分。</w:t>
            </w:r>
          </w:p>
          <w:p>
            <w:pPr>
              <w:kinsoku w:val="0"/>
              <w:autoSpaceDE w:val="0"/>
              <w:autoSpaceDN w:val="0"/>
              <w:adjustRightInd w:val="0"/>
              <w:snapToGrid w:val="0"/>
              <w:spacing w:before="4" w:line="222" w:lineRule="auto"/>
              <w:ind w:left="31"/>
              <w:jc w:val="left"/>
              <w:textAlignment w:val="baseline"/>
              <w:rPr>
                <w:rFonts w:hint="eastAsia" w:ascii="宋体" w:hAnsi="宋体" w:eastAsia="宋体" w:cs="宋体"/>
                <w:snapToGrid w:val="0"/>
                <w:color w:val="000000"/>
                <w:kern w:val="0"/>
                <w:sz w:val="24"/>
                <w:szCs w:val="24"/>
                <w:lang w:val="en-US" w:eastAsia="en-US" w:bidi="ar-SA"/>
              </w:rPr>
            </w:pPr>
            <w:r>
              <w:rPr>
                <w:rFonts w:hint="eastAsia" w:ascii="仿宋" w:hAnsi="仿宋" w:eastAsia="仿宋" w:cs="仿宋"/>
                <w:color w:val="000000"/>
                <w:kern w:val="0"/>
                <w:sz w:val="18"/>
                <w:szCs w:val="18"/>
                <w:lang w:val="en-US" w:eastAsia="en-US"/>
              </w:rPr>
              <w:t>以上项目未描述者不得分。</w:t>
            </w:r>
            <w:bookmarkEnd w:id="0"/>
          </w:p>
        </w:tc>
      </w:tr>
    </w:tbl>
    <w:p>
      <w:pPr>
        <w:pStyle w:val="4"/>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4"/>
        <w:rPr>
          <w:sz w:val="31"/>
        </w:rPr>
      </w:pPr>
    </w:p>
    <w:p>
      <w:pPr>
        <w:rPr>
          <w:sz w:val="31"/>
        </w:rPr>
      </w:pPr>
    </w:p>
    <w:p>
      <w:pPr>
        <w:pStyle w:val="4"/>
      </w:pPr>
    </w:p>
    <w:p/>
    <w:p>
      <w:pPr>
        <w:pStyle w:val="4"/>
      </w:pPr>
    </w:p>
    <w:p/>
    <w:p>
      <w:pPr>
        <w:pStyle w:val="4"/>
      </w:pPr>
    </w:p>
    <w:p/>
    <w:p>
      <w:pPr>
        <w:pStyle w:val="4"/>
      </w:pPr>
    </w:p>
    <w:p/>
    <w:p>
      <w:pPr>
        <w:pStyle w:val="4"/>
      </w:pPr>
    </w:p>
    <w:p/>
    <w:p>
      <w:pPr>
        <w:wordWrap w:val="0"/>
        <w:spacing w:before="0" w:after="0" w:line="420" w:lineRule="atLeast"/>
        <w:ind w:left="0" w:right="0"/>
        <w:jc w:val="center"/>
        <w:textAlignment w:val="baseline"/>
        <w:rPr>
          <w:sz w:val="30"/>
        </w:rPr>
      </w:pPr>
      <w:r>
        <w:rPr>
          <w:rFonts w:ascii="宋体" w:hAnsi="宋体" w:eastAsia="宋体" w:cs="宋体"/>
          <w:b/>
          <w:i w:val="0"/>
          <w:strike w:val="0"/>
          <w:color w:val="000000"/>
          <w:sz w:val="30"/>
        </w:rPr>
        <w:t>评分索引表</w:t>
      </w: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2940" w:after="0" w:line="160" w:lineRule="atLeast"/>
        <w:ind w:left="0" w:right="0"/>
        <w:jc w:val="center"/>
        <w:textAlignment w:val="baseline"/>
        <w:rPr>
          <w:sz w:val="28"/>
        </w:rPr>
      </w:pPr>
      <w:r>
        <w:rPr>
          <w:rFonts w:ascii="宋体" w:hAnsi="宋体" w:eastAsia="宋体" w:cs="宋体"/>
          <w:b/>
          <w:i w:val="0"/>
          <w:strike w:val="0"/>
          <w:color w:val="000000"/>
          <w:sz w:val="28"/>
        </w:rPr>
        <w:t>一、资格审查响应对照表</w:t>
      </w:r>
    </w:p>
    <w:p>
      <w:pPr>
        <w:wordWrap w:val="0"/>
        <w:spacing w:before="0" w:after="0" w:line="380" w:lineRule="exact"/>
        <w:ind w:left="0" w:right="0"/>
        <w:jc w:val="center"/>
        <w:textAlignment w:val="baseline"/>
        <w:rPr>
          <w:sz w:val="28"/>
        </w:rPr>
      </w:pPr>
    </w:p>
    <w:p>
      <w:pPr>
        <w:wordWrap w:val="0"/>
        <w:spacing w:before="0" w:after="0" w:line="380" w:lineRule="exact"/>
        <w:ind w:left="0" w:right="0"/>
        <w:jc w:val="center"/>
        <w:textAlignment w:val="baseline"/>
        <w:rPr>
          <w:sz w:val="28"/>
        </w:rPr>
      </w:pPr>
    </w:p>
    <w:tbl>
      <w:tblPr>
        <w:tblStyle w:val="13"/>
        <w:tblW w:w="82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 3 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提供投标承诺函（见格式4）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atLeast"/>
        <w:ind w:left="0" w:right="0"/>
        <w:jc w:val="center"/>
        <w:textAlignment w:val="baseline"/>
        <w:rPr>
          <w:sz w:val="12"/>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2"/>
        </w:rPr>
        <w:t>87</w:t>
      </w: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3"/>
        <w:tblW w:w="90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jc w:val="center"/>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3"/>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见格式5）</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《残疾人福利性单位声明函》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见格式6）</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p>
      <w:pPr>
        <w:wordWrap w:val="0"/>
        <w:spacing w:before="0" w:after="0" w:line="420" w:lineRule="exact"/>
        <w:ind w:left="0" w:right="0"/>
        <w:jc w:val="center"/>
        <w:textAlignment w:val="baseline"/>
        <w:rPr>
          <w:sz w:val="30"/>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3"/>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3"/>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3"/>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rFonts w:hint="eastAsia" w:ascii="宋体" w:hAnsi="宋体" w:eastAsia="宋体" w:cs="宋体"/>
          <w:sz w:val="30"/>
        </w:rPr>
      </w:pPr>
      <w:r>
        <w:rPr>
          <w:rFonts w:hint="eastAsia" w:ascii="宋体" w:hAnsi="宋体" w:eastAsia="宋体" w:cs="宋体"/>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4"/>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仿宋_GB2312" w:hAnsi="仿宋_GB2312" w:eastAsia="仿宋_GB2312" w:cs="仿宋_GB2312"/>
          <w:sz w:val="28"/>
          <w:szCs w:val="28"/>
          <w:u w:val="none"/>
          <w:lang w:val="en-US" w:eastAsia="zh-CN"/>
        </w:rPr>
      </w:pPr>
      <w:r>
        <w:rPr>
          <w:rStyle w:val="17"/>
        </w:rPr>
        <w:br w:type="textWrapping"/>
      </w:r>
      <w:r>
        <w:rPr>
          <w:rStyle w:val="17"/>
          <w:rFonts w:hint="eastAsia" w:eastAsia="宋体"/>
          <w:lang w:val="en-US" w:eastAsia="zh-CN"/>
        </w:rPr>
        <w:t xml:space="preserve">    </w:t>
      </w:r>
      <w:r>
        <w:rPr>
          <w:rStyle w:val="17"/>
          <w:rFonts w:hint="eastAsia" w:eastAsia="宋体"/>
          <w:sz w:val="28"/>
          <w:szCs w:val="28"/>
          <w:lang w:val="en-US" w:eastAsia="zh-CN"/>
        </w:rPr>
        <w:t>本公司（联合体）郑重声明，根据《政府采购促进中小企业发展管理办法》（财库</w:t>
      </w:r>
      <w:r>
        <w:rPr>
          <w:rStyle w:val="17"/>
          <w:rFonts w:hint="eastAsia" w:ascii="仿宋_GB2312" w:hAnsi="仿宋_GB2312" w:eastAsia="仿宋_GB2312" w:cs="仿宋_GB2312"/>
          <w:sz w:val="28"/>
          <w:szCs w:val="28"/>
          <w:lang w:val="en-US" w:eastAsia="zh-CN"/>
        </w:rPr>
        <w:t>〔2020〕46号）的规定，本公司（联合体）参加（</w:t>
      </w:r>
      <w:r>
        <w:rPr>
          <w:rStyle w:val="17"/>
          <w:rFonts w:hint="eastAsia" w:ascii="仿宋_GB2312" w:hAnsi="仿宋_GB2312" w:eastAsia="仿宋_GB2312" w:cs="仿宋_GB2312"/>
          <w:sz w:val="28"/>
          <w:szCs w:val="28"/>
          <w:u w:val="single"/>
          <w:lang w:val="en-US" w:eastAsia="zh-CN"/>
        </w:rPr>
        <w:t>单位名称）</w:t>
      </w:r>
      <w:r>
        <w:rPr>
          <w:rStyle w:val="17"/>
          <w:rFonts w:hint="eastAsia" w:ascii="仿宋_GB2312" w:hAnsi="仿宋_GB2312" w:eastAsia="仿宋_GB2312" w:cs="仿宋_GB2312"/>
          <w:sz w:val="28"/>
          <w:szCs w:val="28"/>
          <w:u w:val="none"/>
          <w:lang w:val="en-US" w:eastAsia="zh-CN"/>
        </w:rPr>
        <w:t>的</w:t>
      </w:r>
      <w:r>
        <w:rPr>
          <w:rStyle w:val="17"/>
          <w:rFonts w:hint="eastAsia" w:ascii="仿宋_GB2312" w:hAnsi="仿宋_GB2312" w:eastAsia="仿宋_GB2312" w:cs="仿宋_GB2312"/>
          <w:sz w:val="28"/>
          <w:szCs w:val="28"/>
          <w:u w:val="single"/>
          <w:lang w:val="en-US" w:eastAsia="zh-CN"/>
        </w:rPr>
        <w:t>（项目名称）</w:t>
      </w:r>
      <w:r>
        <w:rPr>
          <w:rStyle w:val="17"/>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default"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ind w:firstLine="5040" w:firstLineChars="1800"/>
        <w:rPr>
          <w:rFonts w:hint="eastAsia"/>
          <w:sz w:val="28"/>
          <w:szCs w:val="28"/>
        </w:rPr>
      </w:pPr>
      <w:r>
        <w:rPr>
          <w:rFonts w:hint="eastAsia"/>
          <w:sz w:val="28"/>
          <w:szCs w:val="28"/>
        </w:rPr>
        <w:t>企业名称（盖章）：</w:t>
      </w:r>
    </w:p>
    <w:p>
      <w:pPr>
        <w:rPr>
          <w:rFonts w:hint="eastAsia"/>
          <w:sz w:val="28"/>
          <w:szCs w:val="28"/>
          <w:lang w:val="en-US" w:eastAsia="zh-CN"/>
        </w:rPr>
      </w:pPr>
      <w:r>
        <w:rPr>
          <w:rFonts w:hint="eastAsia"/>
          <w:sz w:val="28"/>
          <w:szCs w:val="28"/>
        </w:rPr>
        <w:t xml:space="preserve">                      </w:t>
      </w:r>
      <w:r>
        <w:rPr>
          <w:rFonts w:hint="eastAsia"/>
          <w:sz w:val="28"/>
          <w:szCs w:val="28"/>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center"/>
        <w:textAlignment w:val="baseline"/>
        <w:rPr>
          <w:rFonts w:ascii="宋体" w:hAnsi="宋体" w:eastAsia="宋体" w:cs="宋体"/>
          <w:b w:val="0"/>
          <w:i w:val="0"/>
          <w:strike w:val="0"/>
          <w:color w:val="000000"/>
          <w:sz w:val="33"/>
        </w:rPr>
      </w:pPr>
      <w:r>
        <w:rPr>
          <w:rFonts w:hint="eastAsia"/>
          <w:sz w:val="28"/>
          <w:szCs w:val="28"/>
          <w:lang w:val="en-US" w:eastAsia="zh-CN"/>
        </w:rPr>
        <w:t xml:space="preserve">                                                                              </w:t>
      </w:r>
      <w:r>
        <w:rPr>
          <w:rFonts w:hint="eastAsia"/>
          <w:sz w:val="28"/>
          <w:szCs w:val="28"/>
        </w:rPr>
        <w:t>日期</w:t>
      </w:r>
      <w:r>
        <w:rPr>
          <w:rFonts w:hint="eastAsia"/>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3"/>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A9518B"/>
    <w:rsid w:val="01B71A78"/>
    <w:rsid w:val="04F17C1F"/>
    <w:rsid w:val="0BCD4D32"/>
    <w:rsid w:val="0C826F54"/>
    <w:rsid w:val="0F9B696E"/>
    <w:rsid w:val="12D97B56"/>
    <w:rsid w:val="14C96EB7"/>
    <w:rsid w:val="16D90F65"/>
    <w:rsid w:val="19C664DD"/>
    <w:rsid w:val="1AE82042"/>
    <w:rsid w:val="1CF0398D"/>
    <w:rsid w:val="1EF539B4"/>
    <w:rsid w:val="1FBB7CB7"/>
    <w:rsid w:val="2113478B"/>
    <w:rsid w:val="21AE3F5D"/>
    <w:rsid w:val="224D641F"/>
    <w:rsid w:val="24352595"/>
    <w:rsid w:val="24DD01E1"/>
    <w:rsid w:val="25FF51BC"/>
    <w:rsid w:val="27F4256F"/>
    <w:rsid w:val="2EAA75CB"/>
    <w:rsid w:val="303B1272"/>
    <w:rsid w:val="312A6522"/>
    <w:rsid w:val="318E0F35"/>
    <w:rsid w:val="32716727"/>
    <w:rsid w:val="35386E11"/>
    <w:rsid w:val="36335578"/>
    <w:rsid w:val="396278FD"/>
    <w:rsid w:val="39656A54"/>
    <w:rsid w:val="3C3C7A3D"/>
    <w:rsid w:val="40F62EB1"/>
    <w:rsid w:val="417D0CBF"/>
    <w:rsid w:val="43BF0956"/>
    <w:rsid w:val="44047954"/>
    <w:rsid w:val="488B2726"/>
    <w:rsid w:val="498E69BD"/>
    <w:rsid w:val="4E7036F3"/>
    <w:rsid w:val="4E9B11C1"/>
    <w:rsid w:val="50A25CE9"/>
    <w:rsid w:val="52134B80"/>
    <w:rsid w:val="525766D1"/>
    <w:rsid w:val="526E56C7"/>
    <w:rsid w:val="537E3305"/>
    <w:rsid w:val="55DD7953"/>
    <w:rsid w:val="55FF1631"/>
    <w:rsid w:val="569873AA"/>
    <w:rsid w:val="5B605DFA"/>
    <w:rsid w:val="5B862B05"/>
    <w:rsid w:val="5D793B4E"/>
    <w:rsid w:val="61C52EE5"/>
    <w:rsid w:val="61D4138E"/>
    <w:rsid w:val="66ED31CC"/>
    <w:rsid w:val="687F697A"/>
    <w:rsid w:val="69851184"/>
    <w:rsid w:val="6A131BB8"/>
    <w:rsid w:val="6A543A0B"/>
    <w:rsid w:val="6AA47A00"/>
    <w:rsid w:val="6D686242"/>
    <w:rsid w:val="73935DF7"/>
    <w:rsid w:val="77C97438"/>
    <w:rsid w:val="79D52DF1"/>
    <w:rsid w:val="7C884790"/>
    <w:rsid w:val="7DB1710B"/>
    <w:rsid w:val="7E6160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eastAsia="仿宋_GB2312"/>
      <w:color w:val="FF0000"/>
      <w:sz w:val="28"/>
      <w:szCs w:val="28"/>
    </w:rPr>
  </w:style>
  <w:style w:type="paragraph" w:styleId="5">
    <w:name w:val="Normal Indent"/>
    <w:basedOn w:val="1"/>
    <w:next w:val="6"/>
    <w:qFormat/>
    <w:uiPriority w:val="0"/>
    <w:pPr>
      <w:ind w:firstLine="420" w:firstLineChars="200"/>
    </w:pPr>
    <w:rPr>
      <w:szCs w:val="24"/>
    </w:rPr>
  </w:style>
  <w:style w:type="paragraph" w:styleId="6">
    <w:name w:val="toa heading"/>
    <w:basedOn w:val="1"/>
    <w:next w:val="1"/>
    <w:qFormat/>
    <w:uiPriority w:val="0"/>
    <w:pPr>
      <w:spacing w:before="120"/>
    </w:pPr>
    <w:rPr>
      <w:rFonts w:ascii="Cambria" w:hAnsi="Cambria"/>
      <w:sz w:val="24"/>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5"/>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Emphasis"/>
    <w:basedOn w:val="14"/>
    <w:qFormat/>
    <w:uiPriority w:val="0"/>
    <w:rPr>
      <w:i/>
    </w:rPr>
  </w:style>
  <w:style w:type="table" w:customStyle="1" w:styleId="16">
    <w:name w:val="Table Normal"/>
    <w:unhideWhenUsed/>
    <w:qFormat/>
    <w:uiPriority w:val="0"/>
    <w:tblPr>
      <w:tblCellMar>
        <w:top w:w="0" w:type="dxa"/>
        <w:left w:w="0" w:type="dxa"/>
        <w:bottom w:w="0" w:type="dxa"/>
        <w:right w:w="0" w:type="dxa"/>
      </w:tblCellMar>
    </w:tblPr>
  </w:style>
  <w:style w:type="character" w:customStyle="1" w:styleId="17">
    <w:name w:val="fontstyle01"/>
    <w:basedOn w:val="14"/>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47</Pages>
  <TotalTime>50</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dcterms:modified xsi:type="dcterms:W3CDTF">2024-11-08T06:10:48Z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FC85003297544891B0A30C0DEDB4FFFE_13</vt:lpwstr>
  </property>
</Properties>
</file>