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00188D">
      <w:pPr>
        <w:tabs>
          <w:tab w:val="left" w:pos="6300"/>
        </w:tabs>
        <w:spacing w:line="240" w:lineRule="auto"/>
        <w:jc w:val="center"/>
        <w:outlineLvl w:val="9"/>
        <w:rPr>
          <w:rFonts w:hint="eastAsia" w:ascii="宋体" w:hAnsi="宋体" w:eastAsia="宋体" w:cs="宋体"/>
          <w:b/>
          <w:color w:val="auto"/>
          <w:kern w:val="44"/>
          <w:sz w:val="24"/>
          <w:szCs w:val="16"/>
          <w:highlight w:val="none"/>
          <w:lang w:eastAsia="zh-CN"/>
        </w:rPr>
      </w:pPr>
      <w:bookmarkStart w:id="0" w:name="_Toc16093"/>
      <w:bookmarkStart w:id="1" w:name="_Toc17321"/>
      <w:bookmarkStart w:id="2" w:name="_Toc1934"/>
      <w:bookmarkStart w:id="3" w:name="_Toc11880"/>
      <w:bookmarkStart w:id="4" w:name="_Toc3501"/>
      <w:bookmarkStart w:id="5" w:name="_Toc31645"/>
      <w:bookmarkStart w:id="6" w:name="_Toc27286"/>
      <w:bookmarkStart w:id="7" w:name="_Toc22083"/>
      <w:bookmarkStart w:id="8" w:name="_Toc4177"/>
      <w:bookmarkStart w:id="9" w:name="_Toc31636"/>
      <w:bookmarkStart w:id="10" w:name="_Toc29241"/>
      <w:bookmarkStart w:id="11" w:name="_Toc12442"/>
      <w:bookmarkStart w:id="12" w:name="_Toc13297"/>
      <w:bookmarkStart w:id="13" w:name="_Toc13057"/>
      <w:bookmarkStart w:id="14" w:name="_Toc515647832"/>
      <w:bookmarkStart w:id="15" w:name="_Toc219175639"/>
      <w:bookmarkStart w:id="16" w:name="_Toc216582826"/>
      <w:bookmarkStart w:id="17" w:name="_Toc32647"/>
      <w:bookmarkStart w:id="18" w:name="_Toc507399907"/>
      <w:bookmarkStart w:id="19" w:name="_Toc7971"/>
      <w:bookmarkStart w:id="20" w:name="_Toc218935355"/>
    </w:p>
    <w:p w14:paraId="42E99626">
      <w:pPr>
        <w:spacing w:line="240" w:lineRule="atLeast"/>
        <w:jc w:val="center"/>
        <w:outlineLvl w:val="9"/>
        <w:rPr>
          <w:rFonts w:hint="eastAsia" w:ascii="宋体" w:hAnsi="宋体" w:eastAsia="宋体" w:cs="宋体"/>
          <w:b/>
          <w:bCs w:val="0"/>
          <w:color w:val="auto"/>
          <w:kern w:val="44"/>
          <w:sz w:val="60"/>
          <w:szCs w:val="60"/>
          <w:highlight w:val="none"/>
          <w:lang w:eastAsia="zh-CN"/>
        </w:rPr>
      </w:pPr>
      <w:r>
        <w:rPr>
          <w:rFonts w:hint="eastAsia" w:ascii="宋体" w:hAnsi="宋体" w:cs="宋体"/>
          <w:b/>
          <w:bCs w:val="0"/>
          <w:color w:val="auto"/>
          <w:kern w:val="44"/>
          <w:sz w:val="60"/>
          <w:szCs w:val="60"/>
          <w:highlight w:val="none"/>
          <w:lang w:eastAsia="zh-CN"/>
        </w:rPr>
        <w:t xml:space="preserve">叶城县教育质量提升项目（强基计划） </w:t>
      </w:r>
    </w:p>
    <w:p w14:paraId="6044E2AD">
      <w:pPr>
        <w:spacing w:line="240" w:lineRule="atLeast"/>
        <w:jc w:val="center"/>
        <w:outlineLvl w:val="9"/>
        <w:rPr>
          <w:rFonts w:hint="eastAsia" w:ascii="宋体" w:hAnsi="宋体" w:eastAsia="宋体" w:cs="宋体"/>
          <w:b/>
          <w:bCs w:val="0"/>
          <w:color w:val="auto"/>
          <w:sz w:val="48"/>
          <w:szCs w:val="48"/>
          <w:highlight w:val="none"/>
        </w:rPr>
      </w:pPr>
    </w:p>
    <w:p w14:paraId="1F6E28B0">
      <w:pPr>
        <w:spacing w:line="240" w:lineRule="atLeast"/>
        <w:jc w:val="center"/>
        <w:outlineLvl w:val="9"/>
        <w:rPr>
          <w:rFonts w:hint="eastAsia" w:ascii="宋体" w:hAnsi="宋体" w:eastAsia="宋体" w:cs="宋体"/>
          <w:b/>
          <w:bCs w:val="0"/>
          <w:color w:val="auto"/>
          <w:sz w:val="60"/>
          <w:szCs w:val="60"/>
          <w:highlight w:val="none"/>
        </w:rPr>
      </w:pPr>
      <w:r>
        <w:rPr>
          <w:rFonts w:hint="eastAsia" w:ascii="宋体" w:hAnsi="宋体" w:eastAsia="宋体" w:cs="宋体"/>
          <w:b/>
          <w:bCs w:val="0"/>
          <w:color w:val="auto"/>
          <w:sz w:val="96"/>
          <w:szCs w:val="96"/>
          <w:highlight w:val="none"/>
        </w:rPr>
        <w:t>招标文件</w:t>
      </w:r>
    </w:p>
    <w:p w14:paraId="7AB1A528">
      <w:pPr>
        <w:outlineLvl w:val="9"/>
        <w:rPr>
          <w:rFonts w:hint="eastAsia" w:ascii="宋体" w:hAnsi="宋体" w:eastAsia="宋体" w:cs="宋体"/>
          <w:highlight w:val="none"/>
        </w:rPr>
      </w:pPr>
    </w:p>
    <w:p w14:paraId="47545567">
      <w:pPr>
        <w:outlineLvl w:val="9"/>
        <w:rPr>
          <w:rFonts w:hint="eastAsia"/>
        </w:rPr>
      </w:pPr>
    </w:p>
    <w:p w14:paraId="63440CB7">
      <w:pPr>
        <w:outlineLvl w:val="9"/>
        <w:rPr>
          <w:rFonts w:hint="eastAsia" w:ascii="宋体" w:hAnsi="宋体" w:eastAsia="宋体" w:cs="宋体"/>
          <w:highlight w:val="yellow"/>
        </w:rPr>
      </w:pPr>
    </w:p>
    <w:p w14:paraId="0E3700D4">
      <w:pPr>
        <w:spacing w:line="360" w:lineRule="auto"/>
        <w:jc w:val="center"/>
        <w:outlineLvl w:val="9"/>
        <w:rPr>
          <w:rFonts w:hint="default" w:ascii="宋体" w:hAnsi="宋体" w:eastAsia="宋体" w:cs="宋体"/>
          <w:b/>
          <w:color w:val="auto"/>
          <w:sz w:val="44"/>
          <w:szCs w:val="36"/>
          <w:highlight w:val="none"/>
          <w:lang w:eastAsia="zh-CN"/>
        </w:rPr>
      </w:pPr>
      <w:r>
        <w:rPr>
          <w:rFonts w:hint="eastAsia" w:ascii="宋体" w:hAnsi="宋体" w:eastAsia="宋体" w:cs="宋体"/>
          <w:b/>
          <w:color w:val="auto"/>
          <w:sz w:val="44"/>
          <w:szCs w:val="36"/>
          <w:highlight w:val="none"/>
        </w:rPr>
        <w:t>项目编号：</w:t>
      </w:r>
      <w:r>
        <w:rPr>
          <w:rFonts w:hint="default" w:ascii="宋体" w:hAnsi="宋体" w:cs="宋体"/>
          <w:b/>
          <w:color w:val="auto"/>
          <w:sz w:val="44"/>
          <w:szCs w:val="36"/>
          <w:highlight w:val="none"/>
          <w:lang w:eastAsia="zh-CN"/>
        </w:rPr>
        <w:t>XS2025(GK)-010</w:t>
      </w:r>
    </w:p>
    <w:p w14:paraId="0DDA78E2">
      <w:pPr>
        <w:spacing w:line="240" w:lineRule="atLeast"/>
        <w:jc w:val="center"/>
        <w:outlineLvl w:val="9"/>
        <w:rPr>
          <w:rFonts w:hint="eastAsia" w:ascii="宋体" w:hAnsi="宋体" w:eastAsia="宋体" w:cs="宋体"/>
          <w:b/>
          <w:color w:val="auto"/>
          <w:sz w:val="32"/>
          <w:highlight w:val="none"/>
        </w:rPr>
      </w:pPr>
    </w:p>
    <w:p w14:paraId="3B07E283">
      <w:pPr>
        <w:outlineLvl w:val="9"/>
        <w:rPr>
          <w:rFonts w:hint="eastAsia"/>
        </w:rPr>
      </w:pPr>
    </w:p>
    <w:p w14:paraId="5D3C7C2A">
      <w:pPr>
        <w:pStyle w:val="20"/>
        <w:outlineLvl w:val="9"/>
        <w:rPr>
          <w:rFonts w:hint="eastAsia" w:ascii="宋体" w:hAnsi="宋体" w:eastAsia="宋体" w:cs="宋体"/>
          <w:highlight w:val="none"/>
        </w:rPr>
      </w:pPr>
    </w:p>
    <w:p w14:paraId="340A6123">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采</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购</w:t>
      </w:r>
      <w:r>
        <w:rPr>
          <w:rFonts w:hint="eastAsia" w:ascii="宋体" w:hAnsi="宋体" w:eastAsia="宋体" w:cs="宋体"/>
          <w:b/>
          <w:color w:val="auto"/>
          <w:sz w:val="28"/>
          <w:szCs w:val="28"/>
          <w:highlight w:val="none"/>
          <w:lang w:val="en-US" w:eastAsia="zh-CN"/>
        </w:rPr>
        <w:t xml:space="preserve"> 人</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叶城县教育局</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687391D7">
      <w:pPr>
        <w:ind w:firstLine="1120" w:firstLineChars="400"/>
        <w:outlineLvl w:val="9"/>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rPr>
        <w:t>联</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系</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人：</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eastAsia="zh-CN"/>
        </w:rPr>
        <w:t>王老师</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4F75EDEB">
      <w:pPr>
        <w:spacing w:line="360" w:lineRule="auto"/>
        <w:ind w:firstLine="1120" w:firstLineChars="400"/>
        <w:outlineLvl w:val="9"/>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rPr>
        <w:t>联系电话：</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19399271631</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p>
    <w:p w14:paraId="4C99797C">
      <w:pPr>
        <w:pStyle w:val="6"/>
        <w:outlineLvl w:val="9"/>
        <w:rPr>
          <w:rFonts w:hint="eastAsia" w:ascii="宋体" w:hAnsi="宋体" w:eastAsia="宋体" w:cs="宋体"/>
          <w:color w:val="auto"/>
          <w:sz w:val="28"/>
          <w:szCs w:val="28"/>
          <w:highlight w:val="none"/>
        </w:rPr>
      </w:pPr>
    </w:p>
    <w:p w14:paraId="69122DBD">
      <w:pPr>
        <w:pStyle w:val="7"/>
        <w:outlineLvl w:val="9"/>
        <w:rPr>
          <w:rFonts w:hint="eastAsia" w:ascii="宋体" w:hAnsi="宋体" w:eastAsia="宋体" w:cs="宋体"/>
          <w:highlight w:val="none"/>
        </w:rPr>
      </w:pPr>
    </w:p>
    <w:p w14:paraId="2886E192">
      <w:pPr>
        <w:spacing w:line="240" w:lineRule="atLeast"/>
        <w:ind w:firstLine="1120" w:firstLineChars="400"/>
        <w:outlineLvl w:val="9"/>
        <w:rPr>
          <w:rFonts w:hint="eastAsia" w:ascii="宋体" w:hAnsi="宋体" w:eastAsia="宋体" w:cs="宋体"/>
          <w:b/>
          <w:color w:val="auto"/>
          <w:sz w:val="28"/>
          <w:szCs w:val="28"/>
          <w:highlight w:val="none"/>
          <w:u w:val="single"/>
          <w:lang w:val="en-US" w:eastAsia="zh-CN"/>
        </w:rPr>
      </w:pPr>
      <w:r>
        <w:rPr>
          <w:rFonts w:hint="eastAsia" w:ascii="宋体" w:hAnsi="宋体" w:eastAsia="宋体" w:cs="宋体"/>
          <w:b/>
          <w:color w:val="auto"/>
          <w:sz w:val="28"/>
          <w:szCs w:val="28"/>
          <w:highlight w:val="none"/>
        </w:rPr>
        <w:t>代理机构：</w:t>
      </w:r>
      <w:r>
        <w:rPr>
          <w:rFonts w:hint="eastAsia" w:ascii="宋体" w:hAnsi="宋体" w:eastAsia="宋体" w:cs="宋体"/>
          <w:b/>
          <w:color w:val="auto"/>
          <w:sz w:val="28"/>
          <w:szCs w:val="28"/>
          <w:highlight w:val="none"/>
          <w:u w:val="single"/>
          <w:lang w:eastAsia="zh-CN"/>
        </w:rPr>
        <w:t>新疆信实工程招标咨询服务有限公司</w:t>
      </w:r>
    </w:p>
    <w:p w14:paraId="7C7DC0FD">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联</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系</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人：</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eastAsia="zh-CN"/>
        </w:rPr>
        <w:t>刘晓宁</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rPr>
        <w:t xml:space="preserve">       </w:t>
      </w:r>
    </w:p>
    <w:p w14:paraId="79FDACCB">
      <w:pPr>
        <w:spacing w:line="240" w:lineRule="atLeast"/>
        <w:ind w:firstLine="1120" w:firstLineChars="400"/>
        <w:outlineLvl w:val="9"/>
        <w:rPr>
          <w:rFonts w:hint="eastAsia" w:ascii="宋体" w:hAnsi="宋体" w:eastAsia="宋体" w:cs="宋体"/>
          <w:b/>
          <w:bCs/>
          <w:color w:val="auto"/>
          <w:sz w:val="32"/>
          <w:szCs w:val="40"/>
          <w:highlight w:val="none"/>
        </w:rPr>
      </w:pPr>
      <w:r>
        <w:rPr>
          <w:rFonts w:hint="eastAsia" w:ascii="宋体" w:hAnsi="宋体" w:eastAsia="宋体" w:cs="宋体"/>
          <w:b/>
          <w:color w:val="auto"/>
          <w:sz w:val="28"/>
          <w:szCs w:val="28"/>
          <w:highlight w:val="none"/>
        </w:rPr>
        <w:t>联系电话：</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eastAsia="zh-CN"/>
        </w:rPr>
        <w:t>17881381986</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rPr>
        <w:t xml:space="preserve">   </w:t>
      </w:r>
    </w:p>
    <w:p w14:paraId="6C40BD5D">
      <w:pPr>
        <w:spacing w:line="240" w:lineRule="atLeast"/>
        <w:jc w:val="center"/>
        <w:outlineLvl w:val="9"/>
        <w:rPr>
          <w:rFonts w:hint="eastAsia" w:ascii="宋体" w:hAnsi="宋体" w:eastAsia="宋体" w:cs="宋体"/>
          <w:b/>
          <w:color w:val="auto"/>
          <w:sz w:val="28"/>
          <w:szCs w:val="28"/>
          <w:highlight w:val="none"/>
        </w:rPr>
      </w:pPr>
    </w:p>
    <w:p w14:paraId="73DCEB17">
      <w:pPr>
        <w:pStyle w:val="20"/>
        <w:rPr>
          <w:rFonts w:hint="eastAsia" w:ascii="宋体" w:hAnsi="宋体" w:eastAsia="宋体" w:cs="宋体"/>
          <w:highlight w:val="none"/>
        </w:rPr>
      </w:pPr>
    </w:p>
    <w:p w14:paraId="38E00C81">
      <w:pPr>
        <w:spacing w:line="240" w:lineRule="atLeast"/>
        <w:jc w:val="center"/>
        <w:outlineLvl w:val="9"/>
        <w:rPr>
          <w:rFonts w:hint="eastAsia" w:ascii="宋体" w:hAnsi="宋体" w:eastAsia="宋体" w:cs="宋体"/>
          <w:b/>
          <w:color w:val="auto"/>
          <w:sz w:val="28"/>
          <w:szCs w:val="28"/>
          <w:highlight w:val="none"/>
          <w:lang w:val="en-US" w:eastAsia="zh-CN"/>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b/>
          <w:color w:val="auto"/>
          <w:sz w:val="28"/>
          <w:szCs w:val="28"/>
          <w:highlight w:val="none"/>
        </w:rPr>
        <w:t>日期：20</w:t>
      </w:r>
      <w:r>
        <w:rPr>
          <w:rFonts w:hint="eastAsia" w:ascii="宋体" w:hAnsi="宋体" w:eastAsia="宋体" w:cs="宋体"/>
          <w:b/>
          <w:color w:val="auto"/>
          <w:sz w:val="28"/>
          <w:szCs w:val="28"/>
          <w:highlight w:val="none"/>
          <w:lang w:val="en-US" w:eastAsia="zh-CN"/>
        </w:rPr>
        <w:t>2</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rPr>
        <w:t>年</w:t>
      </w:r>
      <w:r>
        <w:rPr>
          <w:rFonts w:hint="eastAsia" w:ascii="宋体" w:hAnsi="宋体" w:cs="宋体"/>
          <w:b/>
          <w:color w:val="auto"/>
          <w:sz w:val="28"/>
          <w:szCs w:val="28"/>
          <w:highlight w:val="none"/>
          <w:lang w:val="en-US" w:eastAsia="zh-CN"/>
        </w:rPr>
        <w:t>3</w:t>
      </w:r>
      <w:r>
        <w:rPr>
          <w:rFonts w:hint="eastAsia" w:ascii="宋体" w:hAnsi="宋体" w:eastAsia="宋体" w:cs="宋体"/>
          <w:b/>
          <w:color w:val="auto"/>
          <w:sz w:val="28"/>
          <w:szCs w:val="28"/>
          <w:highlight w:val="none"/>
          <w:lang w:val="en-US" w:eastAsia="zh-CN"/>
        </w:rPr>
        <w:t>月</w:t>
      </w:r>
    </w:p>
    <w:p w14:paraId="1B305FC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8"/>
          <w:szCs w:val="28"/>
          <w:highlight w:val="none"/>
        </w:rPr>
      </w:pPr>
      <w:bookmarkStart w:id="21" w:name="_Toc17230"/>
      <w:bookmarkStart w:id="22" w:name="_Toc8627"/>
      <w:bookmarkStart w:id="23" w:name="_Toc22782"/>
      <w:bookmarkStart w:id="24" w:name="_Toc216582804"/>
      <w:bookmarkStart w:id="25" w:name="_Toc11115"/>
      <w:bookmarkStart w:id="26" w:name="_Toc515647798"/>
      <w:bookmarkStart w:id="27" w:name="_Toc25253"/>
      <w:bookmarkStart w:id="28" w:name="_Toc16548"/>
      <w:bookmarkStart w:id="29" w:name="_Toc1148"/>
      <w:r>
        <w:rPr>
          <w:rFonts w:hint="eastAsia" w:ascii="宋体" w:hAnsi="宋体" w:eastAsia="宋体" w:cs="宋体"/>
          <w:b/>
          <w:bCs/>
          <w:color w:val="auto"/>
          <w:sz w:val="28"/>
          <w:szCs w:val="28"/>
          <w:highlight w:val="none"/>
        </w:rPr>
        <w:t>目   录</w:t>
      </w:r>
    </w:p>
    <w:p w14:paraId="7B15A88D">
      <w:pPr>
        <w:pStyle w:val="19"/>
        <w:tabs>
          <w:tab w:val="right" w:leader="dot" w:pos="8279"/>
        </w:tabs>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TOC \o "1-3" \h \u </w:instrText>
      </w:r>
      <w:r>
        <w:rPr>
          <w:rFonts w:hint="eastAsia" w:ascii="宋体" w:hAnsi="宋体" w:eastAsia="宋体" w:cs="宋体"/>
          <w:sz w:val="21"/>
          <w:szCs w:val="21"/>
          <w:highlight w:val="none"/>
        </w:rPr>
        <w:fldChar w:fldCharType="separate"/>
      </w: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_Toc5602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rPr>
        <w:t>第1章</w:t>
      </w:r>
      <w:r>
        <w:rPr>
          <w:rFonts w:hint="eastAsia" w:ascii="宋体" w:hAnsi="宋体" w:eastAsia="宋体" w:cs="宋体"/>
          <w:bCs/>
          <w:szCs w:val="32"/>
          <w:highlight w:val="none"/>
          <w:lang w:val="en-US" w:eastAsia="zh-CN"/>
        </w:rPr>
        <w:t xml:space="preserve">  </w:t>
      </w:r>
      <w:r>
        <w:rPr>
          <w:rFonts w:hint="eastAsia" w:ascii="宋体" w:hAnsi="宋体" w:eastAsia="宋体" w:cs="宋体"/>
          <w:bCs/>
          <w:szCs w:val="32"/>
          <w:highlight w:val="none"/>
          <w:lang w:eastAsia="zh-CN"/>
        </w:rPr>
        <w:t>供应商</w:t>
      </w:r>
      <w:r>
        <w:rPr>
          <w:rFonts w:hint="eastAsia" w:ascii="宋体" w:hAnsi="宋体" w:eastAsia="宋体" w:cs="宋体"/>
          <w:bCs/>
          <w:szCs w:val="32"/>
          <w:highlight w:val="none"/>
        </w:rPr>
        <w:t>须知</w:t>
      </w:r>
      <w:r>
        <w:tab/>
      </w:r>
      <w:r>
        <w:fldChar w:fldCharType="begin"/>
      </w:r>
      <w:r>
        <w:instrText xml:space="preserve"> PAGEREF _Toc5602 \h </w:instrText>
      </w:r>
      <w:r>
        <w:fldChar w:fldCharType="separate"/>
      </w:r>
      <w:r>
        <w:t>4</w:t>
      </w:r>
      <w:r>
        <w:fldChar w:fldCharType="end"/>
      </w:r>
      <w:r>
        <w:rPr>
          <w:rFonts w:hint="eastAsia" w:ascii="宋体" w:hAnsi="宋体" w:eastAsia="宋体" w:cs="宋体"/>
          <w:szCs w:val="21"/>
          <w:highlight w:val="none"/>
        </w:rPr>
        <w:fldChar w:fldCharType="end"/>
      </w:r>
    </w:p>
    <w:p w14:paraId="488EE3A1">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_Toc23807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一   总 则</w:t>
      </w:r>
      <w:r>
        <w:tab/>
      </w:r>
      <w:r>
        <w:fldChar w:fldCharType="begin"/>
      </w:r>
      <w:r>
        <w:instrText xml:space="preserve"> PAGEREF _Toc23807 \h </w:instrText>
      </w:r>
      <w:r>
        <w:fldChar w:fldCharType="separate"/>
      </w:r>
      <w:r>
        <w:t>4</w:t>
      </w:r>
      <w:r>
        <w:fldChar w:fldCharType="end"/>
      </w:r>
      <w:r>
        <w:rPr>
          <w:rFonts w:hint="eastAsia" w:ascii="宋体" w:hAnsi="宋体" w:eastAsia="宋体" w:cs="宋体"/>
          <w:szCs w:val="21"/>
          <w:highlight w:val="none"/>
        </w:rPr>
        <w:fldChar w:fldCharType="end"/>
      </w:r>
    </w:p>
    <w:p w14:paraId="10681CF6">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_Toc18665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w:t>
      </w:r>
      <w:r>
        <w:rPr>
          <w:rFonts w:hint="eastAsia" w:ascii="宋体" w:hAnsi="宋体" w:eastAsia="宋体" w:cs="宋体"/>
          <w:bCs/>
          <w:szCs w:val="24"/>
          <w:highlight w:val="none"/>
        </w:rPr>
        <w:t>采购人、采购代理机构及</w:t>
      </w:r>
      <w:r>
        <w:rPr>
          <w:rFonts w:hint="eastAsia" w:ascii="宋体" w:hAnsi="宋体" w:eastAsia="宋体" w:cs="宋体"/>
          <w:bCs/>
          <w:szCs w:val="24"/>
          <w:highlight w:val="none"/>
          <w:lang w:eastAsia="zh-CN"/>
        </w:rPr>
        <w:t>供应商</w:t>
      </w:r>
      <w:r>
        <w:tab/>
      </w:r>
      <w:r>
        <w:fldChar w:fldCharType="begin"/>
      </w:r>
      <w:r>
        <w:instrText xml:space="preserve"> PAGEREF _Toc18665 \h </w:instrText>
      </w:r>
      <w:r>
        <w:fldChar w:fldCharType="separate"/>
      </w:r>
      <w:r>
        <w:t>4</w:t>
      </w:r>
      <w:r>
        <w:fldChar w:fldCharType="end"/>
      </w:r>
      <w:r>
        <w:rPr>
          <w:rFonts w:hint="eastAsia" w:ascii="宋体" w:hAnsi="宋体" w:eastAsia="宋体" w:cs="宋体"/>
          <w:szCs w:val="21"/>
          <w:highlight w:val="none"/>
        </w:rPr>
        <w:fldChar w:fldCharType="end"/>
      </w:r>
    </w:p>
    <w:p w14:paraId="416FF8A4">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_Toc11187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2.资金来源</w:t>
      </w:r>
      <w:r>
        <w:tab/>
      </w:r>
      <w:r>
        <w:fldChar w:fldCharType="begin"/>
      </w:r>
      <w:r>
        <w:instrText xml:space="preserve"> PAGEREF _Toc11187 \h </w:instrText>
      </w:r>
      <w:r>
        <w:fldChar w:fldCharType="separate"/>
      </w:r>
      <w:r>
        <w:t>5</w:t>
      </w:r>
      <w:r>
        <w:fldChar w:fldCharType="end"/>
      </w:r>
      <w:r>
        <w:rPr>
          <w:rFonts w:hint="eastAsia" w:ascii="宋体" w:hAnsi="宋体" w:eastAsia="宋体" w:cs="宋体"/>
          <w:szCs w:val="21"/>
          <w:highlight w:val="none"/>
        </w:rPr>
        <w:fldChar w:fldCharType="end"/>
      </w:r>
    </w:p>
    <w:p w14:paraId="7B4086E4">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_Toc15127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3.投标费用</w:t>
      </w:r>
      <w:r>
        <w:tab/>
      </w:r>
      <w:r>
        <w:fldChar w:fldCharType="begin"/>
      </w:r>
      <w:r>
        <w:instrText xml:space="preserve"> PAGEREF _Toc15127 \h </w:instrText>
      </w:r>
      <w:r>
        <w:fldChar w:fldCharType="separate"/>
      </w:r>
      <w:r>
        <w:t>5</w:t>
      </w:r>
      <w:r>
        <w:fldChar w:fldCharType="end"/>
      </w:r>
      <w:r>
        <w:rPr>
          <w:rFonts w:hint="eastAsia" w:ascii="宋体" w:hAnsi="宋体" w:eastAsia="宋体" w:cs="宋体"/>
          <w:szCs w:val="21"/>
          <w:highlight w:val="none"/>
        </w:rPr>
        <w:fldChar w:fldCharType="end"/>
      </w:r>
    </w:p>
    <w:p w14:paraId="4B602070">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_Toc1339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4.适用法律</w:t>
      </w:r>
      <w:r>
        <w:tab/>
      </w:r>
      <w:r>
        <w:fldChar w:fldCharType="begin"/>
      </w:r>
      <w:r>
        <w:instrText xml:space="preserve"> PAGEREF _Toc1339 \h </w:instrText>
      </w:r>
      <w:r>
        <w:fldChar w:fldCharType="separate"/>
      </w:r>
      <w:r>
        <w:t>5</w:t>
      </w:r>
      <w:r>
        <w:fldChar w:fldCharType="end"/>
      </w:r>
      <w:r>
        <w:rPr>
          <w:rFonts w:hint="eastAsia" w:ascii="宋体" w:hAnsi="宋体" w:eastAsia="宋体" w:cs="宋体"/>
          <w:szCs w:val="21"/>
          <w:highlight w:val="none"/>
        </w:rPr>
        <w:fldChar w:fldCharType="end"/>
      </w:r>
    </w:p>
    <w:p w14:paraId="13FDA5A9">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_Toc8145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二   招标文件</w:t>
      </w:r>
      <w:r>
        <w:tab/>
      </w:r>
      <w:r>
        <w:fldChar w:fldCharType="begin"/>
      </w:r>
      <w:r>
        <w:instrText xml:space="preserve"> PAGEREF _Toc8145 \h </w:instrText>
      </w:r>
      <w:r>
        <w:fldChar w:fldCharType="separate"/>
      </w:r>
      <w:r>
        <w:t>5</w:t>
      </w:r>
      <w:r>
        <w:fldChar w:fldCharType="end"/>
      </w:r>
      <w:r>
        <w:rPr>
          <w:rFonts w:hint="eastAsia" w:ascii="宋体" w:hAnsi="宋体" w:eastAsia="宋体" w:cs="宋体"/>
          <w:szCs w:val="21"/>
          <w:highlight w:val="none"/>
        </w:rPr>
        <w:fldChar w:fldCharType="end"/>
      </w:r>
    </w:p>
    <w:p w14:paraId="07D145E1">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_Toc32574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5.招标文件构成</w:t>
      </w:r>
      <w:r>
        <w:tab/>
      </w:r>
      <w:r>
        <w:fldChar w:fldCharType="begin"/>
      </w:r>
      <w:r>
        <w:instrText xml:space="preserve"> PAGEREF _Toc32574 \h </w:instrText>
      </w:r>
      <w:r>
        <w:fldChar w:fldCharType="separate"/>
      </w:r>
      <w:r>
        <w:t>5</w:t>
      </w:r>
      <w:r>
        <w:fldChar w:fldCharType="end"/>
      </w:r>
      <w:r>
        <w:rPr>
          <w:rFonts w:hint="eastAsia" w:ascii="宋体" w:hAnsi="宋体" w:eastAsia="宋体" w:cs="宋体"/>
          <w:szCs w:val="21"/>
          <w:highlight w:val="none"/>
        </w:rPr>
        <w:fldChar w:fldCharType="end"/>
      </w:r>
    </w:p>
    <w:p w14:paraId="00CB53F6">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_Toc17629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6.招标文件的澄清与修改</w:t>
      </w:r>
      <w:r>
        <w:tab/>
      </w:r>
      <w:r>
        <w:fldChar w:fldCharType="begin"/>
      </w:r>
      <w:r>
        <w:instrText xml:space="preserve"> PAGEREF _Toc17629 \h </w:instrText>
      </w:r>
      <w:r>
        <w:fldChar w:fldCharType="separate"/>
      </w:r>
      <w:r>
        <w:t>5</w:t>
      </w:r>
      <w:r>
        <w:fldChar w:fldCharType="end"/>
      </w:r>
      <w:r>
        <w:rPr>
          <w:rFonts w:hint="eastAsia" w:ascii="宋体" w:hAnsi="宋体" w:eastAsia="宋体" w:cs="宋体"/>
          <w:szCs w:val="21"/>
          <w:highlight w:val="none"/>
        </w:rPr>
        <w:fldChar w:fldCharType="end"/>
      </w:r>
    </w:p>
    <w:p w14:paraId="4AAD31A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_Toc13308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7.投标截止时间的顺延</w:t>
      </w:r>
      <w:r>
        <w:tab/>
      </w:r>
      <w:r>
        <w:fldChar w:fldCharType="begin"/>
      </w:r>
      <w:r>
        <w:instrText xml:space="preserve"> PAGEREF _Toc13308 \h </w:instrText>
      </w:r>
      <w:r>
        <w:fldChar w:fldCharType="separate"/>
      </w:r>
      <w:r>
        <w:t>6</w:t>
      </w:r>
      <w:r>
        <w:fldChar w:fldCharType="end"/>
      </w:r>
      <w:r>
        <w:rPr>
          <w:rFonts w:hint="eastAsia" w:ascii="宋体" w:hAnsi="宋体" w:eastAsia="宋体" w:cs="宋体"/>
          <w:szCs w:val="21"/>
          <w:highlight w:val="none"/>
        </w:rPr>
        <w:fldChar w:fldCharType="end"/>
      </w:r>
    </w:p>
    <w:p w14:paraId="5B6045D3">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_Toc9119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三   投标文件的编制</w:t>
      </w:r>
      <w:r>
        <w:tab/>
      </w:r>
      <w:r>
        <w:fldChar w:fldCharType="begin"/>
      </w:r>
      <w:r>
        <w:instrText xml:space="preserve"> PAGEREF _Toc9119 \h </w:instrText>
      </w:r>
      <w:r>
        <w:fldChar w:fldCharType="separate"/>
      </w:r>
      <w:r>
        <w:t>6</w:t>
      </w:r>
      <w:r>
        <w:fldChar w:fldCharType="end"/>
      </w:r>
      <w:r>
        <w:rPr>
          <w:rFonts w:hint="eastAsia" w:ascii="宋体" w:hAnsi="宋体" w:eastAsia="宋体" w:cs="宋体"/>
          <w:szCs w:val="21"/>
          <w:highlight w:val="none"/>
        </w:rPr>
        <w:fldChar w:fldCharType="end"/>
      </w:r>
    </w:p>
    <w:p w14:paraId="2AC23139">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_Toc19190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8.投标范围及投标文件中标准和计量单位的使用</w:t>
      </w:r>
      <w:r>
        <w:tab/>
      </w:r>
      <w:r>
        <w:fldChar w:fldCharType="begin"/>
      </w:r>
      <w:r>
        <w:instrText xml:space="preserve"> PAGEREF _Toc19190 \h </w:instrText>
      </w:r>
      <w:r>
        <w:fldChar w:fldCharType="separate"/>
      </w:r>
      <w:r>
        <w:t>6</w:t>
      </w:r>
      <w:r>
        <w:fldChar w:fldCharType="end"/>
      </w:r>
      <w:r>
        <w:rPr>
          <w:rFonts w:hint="eastAsia" w:ascii="宋体" w:hAnsi="宋体" w:eastAsia="宋体" w:cs="宋体"/>
          <w:szCs w:val="21"/>
          <w:highlight w:val="none"/>
        </w:rPr>
        <w:fldChar w:fldCharType="end"/>
      </w:r>
    </w:p>
    <w:p w14:paraId="2E4C541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_Toc32329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9.投标文件构成</w:t>
      </w:r>
      <w:r>
        <w:tab/>
      </w:r>
      <w:r>
        <w:fldChar w:fldCharType="begin"/>
      </w:r>
      <w:r>
        <w:instrText xml:space="preserve"> PAGEREF _Toc32329 \h </w:instrText>
      </w:r>
      <w:r>
        <w:fldChar w:fldCharType="separate"/>
      </w:r>
      <w:r>
        <w:t>6</w:t>
      </w:r>
      <w:r>
        <w:fldChar w:fldCharType="end"/>
      </w:r>
      <w:r>
        <w:rPr>
          <w:rFonts w:hint="eastAsia" w:ascii="宋体" w:hAnsi="宋体" w:eastAsia="宋体" w:cs="宋体"/>
          <w:szCs w:val="21"/>
          <w:highlight w:val="none"/>
        </w:rPr>
        <w:fldChar w:fldCharType="end"/>
      </w:r>
    </w:p>
    <w:p w14:paraId="0CF4621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_Toc23587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10.证明投标的的合格性和符合招标文件规定的技术文件。</w:t>
      </w:r>
      <w:r>
        <w:tab/>
      </w:r>
      <w:r>
        <w:fldChar w:fldCharType="begin"/>
      </w:r>
      <w:r>
        <w:instrText xml:space="preserve"> PAGEREF _Toc23587 \h </w:instrText>
      </w:r>
      <w:r>
        <w:fldChar w:fldCharType="separate"/>
      </w:r>
      <w:r>
        <w:t>6</w:t>
      </w:r>
      <w:r>
        <w:fldChar w:fldCharType="end"/>
      </w:r>
      <w:r>
        <w:rPr>
          <w:rFonts w:hint="eastAsia" w:ascii="宋体" w:hAnsi="宋体" w:eastAsia="宋体" w:cs="宋体"/>
          <w:szCs w:val="21"/>
          <w:highlight w:val="none"/>
        </w:rPr>
        <w:fldChar w:fldCharType="end"/>
      </w:r>
    </w:p>
    <w:p w14:paraId="0803A16D">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_Toc26052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11.投标报价</w:t>
      </w:r>
      <w:r>
        <w:tab/>
      </w:r>
      <w:r>
        <w:fldChar w:fldCharType="begin"/>
      </w:r>
      <w:r>
        <w:instrText xml:space="preserve"> PAGEREF _Toc26052 \h </w:instrText>
      </w:r>
      <w:r>
        <w:fldChar w:fldCharType="separate"/>
      </w:r>
      <w:r>
        <w:t>6</w:t>
      </w:r>
      <w:r>
        <w:fldChar w:fldCharType="end"/>
      </w:r>
      <w:r>
        <w:rPr>
          <w:rFonts w:hint="eastAsia" w:ascii="宋体" w:hAnsi="宋体" w:eastAsia="宋体" w:cs="宋体"/>
          <w:szCs w:val="21"/>
          <w:highlight w:val="none"/>
        </w:rPr>
        <w:fldChar w:fldCharType="end"/>
      </w:r>
    </w:p>
    <w:p w14:paraId="4916A9DE">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_Toc18692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12.投标保证金</w:t>
      </w:r>
      <w:r>
        <w:tab/>
      </w:r>
      <w:r>
        <w:fldChar w:fldCharType="begin"/>
      </w:r>
      <w:r>
        <w:instrText xml:space="preserve"> PAGEREF _Toc18692 \h </w:instrText>
      </w:r>
      <w:r>
        <w:fldChar w:fldCharType="separate"/>
      </w:r>
      <w:r>
        <w:t>7</w:t>
      </w:r>
      <w:r>
        <w:fldChar w:fldCharType="end"/>
      </w:r>
      <w:r>
        <w:rPr>
          <w:rFonts w:hint="eastAsia" w:ascii="宋体" w:hAnsi="宋体" w:eastAsia="宋体" w:cs="宋体"/>
          <w:szCs w:val="21"/>
          <w:highlight w:val="none"/>
        </w:rPr>
        <w:fldChar w:fldCharType="end"/>
      </w:r>
    </w:p>
    <w:p w14:paraId="3BAAAA23">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_Toc8649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13.投标有效期</w:t>
      </w:r>
      <w:r>
        <w:tab/>
      </w:r>
      <w:r>
        <w:fldChar w:fldCharType="begin"/>
      </w:r>
      <w:r>
        <w:instrText xml:space="preserve"> PAGEREF _Toc8649 \h </w:instrText>
      </w:r>
      <w:r>
        <w:fldChar w:fldCharType="separate"/>
      </w:r>
      <w:r>
        <w:t>8</w:t>
      </w:r>
      <w:r>
        <w:fldChar w:fldCharType="end"/>
      </w:r>
      <w:r>
        <w:rPr>
          <w:rFonts w:hint="eastAsia" w:ascii="宋体" w:hAnsi="宋体" w:eastAsia="宋体" w:cs="宋体"/>
          <w:szCs w:val="21"/>
          <w:highlight w:val="none"/>
        </w:rPr>
        <w:fldChar w:fldCharType="end"/>
      </w:r>
    </w:p>
    <w:p w14:paraId="71BD3645">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_Toc18207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14.投标文件的签署及规定</w:t>
      </w:r>
      <w:r>
        <w:tab/>
      </w:r>
      <w:r>
        <w:fldChar w:fldCharType="begin"/>
      </w:r>
      <w:r>
        <w:instrText xml:space="preserve"> PAGEREF _Toc18207 \h </w:instrText>
      </w:r>
      <w:r>
        <w:fldChar w:fldCharType="separate"/>
      </w:r>
      <w:r>
        <w:t>8</w:t>
      </w:r>
      <w:r>
        <w:fldChar w:fldCharType="end"/>
      </w:r>
      <w:r>
        <w:rPr>
          <w:rFonts w:hint="eastAsia" w:ascii="宋体" w:hAnsi="宋体" w:eastAsia="宋体" w:cs="宋体"/>
          <w:szCs w:val="21"/>
          <w:highlight w:val="none"/>
        </w:rPr>
        <w:fldChar w:fldCharType="end"/>
      </w:r>
    </w:p>
    <w:p w14:paraId="42911E5C">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_Toc25248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四   投标文件的递交</w:t>
      </w:r>
      <w:r>
        <w:tab/>
      </w:r>
      <w:r>
        <w:fldChar w:fldCharType="begin"/>
      </w:r>
      <w:r>
        <w:instrText xml:space="preserve"> PAGEREF _Toc25248 \h </w:instrText>
      </w:r>
      <w:r>
        <w:fldChar w:fldCharType="separate"/>
      </w:r>
      <w:r>
        <w:t>8</w:t>
      </w:r>
      <w:r>
        <w:fldChar w:fldCharType="end"/>
      </w:r>
      <w:r>
        <w:rPr>
          <w:rFonts w:hint="eastAsia" w:ascii="宋体" w:hAnsi="宋体" w:eastAsia="宋体" w:cs="宋体"/>
          <w:szCs w:val="21"/>
          <w:highlight w:val="none"/>
        </w:rPr>
        <w:fldChar w:fldCharType="end"/>
      </w:r>
    </w:p>
    <w:p w14:paraId="35736780">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_Toc24127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15.投标文件的密封和标记</w:t>
      </w:r>
      <w:r>
        <w:tab/>
      </w:r>
      <w:r>
        <w:fldChar w:fldCharType="begin"/>
      </w:r>
      <w:r>
        <w:instrText xml:space="preserve"> PAGEREF _Toc24127 \h </w:instrText>
      </w:r>
      <w:r>
        <w:fldChar w:fldCharType="separate"/>
      </w:r>
      <w:r>
        <w:t>8</w:t>
      </w:r>
      <w:r>
        <w:fldChar w:fldCharType="end"/>
      </w:r>
      <w:r>
        <w:rPr>
          <w:rFonts w:hint="eastAsia" w:ascii="宋体" w:hAnsi="宋体" w:eastAsia="宋体" w:cs="宋体"/>
          <w:szCs w:val="21"/>
          <w:highlight w:val="none"/>
        </w:rPr>
        <w:fldChar w:fldCharType="end"/>
      </w:r>
    </w:p>
    <w:p w14:paraId="3CC1508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_Toc28395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16.投标截止</w:t>
      </w:r>
      <w:r>
        <w:tab/>
      </w:r>
      <w:r>
        <w:fldChar w:fldCharType="begin"/>
      </w:r>
      <w:r>
        <w:instrText xml:space="preserve"> PAGEREF _Toc28395 \h </w:instrText>
      </w:r>
      <w:r>
        <w:fldChar w:fldCharType="separate"/>
      </w:r>
      <w:r>
        <w:t>8</w:t>
      </w:r>
      <w:r>
        <w:fldChar w:fldCharType="end"/>
      </w:r>
      <w:r>
        <w:rPr>
          <w:rFonts w:hint="eastAsia" w:ascii="宋体" w:hAnsi="宋体" w:eastAsia="宋体" w:cs="宋体"/>
          <w:szCs w:val="21"/>
          <w:highlight w:val="none"/>
        </w:rPr>
        <w:fldChar w:fldCharType="end"/>
      </w:r>
    </w:p>
    <w:p w14:paraId="7EB1F7FE">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_Toc10369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17.投标文件的接收、修改与撤回</w:t>
      </w:r>
      <w:r>
        <w:tab/>
      </w:r>
      <w:r>
        <w:fldChar w:fldCharType="begin"/>
      </w:r>
      <w:r>
        <w:instrText xml:space="preserve"> PAGEREF _Toc10369 \h </w:instrText>
      </w:r>
      <w:r>
        <w:fldChar w:fldCharType="separate"/>
      </w:r>
      <w:r>
        <w:t>8</w:t>
      </w:r>
      <w:r>
        <w:fldChar w:fldCharType="end"/>
      </w:r>
      <w:r>
        <w:rPr>
          <w:rFonts w:hint="eastAsia" w:ascii="宋体" w:hAnsi="宋体" w:eastAsia="宋体" w:cs="宋体"/>
          <w:szCs w:val="21"/>
          <w:highlight w:val="none"/>
        </w:rPr>
        <w:fldChar w:fldCharType="end"/>
      </w:r>
    </w:p>
    <w:p w14:paraId="33F504E1">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_Toc5732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五   开标及评标</w:t>
      </w:r>
      <w:r>
        <w:tab/>
      </w:r>
      <w:r>
        <w:fldChar w:fldCharType="begin"/>
      </w:r>
      <w:r>
        <w:instrText xml:space="preserve"> PAGEREF _Toc5732 \h </w:instrText>
      </w:r>
      <w:r>
        <w:fldChar w:fldCharType="separate"/>
      </w:r>
      <w:r>
        <w:t>9</w:t>
      </w:r>
      <w:r>
        <w:fldChar w:fldCharType="end"/>
      </w:r>
      <w:r>
        <w:rPr>
          <w:rFonts w:hint="eastAsia" w:ascii="宋体" w:hAnsi="宋体" w:eastAsia="宋体" w:cs="宋体"/>
          <w:szCs w:val="21"/>
          <w:highlight w:val="none"/>
        </w:rPr>
        <w:fldChar w:fldCharType="end"/>
      </w:r>
    </w:p>
    <w:p w14:paraId="277DB939">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_Toc9335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18.开标</w:t>
      </w:r>
      <w:r>
        <w:tab/>
      </w:r>
      <w:r>
        <w:fldChar w:fldCharType="begin"/>
      </w:r>
      <w:r>
        <w:instrText xml:space="preserve"> PAGEREF _Toc9335 \h </w:instrText>
      </w:r>
      <w:r>
        <w:fldChar w:fldCharType="separate"/>
      </w:r>
      <w:r>
        <w:t>9</w:t>
      </w:r>
      <w:r>
        <w:fldChar w:fldCharType="end"/>
      </w:r>
      <w:r>
        <w:rPr>
          <w:rFonts w:hint="eastAsia" w:ascii="宋体" w:hAnsi="宋体" w:eastAsia="宋体" w:cs="宋体"/>
          <w:szCs w:val="21"/>
          <w:highlight w:val="none"/>
        </w:rPr>
        <w:fldChar w:fldCharType="end"/>
      </w:r>
    </w:p>
    <w:p w14:paraId="7C546B5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_Toc15350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19.资格审查及组建评标委员会</w:t>
      </w:r>
      <w:r>
        <w:tab/>
      </w:r>
      <w:r>
        <w:fldChar w:fldCharType="begin"/>
      </w:r>
      <w:r>
        <w:instrText xml:space="preserve"> PAGEREF _Toc15350 \h </w:instrText>
      </w:r>
      <w:r>
        <w:fldChar w:fldCharType="separate"/>
      </w:r>
      <w:r>
        <w:t>9</w:t>
      </w:r>
      <w:r>
        <w:fldChar w:fldCharType="end"/>
      </w:r>
      <w:r>
        <w:rPr>
          <w:rFonts w:hint="eastAsia" w:ascii="宋体" w:hAnsi="宋体" w:eastAsia="宋体" w:cs="宋体"/>
          <w:szCs w:val="21"/>
          <w:highlight w:val="none"/>
        </w:rPr>
        <w:fldChar w:fldCharType="end"/>
      </w:r>
    </w:p>
    <w:p w14:paraId="32CB486A">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_Toc5508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20.投标文件符合性审查与澄清</w:t>
      </w:r>
      <w:r>
        <w:tab/>
      </w:r>
      <w:r>
        <w:fldChar w:fldCharType="begin"/>
      </w:r>
      <w:r>
        <w:instrText xml:space="preserve"> PAGEREF _Toc5508 \h </w:instrText>
      </w:r>
      <w:r>
        <w:fldChar w:fldCharType="separate"/>
      </w:r>
      <w:r>
        <w:t>10</w:t>
      </w:r>
      <w:r>
        <w:fldChar w:fldCharType="end"/>
      </w:r>
      <w:r>
        <w:rPr>
          <w:rFonts w:hint="eastAsia" w:ascii="宋体" w:hAnsi="宋体" w:eastAsia="宋体" w:cs="宋体"/>
          <w:szCs w:val="21"/>
          <w:highlight w:val="none"/>
        </w:rPr>
        <w:fldChar w:fldCharType="end"/>
      </w:r>
    </w:p>
    <w:p w14:paraId="02F7A708">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_Toc14637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21.投标偏离</w:t>
      </w:r>
      <w:r>
        <w:tab/>
      </w:r>
      <w:r>
        <w:fldChar w:fldCharType="begin"/>
      </w:r>
      <w:r>
        <w:instrText xml:space="preserve"> PAGEREF _Toc14637 \h </w:instrText>
      </w:r>
      <w:r>
        <w:fldChar w:fldCharType="separate"/>
      </w:r>
      <w:r>
        <w:t>12</w:t>
      </w:r>
      <w:r>
        <w:fldChar w:fldCharType="end"/>
      </w:r>
      <w:r>
        <w:rPr>
          <w:rFonts w:hint="eastAsia" w:ascii="宋体" w:hAnsi="宋体" w:eastAsia="宋体" w:cs="宋体"/>
          <w:szCs w:val="21"/>
          <w:highlight w:val="none"/>
        </w:rPr>
        <w:fldChar w:fldCharType="end"/>
      </w:r>
    </w:p>
    <w:p w14:paraId="0DB5C56A">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_Toc19430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22.投标无效</w:t>
      </w:r>
      <w:r>
        <w:tab/>
      </w:r>
      <w:r>
        <w:fldChar w:fldCharType="begin"/>
      </w:r>
      <w:r>
        <w:instrText xml:space="preserve"> PAGEREF _Toc19430 \h </w:instrText>
      </w:r>
      <w:r>
        <w:fldChar w:fldCharType="separate"/>
      </w:r>
      <w:r>
        <w:t>12</w:t>
      </w:r>
      <w:r>
        <w:fldChar w:fldCharType="end"/>
      </w:r>
      <w:r>
        <w:rPr>
          <w:rFonts w:hint="eastAsia" w:ascii="宋体" w:hAnsi="宋体" w:eastAsia="宋体" w:cs="宋体"/>
          <w:szCs w:val="21"/>
          <w:highlight w:val="none"/>
        </w:rPr>
        <w:fldChar w:fldCharType="end"/>
      </w:r>
    </w:p>
    <w:p w14:paraId="3090F74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_Toc11918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23.比较与评价</w:t>
      </w:r>
      <w:r>
        <w:tab/>
      </w:r>
      <w:r>
        <w:fldChar w:fldCharType="begin"/>
      </w:r>
      <w:r>
        <w:instrText xml:space="preserve"> PAGEREF _Toc11918 \h </w:instrText>
      </w:r>
      <w:r>
        <w:fldChar w:fldCharType="separate"/>
      </w:r>
      <w:r>
        <w:t>13</w:t>
      </w:r>
      <w:r>
        <w:fldChar w:fldCharType="end"/>
      </w:r>
      <w:r>
        <w:rPr>
          <w:rFonts w:hint="eastAsia" w:ascii="宋体" w:hAnsi="宋体" w:eastAsia="宋体" w:cs="宋体"/>
          <w:szCs w:val="21"/>
          <w:highlight w:val="none"/>
        </w:rPr>
        <w:fldChar w:fldCharType="end"/>
      </w:r>
    </w:p>
    <w:p w14:paraId="0466EAE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_Toc14924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24.废标</w:t>
      </w:r>
      <w:r>
        <w:tab/>
      </w:r>
      <w:r>
        <w:fldChar w:fldCharType="begin"/>
      </w:r>
      <w:r>
        <w:instrText xml:space="preserve"> PAGEREF _Toc14924 \h </w:instrText>
      </w:r>
      <w:r>
        <w:fldChar w:fldCharType="separate"/>
      </w:r>
      <w:r>
        <w:t>13</w:t>
      </w:r>
      <w:r>
        <w:fldChar w:fldCharType="end"/>
      </w:r>
      <w:r>
        <w:rPr>
          <w:rFonts w:hint="eastAsia" w:ascii="宋体" w:hAnsi="宋体" w:eastAsia="宋体" w:cs="宋体"/>
          <w:szCs w:val="21"/>
          <w:highlight w:val="none"/>
        </w:rPr>
        <w:fldChar w:fldCharType="end"/>
      </w:r>
    </w:p>
    <w:p w14:paraId="4C91FC9A">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_Toc12127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25.保密原则</w:t>
      </w:r>
      <w:r>
        <w:tab/>
      </w:r>
      <w:r>
        <w:fldChar w:fldCharType="begin"/>
      </w:r>
      <w:r>
        <w:instrText xml:space="preserve"> PAGEREF _Toc12127 \h </w:instrText>
      </w:r>
      <w:r>
        <w:fldChar w:fldCharType="separate"/>
      </w:r>
      <w:r>
        <w:t>13</w:t>
      </w:r>
      <w:r>
        <w:fldChar w:fldCharType="end"/>
      </w:r>
      <w:r>
        <w:rPr>
          <w:rFonts w:hint="eastAsia" w:ascii="宋体" w:hAnsi="宋体" w:eastAsia="宋体" w:cs="宋体"/>
          <w:szCs w:val="21"/>
          <w:highlight w:val="none"/>
        </w:rPr>
        <w:fldChar w:fldCharType="end"/>
      </w:r>
    </w:p>
    <w:p w14:paraId="7ABEF813">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_Toc11503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六   确定中标</w:t>
      </w:r>
      <w:r>
        <w:tab/>
      </w:r>
      <w:r>
        <w:fldChar w:fldCharType="begin"/>
      </w:r>
      <w:r>
        <w:instrText xml:space="preserve"> PAGEREF _Toc11503 \h </w:instrText>
      </w:r>
      <w:r>
        <w:fldChar w:fldCharType="separate"/>
      </w:r>
      <w:r>
        <w:t>13</w:t>
      </w:r>
      <w:r>
        <w:fldChar w:fldCharType="end"/>
      </w:r>
      <w:r>
        <w:rPr>
          <w:rFonts w:hint="eastAsia" w:ascii="宋体" w:hAnsi="宋体" w:eastAsia="宋体" w:cs="宋体"/>
          <w:szCs w:val="21"/>
          <w:highlight w:val="none"/>
        </w:rPr>
        <w:fldChar w:fldCharType="end"/>
      </w:r>
    </w:p>
    <w:p w14:paraId="06AA42AC">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_Toc27865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26.中标候选人的确定原则及标准</w:t>
      </w:r>
      <w:r>
        <w:tab/>
      </w:r>
      <w:r>
        <w:fldChar w:fldCharType="begin"/>
      </w:r>
      <w:r>
        <w:instrText xml:space="preserve"> PAGEREF _Toc27865 \h </w:instrText>
      </w:r>
      <w:r>
        <w:fldChar w:fldCharType="separate"/>
      </w:r>
      <w:r>
        <w:t>13</w:t>
      </w:r>
      <w:r>
        <w:fldChar w:fldCharType="end"/>
      </w:r>
      <w:r>
        <w:rPr>
          <w:rFonts w:hint="eastAsia" w:ascii="宋体" w:hAnsi="宋体" w:eastAsia="宋体" w:cs="宋体"/>
          <w:szCs w:val="21"/>
          <w:highlight w:val="none"/>
        </w:rPr>
        <w:fldChar w:fldCharType="end"/>
      </w:r>
    </w:p>
    <w:p w14:paraId="618BFAAE">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_Toc22139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27.确定中标候选人和中标人</w:t>
      </w:r>
      <w:r>
        <w:tab/>
      </w:r>
      <w:r>
        <w:fldChar w:fldCharType="begin"/>
      </w:r>
      <w:r>
        <w:instrText xml:space="preserve"> PAGEREF _Toc22139 \h </w:instrText>
      </w:r>
      <w:r>
        <w:fldChar w:fldCharType="separate"/>
      </w:r>
      <w:r>
        <w:t>14</w:t>
      </w:r>
      <w:r>
        <w:fldChar w:fldCharType="end"/>
      </w:r>
      <w:r>
        <w:rPr>
          <w:rFonts w:hint="eastAsia" w:ascii="宋体" w:hAnsi="宋体" w:eastAsia="宋体" w:cs="宋体"/>
          <w:szCs w:val="21"/>
          <w:highlight w:val="none"/>
        </w:rPr>
        <w:fldChar w:fldCharType="end"/>
      </w:r>
    </w:p>
    <w:p w14:paraId="2F0C04EB">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_Toc25577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28.采购任务取消</w:t>
      </w:r>
      <w:r>
        <w:tab/>
      </w:r>
      <w:r>
        <w:fldChar w:fldCharType="begin"/>
      </w:r>
      <w:r>
        <w:instrText xml:space="preserve"> PAGEREF _Toc25577 \h </w:instrText>
      </w:r>
      <w:r>
        <w:fldChar w:fldCharType="separate"/>
      </w:r>
      <w:r>
        <w:t>14</w:t>
      </w:r>
      <w:r>
        <w:fldChar w:fldCharType="end"/>
      </w:r>
      <w:r>
        <w:rPr>
          <w:rFonts w:hint="eastAsia" w:ascii="宋体" w:hAnsi="宋体" w:eastAsia="宋体" w:cs="宋体"/>
          <w:szCs w:val="21"/>
          <w:highlight w:val="none"/>
        </w:rPr>
        <w:fldChar w:fldCharType="end"/>
      </w:r>
    </w:p>
    <w:p w14:paraId="27BE565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_Toc18772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29.中标通知书和招标结果通知书</w:t>
      </w:r>
      <w:r>
        <w:tab/>
      </w:r>
      <w:r>
        <w:fldChar w:fldCharType="begin"/>
      </w:r>
      <w:r>
        <w:instrText xml:space="preserve"> PAGEREF _Toc18772 \h </w:instrText>
      </w:r>
      <w:r>
        <w:fldChar w:fldCharType="separate"/>
      </w:r>
      <w:r>
        <w:t>14</w:t>
      </w:r>
      <w:r>
        <w:fldChar w:fldCharType="end"/>
      </w:r>
      <w:r>
        <w:rPr>
          <w:rFonts w:hint="eastAsia" w:ascii="宋体" w:hAnsi="宋体" w:eastAsia="宋体" w:cs="宋体"/>
          <w:szCs w:val="21"/>
          <w:highlight w:val="none"/>
        </w:rPr>
        <w:fldChar w:fldCharType="end"/>
      </w:r>
    </w:p>
    <w:p w14:paraId="39BEA497">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_Toc27105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30.签订合同</w:t>
      </w:r>
      <w:r>
        <w:tab/>
      </w:r>
      <w:r>
        <w:fldChar w:fldCharType="begin"/>
      </w:r>
      <w:r>
        <w:instrText xml:space="preserve"> PAGEREF _Toc27105 \h </w:instrText>
      </w:r>
      <w:r>
        <w:fldChar w:fldCharType="separate"/>
      </w:r>
      <w:r>
        <w:t>14</w:t>
      </w:r>
      <w:r>
        <w:fldChar w:fldCharType="end"/>
      </w:r>
      <w:r>
        <w:rPr>
          <w:rFonts w:hint="eastAsia" w:ascii="宋体" w:hAnsi="宋体" w:eastAsia="宋体" w:cs="宋体"/>
          <w:szCs w:val="21"/>
          <w:highlight w:val="none"/>
        </w:rPr>
        <w:fldChar w:fldCharType="end"/>
      </w:r>
    </w:p>
    <w:p w14:paraId="4BE32BB1">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_Toc26623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31.履约保证金</w:t>
      </w:r>
      <w:r>
        <w:tab/>
      </w:r>
      <w:r>
        <w:fldChar w:fldCharType="begin"/>
      </w:r>
      <w:r>
        <w:instrText xml:space="preserve"> PAGEREF _Toc26623 \h </w:instrText>
      </w:r>
      <w:r>
        <w:fldChar w:fldCharType="separate"/>
      </w:r>
      <w:r>
        <w:t>14</w:t>
      </w:r>
      <w:r>
        <w:fldChar w:fldCharType="end"/>
      </w:r>
      <w:r>
        <w:rPr>
          <w:rFonts w:hint="eastAsia" w:ascii="宋体" w:hAnsi="宋体" w:eastAsia="宋体" w:cs="宋体"/>
          <w:szCs w:val="21"/>
          <w:highlight w:val="none"/>
        </w:rPr>
        <w:fldChar w:fldCharType="end"/>
      </w:r>
    </w:p>
    <w:p w14:paraId="4178A9B3">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_Toc6090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32.中标服务费</w:t>
      </w:r>
      <w:r>
        <w:tab/>
      </w:r>
      <w:r>
        <w:fldChar w:fldCharType="begin"/>
      </w:r>
      <w:r>
        <w:instrText xml:space="preserve"> PAGEREF _Toc6090 \h </w:instrText>
      </w:r>
      <w:r>
        <w:fldChar w:fldCharType="separate"/>
      </w:r>
      <w:r>
        <w:t>14</w:t>
      </w:r>
      <w:r>
        <w:fldChar w:fldCharType="end"/>
      </w:r>
      <w:r>
        <w:rPr>
          <w:rFonts w:hint="eastAsia" w:ascii="宋体" w:hAnsi="宋体" w:eastAsia="宋体" w:cs="宋体"/>
          <w:szCs w:val="21"/>
          <w:highlight w:val="none"/>
        </w:rPr>
        <w:fldChar w:fldCharType="end"/>
      </w:r>
    </w:p>
    <w:p w14:paraId="778895CA">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_Toc28073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33.政府采购信用担保</w:t>
      </w:r>
      <w:r>
        <w:tab/>
      </w:r>
      <w:r>
        <w:fldChar w:fldCharType="begin"/>
      </w:r>
      <w:r>
        <w:instrText xml:space="preserve"> PAGEREF _Toc28073 \h </w:instrText>
      </w:r>
      <w:r>
        <w:fldChar w:fldCharType="separate"/>
      </w:r>
      <w:r>
        <w:t>14</w:t>
      </w:r>
      <w:r>
        <w:fldChar w:fldCharType="end"/>
      </w:r>
      <w:r>
        <w:rPr>
          <w:rFonts w:hint="eastAsia" w:ascii="宋体" w:hAnsi="宋体" w:eastAsia="宋体" w:cs="宋体"/>
          <w:szCs w:val="21"/>
          <w:highlight w:val="none"/>
        </w:rPr>
        <w:fldChar w:fldCharType="end"/>
      </w:r>
    </w:p>
    <w:p w14:paraId="045B9971">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_Toc20793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34.廉洁自律规定</w:t>
      </w:r>
      <w:r>
        <w:tab/>
      </w:r>
      <w:r>
        <w:fldChar w:fldCharType="begin"/>
      </w:r>
      <w:r>
        <w:instrText xml:space="preserve"> PAGEREF _Toc20793 \h </w:instrText>
      </w:r>
      <w:r>
        <w:fldChar w:fldCharType="separate"/>
      </w:r>
      <w:r>
        <w:t>15</w:t>
      </w:r>
      <w:r>
        <w:fldChar w:fldCharType="end"/>
      </w:r>
      <w:r>
        <w:rPr>
          <w:rFonts w:hint="eastAsia" w:ascii="宋体" w:hAnsi="宋体" w:eastAsia="宋体" w:cs="宋体"/>
          <w:szCs w:val="21"/>
          <w:highlight w:val="none"/>
        </w:rPr>
        <w:fldChar w:fldCharType="end"/>
      </w:r>
    </w:p>
    <w:p w14:paraId="5628824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_Toc30765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35.人员回避</w:t>
      </w:r>
      <w:r>
        <w:tab/>
      </w:r>
      <w:r>
        <w:fldChar w:fldCharType="begin"/>
      </w:r>
      <w:r>
        <w:instrText xml:space="preserve"> PAGEREF _Toc30765 \h </w:instrText>
      </w:r>
      <w:r>
        <w:fldChar w:fldCharType="separate"/>
      </w:r>
      <w:r>
        <w:t>15</w:t>
      </w:r>
      <w:r>
        <w:fldChar w:fldCharType="end"/>
      </w:r>
      <w:r>
        <w:rPr>
          <w:rFonts w:hint="eastAsia" w:ascii="宋体" w:hAnsi="宋体" w:eastAsia="宋体" w:cs="宋体"/>
          <w:szCs w:val="21"/>
          <w:highlight w:val="none"/>
        </w:rPr>
        <w:fldChar w:fldCharType="end"/>
      </w:r>
    </w:p>
    <w:p w14:paraId="7B26DDB4">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_Toc19156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36.质疑与接收</w:t>
      </w:r>
      <w:r>
        <w:tab/>
      </w:r>
      <w:r>
        <w:fldChar w:fldCharType="begin"/>
      </w:r>
      <w:r>
        <w:instrText xml:space="preserve"> PAGEREF _Toc19156 \h </w:instrText>
      </w:r>
      <w:r>
        <w:fldChar w:fldCharType="separate"/>
      </w:r>
      <w:r>
        <w:t>15</w:t>
      </w:r>
      <w:r>
        <w:fldChar w:fldCharType="end"/>
      </w:r>
      <w:r>
        <w:rPr>
          <w:rFonts w:hint="eastAsia" w:ascii="宋体" w:hAnsi="宋体" w:eastAsia="宋体" w:cs="宋体"/>
          <w:szCs w:val="21"/>
          <w:highlight w:val="none"/>
        </w:rPr>
        <w:fldChar w:fldCharType="end"/>
      </w:r>
    </w:p>
    <w:p w14:paraId="33978777">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_Toc1801 </w:instrText>
      </w:r>
      <w:r>
        <w:rPr>
          <w:rFonts w:hint="eastAsia" w:ascii="宋体" w:hAnsi="宋体" w:eastAsia="宋体" w:cs="宋体"/>
          <w:szCs w:val="21"/>
          <w:highlight w:val="none"/>
        </w:rPr>
        <w:fldChar w:fldCharType="separate"/>
      </w:r>
      <w:r>
        <w:rPr>
          <w:rFonts w:hint="eastAsia" w:ascii="宋体" w:hAnsi="宋体" w:eastAsia="宋体" w:cs="宋体"/>
          <w:bCs/>
          <w:kern w:val="2"/>
          <w:szCs w:val="24"/>
          <w:highlight w:val="none"/>
          <w:lang w:val="en-US" w:eastAsia="zh-CN" w:bidi="ar-SA"/>
        </w:rPr>
        <w:t>质疑函范本</w:t>
      </w:r>
      <w:r>
        <w:tab/>
      </w:r>
      <w:r>
        <w:fldChar w:fldCharType="begin"/>
      </w:r>
      <w:r>
        <w:instrText xml:space="preserve"> PAGEREF _Toc1801 \h </w:instrText>
      </w:r>
      <w:r>
        <w:fldChar w:fldCharType="separate"/>
      </w:r>
      <w:r>
        <w:t>17</w:t>
      </w:r>
      <w:r>
        <w:fldChar w:fldCharType="end"/>
      </w:r>
      <w:r>
        <w:rPr>
          <w:rFonts w:hint="eastAsia" w:ascii="宋体" w:hAnsi="宋体" w:eastAsia="宋体" w:cs="宋体"/>
          <w:szCs w:val="21"/>
          <w:highlight w:val="none"/>
        </w:rPr>
        <w:fldChar w:fldCharType="end"/>
      </w:r>
    </w:p>
    <w:p w14:paraId="654B6D1D">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_Toc21988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lang w:val="en-US" w:eastAsia="zh-CN"/>
        </w:rPr>
        <w:t>第2章  投标文件格式</w:t>
      </w:r>
      <w:r>
        <w:tab/>
      </w:r>
      <w:r>
        <w:fldChar w:fldCharType="begin"/>
      </w:r>
      <w:r>
        <w:instrText xml:space="preserve"> PAGEREF _Toc21988 \h </w:instrText>
      </w:r>
      <w:r>
        <w:fldChar w:fldCharType="separate"/>
      </w:r>
      <w:r>
        <w:t>19</w:t>
      </w:r>
      <w:r>
        <w:fldChar w:fldCharType="end"/>
      </w:r>
      <w:r>
        <w:rPr>
          <w:rFonts w:hint="eastAsia" w:ascii="宋体" w:hAnsi="宋体" w:eastAsia="宋体" w:cs="宋体"/>
          <w:szCs w:val="21"/>
          <w:highlight w:val="none"/>
        </w:rPr>
        <w:fldChar w:fldCharType="end"/>
      </w:r>
    </w:p>
    <w:p w14:paraId="077105E9">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_Toc16148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第一部分 开标一览表及资格证明文件</w:t>
      </w:r>
      <w:r>
        <w:tab/>
      </w:r>
      <w:r>
        <w:fldChar w:fldCharType="begin"/>
      </w:r>
      <w:r>
        <w:instrText xml:space="preserve"> PAGEREF _Toc16148 \h </w:instrText>
      </w:r>
      <w:r>
        <w:fldChar w:fldCharType="separate"/>
      </w:r>
      <w:r>
        <w:t>19</w:t>
      </w:r>
      <w:r>
        <w:fldChar w:fldCharType="end"/>
      </w:r>
      <w:r>
        <w:rPr>
          <w:rFonts w:hint="eastAsia" w:ascii="宋体" w:hAnsi="宋体" w:eastAsia="宋体" w:cs="宋体"/>
          <w:szCs w:val="21"/>
          <w:highlight w:val="none"/>
        </w:rPr>
        <w:fldChar w:fldCharType="end"/>
      </w:r>
    </w:p>
    <w:p w14:paraId="5EA913B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_Toc8623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rPr>
        <w:t>1.开标一览表；</w:t>
      </w:r>
      <w:r>
        <w:tab/>
      </w:r>
      <w:r>
        <w:fldChar w:fldCharType="begin"/>
      </w:r>
      <w:r>
        <w:instrText xml:space="preserve"> PAGEREF _Toc8623 \h </w:instrText>
      </w:r>
      <w:r>
        <w:fldChar w:fldCharType="separate"/>
      </w:r>
      <w:r>
        <w:t>20</w:t>
      </w:r>
      <w:r>
        <w:fldChar w:fldCharType="end"/>
      </w:r>
      <w:r>
        <w:rPr>
          <w:rFonts w:hint="eastAsia" w:ascii="宋体" w:hAnsi="宋体" w:eastAsia="宋体" w:cs="宋体"/>
          <w:szCs w:val="21"/>
          <w:highlight w:val="none"/>
        </w:rPr>
        <w:fldChar w:fldCharType="end"/>
      </w:r>
    </w:p>
    <w:p w14:paraId="34D52DE8">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_Toc263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rPr>
        <w:t>2.</w:t>
      </w:r>
      <w:r>
        <w:rPr>
          <w:rFonts w:hint="eastAsia" w:hAnsi="宋体" w:cs="宋体"/>
          <w:bCs/>
          <w:szCs w:val="28"/>
          <w:highlight w:val="none"/>
          <w:lang w:eastAsia="zh-CN"/>
        </w:rPr>
        <w:t>具有有效的营业执照</w:t>
      </w:r>
      <w:r>
        <w:rPr>
          <w:rFonts w:hint="eastAsia" w:ascii="宋体" w:hAnsi="宋体" w:eastAsia="宋体" w:cs="宋体"/>
          <w:bCs/>
          <w:szCs w:val="28"/>
          <w:highlight w:val="none"/>
          <w:lang w:val="en-US" w:eastAsia="zh-CN"/>
        </w:rPr>
        <w:t>；</w:t>
      </w:r>
      <w:r>
        <w:tab/>
      </w:r>
      <w:r>
        <w:fldChar w:fldCharType="begin"/>
      </w:r>
      <w:r>
        <w:instrText xml:space="preserve"> PAGEREF _Toc263 \h </w:instrText>
      </w:r>
      <w:r>
        <w:fldChar w:fldCharType="separate"/>
      </w:r>
      <w:r>
        <w:t>20</w:t>
      </w:r>
      <w:r>
        <w:fldChar w:fldCharType="end"/>
      </w:r>
      <w:r>
        <w:rPr>
          <w:rFonts w:hint="eastAsia" w:ascii="宋体" w:hAnsi="宋体" w:eastAsia="宋体" w:cs="宋体"/>
          <w:szCs w:val="21"/>
          <w:highlight w:val="none"/>
        </w:rPr>
        <w:fldChar w:fldCharType="end"/>
      </w:r>
    </w:p>
    <w:p w14:paraId="27381B2F">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_Toc26738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3.法定代表人资格证明；</w:t>
      </w:r>
      <w:r>
        <w:tab/>
      </w:r>
      <w:r>
        <w:fldChar w:fldCharType="begin"/>
      </w:r>
      <w:r>
        <w:instrText xml:space="preserve"> PAGEREF _Toc26738 \h </w:instrText>
      </w:r>
      <w:r>
        <w:fldChar w:fldCharType="separate"/>
      </w:r>
      <w:r>
        <w:t>21</w:t>
      </w:r>
      <w:r>
        <w:fldChar w:fldCharType="end"/>
      </w:r>
      <w:r>
        <w:rPr>
          <w:rFonts w:hint="eastAsia" w:ascii="宋体" w:hAnsi="宋体" w:eastAsia="宋体" w:cs="宋体"/>
          <w:szCs w:val="21"/>
          <w:highlight w:val="none"/>
        </w:rPr>
        <w:fldChar w:fldCharType="end"/>
      </w:r>
    </w:p>
    <w:p w14:paraId="0998B49C">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_Toc4363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4.提供近两年内任意一年的财务审计报告（成立未满十二个月的新公司可提供近三个月内任意一个月的银行资信证明）；</w:t>
      </w:r>
      <w:r>
        <w:tab/>
      </w:r>
      <w:r>
        <w:fldChar w:fldCharType="begin"/>
      </w:r>
      <w:r>
        <w:instrText xml:space="preserve"> PAGEREF _Toc4363 \h </w:instrText>
      </w:r>
      <w:r>
        <w:fldChar w:fldCharType="separate"/>
      </w:r>
      <w:r>
        <w:t>22</w:t>
      </w:r>
      <w:r>
        <w:fldChar w:fldCharType="end"/>
      </w:r>
      <w:r>
        <w:rPr>
          <w:rFonts w:hint="eastAsia" w:ascii="宋体" w:hAnsi="宋体" w:eastAsia="宋体" w:cs="宋体"/>
          <w:szCs w:val="21"/>
          <w:highlight w:val="none"/>
        </w:rPr>
        <w:fldChar w:fldCharType="end"/>
      </w:r>
    </w:p>
    <w:p w14:paraId="62A3A7D3">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_Toc27938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5.依法缴纳近六个月内任意一个月的社会保险证明；</w:t>
      </w:r>
      <w:r>
        <w:tab/>
      </w:r>
      <w:r>
        <w:fldChar w:fldCharType="begin"/>
      </w:r>
      <w:r>
        <w:instrText xml:space="preserve"> PAGEREF _Toc27938 \h </w:instrText>
      </w:r>
      <w:r>
        <w:fldChar w:fldCharType="separate"/>
      </w:r>
      <w:r>
        <w:t>22</w:t>
      </w:r>
      <w:r>
        <w:fldChar w:fldCharType="end"/>
      </w:r>
      <w:r>
        <w:rPr>
          <w:rFonts w:hint="eastAsia" w:ascii="宋体" w:hAnsi="宋体" w:eastAsia="宋体" w:cs="宋体"/>
          <w:szCs w:val="21"/>
          <w:highlight w:val="none"/>
        </w:rPr>
        <w:fldChar w:fldCharType="end"/>
      </w:r>
    </w:p>
    <w:p w14:paraId="10D88F3D">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_Toc16359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6.依法缴纳近六个月内任意一个月的税收证明；</w:t>
      </w:r>
      <w:r>
        <w:tab/>
      </w:r>
      <w:r>
        <w:fldChar w:fldCharType="begin"/>
      </w:r>
      <w:r>
        <w:instrText xml:space="preserve"> PAGEREF _Toc16359 \h </w:instrText>
      </w:r>
      <w:r>
        <w:fldChar w:fldCharType="separate"/>
      </w:r>
      <w:r>
        <w:t>22</w:t>
      </w:r>
      <w:r>
        <w:fldChar w:fldCharType="end"/>
      </w:r>
      <w:r>
        <w:rPr>
          <w:rFonts w:hint="eastAsia" w:ascii="宋体" w:hAnsi="宋体" w:eastAsia="宋体" w:cs="宋体"/>
          <w:szCs w:val="21"/>
          <w:highlight w:val="none"/>
        </w:rPr>
        <w:fldChar w:fldCharType="end"/>
      </w:r>
    </w:p>
    <w:p w14:paraId="06B59EBD">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_Toc6252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7.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tab/>
      </w:r>
      <w:r>
        <w:fldChar w:fldCharType="begin"/>
      </w:r>
      <w:r>
        <w:instrText xml:space="preserve"> PAGEREF _Toc6252 \h </w:instrText>
      </w:r>
      <w:r>
        <w:fldChar w:fldCharType="separate"/>
      </w:r>
      <w:r>
        <w:t>22</w:t>
      </w:r>
      <w:r>
        <w:fldChar w:fldCharType="end"/>
      </w:r>
      <w:r>
        <w:rPr>
          <w:rFonts w:hint="eastAsia" w:ascii="宋体" w:hAnsi="宋体" w:eastAsia="宋体" w:cs="宋体"/>
          <w:szCs w:val="21"/>
          <w:highlight w:val="none"/>
        </w:rPr>
        <w:fldChar w:fldCharType="end"/>
      </w:r>
    </w:p>
    <w:p w14:paraId="2AB46B88">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_Toc19085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8.参加政府采购活动前三年内在经营活动中没有重大违法记录的书面声明；</w:t>
      </w:r>
      <w:r>
        <w:tab/>
      </w:r>
      <w:r>
        <w:fldChar w:fldCharType="begin"/>
      </w:r>
      <w:r>
        <w:instrText xml:space="preserve"> PAGEREF _Toc19085 \h </w:instrText>
      </w:r>
      <w:r>
        <w:fldChar w:fldCharType="separate"/>
      </w:r>
      <w:r>
        <w:t>22</w:t>
      </w:r>
      <w:r>
        <w:fldChar w:fldCharType="end"/>
      </w:r>
      <w:r>
        <w:rPr>
          <w:rFonts w:hint="eastAsia" w:ascii="宋体" w:hAnsi="宋体" w:eastAsia="宋体" w:cs="宋体"/>
          <w:szCs w:val="21"/>
          <w:highlight w:val="none"/>
        </w:rPr>
        <w:fldChar w:fldCharType="end"/>
      </w:r>
    </w:p>
    <w:p w14:paraId="17320178">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_Toc2831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9.缴纳投标保证金的有效凭证；</w:t>
      </w:r>
      <w:r>
        <w:tab/>
      </w:r>
      <w:r>
        <w:fldChar w:fldCharType="begin"/>
      </w:r>
      <w:r>
        <w:instrText xml:space="preserve"> PAGEREF _Toc2831 \h </w:instrText>
      </w:r>
      <w:r>
        <w:fldChar w:fldCharType="separate"/>
      </w:r>
      <w:r>
        <w:t>23</w:t>
      </w:r>
      <w:r>
        <w:fldChar w:fldCharType="end"/>
      </w:r>
      <w:r>
        <w:rPr>
          <w:rFonts w:hint="eastAsia" w:ascii="宋体" w:hAnsi="宋体" w:eastAsia="宋体" w:cs="宋体"/>
          <w:szCs w:val="21"/>
          <w:highlight w:val="none"/>
        </w:rPr>
        <w:fldChar w:fldCharType="end"/>
      </w:r>
    </w:p>
    <w:p w14:paraId="0184C4A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_Toc9458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1</w:t>
      </w:r>
      <w:r>
        <w:rPr>
          <w:rFonts w:hint="eastAsia" w:hAnsi="宋体" w:cs="宋体"/>
          <w:bCs/>
          <w:szCs w:val="28"/>
          <w:highlight w:val="none"/>
          <w:lang w:val="en-US" w:eastAsia="zh-CN"/>
        </w:rPr>
        <w:t>0</w:t>
      </w:r>
      <w:r>
        <w:rPr>
          <w:rFonts w:hint="eastAsia" w:ascii="宋体" w:hAnsi="宋体" w:eastAsia="宋体" w:cs="宋体"/>
          <w:bCs/>
          <w:szCs w:val="28"/>
          <w:highlight w:val="none"/>
          <w:lang w:val="en-US" w:eastAsia="zh-CN"/>
        </w:rPr>
        <w:t>.银行开户许可证复印件或银行基本账户信息(包含：银行账号及开户行名称）；</w:t>
      </w:r>
      <w:r>
        <w:tab/>
      </w:r>
      <w:r>
        <w:fldChar w:fldCharType="begin"/>
      </w:r>
      <w:r>
        <w:instrText xml:space="preserve"> PAGEREF _Toc9458 \h </w:instrText>
      </w:r>
      <w:r>
        <w:fldChar w:fldCharType="separate"/>
      </w:r>
      <w:r>
        <w:t>23</w:t>
      </w:r>
      <w:r>
        <w:fldChar w:fldCharType="end"/>
      </w:r>
      <w:r>
        <w:rPr>
          <w:rFonts w:hint="eastAsia" w:ascii="宋体" w:hAnsi="宋体" w:eastAsia="宋体" w:cs="宋体"/>
          <w:szCs w:val="21"/>
          <w:highlight w:val="none"/>
        </w:rPr>
        <w:fldChar w:fldCharType="end"/>
      </w:r>
    </w:p>
    <w:p w14:paraId="078594E6">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_Toc30139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1</w:t>
      </w:r>
      <w:r>
        <w:rPr>
          <w:rFonts w:hint="eastAsia" w:hAnsi="宋体" w:cs="宋体"/>
          <w:bCs/>
          <w:szCs w:val="28"/>
          <w:highlight w:val="none"/>
          <w:lang w:val="en-US" w:eastAsia="zh-CN"/>
        </w:rPr>
        <w:t>1</w:t>
      </w:r>
      <w:r>
        <w:rPr>
          <w:rFonts w:hint="eastAsia" w:ascii="宋体" w:hAnsi="宋体" w:eastAsia="宋体" w:cs="宋体"/>
          <w:bCs/>
          <w:szCs w:val="28"/>
          <w:highlight w:val="none"/>
          <w:lang w:val="en-US" w:eastAsia="zh-CN"/>
        </w:rPr>
        <w:t>.供应商可提供有利于投标的其他资格证明材料。</w:t>
      </w:r>
      <w:r>
        <w:tab/>
      </w:r>
      <w:r>
        <w:fldChar w:fldCharType="begin"/>
      </w:r>
      <w:r>
        <w:instrText xml:space="preserve"> PAGEREF _Toc30139 \h </w:instrText>
      </w:r>
      <w:r>
        <w:fldChar w:fldCharType="separate"/>
      </w:r>
      <w:r>
        <w:t>23</w:t>
      </w:r>
      <w:r>
        <w:fldChar w:fldCharType="end"/>
      </w:r>
      <w:r>
        <w:rPr>
          <w:rFonts w:hint="eastAsia" w:ascii="宋体" w:hAnsi="宋体" w:eastAsia="宋体" w:cs="宋体"/>
          <w:szCs w:val="21"/>
          <w:highlight w:val="none"/>
        </w:rPr>
        <w:fldChar w:fldCharType="end"/>
      </w:r>
    </w:p>
    <w:p w14:paraId="4DAB079D">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_Toc31672 </w:instrText>
      </w:r>
      <w:r>
        <w:rPr>
          <w:rFonts w:hint="eastAsia" w:ascii="宋体" w:hAnsi="宋体" w:eastAsia="宋体" w:cs="宋体"/>
          <w:szCs w:val="21"/>
          <w:highlight w:val="none"/>
        </w:rPr>
        <w:fldChar w:fldCharType="separate"/>
      </w:r>
      <w:r>
        <w:rPr>
          <w:rFonts w:hint="eastAsia" w:ascii="宋体" w:hAnsi="宋体" w:eastAsia="宋体" w:cs="宋体"/>
          <w:szCs w:val="28"/>
          <w:highlight w:val="none"/>
          <w:lang w:val="en-US" w:eastAsia="zh-CN"/>
        </w:rPr>
        <w:t>第二部分  商务及技术文件</w:t>
      </w:r>
      <w:r>
        <w:tab/>
      </w:r>
      <w:r>
        <w:fldChar w:fldCharType="begin"/>
      </w:r>
      <w:r>
        <w:instrText xml:space="preserve"> PAGEREF _Toc31672 \h </w:instrText>
      </w:r>
      <w:r>
        <w:fldChar w:fldCharType="separate"/>
      </w:r>
      <w:r>
        <w:t>24</w:t>
      </w:r>
      <w:r>
        <w:fldChar w:fldCharType="end"/>
      </w:r>
      <w:r>
        <w:rPr>
          <w:rFonts w:hint="eastAsia" w:ascii="宋体" w:hAnsi="宋体" w:eastAsia="宋体" w:cs="宋体"/>
          <w:szCs w:val="21"/>
          <w:highlight w:val="none"/>
        </w:rPr>
        <w:fldChar w:fldCharType="end"/>
      </w:r>
    </w:p>
    <w:p w14:paraId="417443AC">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_Toc163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1.投标书</w:t>
      </w:r>
      <w:r>
        <w:tab/>
      </w:r>
      <w:r>
        <w:fldChar w:fldCharType="begin"/>
      </w:r>
      <w:r>
        <w:instrText xml:space="preserve"> PAGEREF _Toc163 \h </w:instrText>
      </w:r>
      <w:r>
        <w:fldChar w:fldCharType="separate"/>
      </w:r>
      <w:r>
        <w:t>25</w:t>
      </w:r>
      <w:r>
        <w:fldChar w:fldCharType="end"/>
      </w:r>
      <w:r>
        <w:rPr>
          <w:rFonts w:hint="eastAsia" w:ascii="宋体" w:hAnsi="宋体" w:eastAsia="宋体" w:cs="宋体"/>
          <w:szCs w:val="21"/>
          <w:highlight w:val="none"/>
        </w:rPr>
        <w:fldChar w:fldCharType="end"/>
      </w:r>
    </w:p>
    <w:p w14:paraId="4DFA6140">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_Toc26990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2.投标分项报价表</w:t>
      </w:r>
      <w:r>
        <w:tab/>
      </w:r>
      <w:r>
        <w:fldChar w:fldCharType="begin"/>
      </w:r>
      <w:r>
        <w:instrText xml:space="preserve"> PAGEREF _Toc26990 \h </w:instrText>
      </w:r>
      <w:r>
        <w:fldChar w:fldCharType="separate"/>
      </w:r>
      <w:r>
        <w:t>26</w:t>
      </w:r>
      <w:r>
        <w:fldChar w:fldCharType="end"/>
      </w:r>
      <w:r>
        <w:rPr>
          <w:rFonts w:hint="eastAsia" w:ascii="宋体" w:hAnsi="宋体" w:eastAsia="宋体" w:cs="宋体"/>
          <w:szCs w:val="21"/>
          <w:highlight w:val="none"/>
        </w:rPr>
        <w:fldChar w:fldCharType="end"/>
      </w:r>
    </w:p>
    <w:p w14:paraId="7EE489E4">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_Toc21463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3.</w:t>
      </w:r>
      <w:r>
        <w:rPr>
          <w:rFonts w:hint="eastAsia" w:hAnsi="宋体" w:cs="宋体"/>
          <w:bCs/>
          <w:szCs w:val="28"/>
          <w:highlight w:val="none"/>
          <w:lang w:val="en-US" w:eastAsia="zh-CN"/>
        </w:rPr>
        <w:t>服务说明一览表</w:t>
      </w:r>
      <w:r>
        <w:tab/>
      </w:r>
      <w:r>
        <w:fldChar w:fldCharType="begin"/>
      </w:r>
      <w:r>
        <w:instrText xml:space="preserve"> PAGEREF _Toc21463 \h </w:instrText>
      </w:r>
      <w:r>
        <w:fldChar w:fldCharType="separate"/>
      </w:r>
      <w:r>
        <w:t>27</w:t>
      </w:r>
      <w:r>
        <w:fldChar w:fldCharType="end"/>
      </w:r>
      <w:r>
        <w:rPr>
          <w:rFonts w:hint="eastAsia" w:ascii="宋体" w:hAnsi="宋体" w:eastAsia="宋体" w:cs="宋体"/>
          <w:szCs w:val="21"/>
          <w:highlight w:val="none"/>
        </w:rPr>
        <w:fldChar w:fldCharType="end"/>
      </w:r>
    </w:p>
    <w:p w14:paraId="0FAB92D3">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_Toc17385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4.</w:t>
      </w:r>
      <w:r>
        <w:rPr>
          <w:rFonts w:hint="eastAsia" w:hAnsi="宋体" w:cs="宋体"/>
          <w:bCs/>
          <w:szCs w:val="28"/>
          <w:highlight w:val="none"/>
          <w:lang w:val="en-US" w:eastAsia="zh-CN"/>
        </w:rPr>
        <w:t>服务要求偏离表</w:t>
      </w:r>
      <w:r>
        <w:tab/>
      </w:r>
      <w:r>
        <w:fldChar w:fldCharType="begin"/>
      </w:r>
      <w:r>
        <w:instrText xml:space="preserve"> PAGEREF _Toc17385 \h </w:instrText>
      </w:r>
      <w:r>
        <w:fldChar w:fldCharType="separate"/>
      </w:r>
      <w:r>
        <w:t>28</w:t>
      </w:r>
      <w:r>
        <w:fldChar w:fldCharType="end"/>
      </w:r>
      <w:r>
        <w:rPr>
          <w:rFonts w:hint="eastAsia" w:ascii="宋体" w:hAnsi="宋体" w:eastAsia="宋体" w:cs="宋体"/>
          <w:szCs w:val="21"/>
          <w:highlight w:val="none"/>
        </w:rPr>
        <w:fldChar w:fldCharType="end"/>
      </w:r>
    </w:p>
    <w:p w14:paraId="6BFBE579">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_Toc19645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5.商务条款偏离表</w:t>
      </w:r>
      <w:r>
        <w:tab/>
      </w:r>
      <w:r>
        <w:fldChar w:fldCharType="begin"/>
      </w:r>
      <w:r>
        <w:instrText xml:space="preserve"> PAGEREF _Toc19645 \h </w:instrText>
      </w:r>
      <w:r>
        <w:fldChar w:fldCharType="separate"/>
      </w:r>
      <w:r>
        <w:t>29</w:t>
      </w:r>
      <w:r>
        <w:fldChar w:fldCharType="end"/>
      </w:r>
      <w:r>
        <w:rPr>
          <w:rFonts w:hint="eastAsia" w:ascii="宋体" w:hAnsi="宋体" w:eastAsia="宋体" w:cs="宋体"/>
          <w:szCs w:val="21"/>
          <w:highlight w:val="none"/>
        </w:rPr>
        <w:fldChar w:fldCharType="end"/>
      </w:r>
    </w:p>
    <w:p w14:paraId="3709D0D2">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_Toc12886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6-1 中小企业声明函（</w:t>
      </w:r>
      <w:r>
        <w:rPr>
          <w:rFonts w:hint="eastAsia" w:hAnsi="宋体" w:cs="宋体"/>
          <w:bCs/>
          <w:szCs w:val="28"/>
          <w:highlight w:val="none"/>
          <w:lang w:val="en-US" w:eastAsia="zh-CN"/>
        </w:rPr>
        <w:t>服务</w:t>
      </w:r>
      <w:r>
        <w:rPr>
          <w:rFonts w:hint="eastAsia" w:ascii="宋体" w:hAnsi="宋体" w:eastAsia="宋体" w:cs="宋体"/>
          <w:bCs/>
          <w:szCs w:val="28"/>
          <w:highlight w:val="none"/>
          <w:lang w:val="en-US" w:eastAsia="zh-CN"/>
        </w:rPr>
        <w:t>）</w:t>
      </w:r>
      <w:r>
        <w:tab/>
      </w:r>
      <w:r>
        <w:fldChar w:fldCharType="begin"/>
      </w:r>
      <w:r>
        <w:instrText xml:space="preserve"> PAGEREF _Toc12886 \h </w:instrText>
      </w:r>
      <w:r>
        <w:fldChar w:fldCharType="separate"/>
      </w:r>
      <w:r>
        <w:t>30</w:t>
      </w:r>
      <w:r>
        <w:fldChar w:fldCharType="end"/>
      </w:r>
      <w:r>
        <w:rPr>
          <w:rFonts w:hint="eastAsia" w:ascii="宋体" w:hAnsi="宋体" w:eastAsia="宋体" w:cs="宋体"/>
          <w:szCs w:val="21"/>
          <w:highlight w:val="none"/>
        </w:rPr>
        <w:fldChar w:fldCharType="end"/>
      </w:r>
    </w:p>
    <w:p w14:paraId="3DC35E04">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_Toc8124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6-</w:t>
      </w:r>
      <w:r>
        <w:rPr>
          <w:rFonts w:hint="eastAsia" w:hAnsi="宋体" w:cs="宋体"/>
          <w:bCs/>
          <w:szCs w:val="28"/>
          <w:highlight w:val="none"/>
          <w:lang w:val="en-US" w:eastAsia="zh-CN"/>
        </w:rPr>
        <w:t>2</w:t>
      </w:r>
      <w:r>
        <w:rPr>
          <w:rFonts w:hint="eastAsia" w:ascii="宋体" w:hAnsi="宋体" w:eastAsia="宋体" w:cs="宋体"/>
          <w:bCs/>
          <w:szCs w:val="28"/>
          <w:highlight w:val="none"/>
          <w:lang w:val="en-US" w:eastAsia="zh-CN"/>
        </w:rPr>
        <w:t xml:space="preserve"> 残疾人福利性单位声明函</w:t>
      </w:r>
      <w:r>
        <w:tab/>
      </w:r>
      <w:r>
        <w:fldChar w:fldCharType="begin"/>
      </w:r>
      <w:r>
        <w:instrText xml:space="preserve"> PAGEREF _Toc8124 \h </w:instrText>
      </w:r>
      <w:r>
        <w:fldChar w:fldCharType="separate"/>
      </w:r>
      <w:r>
        <w:t>33</w:t>
      </w:r>
      <w:r>
        <w:fldChar w:fldCharType="end"/>
      </w:r>
      <w:r>
        <w:rPr>
          <w:rFonts w:hint="eastAsia" w:ascii="宋体" w:hAnsi="宋体" w:eastAsia="宋体" w:cs="宋体"/>
          <w:szCs w:val="21"/>
          <w:highlight w:val="none"/>
        </w:rPr>
        <w:fldChar w:fldCharType="end"/>
      </w:r>
    </w:p>
    <w:p w14:paraId="78B5C3D9">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_Toc24998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7.供应商关联单位的说明（格式自拟）</w:t>
      </w:r>
      <w:r>
        <w:tab/>
      </w:r>
      <w:r>
        <w:fldChar w:fldCharType="begin"/>
      </w:r>
      <w:r>
        <w:instrText xml:space="preserve"> PAGEREF _Toc24998 \h </w:instrText>
      </w:r>
      <w:r>
        <w:fldChar w:fldCharType="separate"/>
      </w:r>
      <w:r>
        <w:t>33</w:t>
      </w:r>
      <w:r>
        <w:fldChar w:fldCharType="end"/>
      </w:r>
      <w:r>
        <w:rPr>
          <w:rFonts w:hint="eastAsia" w:ascii="宋体" w:hAnsi="宋体" w:eastAsia="宋体" w:cs="宋体"/>
          <w:szCs w:val="21"/>
          <w:highlight w:val="none"/>
        </w:rPr>
        <w:fldChar w:fldCharType="end"/>
      </w:r>
    </w:p>
    <w:p w14:paraId="3A6A1FBC">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_Toc3973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8.供应商可提供有利于投标的其他证明材料</w:t>
      </w:r>
      <w:r>
        <w:tab/>
      </w:r>
      <w:r>
        <w:fldChar w:fldCharType="begin"/>
      </w:r>
      <w:r>
        <w:instrText xml:space="preserve"> PAGEREF _Toc3973 \h </w:instrText>
      </w:r>
      <w:r>
        <w:fldChar w:fldCharType="separate"/>
      </w:r>
      <w:r>
        <w:t>33</w:t>
      </w:r>
      <w:r>
        <w:fldChar w:fldCharType="end"/>
      </w:r>
      <w:r>
        <w:rPr>
          <w:rFonts w:hint="eastAsia" w:ascii="宋体" w:hAnsi="宋体" w:eastAsia="宋体" w:cs="宋体"/>
          <w:szCs w:val="21"/>
          <w:highlight w:val="none"/>
        </w:rPr>
        <w:fldChar w:fldCharType="end"/>
      </w:r>
    </w:p>
    <w:p w14:paraId="03687DEE">
      <w:pPr>
        <w:pStyle w:val="13"/>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_Toc13633 </w:instrText>
      </w:r>
      <w:r>
        <w:rPr>
          <w:rFonts w:hint="eastAsia" w:ascii="宋体" w:hAnsi="宋体" w:eastAsia="宋体" w:cs="宋体"/>
          <w:szCs w:val="21"/>
          <w:highlight w:val="none"/>
        </w:rPr>
        <w:fldChar w:fldCharType="separate"/>
      </w:r>
      <w:r>
        <w:rPr>
          <w:rFonts w:hint="eastAsia" w:ascii="宋体" w:hAnsi="宋体" w:eastAsia="宋体" w:cs="宋体"/>
          <w:bCs/>
          <w:szCs w:val="28"/>
          <w:highlight w:val="none"/>
          <w:lang w:val="en-US" w:eastAsia="zh-CN"/>
        </w:rPr>
        <w:t>9.投标文件格式范本</w:t>
      </w:r>
      <w:r>
        <w:tab/>
      </w:r>
      <w:r>
        <w:fldChar w:fldCharType="begin"/>
      </w:r>
      <w:r>
        <w:instrText xml:space="preserve"> PAGEREF _Toc13633 \h </w:instrText>
      </w:r>
      <w:r>
        <w:fldChar w:fldCharType="separate"/>
      </w:r>
      <w:r>
        <w:t>34</w:t>
      </w:r>
      <w:r>
        <w:fldChar w:fldCharType="end"/>
      </w:r>
      <w:r>
        <w:rPr>
          <w:rFonts w:hint="eastAsia" w:ascii="宋体" w:hAnsi="宋体" w:eastAsia="宋体" w:cs="宋体"/>
          <w:szCs w:val="21"/>
          <w:highlight w:val="none"/>
        </w:rPr>
        <w:fldChar w:fldCharType="end"/>
      </w:r>
    </w:p>
    <w:p w14:paraId="3C5CEDF4">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_Toc22386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lang w:val="en-US" w:eastAsia="zh-CN"/>
        </w:rPr>
        <w:t>第3章  投标邀请</w:t>
      </w:r>
      <w:r>
        <w:tab/>
      </w:r>
      <w:r>
        <w:fldChar w:fldCharType="begin"/>
      </w:r>
      <w:r>
        <w:instrText xml:space="preserve"> PAGEREF _Toc22386 \h </w:instrText>
      </w:r>
      <w:r>
        <w:fldChar w:fldCharType="separate"/>
      </w:r>
      <w:r>
        <w:t>36</w:t>
      </w:r>
      <w:r>
        <w:fldChar w:fldCharType="end"/>
      </w:r>
      <w:r>
        <w:rPr>
          <w:rFonts w:hint="eastAsia" w:ascii="宋体" w:hAnsi="宋体" w:eastAsia="宋体" w:cs="宋体"/>
          <w:szCs w:val="21"/>
          <w:highlight w:val="none"/>
        </w:rPr>
        <w:fldChar w:fldCharType="end"/>
      </w:r>
    </w:p>
    <w:p w14:paraId="2FCC2A12">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_Toc4709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lang w:val="en-US" w:eastAsia="zh-CN"/>
        </w:rPr>
        <w:t>第4章  供应商须知资料表</w:t>
      </w:r>
      <w:r>
        <w:tab/>
      </w:r>
      <w:r>
        <w:fldChar w:fldCharType="begin"/>
      </w:r>
      <w:r>
        <w:instrText xml:space="preserve"> PAGEREF _Toc4709 \h </w:instrText>
      </w:r>
      <w:r>
        <w:fldChar w:fldCharType="separate"/>
      </w:r>
      <w:r>
        <w:t>42</w:t>
      </w:r>
      <w:r>
        <w:fldChar w:fldCharType="end"/>
      </w:r>
      <w:r>
        <w:rPr>
          <w:rFonts w:hint="eastAsia" w:ascii="宋体" w:hAnsi="宋体" w:eastAsia="宋体" w:cs="宋体"/>
          <w:szCs w:val="21"/>
          <w:highlight w:val="none"/>
        </w:rPr>
        <w:fldChar w:fldCharType="end"/>
      </w:r>
    </w:p>
    <w:p w14:paraId="2B2BEEBF">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_Toc10730 </w:instrText>
      </w:r>
      <w:r>
        <w:rPr>
          <w:rFonts w:hint="eastAsia" w:ascii="宋体" w:hAnsi="宋体" w:eastAsia="宋体" w:cs="宋体"/>
          <w:szCs w:val="21"/>
          <w:highlight w:val="none"/>
        </w:rPr>
        <w:fldChar w:fldCharType="separate"/>
      </w:r>
      <w:r>
        <w:rPr>
          <w:rFonts w:hint="eastAsia" w:ascii="宋体" w:hAnsi="宋体" w:eastAsia="宋体" w:cs="宋体"/>
          <w:bCs/>
          <w:kern w:val="0"/>
          <w:szCs w:val="32"/>
          <w:highlight w:val="none"/>
          <w:lang w:val="en-US" w:eastAsia="zh-CN" w:bidi="ar-SA"/>
        </w:rPr>
        <w:t>第5章</w:t>
      </w:r>
      <w:r>
        <w:rPr>
          <w:rFonts w:hint="eastAsia" w:ascii="宋体" w:hAnsi="宋体" w:eastAsia="宋体" w:cs="宋体"/>
          <w:bCs/>
          <w:szCs w:val="32"/>
          <w:highlight w:val="none"/>
          <w:lang w:val="en-US" w:eastAsia="zh-CN"/>
        </w:rPr>
        <w:t xml:space="preserve"> </w:t>
      </w:r>
      <w:r>
        <w:rPr>
          <w:rFonts w:hint="eastAsia" w:hAnsi="宋体" w:cs="宋体"/>
          <w:bCs/>
          <w:szCs w:val="32"/>
          <w:highlight w:val="none"/>
          <w:lang w:val="en-US" w:eastAsia="zh-CN"/>
        </w:rPr>
        <w:t>服务需求</w:t>
      </w:r>
      <w:r>
        <w:tab/>
      </w:r>
      <w:r>
        <w:fldChar w:fldCharType="begin"/>
      </w:r>
      <w:r>
        <w:instrText xml:space="preserve"> PAGEREF _Toc10730 \h </w:instrText>
      </w:r>
      <w:r>
        <w:fldChar w:fldCharType="separate"/>
      </w:r>
      <w:r>
        <w:t>46</w:t>
      </w:r>
      <w:r>
        <w:fldChar w:fldCharType="end"/>
      </w:r>
      <w:r>
        <w:rPr>
          <w:rFonts w:hint="eastAsia" w:ascii="宋体" w:hAnsi="宋体" w:eastAsia="宋体" w:cs="宋体"/>
          <w:szCs w:val="21"/>
          <w:highlight w:val="none"/>
        </w:rPr>
        <w:fldChar w:fldCharType="end"/>
      </w:r>
    </w:p>
    <w:p w14:paraId="553BB7E0">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_Toc17269 </w:instrText>
      </w:r>
      <w:r>
        <w:rPr>
          <w:rFonts w:hint="eastAsia" w:ascii="宋体" w:hAnsi="宋体" w:eastAsia="宋体" w:cs="宋体"/>
          <w:szCs w:val="21"/>
          <w:highlight w:val="none"/>
        </w:rPr>
        <w:fldChar w:fldCharType="separate"/>
      </w:r>
      <w:r>
        <w:rPr>
          <w:rFonts w:hint="eastAsia" w:hAnsi="宋体" w:cs="宋体"/>
          <w:bCs/>
          <w:kern w:val="2"/>
          <w:szCs w:val="24"/>
          <w:highlight w:val="none"/>
          <w:lang w:val="en-US" w:eastAsia="zh-CN" w:bidi="ar-SA"/>
        </w:rPr>
        <w:t>一、</w:t>
      </w:r>
      <w:r>
        <w:rPr>
          <w:rFonts w:hint="eastAsia" w:ascii="宋体" w:hAnsi="宋体" w:eastAsia="宋体" w:cs="宋体"/>
          <w:bCs/>
          <w:kern w:val="2"/>
          <w:szCs w:val="24"/>
          <w:highlight w:val="none"/>
          <w:lang w:val="en-US" w:eastAsia="zh-CN" w:bidi="ar-SA"/>
        </w:rPr>
        <w:t>项目建设内容</w:t>
      </w:r>
      <w:r>
        <w:tab/>
      </w:r>
      <w:r>
        <w:fldChar w:fldCharType="begin"/>
      </w:r>
      <w:r>
        <w:instrText xml:space="preserve"> PAGEREF _Toc17269 \h </w:instrText>
      </w:r>
      <w:r>
        <w:fldChar w:fldCharType="separate"/>
      </w:r>
      <w:r>
        <w:rPr>
          <w:b/>
        </w:rPr>
        <w:t>错误！未定义书签。</w:t>
      </w:r>
      <w:r>
        <w:fldChar w:fldCharType="end"/>
      </w:r>
      <w:r>
        <w:rPr>
          <w:rFonts w:hint="eastAsia" w:ascii="宋体" w:hAnsi="宋体" w:eastAsia="宋体" w:cs="宋体"/>
          <w:szCs w:val="21"/>
          <w:highlight w:val="none"/>
        </w:rPr>
        <w:fldChar w:fldCharType="end"/>
      </w:r>
    </w:p>
    <w:p w14:paraId="54E15241">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_Toc27381 </w:instrText>
      </w:r>
      <w:r>
        <w:rPr>
          <w:rFonts w:hint="eastAsia" w:ascii="宋体" w:hAnsi="宋体" w:eastAsia="宋体" w:cs="宋体"/>
          <w:szCs w:val="21"/>
          <w:highlight w:val="none"/>
        </w:rPr>
        <w:fldChar w:fldCharType="separate"/>
      </w:r>
      <w:r>
        <w:rPr>
          <w:rFonts w:hint="eastAsia" w:hAnsi="宋体" w:cs="宋体"/>
          <w:bCs/>
          <w:kern w:val="2"/>
          <w:szCs w:val="24"/>
          <w:highlight w:val="none"/>
          <w:lang w:val="en-US" w:eastAsia="zh-CN" w:bidi="ar-SA"/>
        </w:rPr>
        <w:t>二、</w:t>
      </w:r>
      <w:r>
        <w:rPr>
          <w:rFonts w:hint="eastAsia" w:ascii="宋体" w:hAnsi="宋体" w:eastAsia="宋体" w:cs="宋体"/>
          <w:bCs/>
          <w:kern w:val="2"/>
          <w:szCs w:val="24"/>
          <w:highlight w:val="none"/>
          <w:lang w:val="en-US" w:eastAsia="zh-CN" w:bidi="ar-SA"/>
        </w:rPr>
        <w:t>项目投资概算及资金来源</w:t>
      </w:r>
      <w:r>
        <w:tab/>
      </w:r>
      <w:r>
        <w:fldChar w:fldCharType="begin"/>
      </w:r>
      <w:r>
        <w:instrText xml:space="preserve"> PAGEREF _Toc27381 \h </w:instrText>
      </w:r>
      <w:r>
        <w:fldChar w:fldCharType="separate"/>
      </w:r>
      <w:r>
        <w:rPr>
          <w:b/>
        </w:rPr>
        <w:t>错误！未定义书签。</w:t>
      </w:r>
      <w:r>
        <w:fldChar w:fldCharType="end"/>
      </w:r>
      <w:r>
        <w:rPr>
          <w:rFonts w:hint="eastAsia" w:ascii="宋体" w:hAnsi="宋体" w:eastAsia="宋体" w:cs="宋体"/>
          <w:szCs w:val="21"/>
          <w:highlight w:val="none"/>
        </w:rPr>
        <w:fldChar w:fldCharType="end"/>
      </w:r>
    </w:p>
    <w:p w14:paraId="6024E318">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_Toc6849 </w:instrText>
      </w:r>
      <w:r>
        <w:rPr>
          <w:rFonts w:hint="eastAsia" w:ascii="宋体" w:hAnsi="宋体" w:eastAsia="宋体" w:cs="宋体"/>
          <w:szCs w:val="21"/>
          <w:highlight w:val="none"/>
        </w:rPr>
        <w:fldChar w:fldCharType="separate"/>
      </w:r>
      <w:r>
        <w:rPr>
          <w:rFonts w:hint="eastAsia" w:hAnsi="宋体" w:cs="宋体"/>
          <w:bCs/>
          <w:kern w:val="2"/>
          <w:szCs w:val="24"/>
          <w:highlight w:val="none"/>
          <w:lang w:val="en-US" w:eastAsia="zh-CN" w:bidi="ar-SA"/>
        </w:rPr>
        <w:t>三、</w:t>
      </w:r>
      <w:r>
        <w:rPr>
          <w:rFonts w:hint="eastAsia" w:ascii="宋体" w:hAnsi="宋体" w:eastAsia="宋体" w:cs="宋体"/>
          <w:bCs/>
          <w:kern w:val="2"/>
          <w:szCs w:val="24"/>
          <w:highlight w:val="none"/>
          <w:lang w:val="en-US" w:eastAsia="zh-CN" w:bidi="ar-SA"/>
        </w:rPr>
        <w:t>项目实施方案</w:t>
      </w:r>
      <w:r>
        <w:tab/>
      </w:r>
      <w:r>
        <w:fldChar w:fldCharType="begin"/>
      </w:r>
      <w:r>
        <w:instrText xml:space="preserve"> PAGEREF _Toc6849 \h </w:instrText>
      </w:r>
      <w:r>
        <w:fldChar w:fldCharType="separate"/>
      </w:r>
      <w:r>
        <w:rPr>
          <w:b/>
        </w:rPr>
        <w:t>错误！未定义书签。</w:t>
      </w:r>
      <w:r>
        <w:fldChar w:fldCharType="end"/>
      </w:r>
      <w:r>
        <w:rPr>
          <w:rFonts w:hint="eastAsia" w:ascii="宋体" w:hAnsi="宋体" w:eastAsia="宋体" w:cs="宋体"/>
          <w:szCs w:val="21"/>
          <w:highlight w:val="none"/>
        </w:rPr>
        <w:fldChar w:fldCharType="end"/>
      </w:r>
    </w:p>
    <w:p w14:paraId="4D8672A9">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_Toc20581 </w:instrText>
      </w:r>
      <w:r>
        <w:rPr>
          <w:rFonts w:hint="eastAsia" w:ascii="宋体" w:hAnsi="宋体" w:eastAsia="宋体" w:cs="宋体"/>
          <w:szCs w:val="21"/>
          <w:highlight w:val="none"/>
        </w:rPr>
        <w:fldChar w:fldCharType="separate"/>
      </w:r>
      <w:r>
        <w:rPr>
          <w:rFonts w:hint="eastAsia" w:ascii="GWZT-EN"/>
          <w:bCs/>
          <w:lang w:val="en-US" w:eastAsia="zh-CN"/>
        </w:rPr>
        <w:t>四、</w:t>
      </w:r>
      <w:r>
        <w:rPr>
          <w:rFonts w:hint="eastAsia" w:ascii="GWZT-EN"/>
          <w:bCs/>
        </w:rPr>
        <w:t>项目</w:t>
      </w:r>
      <w:r>
        <w:rPr>
          <w:rFonts w:hint="eastAsia"/>
          <w:bCs/>
          <w:lang w:val="en-US" w:eastAsia="zh-CN"/>
        </w:rPr>
        <w:t>要求</w:t>
      </w:r>
      <w:r>
        <w:tab/>
      </w:r>
      <w:r>
        <w:fldChar w:fldCharType="begin"/>
      </w:r>
      <w:r>
        <w:instrText xml:space="preserve"> PAGEREF _Toc20581 \h </w:instrText>
      </w:r>
      <w:r>
        <w:fldChar w:fldCharType="separate"/>
      </w:r>
      <w:r>
        <w:rPr>
          <w:b/>
        </w:rPr>
        <w:t>错误！未定义书签。</w:t>
      </w:r>
      <w:r>
        <w:fldChar w:fldCharType="end"/>
      </w:r>
      <w:r>
        <w:rPr>
          <w:rFonts w:hint="eastAsia" w:ascii="宋体" w:hAnsi="宋体" w:eastAsia="宋体" w:cs="宋体"/>
          <w:szCs w:val="21"/>
          <w:highlight w:val="none"/>
        </w:rPr>
        <w:fldChar w:fldCharType="end"/>
      </w:r>
    </w:p>
    <w:p w14:paraId="354A252D">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_Toc30865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lang w:val="en-US" w:eastAsia="zh-CN"/>
        </w:rPr>
        <w:t>第6章  评标方法和标准</w:t>
      </w:r>
      <w:r>
        <w:tab/>
      </w:r>
      <w:r>
        <w:fldChar w:fldCharType="begin"/>
      </w:r>
      <w:r>
        <w:instrText xml:space="preserve"> PAGEREF _Toc30865 \h </w:instrText>
      </w:r>
      <w:r>
        <w:fldChar w:fldCharType="separate"/>
      </w:r>
      <w:r>
        <w:t>61</w:t>
      </w:r>
      <w:r>
        <w:fldChar w:fldCharType="end"/>
      </w:r>
      <w:r>
        <w:rPr>
          <w:rFonts w:hint="eastAsia" w:ascii="宋体" w:hAnsi="宋体" w:eastAsia="宋体" w:cs="宋体"/>
          <w:szCs w:val="21"/>
          <w:highlight w:val="none"/>
        </w:rPr>
        <w:fldChar w:fldCharType="end"/>
      </w:r>
    </w:p>
    <w:p w14:paraId="56C09C70">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_Toc13938 </w:instrText>
      </w:r>
      <w:r>
        <w:rPr>
          <w:rFonts w:hint="eastAsia" w:ascii="宋体" w:hAnsi="宋体" w:eastAsia="宋体" w:cs="宋体"/>
          <w:szCs w:val="21"/>
          <w:highlight w:val="none"/>
        </w:rPr>
        <w:fldChar w:fldCharType="separate"/>
      </w:r>
      <w:r>
        <w:rPr>
          <w:rFonts w:hint="eastAsia" w:ascii="宋体" w:hAnsi="宋体" w:eastAsia="宋体" w:cs="宋体"/>
          <w:highlight w:val="none"/>
        </w:rPr>
        <w:t>初步评审—资格性审查表</w:t>
      </w:r>
      <w:r>
        <w:tab/>
      </w:r>
      <w:r>
        <w:fldChar w:fldCharType="begin"/>
      </w:r>
      <w:r>
        <w:instrText xml:space="preserve"> PAGEREF _Toc13938 \h </w:instrText>
      </w:r>
      <w:r>
        <w:fldChar w:fldCharType="separate"/>
      </w:r>
      <w:r>
        <w:t>66</w:t>
      </w:r>
      <w:r>
        <w:fldChar w:fldCharType="end"/>
      </w:r>
      <w:r>
        <w:rPr>
          <w:rFonts w:hint="eastAsia" w:ascii="宋体" w:hAnsi="宋体" w:eastAsia="宋体" w:cs="宋体"/>
          <w:szCs w:val="21"/>
          <w:highlight w:val="none"/>
        </w:rPr>
        <w:fldChar w:fldCharType="end"/>
      </w:r>
    </w:p>
    <w:p w14:paraId="3541DC7B">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_Toc2851 </w:instrText>
      </w:r>
      <w:r>
        <w:rPr>
          <w:rFonts w:hint="eastAsia" w:ascii="宋体" w:hAnsi="宋体" w:eastAsia="宋体" w:cs="宋体"/>
          <w:szCs w:val="21"/>
          <w:highlight w:val="none"/>
        </w:rPr>
        <w:fldChar w:fldCharType="separate"/>
      </w:r>
      <w:r>
        <w:rPr>
          <w:rFonts w:hint="eastAsia" w:ascii="宋体" w:hAnsi="宋体" w:eastAsia="宋体" w:cs="宋体"/>
          <w:highlight w:val="none"/>
        </w:rPr>
        <w:t>初步评审—符合性审查表</w:t>
      </w:r>
      <w:r>
        <w:tab/>
      </w:r>
      <w:r>
        <w:fldChar w:fldCharType="begin"/>
      </w:r>
      <w:r>
        <w:instrText xml:space="preserve"> PAGEREF _Toc2851 \h </w:instrText>
      </w:r>
      <w:r>
        <w:fldChar w:fldCharType="separate"/>
      </w:r>
      <w:r>
        <w:t>67</w:t>
      </w:r>
      <w:r>
        <w:fldChar w:fldCharType="end"/>
      </w:r>
      <w:r>
        <w:rPr>
          <w:rFonts w:hint="eastAsia" w:ascii="宋体" w:hAnsi="宋体" w:eastAsia="宋体" w:cs="宋体"/>
          <w:szCs w:val="21"/>
          <w:highlight w:val="none"/>
        </w:rPr>
        <w:fldChar w:fldCharType="end"/>
      </w:r>
    </w:p>
    <w:p w14:paraId="215EF0AD">
      <w:pPr>
        <w:pStyle w:val="22"/>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_Toc18976 </w:instrText>
      </w:r>
      <w:r>
        <w:rPr>
          <w:rFonts w:hint="eastAsia" w:ascii="宋体" w:hAnsi="宋体" w:eastAsia="宋体" w:cs="宋体"/>
          <w:szCs w:val="21"/>
          <w:highlight w:val="none"/>
        </w:rPr>
        <w:fldChar w:fldCharType="separate"/>
      </w:r>
      <w:r>
        <w:rPr>
          <w:rFonts w:hint="eastAsia" w:ascii="宋体" w:hAnsi="宋体" w:eastAsia="宋体" w:cs="宋体"/>
          <w:kern w:val="0"/>
          <w:szCs w:val="20"/>
          <w:highlight w:val="none"/>
          <w:lang w:val="en-US" w:eastAsia="zh-CN" w:bidi="ar-SA"/>
        </w:rPr>
        <w:t>综合评分表</w:t>
      </w:r>
      <w:r>
        <w:tab/>
      </w:r>
      <w:r>
        <w:fldChar w:fldCharType="begin"/>
      </w:r>
      <w:r>
        <w:instrText xml:space="preserve"> PAGEREF _Toc18976 \h </w:instrText>
      </w:r>
      <w:r>
        <w:fldChar w:fldCharType="separate"/>
      </w:r>
      <w:r>
        <w:t>68</w:t>
      </w:r>
      <w:r>
        <w:fldChar w:fldCharType="end"/>
      </w:r>
      <w:r>
        <w:rPr>
          <w:rFonts w:hint="eastAsia" w:ascii="宋体" w:hAnsi="宋体" w:eastAsia="宋体" w:cs="宋体"/>
          <w:szCs w:val="21"/>
          <w:highlight w:val="none"/>
        </w:rPr>
        <w:fldChar w:fldCharType="end"/>
      </w:r>
    </w:p>
    <w:p w14:paraId="52E33CCF">
      <w:pPr>
        <w:pStyle w:val="19"/>
        <w:tabs>
          <w:tab w:val="right" w:leader="dot" w:pos="8279"/>
        </w:tabs>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HYPERLINK \l _Toc8297 </w:instrText>
      </w:r>
      <w:r>
        <w:rPr>
          <w:rFonts w:hint="eastAsia" w:ascii="宋体" w:hAnsi="宋体" w:eastAsia="宋体" w:cs="宋体"/>
          <w:szCs w:val="21"/>
          <w:highlight w:val="none"/>
        </w:rPr>
        <w:fldChar w:fldCharType="separate"/>
      </w:r>
      <w:r>
        <w:rPr>
          <w:rFonts w:hint="eastAsia" w:ascii="宋体" w:hAnsi="宋体" w:eastAsia="宋体" w:cs="宋体"/>
          <w:bCs/>
          <w:szCs w:val="32"/>
          <w:highlight w:val="none"/>
          <w:lang w:val="en-US" w:eastAsia="zh-CN"/>
        </w:rPr>
        <w:t>第7章  政府采购合同</w:t>
      </w:r>
      <w:r>
        <w:tab/>
      </w:r>
      <w:r>
        <w:fldChar w:fldCharType="begin"/>
      </w:r>
      <w:r>
        <w:instrText xml:space="preserve"> PAGEREF _Toc8297 \h </w:instrText>
      </w:r>
      <w:r>
        <w:fldChar w:fldCharType="separate"/>
      </w:r>
      <w:r>
        <w:t>72</w:t>
      </w:r>
      <w:r>
        <w:fldChar w:fldCharType="end"/>
      </w:r>
      <w:r>
        <w:rPr>
          <w:rFonts w:hint="eastAsia" w:ascii="宋体" w:hAnsi="宋体" w:eastAsia="宋体" w:cs="宋体"/>
          <w:szCs w:val="21"/>
          <w:highlight w:val="none"/>
        </w:rPr>
        <w:fldChar w:fldCharType="end"/>
      </w:r>
    </w:p>
    <w:p w14:paraId="33419A16">
      <w:pPr>
        <w:pStyle w:val="20"/>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szCs w:val="21"/>
          <w:highlight w:val="none"/>
        </w:rPr>
        <w:fldChar w:fldCharType="end"/>
      </w:r>
    </w:p>
    <w:p w14:paraId="2B38B5FA">
      <w:pPr>
        <w:pStyle w:val="20"/>
        <w:rPr>
          <w:rFonts w:hint="eastAsia" w:ascii="宋体" w:hAnsi="宋体" w:eastAsia="宋体" w:cs="宋体"/>
          <w:highlight w:val="none"/>
        </w:rPr>
      </w:pPr>
    </w:p>
    <w:p w14:paraId="1696287D">
      <w:pPr>
        <w:spacing w:line="240" w:lineRule="atLeast"/>
        <w:jc w:val="center"/>
        <w:rPr>
          <w:rFonts w:hint="eastAsia" w:ascii="宋体" w:hAnsi="宋体" w:eastAsia="宋体" w:cs="宋体"/>
          <w:color w:val="auto"/>
          <w:sz w:val="32"/>
          <w:szCs w:val="32"/>
          <w:highlight w:val="none"/>
        </w:rPr>
      </w:pPr>
    </w:p>
    <w:p w14:paraId="30D39C68">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14:paraId="758DB400">
      <w:pPr>
        <w:outlineLvl w:val="9"/>
        <w:rPr>
          <w:rFonts w:hint="eastAsia"/>
        </w:rPr>
      </w:pPr>
    </w:p>
    <w:p w14:paraId="4A321E6A">
      <w:pPr>
        <w:spacing w:line="240" w:lineRule="atLeast"/>
        <w:jc w:val="both"/>
        <w:outlineLvl w:val="9"/>
        <w:rPr>
          <w:rFonts w:hint="eastAsia" w:ascii="宋体" w:hAnsi="宋体" w:eastAsia="宋体" w:cs="宋体"/>
          <w:color w:val="auto"/>
          <w:sz w:val="32"/>
          <w:szCs w:val="32"/>
          <w:highlight w:val="none"/>
        </w:rPr>
      </w:pPr>
    </w:p>
    <w:p w14:paraId="2ED6DBE4">
      <w:pPr>
        <w:pStyle w:val="20"/>
        <w:outlineLvl w:val="9"/>
        <w:rPr>
          <w:rFonts w:hint="eastAsia" w:ascii="宋体" w:hAnsi="宋体" w:eastAsia="宋体" w:cs="宋体"/>
          <w:color w:val="auto"/>
          <w:sz w:val="32"/>
          <w:szCs w:val="32"/>
          <w:highlight w:val="none"/>
        </w:rPr>
      </w:pPr>
    </w:p>
    <w:p w14:paraId="32CD655F">
      <w:pPr>
        <w:pStyle w:val="9"/>
        <w:outlineLvl w:val="9"/>
        <w:rPr>
          <w:rFonts w:hint="eastAsia" w:ascii="宋体" w:hAnsi="宋体" w:eastAsia="宋体" w:cs="宋体"/>
          <w:color w:val="auto"/>
          <w:sz w:val="32"/>
          <w:szCs w:val="32"/>
          <w:highlight w:val="none"/>
        </w:rPr>
      </w:pPr>
    </w:p>
    <w:p w14:paraId="7CA0997E">
      <w:pPr>
        <w:pStyle w:val="26"/>
        <w:outlineLvl w:val="9"/>
        <w:rPr>
          <w:rFonts w:hint="eastAsia" w:ascii="宋体" w:hAnsi="宋体" w:eastAsia="宋体" w:cs="宋体"/>
          <w:color w:val="auto"/>
          <w:sz w:val="32"/>
          <w:szCs w:val="32"/>
          <w:highlight w:val="none"/>
        </w:rPr>
      </w:pPr>
    </w:p>
    <w:p w14:paraId="32D7526F">
      <w:pPr>
        <w:outlineLvl w:val="9"/>
        <w:rPr>
          <w:rFonts w:hint="eastAsia" w:ascii="宋体" w:hAnsi="宋体" w:eastAsia="宋体" w:cs="宋体"/>
          <w:color w:val="auto"/>
          <w:sz w:val="32"/>
          <w:szCs w:val="32"/>
          <w:highlight w:val="none"/>
        </w:rPr>
      </w:pPr>
    </w:p>
    <w:p w14:paraId="73ECFD51">
      <w:pPr>
        <w:outlineLvl w:val="9"/>
        <w:rPr>
          <w:rFonts w:hint="eastAsia"/>
        </w:rPr>
      </w:pPr>
    </w:p>
    <w:p w14:paraId="27B13E61">
      <w:pPr>
        <w:outlineLvl w:val="9"/>
        <w:rPr>
          <w:rFonts w:hint="eastAsia"/>
        </w:rPr>
      </w:pPr>
    </w:p>
    <w:p w14:paraId="64945A9C">
      <w:pPr>
        <w:outlineLvl w:val="9"/>
        <w:rPr>
          <w:rFonts w:hint="eastAsia" w:ascii="宋体" w:hAnsi="宋体" w:eastAsia="宋体" w:cs="宋体"/>
          <w:color w:val="auto"/>
          <w:sz w:val="32"/>
          <w:szCs w:val="32"/>
          <w:highlight w:val="none"/>
        </w:rPr>
      </w:pPr>
    </w:p>
    <w:p w14:paraId="35E4571B">
      <w:pPr>
        <w:pStyle w:val="20"/>
        <w:outlineLvl w:val="9"/>
        <w:rPr>
          <w:rFonts w:hint="eastAsia" w:ascii="宋体" w:hAnsi="宋体" w:eastAsia="宋体" w:cs="宋体"/>
          <w:highlight w:val="none"/>
        </w:rPr>
      </w:pPr>
    </w:p>
    <w:p w14:paraId="265188DC">
      <w:pPr>
        <w:spacing w:line="240" w:lineRule="atLeast"/>
        <w:jc w:val="center"/>
        <w:outlineLvl w:val="9"/>
        <w:rPr>
          <w:rFonts w:hint="eastAsia" w:ascii="宋体" w:hAnsi="宋体" w:eastAsia="宋体" w:cs="宋体"/>
          <w:color w:val="auto"/>
          <w:sz w:val="32"/>
          <w:szCs w:val="32"/>
          <w:highlight w:val="none"/>
        </w:rPr>
      </w:pPr>
    </w:p>
    <w:p w14:paraId="428F7FFE">
      <w:pPr>
        <w:spacing w:line="240" w:lineRule="atLeast"/>
        <w:jc w:val="center"/>
        <w:outlineLvl w:val="9"/>
        <w:rPr>
          <w:rFonts w:hint="eastAsia" w:ascii="宋体" w:hAnsi="宋体" w:eastAsia="宋体" w:cs="宋体"/>
          <w:color w:val="auto"/>
          <w:sz w:val="32"/>
          <w:szCs w:val="32"/>
          <w:highlight w:val="none"/>
        </w:rPr>
      </w:pPr>
    </w:p>
    <w:p w14:paraId="08F7439C">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5E7E896C">
      <w:pPr>
        <w:spacing w:line="240" w:lineRule="auto"/>
        <w:rPr>
          <w:rFonts w:hint="eastAsia" w:ascii="宋体" w:hAnsi="宋体" w:eastAsia="宋体" w:cs="宋体"/>
          <w:b/>
          <w:color w:val="auto"/>
          <w:sz w:val="44"/>
          <w:szCs w:val="44"/>
          <w:highlight w:val="none"/>
        </w:rPr>
      </w:pPr>
    </w:p>
    <w:p w14:paraId="4AB02763">
      <w:pPr>
        <w:spacing w:line="240" w:lineRule="auto"/>
        <w:jc w:val="center"/>
        <w:outlineLvl w:val="9"/>
        <w:rPr>
          <w:rFonts w:hint="default" w:ascii="宋体" w:hAnsi="宋体" w:eastAsia="宋体" w:cs="宋体"/>
          <w:b/>
          <w:color w:val="auto"/>
          <w:sz w:val="44"/>
          <w:szCs w:val="44"/>
          <w:highlight w:val="yellow"/>
          <w:lang w:eastAsia="zh-CN"/>
        </w:rPr>
      </w:pPr>
      <w:r>
        <w:rPr>
          <w:rFonts w:hint="eastAsia" w:ascii="宋体" w:hAnsi="宋体" w:eastAsia="宋体" w:cs="宋体"/>
          <w:b/>
          <w:color w:val="auto"/>
          <w:sz w:val="44"/>
          <w:szCs w:val="44"/>
          <w:highlight w:val="none"/>
        </w:rPr>
        <w:t>项目编号：</w:t>
      </w:r>
      <w:r>
        <w:rPr>
          <w:rFonts w:hint="default" w:ascii="宋体" w:hAnsi="宋体" w:cs="宋体"/>
          <w:b/>
          <w:color w:val="auto"/>
          <w:sz w:val="44"/>
          <w:szCs w:val="44"/>
          <w:highlight w:val="none"/>
          <w:lang w:eastAsia="zh-CN"/>
        </w:rPr>
        <w:t>XS2025(GK)-010</w:t>
      </w:r>
    </w:p>
    <w:p w14:paraId="57AC9430">
      <w:pPr>
        <w:spacing w:line="240" w:lineRule="auto"/>
        <w:rPr>
          <w:rFonts w:hint="eastAsia" w:ascii="宋体" w:hAnsi="宋体" w:eastAsia="宋体" w:cs="宋体"/>
          <w:b/>
          <w:color w:val="auto"/>
          <w:sz w:val="44"/>
          <w:szCs w:val="44"/>
          <w:highlight w:val="none"/>
        </w:rPr>
      </w:pPr>
    </w:p>
    <w:p w14:paraId="3C19BDA1">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第 </w:t>
      </w:r>
      <w:r>
        <w:rPr>
          <w:rFonts w:hint="eastAsia" w:ascii="宋体" w:hAnsi="宋体" w:eastAsia="宋体" w:cs="宋体"/>
          <w:b/>
          <w:color w:val="auto"/>
          <w:sz w:val="44"/>
          <w:szCs w:val="44"/>
          <w:highlight w:val="none"/>
          <w:lang w:val="en-US" w:eastAsia="zh-CN"/>
        </w:rPr>
        <w:t>一</w:t>
      </w:r>
      <w:r>
        <w:rPr>
          <w:rFonts w:hint="eastAsia" w:ascii="宋体" w:hAnsi="宋体" w:eastAsia="宋体" w:cs="宋体"/>
          <w:b/>
          <w:color w:val="auto"/>
          <w:sz w:val="44"/>
          <w:szCs w:val="44"/>
          <w:highlight w:val="none"/>
        </w:rPr>
        <w:t xml:space="preserve"> 册</w:t>
      </w:r>
    </w:p>
    <w:p w14:paraId="4D0942C7">
      <w:pPr>
        <w:outlineLvl w:val="9"/>
        <w:rPr>
          <w:rFonts w:hint="eastAsia" w:ascii="宋体" w:hAnsi="宋体" w:eastAsia="宋体" w:cs="宋体"/>
          <w:b/>
          <w:color w:val="auto"/>
          <w:sz w:val="44"/>
          <w:szCs w:val="36"/>
          <w:highlight w:val="none"/>
        </w:rPr>
      </w:pPr>
      <w:r>
        <w:rPr>
          <w:rFonts w:hint="eastAsia" w:ascii="宋体" w:hAnsi="宋体" w:eastAsia="宋体" w:cs="宋体"/>
          <w:b/>
          <w:color w:val="auto"/>
          <w:sz w:val="44"/>
          <w:szCs w:val="36"/>
          <w:highlight w:val="none"/>
        </w:rPr>
        <w:br w:type="page"/>
      </w:r>
    </w:p>
    <w:p w14:paraId="64A0B90A">
      <w:pPr>
        <w:pStyle w:val="6"/>
        <w:ind w:firstLine="0"/>
        <w:jc w:val="center"/>
        <w:outlineLvl w:val="0"/>
        <w:rPr>
          <w:rFonts w:hint="eastAsia" w:ascii="宋体" w:hAnsi="宋体" w:eastAsia="宋体" w:cs="宋体"/>
          <w:color w:val="auto"/>
          <w:sz w:val="32"/>
          <w:szCs w:val="32"/>
          <w:highlight w:val="none"/>
        </w:rPr>
      </w:pPr>
      <w:bookmarkStart w:id="30" w:name="_Toc16201"/>
      <w:bookmarkStart w:id="31" w:name="_Toc11041"/>
      <w:bookmarkStart w:id="32" w:name="_Toc5602"/>
      <w:r>
        <w:rPr>
          <w:rFonts w:hint="eastAsia" w:ascii="宋体" w:hAnsi="宋体" w:eastAsia="宋体" w:cs="宋体"/>
          <w:b/>
          <w:bCs/>
          <w:color w:val="auto"/>
          <w:sz w:val="32"/>
          <w:szCs w:val="32"/>
          <w:highlight w:val="none"/>
        </w:rPr>
        <w:t>第1章</w:t>
      </w:r>
      <w:bookmarkStart w:id="33" w:name="_Toc515647756"/>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供应商</w:t>
      </w:r>
      <w:r>
        <w:rPr>
          <w:rFonts w:hint="eastAsia" w:ascii="宋体" w:hAnsi="宋体" w:eastAsia="宋体" w:cs="宋体"/>
          <w:b/>
          <w:bCs/>
          <w:color w:val="auto"/>
          <w:sz w:val="32"/>
          <w:szCs w:val="32"/>
          <w:highlight w:val="none"/>
        </w:rPr>
        <w:t>须知</w:t>
      </w:r>
      <w:bookmarkEnd w:id="21"/>
      <w:bookmarkEnd w:id="22"/>
      <w:bookmarkEnd w:id="23"/>
      <w:bookmarkEnd w:id="24"/>
      <w:bookmarkEnd w:id="30"/>
      <w:bookmarkEnd w:id="31"/>
      <w:bookmarkEnd w:id="32"/>
      <w:bookmarkEnd w:id="33"/>
    </w:p>
    <w:p w14:paraId="1D4C9944">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34" w:name="_Toc515647757"/>
      <w:bookmarkStart w:id="35" w:name="_Toc520356143"/>
      <w:bookmarkStart w:id="36" w:name="_Toc216582805"/>
      <w:bookmarkStart w:id="37" w:name="_Toc4604"/>
      <w:bookmarkStart w:id="38" w:name="_Toc11227"/>
      <w:bookmarkStart w:id="39" w:name="_Toc23807"/>
      <w:bookmarkStart w:id="40" w:name="_Toc4886"/>
      <w:bookmarkStart w:id="41" w:name="_Toc21215"/>
      <w:bookmarkStart w:id="42" w:name="_Toc21015"/>
      <w:r>
        <w:rPr>
          <w:rFonts w:hint="eastAsia" w:ascii="宋体" w:hAnsi="宋体" w:eastAsia="宋体" w:cs="宋体"/>
          <w:color w:val="auto"/>
          <w:sz w:val="28"/>
          <w:szCs w:val="28"/>
          <w:highlight w:val="none"/>
          <w:lang w:val="en-US" w:eastAsia="zh-CN"/>
        </w:rPr>
        <w:t xml:space="preserve">一   </w:t>
      </w:r>
      <w:bookmarkEnd w:id="34"/>
      <w:bookmarkEnd w:id="35"/>
      <w:bookmarkEnd w:id="36"/>
      <w:r>
        <w:rPr>
          <w:rFonts w:hint="eastAsia" w:ascii="宋体" w:hAnsi="宋体" w:eastAsia="宋体" w:cs="宋体"/>
          <w:color w:val="auto"/>
          <w:sz w:val="28"/>
          <w:szCs w:val="28"/>
          <w:highlight w:val="none"/>
          <w:lang w:val="en-US" w:eastAsia="zh-CN"/>
        </w:rPr>
        <w:t>总 则</w:t>
      </w:r>
      <w:bookmarkEnd w:id="37"/>
      <w:bookmarkEnd w:id="38"/>
      <w:bookmarkEnd w:id="39"/>
      <w:bookmarkEnd w:id="40"/>
      <w:bookmarkEnd w:id="41"/>
      <w:bookmarkEnd w:id="42"/>
    </w:p>
    <w:p w14:paraId="6BC66851">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sz w:val="24"/>
          <w:szCs w:val="24"/>
          <w:highlight w:val="none"/>
          <w:u w:val="none"/>
        </w:rPr>
      </w:pPr>
      <w:bookmarkStart w:id="43" w:name="_Toc12861"/>
      <w:bookmarkStart w:id="44" w:name="_Toc28967"/>
      <w:bookmarkStart w:id="45" w:name="_Toc520356144"/>
      <w:bookmarkStart w:id="46" w:name="_Toc515647758"/>
      <w:bookmarkStart w:id="47" w:name="_Toc31685"/>
      <w:bookmarkStart w:id="48" w:name="_Toc11808"/>
      <w:bookmarkStart w:id="49" w:name="_Toc23985"/>
      <w:bookmarkStart w:id="50" w:name="_Toc32189"/>
      <w:bookmarkStart w:id="51" w:name="_Toc32623"/>
      <w:bookmarkStart w:id="52" w:name="_Toc333"/>
      <w:bookmarkStart w:id="53" w:name="_Toc29554"/>
      <w:bookmarkStart w:id="54" w:name="_Toc4880"/>
      <w:bookmarkStart w:id="55" w:name="_Toc14634"/>
      <w:bookmarkStart w:id="56" w:name="_Toc15081"/>
      <w:bookmarkStart w:id="57" w:name="_Toc842"/>
      <w:bookmarkStart w:id="58" w:name="_Toc5164"/>
      <w:bookmarkStart w:id="59" w:name="_Toc7594"/>
      <w:bookmarkStart w:id="60" w:name="_Toc31317"/>
      <w:bookmarkStart w:id="61" w:name="_Toc9349"/>
      <w:bookmarkStart w:id="62" w:name="_Toc22180"/>
      <w:bookmarkStart w:id="63" w:name="_Toc13597"/>
      <w:bookmarkStart w:id="64" w:name="_Toc32450"/>
      <w:bookmarkStart w:id="65" w:name="_Toc17254"/>
      <w:bookmarkStart w:id="66" w:name="_Toc9137"/>
      <w:bookmarkStart w:id="67" w:name="_Toc15043"/>
      <w:bookmarkStart w:id="68" w:name="_Toc874"/>
      <w:bookmarkStart w:id="69" w:name="_Toc6671"/>
      <w:bookmarkStart w:id="70" w:name="_Toc18081"/>
      <w:bookmarkStart w:id="71" w:name="_Toc5938"/>
      <w:bookmarkStart w:id="72" w:name="_Toc16133"/>
      <w:bookmarkStart w:id="73" w:name="_Toc18012"/>
      <w:bookmarkStart w:id="74" w:name="_Toc19435"/>
      <w:bookmarkStart w:id="75" w:name="_Toc30703"/>
      <w:bookmarkStart w:id="76" w:name="_Toc30663"/>
      <w:bookmarkStart w:id="77" w:name="_Toc11261"/>
      <w:bookmarkStart w:id="78" w:name="_Toc8320"/>
      <w:bookmarkStart w:id="79" w:name="_Toc32697"/>
      <w:bookmarkStart w:id="80" w:name="_Toc32742"/>
      <w:bookmarkStart w:id="81" w:name="_Toc27367"/>
      <w:bookmarkStart w:id="82" w:name="_Toc5495"/>
      <w:bookmarkStart w:id="83" w:name="_Toc16228"/>
      <w:bookmarkStart w:id="84" w:name="_Toc22141"/>
      <w:bookmarkStart w:id="85" w:name="_Toc26485"/>
      <w:bookmarkStart w:id="86" w:name="_Toc20841"/>
      <w:bookmarkStart w:id="87" w:name="_Toc25783"/>
      <w:bookmarkStart w:id="88" w:name="_Toc26341"/>
      <w:bookmarkStart w:id="89" w:name="_Toc12038"/>
      <w:bookmarkStart w:id="90" w:name="_Toc9452"/>
      <w:bookmarkStart w:id="91" w:name="_Toc18135"/>
      <w:bookmarkStart w:id="92" w:name="_Toc32211"/>
      <w:bookmarkStart w:id="93" w:name="_Toc27685"/>
      <w:bookmarkStart w:id="94" w:name="_Toc27714"/>
      <w:bookmarkStart w:id="95" w:name="_Toc8169"/>
      <w:bookmarkStart w:id="96" w:name="_Toc16660"/>
      <w:bookmarkStart w:id="97" w:name="_Toc30123"/>
      <w:bookmarkStart w:id="98" w:name="_Toc23304"/>
      <w:bookmarkStart w:id="99" w:name="_Toc18221"/>
      <w:bookmarkStart w:id="100" w:name="_Toc29345"/>
      <w:bookmarkStart w:id="101" w:name="_Toc3199"/>
      <w:bookmarkStart w:id="102" w:name="_Toc18665"/>
      <w:r>
        <w:rPr>
          <w:rFonts w:hint="eastAsia" w:ascii="宋体" w:hAnsi="宋体" w:eastAsia="宋体" w:cs="宋体"/>
          <w:b/>
          <w:bCs/>
          <w:color w:val="auto"/>
          <w:kern w:val="2"/>
          <w:sz w:val="24"/>
          <w:szCs w:val="24"/>
          <w:highlight w:val="none"/>
          <w:u w:val="none"/>
          <w:lang w:val="en-US" w:eastAsia="zh-CN" w:bidi="ar-SA"/>
        </w:rPr>
        <w:t>1.</w:t>
      </w:r>
      <w:r>
        <w:rPr>
          <w:rFonts w:hint="eastAsia" w:ascii="宋体" w:hAnsi="宋体" w:eastAsia="宋体" w:cs="宋体"/>
          <w:b/>
          <w:bCs/>
          <w:color w:val="auto"/>
          <w:sz w:val="24"/>
          <w:szCs w:val="24"/>
          <w:highlight w:val="none"/>
          <w:u w:val="none"/>
        </w:rPr>
        <w:t>采购人、采购代理机构及</w:t>
      </w:r>
      <w:bookmarkEnd w:id="43"/>
      <w:bookmarkEnd w:id="44"/>
      <w:bookmarkEnd w:id="45"/>
      <w:bookmarkEnd w:id="46"/>
      <w:bookmarkEnd w:id="47"/>
      <w:bookmarkEnd w:id="48"/>
      <w:bookmarkEnd w:id="49"/>
      <w:bookmarkEnd w:id="50"/>
      <w:bookmarkEnd w:id="51"/>
      <w:bookmarkEnd w:id="52"/>
      <w:bookmarkEnd w:id="53"/>
      <w:bookmarkEnd w:id="54"/>
      <w:r>
        <w:rPr>
          <w:rFonts w:hint="eastAsia" w:ascii="宋体" w:hAnsi="宋体" w:eastAsia="宋体" w:cs="宋体"/>
          <w:b/>
          <w:bCs/>
          <w:color w:val="auto"/>
          <w:sz w:val="24"/>
          <w:szCs w:val="24"/>
          <w:highlight w:val="none"/>
          <w:u w:val="none"/>
          <w:lang w:eastAsia="zh-CN"/>
        </w:rPr>
        <w:t>供应商</w:t>
      </w:r>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p>
    <w:p w14:paraId="0326E309">
      <w:pPr>
        <w:pageBreakBefore w:val="0"/>
        <w:widowControl w:val="0"/>
        <w:numPr>
          <w:ilvl w:val="0"/>
          <w:numId w:val="0"/>
        </w:numPr>
        <w:tabs>
          <w:tab w:val="left" w:pos="0"/>
        </w:tabs>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采购人：是指依法开展政府采购活动的国家机关、事业单位、团体组织。</w:t>
      </w:r>
    </w:p>
    <w:p w14:paraId="0F92E221">
      <w:pPr>
        <w:pageBreakBefore w:val="0"/>
        <w:widowControl w:val="0"/>
        <w:tabs>
          <w:tab w:val="left" w:pos="0"/>
        </w:tabs>
        <w:kinsoku/>
        <w:wordWrap/>
        <w:overflowPunct/>
        <w:topLinePunct w:val="0"/>
        <w:bidi w:val="0"/>
        <w:spacing w:line="360" w:lineRule="exact"/>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本项目的采购人见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262749A7">
      <w:pPr>
        <w:pageBreakBefore w:val="0"/>
        <w:widowControl w:val="0"/>
        <w:numPr>
          <w:ilvl w:val="0"/>
          <w:numId w:val="0"/>
        </w:numPr>
        <w:tabs>
          <w:tab w:val="left" w:pos="0"/>
        </w:tabs>
        <w:kinsoku/>
        <w:wordWrap/>
        <w:overflowPunct/>
        <w:topLinePunct w:val="0"/>
        <w:bidi w:val="0"/>
        <w:spacing w:line="360" w:lineRule="exact"/>
        <w:ind w:left="72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采购代理机构：是指在集中采购机构或从事采购代理业务的社会中介机构。本项目的采购代理机构见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1C1BA172">
      <w:pPr>
        <w:pageBreakBefore w:val="0"/>
        <w:widowControl w:val="0"/>
        <w:numPr>
          <w:ilvl w:val="0"/>
          <w:numId w:val="0"/>
        </w:numPr>
        <w:kinsoku/>
        <w:wordWrap/>
        <w:overflowPunct/>
        <w:topLinePunct w:val="0"/>
        <w:bidi w:val="0"/>
        <w:spacing w:line="360" w:lineRule="exact"/>
        <w:ind w:left="96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：是指向采购人提供货物、工程或者服务的法人、非法人组织或者自然人。本项目的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及其投标</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须满足以下条件：</w:t>
      </w:r>
    </w:p>
    <w:p w14:paraId="0AB2809E">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   在中华人民共和国境内注册，能够独立承担民事责任，有生产或供应能力的本国供应商。</w:t>
      </w:r>
    </w:p>
    <w:p w14:paraId="45F106E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   具备《中华人民共和国政府采购法》第二十二条关于供应商条件的规定，遵守本项目采购人本级和上级财政部门政府采购的有关规定。</w:t>
      </w:r>
    </w:p>
    <w:p w14:paraId="1FF2D8D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   以采购代理机构认可的方式获得了本项目的招标文件。</w:t>
      </w:r>
    </w:p>
    <w:p w14:paraId="31BA1F4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   符合</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中规定的其他要求。</w:t>
      </w:r>
    </w:p>
    <w:p w14:paraId="244644A9">
      <w:pPr>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1.3.5   若</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中写明专门面向中小企业采购的，如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为非中小企业且所投产品为非中小企业产品，其投标将被认定为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467C8A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如</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中允许联合体投标，对联合体规定如下：</w:t>
      </w:r>
    </w:p>
    <w:p w14:paraId="5AB5263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两个以上供应商可以组成一个投标联合体，以一个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的身份投标。</w:t>
      </w:r>
    </w:p>
    <w:p w14:paraId="4F9C62C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联合体各方均应符合《中华人民共和国政府采购法》第二十二条规定的条件。</w:t>
      </w:r>
    </w:p>
    <w:p w14:paraId="1F9A3E2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   采购人根据采购项目对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的特殊要求，联合体中至少应当有一方符合相关规定。</w:t>
      </w:r>
    </w:p>
    <w:p w14:paraId="64FE50E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   联合体各方应签订共同投标协议，明确约定联合体各方承担的工作和相应的责任，并将共同投标协议连同作为投标文件第一部分的内容提交。</w:t>
      </w:r>
    </w:p>
    <w:p w14:paraId="6D21C31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5AE3413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1.4.6  联合体中有同类资质的供应商按照联合体分工承担相同工作的，按照较低的资质等级确定联合体的资质等级。</w:t>
      </w:r>
    </w:p>
    <w:p w14:paraId="4C06B6B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1.4.7  以联合体形式参加政府采购活动的，联合体各方不得再单独参加或者与其他供应商另外组成联合体参加本项目投标，否则相关投标将被认定为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CDA20D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   对联合体投标的其他资格要求见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6B9CC2D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单位负责人为同一人或者存在直接控股、管理关系的不同供应商，其相关投标将被认定为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E92569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1.6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在投标过程中不得向采购人提供、给予任何有价值的物品，影响其正常决策行为。一经发现，其将被认定为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7CE8153">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03" w:name="_Toc18536"/>
      <w:bookmarkStart w:id="104" w:name="_Toc18986"/>
      <w:bookmarkStart w:id="105" w:name="_Toc12139"/>
      <w:bookmarkStart w:id="106" w:name="_Toc8958"/>
      <w:bookmarkStart w:id="107" w:name="_Toc26117"/>
      <w:bookmarkStart w:id="108" w:name="_Toc7800"/>
      <w:bookmarkStart w:id="109" w:name="_Toc30940"/>
      <w:bookmarkStart w:id="110" w:name="_Toc10433"/>
      <w:bookmarkStart w:id="111" w:name="_Toc4046"/>
      <w:bookmarkStart w:id="112" w:name="_Toc20739"/>
      <w:bookmarkStart w:id="113" w:name="_Toc10315"/>
      <w:bookmarkStart w:id="114" w:name="_Toc12981"/>
      <w:bookmarkStart w:id="115" w:name="_Toc515647759"/>
      <w:bookmarkStart w:id="116" w:name="_Toc1685"/>
      <w:bookmarkStart w:id="117" w:name="_Toc6957"/>
      <w:bookmarkStart w:id="118" w:name="_Toc19202"/>
      <w:bookmarkStart w:id="119" w:name="_Toc24766"/>
      <w:bookmarkStart w:id="120" w:name="_Toc5286"/>
      <w:bookmarkStart w:id="121" w:name="_Toc24503"/>
      <w:bookmarkStart w:id="122" w:name="_Toc15091"/>
      <w:bookmarkStart w:id="123" w:name="_Toc21286"/>
      <w:bookmarkStart w:id="124" w:name="_Toc1760"/>
      <w:bookmarkStart w:id="125" w:name="_Toc19970"/>
      <w:bookmarkStart w:id="126" w:name="_Toc10699"/>
      <w:bookmarkStart w:id="127" w:name="_Toc8397"/>
      <w:bookmarkStart w:id="128" w:name="_Toc1973"/>
      <w:bookmarkStart w:id="129" w:name="_Toc13272"/>
      <w:bookmarkStart w:id="130" w:name="_Toc162"/>
      <w:bookmarkStart w:id="131" w:name="_Toc22677"/>
      <w:bookmarkStart w:id="132" w:name="_Toc12936"/>
      <w:bookmarkStart w:id="133" w:name="_Toc25669"/>
      <w:bookmarkStart w:id="134" w:name="_Toc27445"/>
      <w:bookmarkStart w:id="135" w:name="_Toc28511"/>
      <w:bookmarkStart w:id="136" w:name="_Toc31582"/>
      <w:bookmarkStart w:id="137" w:name="_Toc690"/>
      <w:bookmarkStart w:id="138" w:name="_Toc28008"/>
      <w:bookmarkStart w:id="139" w:name="_Toc22446"/>
      <w:bookmarkStart w:id="140" w:name="_Toc4311"/>
      <w:bookmarkStart w:id="141" w:name="_Toc2321"/>
      <w:bookmarkStart w:id="142" w:name="_Toc21568"/>
      <w:bookmarkStart w:id="143" w:name="_Toc16369"/>
      <w:bookmarkStart w:id="144" w:name="_Toc25920"/>
      <w:bookmarkStart w:id="145" w:name="_Toc27451"/>
      <w:bookmarkStart w:id="146" w:name="_Toc16822"/>
      <w:bookmarkStart w:id="147" w:name="_Toc21047"/>
      <w:bookmarkStart w:id="148" w:name="_Toc7825"/>
      <w:bookmarkStart w:id="149" w:name="_Toc13065"/>
      <w:bookmarkStart w:id="150" w:name="_Toc27814"/>
      <w:bookmarkStart w:id="151" w:name="_Toc15272"/>
      <w:bookmarkStart w:id="152" w:name="_Toc15249"/>
      <w:bookmarkStart w:id="153" w:name="_Toc12041"/>
      <w:bookmarkStart w:id="154" w:name="_Toc13679"/>
      <w:bookmarkStart w:id="155" w:name="_Toc10189"/>
      <w:bookmarkStart w:id="156" w:name="_Toc4816"/>
      <w:bookmarkStart w:id="157" w:name="_Toc11068"/>
      <w:bookmarkStart w:id="158" w:name="_Toc4016"/>
      <w:bookmarkStart w:id="159" w:name="_Toc30599"/>
      <w:bookmarkStart w:id="160" w:name="_Toc1403"/>
      <w:bookmarkStart w:id="161" w:name="_Toc11187"/>
      <w:r>
        <w:rPr>
          <w:rFonts w:hint="eastAsia" w:ascii="宋体" w:hAnsi="宋体" w:eastAsia="宋体" w:cs="宋体"/>
          <w:b/>
          <w:bCs/>
          <w:color w:val="auto"/>
          <w:kern w:val="2"/>
          <w:sz w:val="24"/>
          <w:szCs w:val="24"/>
          <w:highlight w:val="none"/>
          <w:u w:val="none"/>
          <w:lang w:val="en-US" w:eastAsia="zh-CN" w:bidi="ar-SA"/>
        </w:rPr>
        <w:t>2.资金来源</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2214643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本项目的采购人已获得足以支付本次招标后所签订的合同项下的资金（包括财政性资金和本项目采购中无法与财政性资金分割的非财政性资金）。</w:t>
      </w:r>
    </w:p>
    <w:p w14:paraId="3AED19E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项目预算金额和分</w:t>
      </w:r>
      <w:r>
        <w:rPr>
          <w:rFonts w:hint="eastAsia" w:ascii="宋体" w:hAnsi="宋体" w:cs="宋体"/>
          <w:color w:val="auto"/>
          <w:sz w:val="24"/>
          <w:szCs w:val="24"/>
          <w:highlight w:val="none"/>
          <w:lang w:val="en-US" w:eastAsia="zh-CN"/>
        </w:rPr>
        <w:t>包</w:t>
      </w:r>
      <w:r>
        <w:rPr>
          <w:rFonts w:hint="eastAsia" w:ascii="宋体" w:hAnsi="宋体" w:eastAsia="宋体" w:cs="宋体"/>
          <w:color w:val="auto"/>
          <w:sz w:val="24"/>
          <w:szCs w:val="24"/>
          <w:highlight w:val="none"/>
        </w:rPr>
        <w:t>或分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u w:val="single"/>
        </w:rPr>
        <w:t>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1A61C8A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报价超过招标文件规定的预算金额或者分</w:t>
      </w:r>
      <w:r>
        <w:rPr>
          <w:rFonts w:hint="eastAsia" w:ascii="宋体" w:hAnsi="宋体" w:cs="宋体"/>
          <w:color w:val="auto"/>
          <w:sz w:val="24"/>
          <w:szCs w:val="24"/>
          <w:highlight w:val="none"/>
          <w:lang w:val="en-US" w:eastAsia="zh-CN"/>
        </w:rPr>
        <w:t>包</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最高限价的，其投标将被认定为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10F731F">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62" w:name="_Toc27956"/>
      <w:bookmarkStart w:id="163" w:name="_Toc30754"/>
      <w:bookmarkStart w:id="164" w:name="_Toc5757"/>
      <w:bookmarkStart w:id="165" w:name="_Toc13340"/>
      <w:bookmarkStart w:id="166" w:name="_Toc30650"/>
      <w:bookmarkStart w:id="167" w:name="_Toc144"/>
      <w:bookmarkStart w:id="168" w:name="_Toc15518"/>
      <w:bookmarkStart w:id="169" w:name="_Toc15901"/>
      <w:bookmarkStart w:id="170" w:name="_Toc20526"/>
      <w:bookmarkStart w:id="171" w:name="_Toc20285"/>
      <w:bookmarkStart w:id="172" w:name="_Toc15936"/>
      <w:bookmarkStart w:id="173" w:name="_Toc23959"/>
      <w:bookmarkStart w:id="174" w:name="_Toc5207"/>
      <w:bookmarkStart w:id="175" w:name="_Toc30670"/>
      <w:bookmarkStart w:id="176" w:name="_Toc22005"/>
      <w:bookmarkStart w:id="177" w:name="_Toc25515"/>
      <w:bookmarkStart w:id="178" w:name="_Toc22731"/>
      <w:bookmarkStart w:id="179" w:name="_Toc14612"/>
      <w:bookmarkStart w:id="180" w:name="_Toc12188"/>
      <w:bookmarkStart w:id="181" w:name="_Toc6415"/>
      <w:bookmarkStart w:id="182" w:name="_Toc14829"/>
      <w:bookmarkStart w:id="183" w:name="_Toc9776"/>
      <w:bookmarkStart w:id="184" w:name="_Toc30737"/>
      <w:bookmarkStart w:id="185" w:name="_Toc520356145"/>
      <w:bookmarkStart w:id="186" w:name="_Toc18657"/>
      <w:bookmarkStart w:id="187" w:name="_Toc3976"/>
      <w:bookmarkStart w:id="188" w:name="_Toc903"/>
      <w:bookmarkStart w:id="189" w:name="_Toc15368"/>
      <w:bookmarkStart w:id="190" w:name="_Toc14735"/>
      <w:bookmarkStart w:id="191" w:name="_Toc515647760"/>
      <w:bookmarkStart w:id="192" w:name="_Toc13867"/>
      <w:bookmarkStart w:id="193" w:name="_Toc25543"/>
      <w:bookmarkStart w:id="194" w:name="_Toc20799"/>
      <w:bookmarkStart w:id="195" w:name="_Toc29481"/>
      <w:bookmarkStart w:id="196" w:name="_Toc20044"/>
      <w:bookmarkStart w:id="197" w:name="_Toc29041"/>
      <w:bookmarkStart w:id="198" w:name="_Toc10963"/>
      <w:bookmarkStart w:id="199" w:name="_Toc27479"/>
      <w:bookmarkStart w:id="200" w:name="_Toc1796"/>
      <w:bookmarkStart w:id="201" w:name="_Toc7365"/>
      <w:bookmarkStart w:id="202" w:name="_Toc29504"/>
      <w:bookmarkStart w:id="203" w:name="_Toc18651"/>
      <w:bookmarkStart w:id="204" w:name="_Toc13276"/>
      <w:bookmarkStart w:id="205" w:name="_Toc9436"/>
      <w:bookmarkStart w:id="206" w:name="_Toc32114"/>
      <w:bookmarkStart w:id="207" w:name="_Toc4007"/>
      <w:bookmarkStart w:id="208" w:name="_Toc700"/>
      <w:bookmarkStart w:id="209" w:name="_Toc26559"/>
      <w:bookmarkStart w:id="210" w:name="_Toc7261"/>
      <w:bookmarkStart w:id="211" w:name="_Toc12313"/>
      <w:bookmarkStart w:id="212" w:name="_Toc29689"/>
      <w:bookmarkStart w:id="213" w:name="_Toc9766"/>
      <w:bookmarkStart w:id="214" w:name="_Toc26361"/>
      <w:bookmarkStart w:id="215" w:name="_Toc6389"/>
      <w:bookmarkStart w:id="216" w:name="_Toc30708"/>
      <w:bookmarkStart w:id="217" w:name="_Toc7188"/>
      <w:bookmarkStart w:id="218" w:name="_Toc7108"/>
      <w:bookmarkStart w:id="219" w:name="_Toc16018"/>
      <w:bookmarkStart w:id="220" w:name="_Toc27044"/>
      <w:bookmarkStart w:id="221" w:name="_Toc15127"/>
      <w:r>
        <w:rPr>
          <w:rFonts w:hint="eastAsia" w:ascii="宋体" w:hAnsi="宋体" w:eastAsia="宋体" w:cs="宋体"/>
          <w:b/>
          <w:bCs/>
          <w:color w:val="auto"/>
          <w:kern w:val="2"/>
          <w:sz w:val="24"/>
          <w:szCs w:val="24"/>
          <w:highlight w:val="none"/>
          <w:u w:val="none"/>
          <w:lang w:val="en-US" w:eastAsia="zh-CN" w:bidi="ar-SA"/>
        </w:rPr>
        <w:t>3.投标费用</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14:paraId="38F56EC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不论投标的结果如何，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应承担所有与准备和参加投标有关的费用。</w:t>
      </w:r>
    </w:p>
    <w:p w14:paraId="75E71556">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22" w:name="_Toc16751"/>
      <w:bookmarkStart w:id="223" w:name="_Toc30864"/>
      <w:bookmarkStart w:id="224" w:name="_Toc515647761"/>
      <w:bookmarkStart w:id="225" w:name="_Toc32103"/>
      <w:bookmarkStart w:id="226" w:name="_Toc32017"/>
      <w:bookmarkStart w:id="227" w:name="_Toc6097"/>
      <w:bookmarkStart w:id="228" w:name="_Toc24310"/>
      <w:bookmarkStart w:id="229" w:name="_Toc31193"/>
      <w:bookmarkStart w:id="230" w:name="_Toc12888"/>
      <w:bookmarkStart w:id="231" w:name="_Toc2389"/>
      <w:bookmarkStart w:id="232" w:name="_Toc2839"/>
      <w:bookmarkStart w:id="233" w:name="_Toc7511"/>
      <w:bookmarkStart w:id="234" w:name="_Toc24881"/>
      <w:bookmarkStart w:id="235" w:name="_Toc11355"/>
      <w:bookmarkStart w:id="236" w:name="_Toc27687"/>
      <w:bookmarkStart w:id="237" w:name="_Toc4389"/>
      <w:bookmarkStart w:id="238" w:name="_Toc11989"/>
      <w:bookmarkStart w:id="239" w:name="_Toc22663"/>
      <w:bookmarkStart w:id="240" w:name="_Toc2208"/>
      <w:bookmarkStart w:id="241" w:name="_Toc5853"/>
      <w:bookmarkStart w:id="242" w:name="_Toc4463"/>
      <w:bookmarkStart w:id="243" w:name="_Toc5321"/>
      <w:bookmarkStart w:id="244" w:name="_Toc27446"/>
      <w:bookmarkStart w:id="245" w:name="_Toc24859"/>
      <w:bookmarkStart w:id="246" w:name="_Toc29011"/>
      <w:bookmarkStart w:id="247" w:name="_Toc6759"/>
      <w:bookmarkStart w:id="248" w:name="_Toc14443"/>
      <w:bookmarkStart w:id="249" w:name="_Toc21923"/>
      <w:bookmarkStart w:id="250" w:name="_Toc25242"/>
      <w:bookmarkStart w:id="251" w:name="_Toc4272"/>
      <w:bookmarkStart w:id="252" w:name="_Toc17308"/>
      <w:bookmarkStart w:id="253" w:name="_Toc26349"/>
      <w:bookmarkStart w:id="254" w:name="_Toc7915"/>
      <w:bookmarkStart w:id="255" w:name="_Toc3955"/>
      <w:bookmarkStart w:id="256" w:name="_Toc4925"/>
      <w:bookmarkStart w:id="257" w:name="_Toc1198"/>
      <w:bookmarkStart w:id="258" w:name="_Toc21048"/>
      <w:bookmarkStart w:id="259" w:name="_Toc13150"/>
      <w:bookmarkStart w:id="260" w:name="_Toc25077"/>
      <w:bookmarkStart w:id="261" w:name="_Toc22687"/>
      <w:bookmarkStart w:id="262" w:name="_Toc27739"/>
      <w:bookmarkStart w:id="263" w:name="_Toc21002"/>
      <w:bookmarkStart w:id="264" w:name="_Toc6895"/>
      <w:bookmarkStart w:id="265" w:name="_Toc10864"/>
      <w:bookmarkStart w:id="266" w:name="_Toc12920"/>
      <w:bookmarkStart w:id="267" w:name="_Toc15507"/>
      <w:bookmarkStart w:id="268" w:name="_Toc7043"/>
      <w:bookmarkStart w:id="269" w:name="_Toc2915"/>
      <w:bookmarkStart w:id="270" w:name="_Toc22058"/>
      <w:bookmarkStart w:id="271" w:name="_Toc6116"/>
      <w:bookmarkStart w:id="272" w:name="_Toc11505"/>
      <w:bookmarkStart w:id="273" w:name="_Toc15600"/>
      <w:bookmarkStart w:id="274" w:name="_Toc10109"/>
      <w:bookmarkStart w:id="275" w:name="_Toc1714"/>
      <w:bookmarkStart w:id="276" w:name="_Toc13524"/>
      <w:bookmarkStart w:id="277" w:name="_Toc21641"/>
      <w:bookmarkStart w:id="278" w:name="_Toc31836"/>
      <w:bookmarkStart w:id="279" w:name="_Toc16328"/>
      <w:bookmarkStart w:id="280" w:name="_Toc1339"/>
      <w:r>
        <w:rPr>
          <w:rFonts w:hint="eastAsia" w:ascii="宋体" w:hAnsi="宋体" w:eastAsia="宋体" w:cs="宋体"/>
          <w:b/>
          <w:bCs/>
          <w:color w:val="auto"/>
          <w:kern w:val="2"/>
          <w:sz w:val="24"/>
          <w:szCs w:val="24"/>
          <w:highlight w:val="none"/>
          <w:u w:val="none"/>
          <w:lang w:val="en-US" w:eastAsia="zh-CN" w:bidi="ar-SA"/>
        </w:rPr>
        <w:t>4.适用法律</w:t>
      </w:r>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p>
    <w:p w14:paraId="6411B3A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本项目采购人、采购代理机构、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、评标委员会的相关行为均受《中华人民共和国政府采购法》、《中华人民共和国政府采购法实施条例》</w:t>
      </w:r>
      <w:r>
        <w:rPr>
          <w:rFonts w:hint="eastAsia" w:ascii="宋体" w:hAnsi="宋体" w:eastAsia="宋体" w:cs="宋体"/>
          <w:color w:val="auto"/>
          <w:sz w:val="24"/>
          <w:szCs w:val="24"/>
          <w:highlight w:val="none"/>
          <w:lang w:eastAsia="zh-CN"/>
        </w:rPr>
        <w:t>、中华人民共和国财政部令第87号--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政府采购货物和服务招标投标管理办法</w:t>
      </w:r>
      <w:r>
        <w:rPr>
          <w:rFonts w:hint="eastAsia" w:ascii="宋体" w:hAnsi="宋体" w:eastAsia="宋体" w:cs="宋体"/>
          <w:color w:val="auto"/>
          <w:sz w:val="24"/>
          <w:szCs w:val="24"/>
          <w:highlight w:val="none"/>
        </w:rPr>
        <w:t>》及本项目本级和上级财政部门政府采购有关规定的约束，其权利受到上述法律法规的保护。</w:t>
      </w:r>
    </w:p>
    <w:p w14:paraId="235E5AE6">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p>
    <w:p w14:paraId="6BF6A086">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281" w:name="_Toc216582806"/>
      <w:bookmarkStart w:id="282" w:name="_Toc872"/>
      <w:bookmarkStart w:id="283" w:name="_Toc4365"/>
      <w:bookmarkStart w:id="284" w:name="_Toc515647762"/>
      <w:bookmarkStart w:id="285" w:name="_Toc6385"/>
      <w:bookmarkStart w:id="286" w:name="_Toc21566"/>
      <w:bookmarkStart w:id="287" w:name="_Toc520356146"/>
      <w:bookmarkStart w:id="288" w:name="_Toc22711"/>
      <w:bookmarkStart w:id="289" w:name="_Toc8145"/>
      <w:r>
        <w:rPr>
          <w:rFonts w:hint="eastAsia" w:ascii="宋体" w:hAnsi="宋体" w:eastAsia="宋体" w:cs="宋体"/>
          <w:color w:val="auto"/>
          <w:sz w:val="28"/>
          <w:szCs w:val="28"/>
          <w:highlight w:val="none"/>
          <w:lang w:val="en-US" w:eastAsia="zh-CN"/>
        </w:rPr>
        <w:t>二   招标文件</w:t>
      </w:r>
      <w:bookmarkEnd w:id="281"/>
      <w:bookmarkEnd w:id="282"/>
      <w:bookmarkEnd w:id="283"/>
      <w:bookmarkEnd w:id="284"/>
      <w:bookmarkEnd w:id="285"/>
      <w:bookmarkEnd w:id="286"/>
      <w:bookmarkEnd w:id="287"/>
      <w:bookmarkEnd w:id="288"/>
      <w:bookmarkEnd w:id="289"/>
    </w:p>
    <w:p w14:paraId="2EDF4875">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90" w:name="_Toc1265"/>
      <w:bookmarkStart w:id="291" w:name="_Toc15153"/>
      <w:bookmarkStart w:id="292" w:name="_Toc27288"/>
      <w:bookmarkStart w:id="293" w:name="_Toc25976"/>
      <w:bookmarkStart w:id="294" w:name="_Toc27237"/>
      <w:bookmarkStart w:id="295" w:name="_Toc515647763"/>
      <w:bookmarkStart w:id="296" w:name="_Toc2036"/>
      <w:bookmarkStart w:id="297" w:name="_Toc7413"/>
      <w:bookmarkStart w:id="298" w:name="_Toc5875"/>
      <w:bookmarkStart w:id="299" w:name="_Toc7251"/>
      <w:bookmarkStart w:id="300" w:name="_Toc2876"/>
      <w:bookmarkStart w:id="301" w:name="_Toc328"/>
      <w:bookmarkStart w:id="302" w:name="_Toc13966"/>
      <w:bookmarkStart w:id="303" w:name="_Toc8514"/>
      <w:bookmarkStart w:id="304" w:name="_Toc18213"/>
      <w:bookmarkStart w:id="305" w:name="_Toc3517"/>
      <w:bookmarkStart w:id="306" w:name="_Toc19323"/>
      <w:bookmarkStart w:id="307" w:name="_Toc30387"/>
      <w:bookmarkStart w:id="308" w:name="_Toc27186"/>
      <w:bookmarkStart w:id="309" w:name="_Toc13816"/>
      <w:bookmarkStart w:id="310" w:name="_Toc12831"/>
      <w:bookmarkStart w:id="311" w:name="_Toc25743"/>
      <w:bookmarkStart w:id="312" w:name="_Toc6541"/>
      <w:bookmarkStart w:id="313" w:name="_Toc12596"/>
      <w:bookmarkStart w:id="314" w:name="_Toc25207"/>
      <w:bookmarkStart w:id="315" w:name="_Toc3341"/>
      <w:bookmarkStart w:id="316" w:name="_Toc15568"/>
      <w:bookmarkStart w:id="317" w:name="_Toc9966"/>
      <w:bookmarkStart w:id="318" w:name="_Toc31526"/>
      <w:bookmarkStart w:id="319" w:name="_Toc22056"/>
      <w:bookmarkStart w:id="320" w:name="_Toc7177"/>
      <w:bookmarkStart w:id="321" w:name="_Toc520356147"/>
      <w:bookmarkStart w:id="322" w:name="_Toc21841"/>
      <w:bookmarkStart w:id="323" w:name="_Toc1044"/>
      <w:bookmarkStart w:id="324" w:name="_Toc14447"/>
      <w:bookmarkStart w:id="325" w:name="_Toc24971"/>
      <w:bookmarkStart w:id="326" w:name="_Toc15203"/>
      <w:bookmarkStart w:id="327" w:name="_Toc11394"/>
      <w:bookmarkStart w:id="328" w:name="_Toc17343"/>
      <w:bookmarkStart w:id="329" w:name="_Toc18714"/>
      <w:bookmarkStart w:id="330" w:name="_Toc5479"/>
      <w:bookmarkStart w:id="331" w:name="_Toc6234"/>
      <w:bookmarkStart w:id="332" w:name="_Toc14084"/>
      <w:bookmarkStart w:id="333" w:name="_Toc15795"/>
      <w:bookmarkStart w:id="334" w:name="_Toc30280"/>
      <w:bookmarkStart w:id="335" w:name="_Toc21275"/>
      <w:bookmarkStart w:id="336" w:name="_Toc17097"/>
      <w:bookmarkStart w:id="337" w:name="_Toc4087"/>
      <w:bookmarkStart w:id="338" w:name="_Toc9411"/>
      <w:bookmarkStart w:id="339" w:name="_Toc25777"/>
      <w:bookmarkStart w:id="340" w:name="_Toc29550"/>
      <w:bookmarkStart w:id="341" w:name="_Toc202"/>
      <w:bookmarkStart w:id="342" w:name="_Toc555"/>
      <w:bookmarkStart w:id="343" w:name="_Toc31428"/>
      <w:bookmarkStart w:id="344" w:name="_Toc14530"/>
      <w:bookmarkStart w:id="345" w:name="_Toc31862"/>
      <w:bookmarkStart w:id="346" w:name="_Toc25008"/>
      <w:bookmarkStart w:id="347" w:name="_Toc21734"/>
      <w:bookmarkStart w:id="348" w:name="_Toc19525"/>
      <w:bookmarkStart w:id="349" w:name="_Toc32574"/>
      <w:r>
        <w:rPr>
          <w:rFonts w:hint="eastAsia" w:ascii="宋体" w:hAnsi="宋体" w:eastAsia="宋体" w:cs="宋体"/>
          <w:b/>
          <w:bCs/>
          <w:color w:val="auto"/>
          <w:kern w:val="2"/>
          <w:sz w:val="24"/>
          <w:szCs w:val="24"/>
          <w:highlight w:val="none"/>
          <w:u w:val="none"/>
          <w:lang w:val="en-US" w:eastAsia="zh-CN" w:bidi="ar-SA"/>
        </w:rPr>
        <w:t>5.招标文件构成</w:t>
      </w:r>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p w14:paraId="0F68C10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招标文件分为三册共7章，内容如下：</w:t>
      </w:r>
    </w:p>
    <w:p w14:paraId="29D4F70E">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第一册</w:t>
      </w:r>
    </w:p>
    <w:p w14:paraId="537B45E6">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第1章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46287C65">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章  投标文件格式</w:t>
      </w:r>
    </w:p>
    <w:p w14:paraId="27984165">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第二册</w:t>
      </w:r>
    </w:p>
    <w:p w14:paraId="47880331">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章  投标邀请</w:t>
      </w:r>
    </w:p>
    <w:p w14:paraId="4E051A1C">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须知资料表</w:t>
      </w:r>
    </w:p>
    <w:p w14:paraId="4B86BD92">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val="en-US" w:eastAsia="zh-CN"/>
        </w:rPr>
        <w:t>服务需求</w:t>
      </w:r>
      <w:r>
        <w:rPr>
          <w:rFonts w:hint="eastAsia" w:ascii="宋体" w:hAnsi="宋体" w:eastAsia="宋体" w:cs="宋体"/>
          <w:color w:val="auto"/>
          <w:sz w:val="24"/>
          <w:szCs w:val="24"/>
          <w:highlight w:val="none"/>
        </w:rPr>
        <w:t xml:space="preserve">及项目要求 </w:t>
      </w:r>
    </w:p>
    <w:p w14:paraId="66401616">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章  评标方法和标准</w:t>
      </w:r>
    </w:p>
    <w:p w14:paraId="06EBA2C4">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第三册</w:t>
      </w:r>
    </w:p>
    <w:p w14:paraId="05515353">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章  政府采购合同</w:t>
      </w:r>
      <w:r>
        <w:rPr>
          <w:rFonts w:hint="eastAsia" w:ascii="宋体" w:hAnsi="宋体" w:eastAsia="宋体" w:cs="宋体"/>
          <w:color w:val="auto"/>
          <w:sz w:val="24"/>
          <w:szCs w:val="24"/>
          <w:highlight w:val="none"/>
          <w:lang w:val="en-US" w:eastAsia="zh-CN"/>
        </w:rPr>
        <w:t>（参考范本）</w:t>
      </w:r>
    </w:p>
    <w:p w14:paraId="7930B875">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如本文件的前后内容不一致，以最后描述为准。</w:t>
      </w:r>
    </w:p>
    <w:p w14:paraId="29EA42B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应认真阅读招标文件所有的事项、格式、条款和技术规范等。如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没有按照招标文件要求提交全部资料，或者投标文件没有对招标文件在各方面都做出实质性响应，可能导致其投标将被认定为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0E629FE1">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350" w:name="_Toc515904805"/>
      <w:bookmarkStart w:id="351" w:name="_Toc520356148"/>
      <w:bookmarkStart w:id="352" w:name="_Toc22319"/>
      <w:bookmarkStart w:id="353" w:name="_Toc4375"/>
      <w:bookmarkStart w:id="354" w:name="_Toc25866"/>
      <w:bookmarkStart w:id="355" w:name="_Toc24647"/>
      <w:bookmarkStart w:id="356" w:name="_Toc9124"/>
      <w:bookmarkStart w:id="357" w:name="_Toc13020"/>
      <w:bookmarkStart w:id="358" w:name="_Toc5991"/>
      <w:bookmarkStart w:id="359" w:name="_Toc5765"/>
      <w:bookmarkStart w:id="360" w:name="_Toc1117"/>
      <w:bookmarkStart w:id="361" w:name="_Toc21165"/>
      <w:bookmarkStart w:id="362" w:name="_Toc9195"/>
      <w:bookmarkStart w:id="363" w:name="_Toc31486"/>
      <w:bookmarkStart w:id="364" w:name="_Toc21098"/>
      <w:bookmarkStart w:id="365" w:name="_Toc3322"/>
      <w:bookmarkStart w:id="366" w:name="_Toc29804"/>
      <w:bookmarkStart w:id="367" w:name="_Toc27659"/>
      <w:bookmarkStart w:id="368" w:name="_Toc3905"/>
      <w:bookmarkStart w:id="369" w:name="_Toc30185"/>
      <w:bookmarkStart w:id="370" w:name="_Toc25615"/>
      <w:bookmarkStart w:id="371" w:name="_Toc9232"/>
      <w:bookmarkStart w:id="372" w:name="_Toc20202"/>
      <w:bookmarkStart w:id="373" w:name="_Toc12813"/>
      <w:bookmarkStart w:id="374" w:name="_Toc18610"/>
      <w:bookmarkStart w:id="375" w:name="_Toc15327"/>
      <w:bookmarkStart w:id="376" w:name="_Toc10213"/>
      <w:bookmarkStart w:id="377" w:name="_Toc10034"/>
      <w:bookmarkStart w:id="378" w:name="_Toc19551"/>
      <w:bookmarkStart w:id="379" w:name="_Toc23724"/>
      <w:bookmarkStart w:id="380" w:name="_Toc20995"/>
      <w:bookmarkStart w:id="381" w:name="_Toc9646"/>
      <w:bookmarkStart w:id="382" w:name="_Toc13183"/>
      <w:bookmarkStart w:id="383" w:name="_Toc8590"/>
      <w:bookmarkStart w:id="384" w:name="_Toc12996"/>
      <w:bookmarkStart w:id="385" w:name="_Toc19275"/>
      <w:bookmarkStart w:id="386" w:name="_Toc25187"/>
      <w:bookmarkStart w:id="387" w:name="_Toc15818"/>
      <w:bookmarkStart w:id="388" w:name="_Toc24459"/>
      <w:bookmarkStart w:id="389" w:name="_Toc25436"/>
      <w:bookmarkStart w:id="390" w:name="_Toc29944"/>
      <w:bookmarkStart w:id="391" w:name="_Toc27465"/>
      <w:bookmarkStart w:id="392" w:name="_Toc15721"/>
      <w:bookmarkStart w:id="393" w:name="_Toc20604"/>
      <w:bookmarkStart w:id="394" w:name="_Toc19174"/>
      <w:bookmarkStart w:id="395" w:name="_Toc26044"/>
      <w:bookmarkStart w:id="396" w:name="_Toc28731"/>
      <w:bookmarkStart w:id="397" w:name="_Toc32213"/>
      <w:bookmarkStart w:id="398" w:name="_Toc7764"/>
      <w:bookmarkStart w:id="399" w:name="_Toc23221"/>
      <w:bookmarkStart w:id="400" w:name="_Toc20825"/>
      <w:bookmarkStart w:id="401" w:name="_Toc4559"/>
      <w:bookmarkStart w:id="402" w:name="_Toc18881"/>
      <w:bookmarkStart w:id="403" w:name="_Toc20556"/>
      <w:bookmarkStart w:id="404" w:name="_Toc26186"/>
      <w:bookmarkStart w:id="405" w:name="_Toc6332"/>
      <w:bookmarkStart w:id="406" w:name="_Toc3246"/>
      <w:bookmarkStart w:id="407" w:name="_Toc24976"/>
      <w:bookmarkStart w:id="408" w:name="_Toc2224"/>
      <w:bookmarkStart w:id="409" w:name="_Toc17629"/>
      <w:r>
        <w:rPr>
          <w:rFonts w:hint="eastAsia" w:ascii="宋体" w:hAnsi="宋体" w:eastAsia="宋体" w:cs="宋体"/>
          <w:b/>
          <w:bCs/>
          <w:color w:val="auto"/>
          <w:kern w:val="2"/>
          <w:sz w:val="24"/>
          <w:szCs w:val="24"/>
          <w:highlight w:val="none"/>
          <w:u w:val="none"/>
          <w:lang w:val="en-US" w:eastAsia="zh-CN" w:bidi="ar-SA"/>
        </w:rPr>
        <w:t>6.招标文件的澄清</w:t>
      </w:r>
      <w:bookmarkEnd w:id="350"/>
      <w:bookmarkEnd w:id="351"/>
      <w:r>
        <w:rPr>
          <w:rFonts w:hint="eastAsia" w:ascii="宋体" w:hAnsi="宋体" w:eastAsia="宋体" w:cs="宋体"/>
          <w:b/>
          <w:bCs/>
          <w:color w:val="auto"/>
          <w:kern w:val="2"/>
          <w:sz w:val="24"/>
          <w:szCs w:val="24"/>
          <w:highlight w:val="none"/>
          <w:u w:val="none"/>
          <w:lang w:val="en-US" w:eastAsia="zh-CN" w:bidi="ar-SA"/>
        </w:rPr>
        <w:t>与修改</w:t>
      </w:r>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14:paraId="46B1DFAB">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为了保证对招标文件的澄清和修改满足法律的时限要求，任何要求对招标文件进行澄清的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，均应在投标截止期十五日前，以书面形式将澄清要求通知采购人或采购代理机构。</w:t>
      </w:r>
    </w:p>
    <w:p w14:paraId="3B8A9D9B">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bookmarkStart w:id="410" w:name="_Ref467378678"/>
      <w:bookmarkStart w:id="411" w:name="_Toc520356149"/>
      <w:bookmarkStart w:id="412" w:name="_Toc515904806"/>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采购人可主动地或在解答</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提出的澄清问题时对招标文件进行澄清或修改。采购代理机构将以发布澄清（更正）公告的方式，澄清或修改招标文件，澄清或修改内容作为招标文件的组成部分。</w:t>
      </w:r>
    </w:p>
    <w:p w14:paraId="16B61027">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澄清或者修改的内容可能影响投标文件编制的，采购代理机构将以书面形式通知所有购买招标文件的潜在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，并对其具有约束力。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在收到上述通知后，应及时向采购代理机构回函确认。</w:t>
      </w:r>
    </w:p>
    <w:bookmarkEnd w:id="410"/>
    <w:bookmarkEnd w:id="411"/>
    <w:bookmarkEnd w:id="412"/>
    <w:p w14:paraId="06E9BE22">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413" w:name="_Toc19424"/>
      <w:bookmarkStart w:id="414" w:name="_Toc9080"/>
      <w:bookmarkStart w:id="415" w:name="_Toc10823"/>
      <w:bookmarkStart w:id="416" w:name="_Toc11082"/>
      <w:bookmarkStart w:id="417" w:name="_Toc8800"/>
      <w:bookmarkStart w:id="418" w:name="_Toc20757"/>
      <w:bookmarkStart w:id="419" w:name="_Toc5103"/>
      <w:bookmarkStart w:id="420" w:name="_Toc25578"/>
      <w:bookmarkStart w:id="421" w:name="_Toc32714"/>
      <w:bookmarkStart w:id="422" w:name="_Toc16761"/>
      <w:bookmarkStart w:id="423" w:name="_Toc8333"/>
      <w:bookmarkStart w:id="424" w:name="_Toc22107"/>
      <w:bookmarkStart w:id="425" w:name="_Toc7468"/>
      <w:bookmarkStart w:id="426" w:name="_Toc6199"/>
      <w:bookmarkStart w:id="427" w:name="_Toc9516"/>
      <w:bookmarkStart w:id="428" w:name="_Toc18450"/>
      <w:bookmarkStart w:id="429" w:name="_Toc9691"/>
      <w:bookmarkStart w:id="430" w:name="_Toc9244"/>
      <w:bookmarkStart w:id="431" w:name="_Toc978"/>
      <w:bookmarkStart w:id="432" w:name="_Toc25635"/>
      <w:bookmarkStart w:id="433" w:name="_Toc32761"/>
      <w:bookmarkStart w:id="434" w:name="_Toc18300"/>
      <w:bookmarkStart w:id="435" w:name="_Toc32529"/>
      <w:bookmarkStart w:id="436" w:name="_Toc14569"/>
      <w:bookmarkStart w:id="437" w:name="_Toc1275"/>
      <w:bookmarkStart w:id="438" w:name="_Toc20069"/>
      <w:bookmarkStart w:id="439" w:name="_Toc17485"/>
      <w:bookmarkStart w:id="440" w:name="_Toc30435"/>
      <w:bookmarkStart w:id="441" w:name="_Toc27811"/>
      <w:bookmarkStart w:id="442" w:name="_Toc32098"/>
      <w:bookmarkStart w:id="443" w:name="_Toc3862"/>
      <w:bookmarkStart w:id="444" w:name="_Toc23063"/>
      <w:bookmarkStart w:id="445" w:name="_Toc20273"/>
      <w:bookmarkStart w:id="446" w:name="_Toc20504"/>
      <w:bookmarkStart w:id="447" w:name="_Toc7919"/>
      <w:bookmarkStart w:id="448" w:name="_Toc28126"/>
      <w:bookmarkStart w:id="449" w:name="_Toc14901"/>
      <w:bookmarkStart w:id="450" w:name="_Toc22035"/>
      <w:bookmarkStart w:id="451" w:name="_Toc30846"/>
      <w:bookmarkStart w:id="452" w:name="_Toc24201"/>
      <w:bookmarkStart w:id="453" w:name="_Toc19513"/>
      <w:bookmarkStart w:id="454" w:name="_Toc19679"/>
      <w:bookmarkStart w:id="455" w:name="_Toc24028"/>
      <w:bookmarkStart w:id="456" w:name="_Toc15695"/>
      <w:bookmarkStart w:id="457" w:name="_Toc6936"/>
      <w:bookmarkStart w:id="458" w:name="_Toc1073"/>
      <w:bookmarkStart w:id="459" w:name="_Toc10906"/>
      <w:bookmarkStart w:id="460" w:name="_Toc30959"/>
      <w:bookmarkStart w:id="461" w:name="_Toc27422"/>
      <w:bookmarkStart w:id="462" w:name="_Toc4110"/>
      <w:bookmarkStart w:id="463" w:name="_Toc517"/>
      <w:bookmarkStart w:id="464" w:name="_Toc21187"/>
      <w:bookmarkStart w:id="465" w:name="_Toc14645"/>
      <w:bookmarkStart w:id="466" w:name="_Toc14935"/>
      <w:bookmarkStart w:id="467" w:name="_Toc21235"/>
      <w:bookmarkStart w:id="468" w:name="_Toc3544"/>
      <w:bookmarkStart w:id="469" w:name="_Toc72"/>
      <w:bookmarkStart w:id="470" w:name="_Toc13308"/>
      <w:r>
        <w:rPr>
          <w:rFonts w:hint="eastAsia" w:ascii="宋体" w:hAnsi="宋体" w:eastAsia="宋体" w:cs="宋体"/>
          <w:b/>
          <w:bCs/>
          <w:color w:val="auto"/>
          <w:kern w:val="2"/>
          <w:sz w:val="24"/>
          <w:szCs w:val="24"/>
          <w:highlight w:val="none"/>
          <w:u w:val="none"/>
          <w:lang w:val="en-US" w:eastAsia="zh-CN" w:bidi="ar-SA"/>
        </w:rPr>
        <w:t>7.投标截止时间的顺延</w:t>
      </w:r>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p>
    <w:p w14:paraId="249101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为使</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准备投标时有足够的时间对招标文件的澄清或者修改部分进行研究，采购人将依法决定是否顺延投标截止时间。</w:t>
      </w:r>
      <w:bookmarkStart w:id="471" w:name="_Toc516367020"/>
      <w:bookmarkStart w:id="472" w:name="_Toc216582807"/>
      <w:bookmarkStart w:id="473" w:name="_Toc30808"/>
      <w:bookmarkStart w:id="474" w:name="_Toc520356150"/>
      <w:bookmarkStart w:id="475" w:name="_Toc7636"/>
      <w:bookmarkStart w:id="476" w:name="_Toc515647766"/>
    </w:p>
    <w:p w14:paraId="543C7F98">
      <w:pPr>
        <w:pageBreakBefore w:val="0"/>
        <w:widowControl w:val="0"/>
        <w:tabs>
          <w:tab w:val="left" w:pos="900"/>
        </w:tabs>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3F06F74D">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477" w:name="_Toc9119"/>
      <w:bookmarkStart w:id="478" w:name="_Toc26987"/>
      <w:bookmarkStart w:id="479" w:name="_Toc29522"/>
      <w:bookmarkStart w:id="480" w:name="_Toc25166"/>
      <w:r>
        <w:rPr>
          <w:rFonts w:hint="eastAsia" w:ascii="宋体" w:hAnsi="宋体" w:eastAsia="宋体" w:cs="宋体"/>
          <w:color w:val="auto"/>
          <w:sz w:val="28"/>
          <w:szCs w:val="28"/>
          <w:highlight w:val="none"/>
          <w:lang w:val="en-US" w:eastAsia="zh-CN"/>
        </w:rPr>
        <w:t>三   投标文件</w:t>
      </w:r>
      <w:bookmarkEnd w:id="471"/>
      <w:r>
        <w:rPr>
          <w:rFonts w:hint="eastAsia" w:ascii="宋体" w:hAnsi="宋体" w:eastAsia="宋体" w:cs="宋体"/>
          <w:color w:val="auto"/>
          <w:sz w:val="28"/>
          <w:szCs w:val="28"/>
          <w:highlight w:val="none"/>
          <w:lang w:val="en-US" w:eastAsia="zh-CN"/>
        </w:rPr>
        <w:t>的编制</w:t>
      </w:r>
      <w:bookmarkEnd w:id="472"/>
      <w:bookmarkEnd w:id="473"/>
      <w:bookmarkEnd w:id="474"/>
      <w:bookmarkEnd w:id="475"/>
      <w:bookmarkEnd w:id="476"/>
      <w:bookmarkEnd w:id="477"/>
      <w:bookmarkEnd w:id="478"/>
      <w:bookmarkEnd w:id="479"/>
      <w:bookmarkEnd w:id="480"/>
    </w:p>
    <w:p w14:paraId="7AB94F6D">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481" w:name="_Toc9725"/>
      <w:bookmarkStart w:id="482" w:name="_Toc14466"/>
      <w:bookmarkStart w:id="483" w:name="_Toc7120"/>
      <w:bookmarkStart w:id="484" w:name="_Toc4200"/>
      <w:bookmarkStart w:id="485" w:name="_Toc10118"/>
      <w:bookmarkStart w:id="486" w:name="_Toc2826"/>
      <w:bookmarkStart w:id="487" w:name="_Toc4573"/>
      <w:bookmarkStart w:id="488" w:name="_Toc6939"/>
      <w:bookmarkStart w:id="489" w:name="_Toc13375"/>
      <w:bookmarkStart w:id="490" w:name="_Toc27273"/>
      <w:bookmarkStart w:id="491" w:name="_Toc51"/>
      <w:bookmarkStart w:id="492" w:name="_Toc3062"/>
      <w:bookmarkStart w:id="493" w:name="_Toc19609"/>
      <w:bookmarkStart w:id="494" w:name="_Toc9778"/>
      <w:bookmarkStart w:id="495" w:name="_Toc27497"/>
      <w:bookmarkStart w:id="496" w:name="_Toc21289"/>
      <w:bookmarkStart w:id="497" w:name="_Toc520356151"/>
      <w:bookmarkStart w:id="498" w:name="_Toc30485"/>
      <w:bookmarkStart w:id="499" w:name="_Toc7786"/>
      <w:bookmarkStart w:id="500" w:name="_Toc10277"/>
      <w:bookmarkStart w:id="501" w:name="_Toc15642"/>
      <w:bookmarkStart w:id="502" w:name="_Toc5675"/>
      <w:bookmarkStart w:id="503" w:name="_Toc32487"/>
      <w:bookmarkStart w:id="504" w:name="_Toc28980"/>
      <w:bookmarkStart w:id="505" w:name="_Toc3668"/>
      <w:bookmarkStart w:id="506" w:name="_Toc14086"/>
      <w:bookmarkStart w:id="507" w:name="_Toc20871"/>
      <w:bookmarkStart w:id="508" w:name="_Toc2539"/>
      <w:bookmarkStart w:id="509" w:name="_Toc23855"/>
      <w:bookmarkStart w:id="510" w:name="_Toc251"/>
      <w:bookmarkStart w:id="511" w:name="_Toc29965"/>
      <w:bookmarkStart w:id="512" w:name="_Toc20926"/>
      <w:bookmarkStart w:id="513" w:name="_Toc16526"/>
      <w:bookmarkStart w:id="514" w:name="_Toc13856"/>
      <w:bookmarkStart w:id="515" w:name="_Toc3553"/>
      <w:bookmarkStart w:id="516" w:name="_Toc515647767"/>
      <w:bookmarkStart w:id="517" w:name="_Toc14313"/>
      <w:bookmarkStart w:id="518" w:name="_Toc30652"/>
      <w:bookmarkStart w:id="519" w:name="_Toc2420"/>
      <w:bookmarkStart w:id="520" w:name="_Toc5025"/>
      <w:bookmarkStart w:id="521" w:name="_Toc5583"/>
      <w:bookmarkStart w:id="522" w:name="_Toc29528"/>
      <w:bookmarkStart w:id="523" w:name="_Toc516367021"/>
      <w:bookmarkStart w:id="524" w:name="_Toc655"/>
      <w:bookmarkStart w:id="525" w:name="_Toc14739"/>
      <w:bookmarkStart w:id="526" w:name="_Toc20573"/>
      <w:bookmarkStart w:id="527" w:name="_Toc7224"/>
      <w:bookmarkStart w:id="528" w:name="_Toc2129"/>
      <w:bookmarkStart w:id="529" w:name="_Toc14708"/>
      <w:bookmarkStart w:id="530" w:name="_Toc1416"/>
      <w:bookmarkStart w:id="531" w:name="_Toc10861"/>
      <w:bookmarkStart w:id="532" w:name="_Toc1632"/>
      <w:bookmarkStart w:id="533" w:name="_Toc19317"/>
      <w:bookmarkStart w:id="534" w:name="_Toc18295"/>
      <w:bookmarkStart w:id="535" w:name="_Toc27504"/>
      <w:bookmarkStart w:id="536" w:name="_Toc20486"/>
      <w:bookmarkStart w:id="537" w:name="_Toc28703"/>
      <w:bookmarkStart w:id="538" w:name="_Toc13994"/>
      <w:bookmarkStart w:id="539" w:name="_Toc10810"/>
      <w:bookmarkStart w:id="540" w:name="_Toc10748"/>
      <w:bookmarkStart w:id="541" w:name="_Toc19190"/>
      <w:r>
        <w:rPr>
          <w:rFonts w:hint="eastAsia" w:ascii="宋体" w:hAnsi="宋体" w:eastAsia="宋体" w:cs="宋体"/>
          <w:b/>
          <w:bCs/>
          <w:color w:val="auto"/>
          <w:kern w:val="2"/>
          <w:sz w:val="24"/>
          <w:szCs w:val="24"/>
          <w:highlight w:val="none"/>
          <w:u w:val="none"/>
          <w:lang w:val="en-US" w:eastAsia="zh-CN" w:bidi="ar-SA"/>
        </w:rPr>
        <w:t>8.投标范围及投标文件中标准和计量单位的使用</w:t>
      </w:r>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14:paraId="6699B8D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项目有分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可对招标文件其中某一个或几个分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服务进行投标，除非在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中另有规定。</w:t>
      </w:r>
    </w:p>
    <w:p w14:paraId="781F554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应当对所投分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招标文件中“</w:t>
      </w:r>
      <w:r>
        <w:rPr>
          <w:rFonts w:hint="eastAsia" w:ascii="宋体" w:hAnsi="宋体" w:cs="宋体"/>
          <w:color w:val="auto"/>
          <w:sz w:val="24"/>
          <w:szCs w:val="24"/>
          <w:highlight w:val="none"/>
          <w:lang w:val="en-US" w:eastAsia="zh-CN"/>
        </w:rPr>
        <w:t>服务需求</w:t>
      </w:r>
      <w:r>
        <w:rPr>
          <w:rFonts w:hint="eastAsia" w:ascii="宋体" w:hAnsi="宋体" w:eastAsia="宋体" w:cs="宋体"/>
          <w:color w:val="auto"/>
          <w:sz w:val="24"/>
          <w:szCs w:val="24"/>
          <w:highlight w:val="none"/>
        </w:rPr>
        <w:t>及项目要求”所列的所有内容进行投标，如仅响应某一</w:t>
      </w:r>
      <w:r>
        <w:rPr>
          <w:rFonts w:hint="eastAsia" w:ascii="宋体" w:hAnsi="宋体" w:cs="宋体"/>
          <w:color w:val="auto"/>
          <w:sz w:val="24"/>
          <w:szCs w:val="24"/>
          <w:highlight w:val="none"/>
          <w:lang w:val="en-US" w:eastAsia="zh-CN"/>
        </w:rPr>
        <w:t>标项</w:t>
      </w:r>
      <w:r>
        <w:rPr>
          <w:rFonts w:hint="eastAsia" w:ascii="宋体" w:hAnsi="宋体" w:eastAsia="宋体" w:cs="宋体"/>
          <w:color w:val="auto"/>
          <w:sz w:val="24"/>
          <w:szCs w:val="24"/>
          <w:highlight w:val="none"/>
        </w:rPr>
        <w:t>中的部分内容，其该</w:t>
      </w:r>
      <w:r>
        <w:rPr>
          <w:rFonts w:hint="eastAsia" w:ascii="宋体" w:hAnsi="宋体" w:cs="宋体"/>
          <w:color w:val="auto"/>
          <w:sz w:val="24"/>
          <w:szCs w:val="24"/>
          <w:highlight w:val="none"/>
          <w:lang w:val="en-US" w:eastAsia="zh-CN"/>
        </w:rPr>
        <w:t>标项</w:t>
      </w:r>
      <w:r>
        <w:rPr>
          <w:rFonts w:hint="eastAsia" w:ascii="宋体" w:hAnsi="宋体" w:eastAsia="宋体" w:cs="宋体"/>
          <w:color w:val="auto"/>
          <w:sz w:val="24"/>
          <w:szCs w:val="24"/>
          <w:highlight w:val="none"/>
        </w:rPr>
        <w:t>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5017C7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     除招标文件中有特殊要求外，投标文件中所使用的计量单位，应采用中华人民共和国法定计量单位。</w:t>
      </w:r>
    </w:p>
    <w:p w14:paraId="4C4455A0">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542" w:name="_Ref467306676"/>
      <w:bookmarkStart w:id="543" w:name="_Ref467306195"/>
      <w:bookmarkStart w:id="544" w:name="_Toc516367022"/>
      <w:bookmarkStart w:id="545" w:name="_Toc32355"/>
      <w:bookmarkStart w:id="546" w:name="_Toc25596"/>
      <w:bookmarkStart w:id="547" w:name="_Toc6152"/>
      <w:bookmarkStart w:id="548" w:name="_Toc22417"/>
      <w:bookmarkStart w:id="549" w:name="_Toc30196"/>
      <w:bookmarkStart w:id="550" w:name="_Toc20101"/>
      <w:bookmarkStart w:id="551" w:name="_Toc7578"/>
      <w:bookmarkStart w:id="552" w:name="_Toc23093"/>
      <w:bookmarkStart w:id="553" w:name="_Toc22958"/>
      <w:bookmarkStart w:id="554" w:name="_Toc15248"/>
      <w:bookmarkStart w:id="555" w:name="_Toc3144"/>
      <w:bookmarkStart w:id="556" w:name="_Toc23291"/>
      <w:bookmarkStart w:id="557" w:name="_Toc18125"/>
      <w:bookmarkStart w:id="558" w:name="_Toc15740"/>
      <w:bookmarkStart w:id="559" w:name="_Toc27535"/>
      <w:bookmarkStart w:id="560" w:name="_Toc2700"/>
      <w:bookmarkStart w:id="561" w:name="_Toc16534"/>
      <w:bookmarkStart w:id="562" w:name="_Toc10364"/>
      <w:bookmarkStart w:id="563" w:name="_Toc15857"/>
      <w:bookmarkStart w:id="564" w:name="_Toc520356152"/>
      <w:bookmarkStart w:id="565" w:name="_Toc29634"/>
      <w:bookmarkStart w:id="566" w:name="_Toc21512"/>
      <w:bookmarkStart w:id="567" w:name="_Toc13425"/>
      <w:bookmarkStart w:id="568" w:name="_Toc12343"/>
      <w:bookmarkStart w:id="569" w:name="_Toc18673"/>
      <w:bookmarkStart w:id="570" w:name="_Toc8927"/>
      <w:bookmarkStart w:id="571" w:name="_Toc3591"/>
      <w:bookmarkStart w:id="572" w:name="_Toc8426"/>
      <w:bookmarkStart w:id="573" w:name="_Toc22897"/>
      <w:bookmarkStart w:id="574" w:name="_Toc22621"/>
      <w:bookmarkStart w:id="575" w:name="_Toc4770"/>
      <w:bookmarkStart w:id="576" w:name="_Toc258"/>
      <w:bookmarkStart w:id="577" w:name="_Toc8710"/>
      <w:bookmarkStart w:id="578" w:name="_Toc11888"/>
      <w:bookmarkStart w:id="579" w:name="_Toc22037"/>
      <w:bookmarkStart w:id="580" w:name="_Toc21335"/>
      <w:bookmarkStart w:id="581" w:name="_Toc25199"/>
      <w:bookmarkStart w:id="582" w:name="_Toc23658"/>
      <w:bookmarkStart w:id="583" w:name="_Toc515647768"/>
      <w:bookmarkStart w:id="584" w:name="_Toc10592"/>
      <w:bookmarkStart w:id="585" w:name="_Toc32288"/>
      <w:bookmarkStart w:id="586" w:name="_Toc24338"/>
      <w:bookmarkStart w:id="587" w:name="_Toc23640"/>
      <w:bookmarkStart w:id="588" w:name="_Toc24357"/>
      <w:bookmarkStart w:id="589" w:name="_Toc11847"/>
      <w:bookmarkStart w:id="590" w:name="_Toc28307"/>
      <w:bookmarkStart w:id="591" w:name="_Toc16016"/>
      <w:bookmarkStart w:id="592" w:name="_Toc12220"/>
      <w:bookmarkStart w:id="593" w:name="_Toc23749"/>
      <w:bookmarkStart w:id="594" w:name="_Toc30788"/>
      <w:bookmarkStart w:id="595" w:name="_Toc28039"/>
      <w:bookmarkStart w:id="596" w:name="_Toc9418"/>
      <w:bookmarkStart w:id="597" w:name="_Toc2609"/>
      <w:bookmarkStart w:id="598" w:name="_Toc7972"/>
      <w:bookmarkStart w:id="599" w:name="_Toc28912"/>
      <w:bookmarkStart w:id="600" w:name="_Toc10992"/>
      <w:bookmarkStart w:id="601" w:name="_Toc23680"/>
      <w:bookmarkStart w:id="602" w:name="_Toc18739"/>
      <w:bookmarkStart w:id="603" w:name="_Toc9101"/>
      <w:bookmarkStart w:id="604" w:name="_Toc32329"/>
      <w:r>
        <w:rPr>
          <w:rFonts w:hint="eastAsia" w:ascii="宋体" w:hAnsi="宋体" w:eastAsia="宋体" w:cs="宋体"/>
          <w:b/>
          <w:bCs/>
          <w:color w:val="auto"/>
          <w:kern w:val="2"/>
          <w:sz w:val="24"/>
          <w:szCs w:val="24"/>
          <w:highlight w:val="none"/>
          <w:u w:val="none"/>
          <w:lang w:val="en-US" w:eastAsia="zh-CN" w:bidi="ar-SA"/>
        </w:rPr>
        <w:t>9.投标文件</w:t>
      </w:r>
      <w:bookmarkEnd w:id="542"/>
      <w:bookmarkEnd w:id="543"/>
      <w:bookmarkEnd w:id="544"/>
      <w:r>
        <w:rPr>
          <w:rFonts w:hint="eastAsia" w:ascii="宋体" w:hAnsi="宋体" w:eastAsia="宋体" w:cs="宋体"/>
          <w:b/>
          <w:bCs/>
          <w:color w:val="auto"/>
          <w:kern w:val="2"/>
          <w:sz w:val="24"/>
          <w:szCs w:val="24"/>
          <w:highlight w:val="none"/>
          <w:u w:val="none"/>
          <w:lang w:val="en-US" w:eastAsia="zh-CN" w:bidi="ar-SA"/>
        </w:rPr>
        <w:t>构成</w:t>
      </w:r>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p>
    <w:p w14:paraId="307BCF91">
      <w:pPr>
        <w:pageBreakBefore w:val="0"/>
        <w:widowControl w:val="0"/>
        <w:tabs>
          <w:tab w:val="left" w:pos="900"/>
          <w:tab w:val="left" w:pos="5580"/>
        </w:tabs>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u w:val="single"/>
        </w:rPr>
      </w:pPr>
      <w:bookmarkStart w:id="605" w:name="_Ref467052588"/>
      <w:r>
        <w:rPr>
          <w:rFonts w:hint="eastAsia" w:ascii="宋体" w:hAnsi="宋体" w:eastAsia="宋体" w:cs="宋体"/>
          <w:color w:val="auto"/>
          <w:sz w:val="24"/>
          <w:szCs w:val="24"/>
          <w:highlight w:val="none"/>
        </w:rPr>
        <w:t xml:space="preserve">9.1    </w:t>
      </w:r>
      <w:r>
        <w:rPr>
          <w:rFonts w:hint="eastAsia" w:ascii="宋体" w:hAnsi="宋体" w:eastAsia="宋体" w:cs="宋体"/>
          <w:b/>
          <w:bCs/>
          <w:color w:val="auto"/>
          <w:sz w:val="24"/>
          <w:szCs w:val="24"/>
          <w:highlight w:val="none"/>
          <w:u w:val="single"/>
          <w:lang w:eastAsia="zh-CN"/>
        </w:rPr>
        <w:t>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2AD3169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上述文件应按照招标文件规定的格式填写、签署和盖章。</w:t>
      </w:r>
      <w:bookmarkEnd w:id="605"/>
    </w:p>
    <w:p w14:paraId="0CD3AD6C">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606" w:name="_Toc6978"/>
      <w:bookmarkStart w:id="607" w:name="_Toc10584"/>
      <w:bookmarkStart w:id="608" w:name="_Toc14035"/>
      <w:bookmarkStart w:id="609" w:name="_Toc17715"/>
      <w:bookmarkStart w:id="610" w:name="_Toc520356153"/>
      <w:bookmarkStart w:id="611" w:name="_Toc15151"/>
      <w:bookmarkStart w:id="612" w:name="_Toc10379"/>
      <w:bookmarkStart w:id="613" w:name="_Toc12338"/>
      <w:bookmarkStart w:id="614" w:name="_Toc30354"/>
      <w:bookmarkStart w:id="615" w:name="_Toc17150"/>
      <w:bookmarkStart w:id="616" w:name="_Toc2056"/>
      <w:bookmarkStart w:id="617" w:name="_Toc4601"/>
      <w:bookmarkStart w:id="618" w:name="_Toc12121"/>
      <w:bookmarkStart w:id="619" w:name="_Toc22195"/>
      <w:bookmarkStart w:id="620" w:name="_Toc516367023"/>
      <w:bookmarkStart w:id="621" w:name="_Toc515647769"/>
      <w:bookmarkStart w:id="622" w:name="_Toc24462"/>
      <w:bookmarkStart w:id="623" w:name="_Toc1845"/>
      <w:bookmarkStart w:id="624" w:name="_Toc25987"/>
      <w:bookmarkStart w:id="625" w:name="_Toc23149"/>
      <w:bookmarkStart w:id="626" w:name="_Toc1458"/>
      <w:bookmarkStart w:id="627" w:name="_Toc29581"/>
      <w:bookmarkStart w:id="628" w:name="_Toc11323"/>
      <w:bookmarkStart w:id="629" w:name="_Toc2503"/>
      <w:bookmarkStart w:id="630" w:name="_Toc19129"/>
      <w:bookmarkStart w:id="631" w:name="_Toc10531"/>
      <w:bookmarkStart w:id="632" w:name="_Toc11704"/>
      <w:bookmarkStart w:id="633" w:name="_Toc3164"/>
      <w:bookmarkStart w:id="634" w:name="_Toc17413"/>
      <w:bookmarkStart w:id="635" w:name="_Toc1879"/>
      <w:bookmarkStart w:id="636" w:name="_Toc26648"/>
      <w:bookmarkStart w:id="637" w:name="_Toc2130"/>
      <w:bookmarkStart w:id="638" w:name="_Toc29543"/>
      <w:bookmarkStart w:id="639" w:name="_Toc18829"/>
      <w:bookmarkStart w:id="640" w:name="_Toc3678"/>
      <w:bookmarkStart w:id="641" w:name="_Toc25836"/>
      <w:bookmarkStart w:id="642" w:name="_Toc19062"/>
      <w:bookmarkStart w:id="643" w:name="_Toc5709"/>
      <w:bookmarkStart w:id="644" w:name="_Toc31364"/>
      <w:bookmarkStart w:id="645" w:name="_Toc19876"/>
      <w:bookmarkStart w:id="646" w:name="_Toc10487"/>
      <w:bookmarkStart w:id="647" w:name="_Toc4909"/>
      <w:bookmarkStart w:id="648" w:name="_Toc1959"/>
      <w:bookmarkStart w:id="649" w:name="_Toc27240"/>
      <w:bookmarkStart w:id="650" w:name="_Toc28408"/>
      <w:bookmarkStart w:id="651" w:name="_Toc11889"/>
      <w:bookmarkStart w:id="652" w:name="_Toc8150"/>
      <w:bookmarkStart w:id="653" w:name="_Toc15834"/>
      <w:bookmarkStart w:id="654" w:name="_Toc23028"/>
      <w:bookmarkStart w:id="655" w:name="_Toc17390"/>
      <w:bookmarkStart w:id="656" w:name="_Toc11735"/>
      <w:bookmarkStart w:id="657" w:name="_Toc29405"/>
      <w:bookmarkStart w:id="658" w:name="_Toc11022"/>
      <w:bookmarkStart w:id="659" w:name="_Toc25894"/>
      <w:bookmarkStart w:id="660" w:name="_Toc30742"/>
      <w:bookmarkStart w:id="661" w:name="_Toc31348"/>
      <w:bookmarkStart w:id="662" w:name="_Toc18045"/>
      <w:bookmarkStart w:id="663" w:name="_Toc32276"/>
      <w:bookmarkStart w:id="664" w:name="_Toc20671"/>
      <w:bookmarkStart w:id="665" w:name="_Toc16271"/>
      <w:bookmarkStart w:id="666" w:name="_Toc23587"/>
      <w:r>
        <w:rPr>
          <w:rFonts w:hint="eastAsia" w:ascii="宋体" w:hAnsi="宋体" w:eastAsia="宋体" w:cs="宋体"/>
          <w:b/>
          <w:bCs/>
          <w:color w:val="auto"/>
          <w:kern w:val="2"/>
          <w:sz w:val="24"/>
          <w:szCs w:val="24"/>
          <w:highlight w:val="none"/>
          <w:u w:val="none"/>
          <w:lang w:val="en-US" w:eastAsia="zh-CN" w:bidi="ar-SA"/>
        </w:rPr>
        <w:t>10.证明投标的的合格性和符合招标文件规定的技术文件</w:t>
      </w:r>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r>
        <w:rPr>
          <w:rFonts w:hint="eastAsia" w:ascii="宋体" w:hAnsi="宋体" w:eastAsia="宋体" w:cs="宋体"/>
          <w:b/>
          <w:bCs/>
          <w:color w:val="auto"/>
          <w:kern w:val="2"/>
          <w:sz w:val="24"/>
          <w:szCs w:val="24"/>
          <w:highlight w:val="none"/>
          <w:u w:val="none"/>
          <w:lang w:val="en-US" w:eastAsia="zh-CN" w:bidi="ar-SA"/>
        </w:rPr>
        <w:t>。</w:t>
      </w:r>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p>
    <w:p w14:paraId="754D56F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应提交证明文件，证明其投标内容符合招标文件规定。该证明文件是投标文件的一部分。</w:t>
      </w:r>
    </w:p>
    <w:p w14:paraId="1B8D708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667" w:name="_Ref467306244"/>
      <w:r>
        <w:rPr>
          <w:rFonts w:hint="eastAsia" w:ascii="宋体" w:hAnsi="宋体" w:eastAsia="宋体" w:cs="宋体"/>
          <w:color w:val="auto"/>
          <w:sz w:val="24"/>
          <w:szCs w:val="24"/>
          <w:highlight w:val="none"/>
        </w:rPr>
        <w:t>10.2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上款所述的证明文件，可以是文字资料、图纸和数据，</w:t>
      </w:r>
      <w:bookmarkEnd w:id="667"/>
      <w:r>
        <w:rPr>
          <w:rFonts w:hint="eastAsia" w:ascii="宋体" w:hAnsi="宋体" w:eastAsia="宋体" w:cs="宋体"/>
          <w:color w:val="auto"/>
          <w:sz w:val="24"/>
          <w:szCs w:val="24"/>
          <w:highlight w:val="none"/>
        </w:rPr>
        <w:t>它包括：</w:t>
      </w:r>
    </w:p>
    <w:p w14:paraId="79F7E37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服务主要技术指标的详细说明；</w:t>
      </w:r>
    </w:p>
    <w:p w14:paraId="2D96975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对照招标文件技术要求，逐条说明所提供服务及伴随的履约服务已对招标文件的技术要求做出了实质性的响应，或申明与技术要求条文的偏差和例外。</w:t>
      </w:r>
    </w:p>
    <w:p w14:paraId="2430CEA2">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668" w:name="_Toc5144"/>
      <w:bookmarkStart w:id="669" w:name="_Toc30467"/>
      <w:bookmarkStart w:id="670" w:name="_Toc10326"/>
      <w:bookmarkStart w:id="671" w:name="_Toc520356155"/>
      <w:bookmarkStart w:id="672" w:name="_Toc1487"/>
      <w:bookmarkStart w:id="673" w:name="_Toc25087"/>
      <w:bookmarkStart w:id="674" w:name="_Toc7366"/>
      <w:bookmarkStart w:id="675" w:name="_Toc7731"/>
      <w:bookmarkStart w:id="676" w:name="_Toc11160"/>
      <w:bookmarkStart w:id="677" w:name="_Toc8434"/>
      <w:bookmarkStart w:id="678" w:name="_Toc13193"/>
      <w:bookmarkStart w:id="679" w:name="_Toc25118"/>
      <w:bookmarkStart w:id="680" w:name="_Toc24633"/>
      <w:bookmarkStart w:id="681" w:name="_Toc3868"/>
      <w:bookmarkStart w:id="682" w:name="_Toc25685"/>
      <w:bookmarkStart w:id="683" w:name="_Toc27588"/>
      <w:bookmarkStart w:id="684" w:name="_Toc26101"/>
      <w:bookmarkStart w:id="685" w:name="_Toc16384"/>
      <w:bookmarkStart w:id="686" w:name="_Toc28480"/>
      <w:bookmarkStart w:id="687" w:name="_Toc21396"/>
      <w:bookmarkStart w:id="688" w:name="_Toc710"/>
      <w:bookmarkStart w:id="689" w:name="_Toc2248"/>
      <w:bookmarkStart w:id="690" w:name="_Toc15670"/>
      <w:bookmarkStart w:id="691" w:name="_Toc29303"/>
      <w:bookmarkStart w:id="692" w:name="_Toc6981"/>
      <w:bookmarkStart w:id="693" w:name="_Toc24261"/>
      <w:bookmarkStart w:id="694" w:name="_Toc32622"/>
      <w:bookmarkStart w:id="695" w:name="_Toc23732"/>
      <w:bookmarkStart w:id="696" w:name="_Toc22495"/>
      <w:bookmarkStart w:id="697" w:name="_Toc28553"/>
      <w:bookmarkStart w:id="698" w:name="_Toc25641"/>
      <w:bookmarkStart w:id="699" w:name="_Toc5930"/>
      <w:bookmarkStart w:id="700" w:name="_Toc10910"/>
      <w:bookmarkStart w:id="701" w:name="_Toc22128"/>
      <w:bookmarkStart w:id="702" w:name="_Toc515647770"/>
      <w:bookmarkStart w:id="703" w:name="_Toc301"/>
      <w:bookmarkStart w:id="704" w:name="_Toc1914"/>
      <w:bookmarkStart w:id="705" w:name="_Toc15832"/>
      <w:bookmarkStart w:id="706" w:name="_Toc2375"/>
      <w:bookmarkStart w:id="707" w:name="_Toc7947"/>
      <w:bookmarkStart w:id="708" w:name="_Toc23231"/>
      <w:bookmarkStart w:id="709" w:name="_Toc6035"/>
      <w:bookmarkStart w:id="710" w:name="_Toc7193"/>
      <w:bookmarkStart w:id="711" w:name="_Toc29694"/>
      <w:bookmarkStart w:id="712" w:name="_Toc15951"/>
      <w:bookmarkStart w:id="713" w:name="_Toc26145"/>
      <w:bookmarkStart w:id="714" w:name="_Toc21557"/>
      <w:bookmarkStart w:id="715" w:name="_Toc15965"/>
      <w:bookmarkStart w:id="716" w:name="_Toc29204"/>
      <w:bookmarkStart w:id="717" w:name="_Toc8592"/>
      <w:bookmarkStart w:id="718" w:name="_Toc169"/>
      <w:bookmarkStart w:id="719" w:name="_Toc29220"/>
      <w:bookmarkStart w:id="720" w:name="_Toc24345"/>
      <w:bookmarkStart w:id="721" w:name="_Toc30792"/>
      <w:bookmarkStart w:id="722" w:name="_Toc2311"/>
      <w:bookmarkStart w:id="723" w:name="_Toc17557"/>
      <w:bookmarkStart w:id="724" w:name="_Toc21172"/>
      <w:bookmarkStart w:id="725" w:name="_Toc24468"/>
      <w:bookmarkStart w:id="726" w:name="_Toc11399"/>
      <w:bookmarkStart w:id="727" w:name="_Toc26052"/>
      <w:r>
        <w:rPr>
          <w:rFonts w:hint="eastAsia" w:ascii="宋体" w:hAnsi="宋体" w:eastAsia="宋体" w:cs="宋体"/>
          <w:b/>
          <w:bCs/>
          <w:color w:val="auto"/>
          <w:kern w:val="2"/>
          <w:sz w:val="24"/>
          <w:szCs w:val="24"/>
          <w:highlight w:val="none"/>
          <w:u w:val="none"/>
          <w:lang w:val="en-US" w:eastAsia="zh-CN" w:bidi="ar-SA"/>
        </w:rPr>
        <w:t>11.投标报价</w:t>
      </w:r>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p>
    <w:p w14:paraId="6BF8117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所有投标均以人民币报价。</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的投标报价应遵守《中华人民共和国价格法》。同时，根据《中华人民共和国政府采购法》第二条的规定，为保证公平竞争，如有主体部分的赠与行为，其投标将被认定为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295220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应在投标分项报价表上标明投标相关</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的单价（如适用）和总价，并由法定代表人签署。</w:t>
      </w:r>
    </w:p>
    <w:p w14:paraId="16A71435">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投标分项报价表上的价格应按下列方式填写；</w:t>
      </w:r>
    </w:p>
    <w:p w14:paraId="48A8497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所报的各分项投标单价在合同履行过程中是固定不变的，不得以任何理由予以变更。任何包含价格调整要求的投标，其投标将被认定为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EA364C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每种</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只能有一个投标报价。采购人不接受具有附加条件的报价。</w:t>
      </w:r>
    </w:p>
    <w:p w14:paraId="0E6BCB41">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728" w:name="_Toc10329"/>
      <w:bookmarkStart w:id="729" w:name="_Toc21776"/>
      <w:bookmarkStart w:id="730" w:name="_Toc30515"/>
      <w:bookmarkStart w:id="731" w:name="_Toc14919"/>
      <w:bookmarkStart w:id="732" w:name="_Toc27716"/>
      <w:bookmarkStart w:id="733" w:name="_Toc12341"/>
      <w:bookmarkStart w:id="734" w:name="_Toc520356156"/>
      <w:bookmarkStart w:id="735" w:name="_Toc4711"/>
      <w:bookmarkStart w:id="736" w:name="_Toc10600"/>
      <w:bookmarkStart w:id="737" w:name="_Toc515647771"/>
      <w:bookmarkStart w:id="738" w:name="_Toc3670"/>
      <w:bookmarkStart w:id="739" w:name="_Toc9979"/>
      <w:bookmarkStart w:id="740" w:name="_Toc11514"/>
      <w:bookmarkStart w:id="741" w:name="_Toc26371"/>
      <w:bookmarkStart w:id="742" w:name="_Toc14189"/>
      <w:bookmarkStart w:id="743" w:name="_Toc17637"/>
      <w:bookmarkStart w:id="744" w:name="_Toc12407"/>
      <w:bookmarkStart w:id="745" w:name="_Toc12354"/>
      <w:bookmarkStart w:id="746" w:name="_Toc29102"/>
      <w:bookmarkStart w:id="747" w:name="_Toc1693"/>
      <w:bookmarkStart w:id="748" w:name="_Toc1840"/>
      <w:bookmarkStart w:id="749" w:name="_Toc4769"/>
      <w:bookmarkStart w:id="750" w:name="_Toc22618"/>
      <w:bookmarkStart w:id="751" w:name="_Toc5648"/>
      <w:bookmarkStart w:id="752" w:name="_Toc26723"/>
      <w:bookmarkStart w:id="753" w:name="_Toc23761"/>
      <w:bookmarkStart w:id="754" w:name="_Toc24283"/>
      <w:bookmarkStart w:id="755" w:name="_Toc31455"/>
      <w:bookmarkStart w:id="756" w:name="_Toc11706"/>
      <w:bookmarkStart w:id="757" w:name="_Toc28730"/>
      <w:bookmarkStart w:id="758" w:name="_Toc30071"/>
      <w:bookmarkStart w:id="759" w:name="_Toc18556"/>
      <w:bookmarkStart w:id="760" w:name="_Toc7793"/>
      <w:bookmarkStart w:id="761" w:name="_Toc2938"/>
      <w:bookmarkStart w:id="762" w:name="_Toc13010"/>
      <w:bookmarkStart w:id="763" w:name="_Toc18483"/>
      <w:bookmarkStart w:id="764" w:name="_Toc17788"/>
      <w:bookmarkStart w:id="765" w:name="_Toc14406"/>
      <w:bookmarkStart w:id="766" w:name="_Toc21719"/>
      <w:bookmarkStart w:id="767" w:name="_Toc16947"/>
      <w:bookmarkStart w:id="768" w:name="_Toc27489"/>
      <w:bookmarkStart w:id="769" w:name="_Toc30245"/>
      <w:bookmarkStart w:id="770" w:name="_Toc23784"/>
      <w:bookmarkStart w:id="771" w:name="_Ref467306513"/>
      <w:bookmarkStart w:id="772" w:name="_Toc2102"/>
      <w:bookmarkStart w:id="773" w:name="_Toc5799"/>
      <w:bookmarkStart w:id="774" w:name="_Toc2547"/>
      <w:bookmarkStart w:id="775" w:name="_Toc3503"/>
      <w:bookmarkStart w:id="776" w:name="_Toc15349"/>
      <w:bookmarkStart w:id="777" w:name="_Toc14430"/>
      <w:bookmarkStart w:id="778" w:name="_Toc15914"/>
      <w:bookmarkStart w:id="779" w:name="_Toc28149"/>
      <w:bookmarkStart w:id="780" w:name="_Toc1683"/>
      <w:bookmarkStart w:id="781" w:name="_Toc5791"/>
      <w:bookmarkStart w:id="782" w:name="_Toc8616"/>
      <w:bookmarkStart w:id="783" w:name="_Toc3787"/>
      <w:bookmarkStart w:id="784" w:name="_Toc23666"/>
      <w:bookmarkStart w:id="785" w:name="_Toc10897"/>
      <w:bookmarkStart w:id="786" w:name="_Toc28643"/>
      <w:bookmarkStart w:id="787" w:name="_Toc25003"/>
      <w:bookmarkStart w:id="788" w:name="_Toc18692"/>
      <w:r>
        <w:rPr>
          <w:rFonts w:hint="eastAsia" w:ascii="宋体" w:hAnsi="宋体" w:eastAsia="宋体" w:cs="宋体"/>
          <w:b/>
          <w:bCs/>
          <w:color w:val="auto"/>
          <w:kern w:val="2"/>
          <w:sz w:val="24"/>
          <w:szCs w:val="24"/>
          <w:highlight w:val="none"/>
          <w:u w:val="none"/>
          <w:lang w:val="en-US" w:eastAsia="zh-CN" w:bidi="ar-SA"/>
        </w:rPr>
        <w:t>12.投标保证金</w:t>
      </w:r>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p>
    <w:p w14:paraId="5A7BCE6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789" w:name="_Ref467306302"/>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中规定的投标保证金</w:t>
      </w:r>
      <w:bookmarkEnd w:id="789"/>
      <w:r>
        <w:rPr>
          <w:rFonts w:hint="eastAsia" w:ascii="宋体" w:hAnsi="宋体" w:eastAsia="宋体" w:cs="宋体"/>
          <w:color w:val="auto"/>
          <w:sz w:val="24"/>
          <w:szCs w:val="24"/>
          <w:highlight w:val="none"/>
        </w:rPr>
        <w:t>，并作为其投标的一部分。</w:t>
      </w:r>
    </w:p>
    <w:p w14:paraId="1746A45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存在下列情形的，投标保证金不予退还：</w:t>
      </w:r>
    </w:p>
    <w:p w14:paraId="400F507B">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（1）在投标有效期内，撤销投标的；</w:t>
      </w:r>
    </w:p>
    <w:p w14:paraId="565CAC1C">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（2）中标后不按本须知第30条的规定与采购人签订合同的；</w:t>
      </w:r>
    </w:p>
    <w:p w14:paraId="41A209B4">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（3）中标后不按本须知第31条的规定提交履约保证金的；</w:t>
      </w:r>
    </w:p>
    <w:p w14:paraId="10C6672B">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（4）中标后不按本须知第32条的规定缴纳中标服务费的；</w:t>
      </w:r>
    </w:p>
    <w:p w14:paraId="2EE872F4">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（5）存在其他违法违规行为的。</w:t>
      </w:r>
    </w:p>
    <w:p w14:paraId="42C67D7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790" w:name="_Ref467306336"/>
      <w:r>
        <w:rPr>
          <w:rFonts w:hint="eastAsia" w:ascii="宋体" w:hAnsi="宋体" w:eastAsia="宋体" w:cs="宋体"/>
          <w:color w:val="auto"/>
          <w:sz w:val="24"/>
          <w:szCs w:val="24"/>
          <w:highlight w:val="none"/>
        </w:rPr>
        <w:t>12.3</w:t>
      </w:r>
      <w:r>
        <w:rPr>
          <w:rFonts w:hint="eastAsia" w:ascii="宋体" w:hAnsi="宋体" w:eastAsia="宋体" w:cs="宋体"/>
          <w:color w:val="auto"/>
          <w:sz w:val="24"/>
          <w:szCs w:val="24"/>
          <w:highlight w:val="none"/>
        </w:rPr>
        <w:tab/>
      </w:r>
      <w:bookmarkEnd w:id="790"/>
      <w:r>
        <w:rPr>
          <w:rFonts w:hint="eastAsia" w:ascii="宋体" w:hAnsi="宋体" w:eastAsia="宋体" w:cs="宋体"/>
          <w:color w:val="auto"/>
          <w:sz w:val="24"/>
          <w:szCs w:val="24"/>
          <w:highlight w:val="none"/>
        </w:rPr>
        <w:t>政府采购信用担保试点范围内的项目，接受符合财政部门规定的政府采购投标担</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原件。</w:t>
      </w:r>
    </w:p>
    <w:p w14:paraId="3865D78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未按本须知第12.1和12.3条规定提交投标保证金的，其投标将被认定为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E543DAD">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12.4.1  采用电汇形式的，一般可以实时入账。</w:t>
      </w:r>
    </w:p>
    <w:p w14:paraId="17C758E2">
      <w:pPr>
        <w:pageBreakBefore w:val="0"/>
        <w:widowControl w:val="0"/>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12.4.2  采用支票形式的，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则应充分考虑支票入账时间，以确保投标保证金能按时进入指定账户。根据银行信息交换和付款时间，支票从递交至实际入账一般需要4-5个工作日。如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未及时提交支票或支票不符合银行委托收款要求（如污损、折叠、胶装等），导致投标保证金不能按时进入指定账户的，将按照招标文件的第22.2条相关规定处理。</w:t>
      </w:r>
    </w:p>
    <w:p w14:paraId="44E9747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12.5   联合体投标的，可以由联合体中的一方或者共同提交投标保证金。以一方名义提交投标保证金的，对联合体各方均具有约束力。</w:t>
      </w:r>
    </w:p>
    <w:p w14:paraId="5031EAD5">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投标保证金的退还</w:t>
      </w:r>
    </w:p>
    <w:p w14:paraId="28731B7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12.6.1  中标人应在与采购人签订合同之日起5个工作日内，及时联系保证金收受机构办理投标保证金无息退还手续。</w:t>
      </w:r>
    </w:p>
    <w:p w14:paraId="48C8687B">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12.6.2  未中标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的投标保证金将在中标通知书发出之日暨中标结果公告公布之日起5个工作日内无息退还。</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应及时联系保证金收受机构办理退还投标保证金手续。</w:t>
      </w:r>
    </w:p>
    <w:p w14:paraId="4582E6E0">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12.6.3  政府采购投标担</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不予退回。</w:t>
      </w:r>
    </w:p>
    <w:p w14:paraId="43D5A720">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12.7    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自身原因导致无法及时退还的，采购人或采购代理机构将不承担相应责任。</w:t>
      </w:r>
    </w:p>
    <w:p w14:paraId="4AF56285">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791" w:name="_Toc12471"/>
      <w:bookmarkStart w:id="792" w:name="_Toc26784"/>
      <w:bookmarkStart w:id="793" w:name="_Toc16509"/>
      <w:bookmarkStart w:id="794" w:name="_Toc27343"/>
      <w:bookmarkStart w:id="795" w:name="_Toc12947"/>
      <w:bookmarkStart w:id="796" w:name="_Toc3783"/>
      <w:bookmarkStart w:id="797" w:name="_Toc520356157"/>
      <w:bookmarkStart w:id="798" w:name="_Toc30519"/>
      <w:bookmarkStart w:id="799" w:name="_Toc14683"/>
      <w:bookmarkStart w:id="800" w:name="_Toc9333"/>
      <w:bookmarkStart w:id="801" w:name="_Toc24598"/>
      <w:bookmarkStart w:id="802" w:name="_Toc1719"/>
      <w:bookmarkStart w:id="803" w:name="_Toc24189"/>
      <w:bookmarkStart w:id="804" w:name="_Toc31378"/>
      <w:bookmarkStart w:id="805" w:name="_Toc19152"/>
      <w:bookmarkStart w:id="806" w:name="_Toc15432"/>
      <w:bookmarkStart w:id="807" w:name="_Toc23590"/>
      <w:bookmarkStart w:id="808" w:name="_Toc25456"/>
      <w:bookmarkStart w:id="809" w:name="_Toc32237"/>
      <w:bookmarkStart w:id="810" w:name="_Toc19931"/>
      <w:bookmarkStart w:id="811" w:name="_Toc22760"/>
      <w:bookmarkStart w:id="812" w:name="_Toc10139"/>
      <w:bookmarkStart w:id="813" w:name="_Toc6834"/>
      <w:bookmarkStart w:id="814" w:name="_Toc25261"/>
      <w:bookmarkStart w:id="815" w:name="_Toc32262"/>
      <w:bookmarkStart w:id="816" w:name="_Toc21145"/>
      <w:bookmarkStart w:id="817" w:name="_Toc7882"/>
      <w:bookmarkStart w:id="818" w:name="_Toc26032"/>
      <w:bookmarkStart w:id="819" w:name="_Toc5678"/>
      <w:bookmarkStart w:id="820" w:name="_Toc19369"/>
      <w:bookmarkStart w:id="821" w:name="_Toc8932"/>
      <w:bookmarkStart w:id="822" w:name="_Toc1255"/>
      <w:bookmarkStart w:id="823" w:name="_Toc2708"/>
      <w:bookmarkStart w:id="824" w:name="_Toc23657"/>
      <w:bookmarkStart w:id="825" w:name="_Toc5368"/>
      <w:bookmarkStart w:id="826" w:name="_Toc11357"/>
      <w:bookmarkStart w:id="827" w:name="_Toc2777"/>
      <w:bookmarkStart w:id="828" w:name="_Toc18226"/>
      <w:bookmarkStart w:id="829" w:name="_Toc32569"/>
      <w:bookmarkStart w:id="830" w:name="_Toc27999"/>
      <w:bookmarkStart w:id="831" w:name="_Toc23083"/>
      <w:bookmarkStart w:id="832" w:name="_Toc7349"/>
      <w:bookmarkStart w:id="833" w:name="_Toc11132"/>
      <w:bookmarkStart w:id="834" w:name="_Toc13507"/>
      <w:bookmarkStart w:id="835" w:name="_Toc16290"/>
      <w:bookmarkStart w:id="836" w:name="_Toc32477"/>
      <w:bookmarkStart w:id="837" w:name="_Toc13563"/>
      <w:bookmarkStart w:id="838" w:name="_Toc3015"/>
      <w:bookmarkStart w:id="839" w:name="_Toc4047"/>
      <w:bookmarkStart w:id="840" w:name="_Toc116"/>
      <w:bookmarkStart w:id="841" w:name="_Toc24507"/>
      <w:bookmarkStart w:id="842" w:name="_Toc12620"/>
      <w:bookmarkStart w:id="843" w:name="_Toc31306"/>
      <w:bookmarkStart w:id="844" w:name="_Toc11120"/>
      <w:bookmarkStart w:id="845" w:name="_Toc515647772"/>
      <w:bookmarkStart w:id="846" w:name="_Toc4526"/>
      <w:bookmarkStart w:id="847" w:name="_Toc17927"/>
      <w:bookmarkStart w:id="848" w:name="_Toc28650"/>
      <w:bookmarkStart w:id="849" w:name="_Toc23321"/>
      <w:bookmarkStart w:id="850" w:name="_Toc8649"/>
      <w:r>
        <w:rPr>
          <w:rFonts w:hint="eastAsia" w:ascii="宋体" w:hAnsi="宋体" w:eastAsia="宋体" w:cs="宋体"/>
          <w:b/>
          <w:bCs/>
          <w:color w:val="auto"/>
          <w:kern w:val="2"/>
          <w:sz w:val="24"/>
          <w:szCs w:val="24"/>
          <w:highlight w:val="none"/>
          <w:u w:val="none"/>
          <w:lang w:val="en-US" w:eastAsia="zh-CN" w:bidi="ar-SA"/>
        </w:rPr>
        <w:t>13.投标有效期</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p>
    <w:p w14:paraId="5F211B4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投标应在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中规定时间内保持有效。投标有效期不满足要求的投标，其投标将被认定为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478E48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为保证有充分时间签订合同，采购人或采购代理机构可根据实际情况，在原投标有效期截止之前，要求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延长投标文件的有效期。接受该要求的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将不会被要求和允许修正其投标，且本须知中有关投标保证金的要求须在延长的有效期内继续有效。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可以拒绝延长投标有效期的要求，其投标保证金将及时无息退还。上述要求和答复都应以书面形式提交。</w:t>
      </w:r>
    </w:p>
    <w:p w14:paraId="3BA5AFFA">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851" w:name="_Toc520356158"/>
      <w:bookmarkStart w:id="852" w:name="_Toc21504"/>
      <w:bookmarkStart w:id="853" w:name="_Toc30562"/>
      <w:bookmarkStart w:id="854" w:name="_Toc11669"/>
      <w:bookmarkStart w:id="855" w:name="_Toc23746"/>
      <w:bookmarkStart w:id="856" w:name="_Toc27401"/>
      <w:bookmarkStart w:id="857" w:name="_Toc9129"/>
      <w:bookmarkStart w:id="858" w:name="_Toc7149"/>
      <w:bookmarkStart w:id="859" w:name="_Toc6304"/>
      <w:bookmarkStart w:id="860" w:name="_Toc12203"/>
      <w:bookmarkStart w:id="861" w:name="_Toc29588"/>
      <w:bookmarkStart w:id="862" w:name="_Toc12810"/>
      <w:bookmarkStart w:id="863" w:name="_Toc6372"/>
      <w:bookmarkStart w:id="864" w:name="_Toc6286"/>
      <w:bookmarkStart w:id="865" w:name="_Toc14016"/>
      <w:bookmarkStart w:id="866" w:name="_Toc515647773"/>
      <w:bookmarkStart w:id="867" w:name="_Toc19121"/>
      <w:bookmarkStart w:id="868" w:name="_Toc20488"/>
      <w:bookmarkStart w:id="869" w:name="_Toc29991"/>
      <w:bookmarkStart w:id="870" w:name="_Toc493"/>
      <w:bookmarkStart w:id="871" w:name="_Toc25603"/>
      <w:bookmarkStart w:id="872" w:name="_Toc12349"/>
      <w:bookmarkStart w:id="873" w:name="_Toc22438"/>
      <w:bookmarkStart w:id="874" w:name="_Toc25546"/>
      <w:bookmarkStart w:id="875" w:name="_Toc12276"/>
      <w:bookmarkStart w:id="876" w:name="_Toc3558"/>
      <w:bookmarkStart w:id="877" w:name="_Toc9672"/>
      <w:bookmarkStart w:id="878" w:name="_Toc15845"/>
      <w:bookmarkStart w:id="879" w:name="_Toc30127"/>
      <w:bookmarkStart w:id="880" w:name="_Toc29619"/>
      <w:bookmarkStart w:id="881" w:name="_Toc17121"/>
      <w:bookmarkStart w:id="882" w:name="_Toc18207"/>
      <w:bookmarkStart w:id="883" w:name="_Toc3325"/>
      <w:bookmarkStart w:id="884" w:name="_Toc17074"/>
      <w:bookmarkStart w:id="885" w:name="_Toc1012"/>
      <w:bookmarkStart w:id="886" w:name="_Toc9573"/>
      <w:bookmarkStart w:id="887" w:name="_Toc29088"/>
      <w:bookmarkStart w:id="888" w:name="_Toc14417"/>
      <w:bookmarkStart w:id="889" w:name="_Toc18546"/>
      <w:bookmarkStart w:id="890" w:name="_Toc4425"/>
      <w:bookmarkStart w:id="891" w:name="_Toc1080"/>
      <w:bookmarkStart w:id="892" w:name="_Toc29036"/>
      <w:bookmarkStart w:id="893" w:name="_Toc31098"/>
      <w:bookmarkStart w:id="894" w:name="_Toc30085"/>
      <w:bookmarkStart w:id="895" w:name="_Toc5874"/>
      <w:bookmarkStart w:id="896" w:name="_Toc25344"/>
      <w:bookmarkStart w:id="897" w:name="_Toc32096"/>
      <w:bookmarkStart w:id="898" w:name="_Toc10391"/>
      <w:bookmarkStart w:id="899" w:name="_Toc21080"/>
      <w:bookmarkStart w:id="900" w:name="_Toc14325"/>
      <w:bookmarkStart w:id="901" w:name="_Toc16503"/>
      <w:bookmarkStart w:id="902" w:name="_Toc7126"/>
      <w:bookmarkStart w:id="903" w:name="_Toc3637"/>
      <w:bookmarkStart w:id="904" w:name="_Toc26222"/>
      <w:bookmarkStart w:id="905" w:name="_Toc29834"/>
      <w:bookmarkStart w:id="906" w:name="_Toc24787"/>
      <w:r>
        <w:rPr>
          <w:rFonts w:hint="eastAsia" w:ascii="宋体" w:hAnsi="宋体" w:eastAsia="宋体" w:cs="宋体"/>
          <w:b/>
          <w:bCs/>
          <w:color w:val="auto"/>
          <w:kern w:val="2"/>
          <w:sz w:val="24"/>
          <w:szCs w:val="24"/>
          <w:highlight w:val="none"/>
          <w:u w:val="none"/>
          <w:lang w:val="en-US" w:eastAsia="zh-CN" w:bidi="ar-SA"/>
        </w:rPr>
        <w:t>14.投标文件的签署</w:t>
      </w:r>
      <w:bookmarkEnd w:id="851"/>
      <w:r>
        <w:rPr>
          <w:rFonts w:hint="eastAsia" w:ascii="宋体" w:hAnsi="宋体" w:eastAsia="宋体" w:cs="宋体"/>
          <w:b/>
          <w:bCs/>
          <w:color w:val="auto"/>
          <w:kern w:val="2"/>
          <w:sz w:val="24"/>
          <w:szCs w:val="24"/>
          <w:highlight w:val="none"/>
          <w:u w:val="none"/>
          <w:lang w:val="en-US" w:eastAsia="zh-CN" w:bidi="ar-SA"/>
        </w:rPr>
        <w:t>及规定</w:t>
      </w:r>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p>
    <w:p w14:paraId="27AC049E">
      <w:pPr>
        <w:pageBreakBefore w:val="0"/>
        <w:shd w:val="clear"/>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供应商应按供应商须知资料表中的规定，准备和</w:t>
      </w:r>
      <w:r>
        <w:rPr>
          <w:rFonts w:hint="eastAsia" w:ascii="宋体" w:hAnsi="宋体" w:eastAsia="宋体" w:cs="宋体"/>
          <w:color w:val="auto"/>
          <w:sz w:val="24"/>
          <w:szCs w:val="24"/>
          <w:highlight w:val="none"/>
          <w:lang w:val="en-US" w:eastAsia="zh-CN"/>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p>
    <w:p w14:paraId="31B7A23D">
      <w:pPr>
        <w:pStyle w:val="20"/>
        <w:pageBreakBefore w:val="0"/>
        <w:kinsoku/>
        <w:wordWrap/>
        <w:overflowPunct/>
        <w:topLinePunct w:val="0"/>
        <w:bidi w:val="0"/>
        <w:spacing w:line="360" w:lineRule="exact"/>
        <w:rPr>
          <w:rFonts w:hint="eastAsia" w:ascii="宋体" w:hAnsi="宋体" w:eastAsia="宋体" w:cs="宋体"/>
          <w:color w:val="FF0000"/>
          <w:sz w:val="24"/>
          <w:szCs w:val="24"/>
          <w:highlight w:val="none"/>
        </w:rPr>
      </w:pPr>
      <w:bookmarkStart w:id="907" w:name="_Toc11179"/>
      <w:bookmarkStart w:id="908" w:name="_Toc515647774"/>
      <w:bookmarkStart w:id="909" w:name="_Toc216582808"/>
      <w:bookmarkStart w:id="910" w:name="_Toc16865"/>
      <w:bookmarkStart w:id="911" w:name="_Toc520356159"/>
    </w:p>
    <w:p w14:paraId="3BA39A87">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912" w:name="_Toc25125"/>
      <w:bookmarkStart w:id="913" w:name="_Toc30935"/>
      <w:bookmarkStart w:id="914" w:name="_Toc26337"/>
      <w:bookmarkStart w:id="915" w:name="_Toc1143"/>
      <w:bookmarkStart w:id="916" w:name="_Toc25248"/>
      <w:r>
        <w:rPr>
          <w:rFonts w:hint="eastAsia" w:ascii="宋体" w:hAnsi="宋体" w:eastAsia="宋体" w:cs="宋体"/>
          <w:color w:val="auto"/>
          <w:sz w:val="28"/>
          <w:szCs w:val="28"/>
          <w:highlight w:val="none"/>
          <w:lang w:val="en-US" w:eastAsia="zh-CN"/>
        </w:rPr>
        <w:t>四   投标文件的递交</w:t>
      </w:r>
      <w:bookmarkEnd w:id="907"/>
      <w:bookmarkEnd w:id="908"/>
      <w:bookmarkEnd w:id="909"/>
      <w:bookmarkEnd w:id="910"/>
      <w:bookmarkEnd w:id="911"/>
      <w:bookmarkEnd w:id="912"/>
      <w:bookmarkEnd w:id="913"/>
      <w:bookmarkEnd w:id="914"/>
      <w:bookmarkEnd w:id="915"/>
      <w:bookmarkEnd w:id="916"/>
    </w:p>
    <w:p w14:paraId="0B92EB52">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917" w:name="_Toc9461"/>
      <w:bookmarkStart w:id="918" w:name="_Toc23502"/>
      <w:bookmarkStart w:id="919" w:name="_Toc5883"/>
      <w:bookmarkStart w:id="920" w:name="_Toc1681"/>
      <w:bookmarkStart w:id="921" w:name="_Toc7981"/>
      <w:bookmarkStart w:id="922" w:name="_Toc22447"/>
      <w:bookmarkStart w:id="923" w:name="_Toc25334"/>
      <w:bookmarkStart w:id="924" w:name="_Toc12700"/>
      <w:bookmarkStart w:id="925" w:name="_Toc16155"/>
      <w:bookmarkStart w:id="926" w:name="_Toc16612"/>
      <w:bookmarkStart w:id="927" w:name="_Toc8383"/>
      <w:bookmarkStart w:id="928" w:name="_Toc9246"/>
      <w:bookmarkStart w:id="929" w:name="_Toc19259"/>
      <w:bookmarkStart w:id="930" w:name="_Toc18595"/>
      <w:bookmarkStart w:id="931" w:name="_Toc3529"/>
      <w:bookmarkStart w:id="932" w:name="_Toc9732"/>
      <w:bookmarkStart w:id="933" w:name="_Toc24487"/>
      <w:bookmarkStart w:id="934" w:name="_Toc6948"/>
      <w:bookmarkStart w:id="935" w:name="_Toc26461"/>
      <w:bookmarkStart w:id="936" w:name="_Toc801"/>
      <w:bookmarkStart w:id="937" w:name="_Toc6164"/>
      <w:bookmarkStart w:id="938" w:name="_Toc32678"/>
      <w:bookmarkStart w:id="939" w:name="_Toc26214"/>
      <w:bookmarkStart w:id="940" w:name="_Toc14218"/>
      <w:bookmarkStart w:id="941" w:name="_Toc7873"/>
      <w:bookmarkStart w:id="942" w:name="_Toc16399"/>
      <w:bookmarkStart w:id="943" w:name="_Toc30038"/>
      <w:bookmarkStart w:id="944" w:name="_Toc17407"/>
      <w:bookmarkStart w:id="945" w:name="_Toc27680"/>
      <w:bookmarkStart w:id="946" w:name="_Toc22223"/>
      <w:bookmarkStart w:id="947" w:name="_Toc21031"/>
      <w:bookmarkStart w:id="948" w:name="_Toc17913"/>
      <w:bookmarkStart w:id="949" w:name="_Toc4126"/>
      <w:bookmarkStart w:id="950" w:name="_Toc27261"/>
      <w:bookmarkStart w:id="951" w:name="_Toc24289"/>
      <w:bookmarkStart w:id="952" w:name="_Toc31758"/>
      <w:bookmarkStart w:id="953" w:name="_Toc17213"/>
      <w:bookmarkStart w:id="954" w:name="_Toc32322"/>
      <w:bookmarkStart w:id="955" w:name="_Toc27797"/>
      <w:bookmarkStart w:id="956" w:name="_Toc14788"/>
      <w:bookmarkStart w:id="957" w:name="_Toc4384"/>
      <w:bookmarkStart w:id="958" w:name="_Toc24127"/>
      <w:r>
        <w:rPr>
          <w:rFonts w:hint="eastAsia" w:ascii="宋体" w:hAnsi="宋体" w:eastAsia="宋体" w:cs="宋体"/>
          <w:b/>
          <w:bCs/>
          <w:color w:val="auto"/>
          <w:kern w:val="2"/>
          <w:sz w:val="24"/>
          <w:szCs w:val="24"/>
          <w:highlight w:val="none"/>
          <w:u w:val="none"/>
          <w:lang w:val="en-US" w:eastAsia="zh-CN" w:bidi="ar-SA"/>
        </w:rPr>
        <w:t>15.投标文件的密封和标记</w:t>
      </w:r>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p>
    <w:p w14:paraId="7627462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15.1   为方便评审及进行资格审查，供应商应完整地按招标文件提供的投标文件格式及要求编写投标文件， 供应商须在投标截止时间前完成在系统上递交电子投标文件。供应商的电子投标文件是经过CA证书加密后上传提交的，任何单位或个人均无法在投标截止时间(即投标时间)之前查看或篡改，不存在泄密风险。（严格按照政采云电子投标流程制作并上传电子投标文件）</w:t>
      </w:r>
    </w:p>
    <w:p w14:paraId="31883ED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    供应商因自身原因导致电子投标文件无法导入电子评标系统的，该</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lang w:val="en-US" w:eastAsia="zh-CN"/>
        </w:rPr>
        <w:t>视为无效文件。</w:t>
      </w:r>
    </w:p>
    <w:p w14:paraId="7F4BBF3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15.3   电子投标文件具有法律效力,与其他形式的</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lang w:val="en-US" w:eastAsia="zh-CN"/>
        </w:rPr>
        <w:t>在内容和格式上等同，若投标文件与招标文件要求不一致，其内容影响中标结果时，责任由供应商自行承担。</w:t>
      </w:r>
    </w:p>
    <w:p w14:paraId="5DA74659">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959" w:name="_Toc27205"/>
      <w:bookmarkStart w:id="960" w:name="_Toc30137"/>
      <w:bookmarkStart w:id="961" w:name="_Toc1234"/>
      <w:bookmarkStart w:id="962" w:name="_Toc20721"/>
      <w:bookmarkStart w:id="963" w:name="_Toc21511"/>
      <w:bookmarkStart w:id="964" w:name="_Toc5670"/>
      <w:bookmarkStart w:id="965" w:name="_Toc22378"/>
      <w:bookmarkStart w:id="966" w:name="_Toc5284"/>
      <w:bookmarkStart w:id="967" w:name="_Toc22504"/>
      <w:bookmarkStart w:id="968" w:name="_Toc28578"/>
      <w:bookmarkStart w:id="969" w:name="_Toc20909"/>
      <w:bookmarkStart w:id="970" w:name="_Toc14772"/>
      <w:bookmarkStart w:id="971" w:name="_Toc15282"/>
      <w:bookmarkStart w:id="972" w:name="_Toc27812"/>
      <w:bookmarkStart w:id="973" w:name="_Toc4489"/>
      <w:bookmarkStart w:id="974" w:name="_Toc28616"/>
      <w:bookmarkStart w:id="975" w:name="_Toc27334"/>
      <w:bookmarkStart w:id="976" w:name="_Toc16904"/>
      <w:bookmarkStart w:id="977" w:name="_Toc18056"/>
      <w:bookmarkStart w:id="978" w:name="_Toc2446"/>
      <w:bookmarkStart w:id="979" w:name="_Toc19183"/>
      <w:bookmarkStart w:id="980" w:name="_Toc18049"/>
      <w:bookmarkStart w:id="981" w:name="_Toc3777"/>
      <w:bookmarkStart w:id="982" w:name="_Toc6497"/>
      <w:bookmarkStart w:id="983" w:name="_Toc2900"/>
      <w:bookmarkStart w:id="984" w:name="_Toc5432"/>
      <w:bookmarkStart w:id="985" w:name="_Toc13931"/>
      <w:bookmarkStart w:id="986" w:name="_Toc788"/>
      <w:bookmarkStart w:id="987" w:name="_Toc31392"/>
      <w:bookmarkStart w:id="988" w:name="_Toc3581"/>
      <w:bookmarkStart w:id="989" w:name="_Toc27792"/>
      <w:bookmarkStart w:id="990" w:name="_Toc21229"/>
      <w:bookmarkStart w:id="991" w:name="_Toc16170"/>
      <w:bookmarkStart w:id="992" w:name="_Toc21468"/>
      <w:bookmarkStart w:id="993" w:name="_Toc31785"/>
      <w:bookmarkStart w:id="994" w:name="_Toc21924"/>
      <w:bookmarkStart w:id="995" w:name="_Toc15871"/>
      <w:bookmarkStart w:id="996" w:name="_Toc20806"/>
      <w:bookmarkStart w:id="997" w:name="_Toc7506"/>
      <w:bookmarkStart w:id="998" w:name="_Toc9344"/>
      <w:bookmarkStart w:id="999" w:name="_Toc2258"/>
      <w:bookmarkStart w:id="1000" w:name="_Toc28395"/>
      <w:r>
        <w:rPr>
          <w:rFonts w:hint="eastAsia" w:ascii="宋体" w:hAnsi="宋体" w:eastAsia="宋体" w:cs="宋体"/>
          <w:b/>
          <w:bCs/>
          <w:color w:val="auto"/>
          <w:kern w:val="2"/>
          <w:sz w:val="24"/>
          <w:szCs w:val="24"/>
          <w:highlight w:val="none"/>
          <w:u w:val="none"/>
          <w:lang w:val="en-US" w:eastAsia="zh-CN" w:bidi="ar-SA"/>
        </w:rPr>
        <w:t>16.投标截止</w:t>
      </w:r>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p>
    <w:p w14:paraId="2B062007">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供应商应在供应商须知资料表中规定的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截止时间前，将</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上传到</w:t>
      </w:r>
      <w:r>
        <w:rPr>
          <w:rFonts w:hint="eastAsia" w:ascii="宋体" w:hAnsi="宋体" w:eastAsia="宋体" w:cs="宋体"/>
          <w:color w:val="auto"/>
          <w:sz w:val="24"/>
          <w:szCs w:val="24"/>
          <w:highlight w:val="none"/>
          <w:lang w:val="en-US" w:eastAsia="zh-CN"/>
        </w:rPr>
        <w:t>公开招标</w:t>
      </w:r>
      <w:r>
        <w:rPr>
          <w:rFonts w:hint="eastAsia" w:ascii="宋体" w:hAnsi="宋体" w:eastAsia="宋体" w:cs="宋体"/>
          <w:color w:val="auto"/>
          <w:sz w:val="24"/>
          <w:szCs w:val="24"/>
          <w:highlight w:val="none"/>
        </w:rPr>
        <w:t>公告中规定的地点。</w:t>
      </w:r>
      <w:r>
        <w:rPr>
          <w:rFonts w:hint="eastAsia" w:ascii="宋体" w:hAnsi="宋体" w:eastAsia="宋体" w:cs="宋体"/>
          <w:b/>
          <w:bCs/>
          <w:color w:val="auto"/>
          <w:sz w:val="24"/>
          <w:szCs w:val="24"/>
          <w:highlight w:val="none"/>
          <w:lang w:eastAsia="zh-CN"/>
        </w:rPr>
        <w:t>解密时间</w:t>
      </w:r>
      <w:r>
        <w:rPr>
          <w:rFonts w:hint="eastAsia" w:ascii="宋体" w:hAnsi="宋体" w:eastAsia="宋体" w:cs="宋体"/>
          <w:b/>
          <w:bCs/>
          <w:color w:val="auto"/>
          <w:sz w:val="24"/>
          <w:szCs w:val="24"/>
          <w:highlight w:val="none"/>
          <w:lang w:val="en-US" w:eastAsia="zh-CN"/>
        </w:rPr>
        <w:t>30分钟，逾期未解密的视为投标无效。</w:t>
      </w:r>
    </w:p>
    <w:p w14:paraId="20CD250E">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采购人和采购代理机构有权按本须知的规定，延迟</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截止时间。在此情况下，采购人、采购代理机构和供应商受</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截止时间制约的所有权利和义务均应延长至新的截止时间。</w:t>
      </w:r>
    </w:p>
    <w:p w14:paraId="1833B7F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16.3</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采购人和采购代理机构将拒绝接收在投标截止时间后上传的投标文件。</w:t>
      </w:r>
    </w:p>
    <w:p w14:paraId="72560C21">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001" w:name="_Toc20356"/>
      <w:bookmarkStart w:id="1002" w:name="_Toc7574"/>
      <w:bookmarkStart w:id="1003" w:name="_Toc20724"/>
      <w:bookmarkStart w:id="1004" w:name="_Toc31543"/>
      <w:bookmarkStart w:id="1005" w:name="_Toc31579"/>
      <w:bookmarkStart w:id="1006" w:name="_Toc12792"/>
      <w:bookmarkStart w:id="1007" w:name="_Toc1691"/>
      <w:bookmarkStart w:id="1008" w:name="_Toc19478"/>
      <w:bookmarkStart w:id="1009" w:name="_Toc1517"/>
      <w:bookmarkStart w:id="1010" w:name="_Toc18201"/>
      <w:bookmarkStart w:id="1011" w:name="_Toc24067"/>
      <w:bookmarkStart w:id="1012" w:name="_Toc14081"/>
      <w:bookmarkStart w:id="1013" w:name="_Toc4960"/>
      <w:bookmarkStart w:id="1014" w:name="_Toc6484"/>
      <w:bookmarkStart w:id="1015" w:name="_Toc27841"/>
      <w:bookmarkStart w:id="1016" w:name="_Toc4342"/>
      <w:bookmarkStart w:id="1017" w:name="_Toc29733"/>
      <w:bookmarkStart w:id="1018" w:name="_Toc3194"/>
      <w:bookmarkStart w:id="1019" w:name="_Toc18989"/>
      <w:bookmarkStart w:id="1020" w:name="_Toc25919"/>
      <w:bookmarkStart w:id="1021" w:name="_Toc7900"/>
      <w:bookmarkStart w:id="1022" w:name="_Toc24325"/>
      <w:bookmarkStart w:id="1023" w:name="_Toc16085"/>
      <w:bookmarkStart w:id="1024" w:name="_Toc9352"/>
      <w:bookmarkStart w:id="1025" w:name="_Toc18121"/>
      <w:bookmarkStart w:id="1026" w:name="_Toc16109"/>
      <w:bookmarkStart w:id="1027" w:name="_Toc9466"/>
      <w:bookmarkStart w:id="1028" w:name="_Toc19814"/>
      <w:bookmarkStart w:id="1029" w:name="_Toc17449"/>
      <w:bookmarkStart w:id="1030" w:name="_Toc27457"/>
      <w:bookmarkStart w:id="1031" w:name="_Toc27699"/>
      <w:bookmarkStart w:id="1032" w:name="_Toc9957"/>
      <w:bookmarkStart w:id="1033" w:name="_Toc5300"/>
      <w:bookmarkStart w:id="1034" w:name="_Toc32019"/>
      <w:bookmarkStart w:id="1035" w:name="_Toc7087"/>
      <w:bookmarkStart w:id="1036" w:name="_Toc3786"/>
      <w:bookmarkStart w:id="1037" w:name="_Toc1356"/>
      <w:bookmarkStart w:id="1038" w:name="_Toc31990"/>
      <w:bookmarkStart w:id="1039" w:name="_Toc24752"/>
      <w:bookmarkStart w:id="1040" w:name="_Toc10568"/>
      <w:bookmarkStart w:id="1041" w:name="_Toc9635"/>
      <w:bookmarkStart w:id="1042" w:name="_Toc10369"/>
      <w:r>
        <w:rPr>
          <w:rFonts w:hint="eastAsia" w:ascii="宋体" w:hAnsi="宋体" w:eastAsia="宋体" w:cs="宋体"/>
          <w:b/>
          <w:bCs/>
          <w:color w:val="auto"/>
          <w:kern w:val="2"/>
          <w:sz w:val="24"/>
          <w:szCs w:val="24"/>
          <w:highlight w:val="none"/>
          <w:u w:val="none"/>
          <w:lang w:val="en-US" w:eastAsia="zh-CN" w:bidi="ar-SA"/>
        </w:rPr>
        <w:t>17.投标文件的接收、修改与撤回</w:t>
      </w:r>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p>
    <w:p w14:paraId="7F9BE378">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截止时间后上传的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的，采购人和采购代理机构将拒绝接收。</w:t>
      </w:r>
    </w:p>
    <w:p w14:paraId="02DEB35E">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以后，如果供应商要进行修改或撤回</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的修改或撤回通知应按本须知规定编制、标记。采购人和采购代理机构将予以接收，并视为</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的组成部分。</w:t>
      </w:r>
    </w:p>
    <w:p w14:paraId="67CD6427">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截止期之后，采购人和采购代理机构不接受供应商主动对其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做任何修改。</w:t>
      </w:r>
    </w:p>
    <w:p w14:paraId="67AC29F6">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采购人和采购代理机构对所接收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概不退回。</w:t>
      </w:r>
    </w:p>
    <w:p w14:paraId="5B9F8336">
      <w:pPr>
        <w:pageBreakBefore w:val="0"/>
        <w:widowControl w:val="0"/>
        <w:kinsoku/>
        <w:wordWrap/>
        <w:overflowPunct/>
        <w:topLinePunct w:val="0"/>
        <w:bidi w:val="0"/>
        <w:spacing w:before="0" w:line="360" w:lineRule="exact"/>
        <w:ind w:left="0" w:leftChars="0" w:hanging="540"/>
        <w:textAlignment w:val="auto"/>
        <w:outlineLvl w:val="9"/>
        <w:rPr>
          <w:rFonts w:hint="eastAsia" w:ascii="宋体" w:hAnsi="宋体" w:eastAsia="宋体" w:cs="宋体"/>
          <w:color w:val="auto"/>
          <w:sz w:val="24"/>
          <w:szCs w:val="24"/>
          <w:highlight w:val="none"/>
        </w:rPr>
      </w:pPr>
      <w:bookmarkStart w:id="1043" w:name="_Toc12436"/>
      <w:bookmarkStart w:id="1044" w:name="_Toc28398"/>
      <w:bookmarkStart w:id="1045" w:name="_Toc515647778"/>
      <w:bookmarkStart w:id="1046" w:name="_Toc7470"/>
      <w:bookmarkStart w:id="1047" w:name="_Toc216582809"/>
      <w:bookmarkStart w:id="1048" w:name="_Toc520356163"/>
    </w:p>
    <w:p w14:paraId="00C831B1">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1049" w:name="_Toc12049"/>
      <w:bookmarkStart w:id="1050" w:name="_Toc5732"/>
      <w:bookmarkStart w:id="1051" w:name="_Toc14202"/>
      <w:r>
        <w:rPr>
          <w:rFonts w:hint="eastAsia" w:ascii="宋体" w:hAnsi="宋体" w:eastAsia="宋体" w:cs="宋体"/>
          <w:color w:val="auto"/>
          <w:sz w:val="28"/>
          <w:szCs w:val="28"/>
          <w:highlight w:val="none"/>
          <w:lang w:val="en-US" w:eastAsia="zh-CN"/>
        </w:rPr>
        <w:t>五   开标及评标</w:t>
      </w:r>
      <w:bookmarkEnd w:id="1043"/>
      <w:bookmarkEnd w:id="1044"/>
      <w:bookmarkEnd w:id="1045"/>
      <w:bookmarkEnd w:id="1046"/>
      <w:bookmarkEnd w:id="1047"/>
      <w:bookmarkEnd w:id="1048"/>
      <w:bookmarkEnd w:id="1049"/>
      <w:bookmarkEnd w:id="1050"/>
      <w:bookmarkEnd w:id="1051"/>
    </w:p>
    <w:p w14:paraId="0F80E3B0">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052" w:name="_Toc7013"/>
      <w:bookmarkStart w:id="1053" w:name="_Toc18631"/>
      <w:bookmarkStart w:id="1054" w:name="_Toc22733"/>
      <w:bookmarkStart w:id="1055" w:name="_Toc18301"/>
      <w:bookmarkStart w:id="1056" w:name="_Toc10405"/>
      <w:bookmarkStart w:id="1057" w:name="_Toc9474"/>
      <w:bookmarkStart w:id="1058" w:name="_Toc17685"/>
      <w:bookmarkStart w:id="1059" w:name="_Toc17546"/>
      <w:bookmarkStart w:id="1060" w:name="_Toc22462"/>
      <w:bookmarkStart w:id="1061" w:name="_Toc1116"/>
      <w:bookmarkStart w:id="1062" w:name="_Toc4378"/>
      <w:bookmarkStart w:id="1063" w:name="_Toc25562"/>
      <w:bookmarkStart w:id="1064" w:name="_Toc28057"/>
      <w:bookmarkStart w:id="1065" w:name="_Toc2886"/>
      <w:bookmarkStart w:id="1066" w:name="_Toc515647779"/>
      <w:bookmarkStart w:id="1067" w:name="_Toc10643"/>
      <w:bookmarkStart w:id="1068" w:name="_Toc27090"/>
      <w:bookmarkStart w:id="1069" w:name="_Toc4771"/>
      <w:bookmarkStart w:id="1070" w:name="_Toc20854"/>
      <w:bookmarkStart w:id="1071" w:name="_Toc28852"/>
      <w:bookmarkStart w:id="1072" w:name="_Toc21418"/>
      <w:bookmarkStart w:id="1073" w:name="_Toc23772"/>
      <w:bookmarkStart w:id="1074" w:name="_Toc7186"/>
      <w:bookmarkStart w:id="1075" w:name="_Toc1738"/>
      <w:bookmarkStart w:id="1076" w:name="_Toc63"/>
      <w:bookmarkStart w:id="1077" w:name="_Toc4423"/>
      <w:bookmarkStart w:id="1078" w:name="_Toc31572"/>
      <w:bookmarkStart w:id="1079" w:name="_Toc1763"/>
      <w:bookmarkStart w:id="1080" w:name="_Toc31296"/>
      <w:bookmarkStart w:id="1081" w:name="_Toc16222"/>
      <w:bookmarkStart w:id="1082" w:name="_Toc31492"/>
      <w:bookmarkStart w:id="1083" w:name="_Toc23987"/>
      <w:bookmarkStart w:id="1084" w:name="_Toc25932"/>
      <w:bookmarkStart w:id="1085" w:name="_Toc18958"/>
      <w:bookmarkStart w:id="1086" w:name="_Toc25658"/>
      <w:bookmarkStart w:id="1087" w:name="_Toc13088"/>
      <w:bookmarkStart w:id="1088" w:name="_Toc16367"/>
      <w:bookmarkStart w:id="1089" w:name="_Toc20905"/>
      <w:bookmarkStart w:id="1090" w:name="_Toc520356164"/>
      <w:bookmarkStart w:id="1091" w:name="_Toc25370"/>
      <w:bookmarkStart w:id="1092" w:name="_Toc11144"/>
      <w:bookmarkStart w:id="1093" w:name="_Toc10415"/>
      <w:bookmarkStart w:id="1094" w:name="_Toc24922"/>
      <w:bookmarkStart w:id="1095" w:name="_Toc22002"/>
      <w:bookmarkStart w:id="1096" w:name="_Toc15891"/>
      <w:bookmarkStart w:id="1097" w:name="_Toc563"/>
      <w:bookmarkStart w:id="1098" w:name="_Toc6337"/>
      <w:bookmarkStart w:id="1099" w:name="_Toc21961"/>
      <w:bookmarkStart w:id="1100" w:name="_Toc28787"/>
      <w:bookmarkStart w:id="1101" w:name="_Toc11726"/>
      <w:bookmarkStart w:id="1102" w:name="_Toc9432"/>
      <w:bookmarkStart w:id="1103" w:name="_Toc25345"/>
      <w:bookmarkStart w:id="1104" w:name="_Toc26366"/>
      <w:bookmarkStart w:id="1105" w:name="_Toc2521"/>
      <w:bookmarkStart w:id="1106" w:name="_Toc32409"/>
      <w:bookmarkStart w:id="1107" w:name="_Toc5754"/>
      <w:bookmarkStart w:id="1108" w:name="_Toc4385"/>
      <w:bookmarkStart w:id="1109" w:name="_Toc8707"/>
      <w:bookmarkStart w:id="1110" w:name="_Toc9335"/>
      <w:bookmarkStart w:id="1111" w:name="_Toc520356165"/>
      <w:bookmarkStart w:id="1112" w:name="_Toc28586"/>
      <w:bookmarkStart w:id="1113" w:name="_Toc515647780"/>
      <w:bookmarkStart w:id="1114" w:name="_Toc5052"/>
      <w:bookmarkStart w:id="1115" w:name="_Toc2316"/>
      <w:bookmarkStart w:id="1116" w:name="_Toc21667"/>
      <w:bookmarkStart w:id="1117" w:name="_Toc10550"/>
      <w:bookmarkStart w:id="1118" w:name="_Toc22792"/>
      <w:bookmarkStart w:id="1119" w:name="_Toc22770"/>
      <w:bookmarkStart w:id="1120" w:name="_Toc4063"/>
      <w:bookmarkStart w:id="1121" w:name="_Toc18233"/>
      <w:bookmarkStart w:id="1122" w:name="_Toc10746"/>
      <w:bookmarkStart w:id="1123" w:name="_Toc3080"/>
      <w:bookmarkStart w:id="1124" w:name="_Toc16864"/>
      <w:bookmarkStart w:id="1125" w:name="_Toc21372"/>
      <w:bookmarkStart w:id="1126" w:name="_Toc18228"/>
      <w:bookmarkStart w:id="1127" w:name="_Toc19296"/>
      <w:bookmarkStart w:id="1128" w:name="_Toc26266"/>
      <w:r>
        <w:rPr>
          <w:rFonts w:hint="eastAsia" w:ascii="宋体" w:hAnsi="宋体" w:eastAsia="宋体" w:cs="宋体"/>
          <w:b/>
          <w:bCs/>
          <w:color w:val="auto"/>
          <w:kern w:val="2"/>
          <w:sz w:val="24"/>
          <w:szCs w:val="24"/>
          <w:highlight w:val="none"/>
          <w:u w:val="none"/>
          <w:lang w:val="en-US" w:eastAsia="zh-CN" w:bidi="ar-SA"/>
        </w:rPr>
        <w:t>18.开标</w:t>
      </w:r>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p>
    <w:bookmarkEnd w:id="1111"/>
    <w:p w14:paraId="4DC89ECA">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lang w:eastAsia="zh-CN"/>
        </w:rPr>
      </w:pPr>
      <w:bookmarkStart w:id="1129" w:name="_Toc24244"/>
      <w:bookmarkStart w:id="1130" w:name="_Toc24046"/>
      <w:bookmarkStart w:id="1131" w:name="_Toc23873"/>
      <w:bookmarkStart w:id="1132" w:name="_Toc1687"/>
      <w:bookmarkStart w:id="1133" w:name="_Toc11617"/>
      <w:bookmarkStart w:id="1134" w:name="_Toc8996"/>
      <w:bookmarkStart w:id="1135" w:name="_Toc13596"/>
      <w:r>
        <w:rPr>
          <w:rFonts w:hint="eastAsia" w:ascii="宋体" w:hAnsi="宋体" w:eastAsia="宋体" w:cs="宋体"/>
          <w:color w:val="auto"/>
          <w:sz w:val="24"/>
          <w:szCs w:val="24"/>
          <w:highlight w:val="none"/>
          <w:lang w:val="en-US" w:eastAsia="zh-CN"/>
        </w:rPr>
        <w:t>18.1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供应商按照须知资料表中规定的开标时间和地点，在规定时间内上传投标文件。</w:t>
      </w:r>
    </w:p>
    <w:p w14:paraId="5EC7577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18.2</w:t>
      </w: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lang w:eastAsia="zh-CN"/>
        </w:rPr>
        <w:t>，将被认定为无效投标。请供应商提前调试好CA锁，确定在操作时能正常使用。</w:t>
      </w:r>
      <w:r>
        <w:rPr>
          <w:rFonts w:hint="eastAsia" w:ascii="宋体" w:hAnsi="宋体" w:eastAsia="宋体" w:cs="宋体"/>
          <w:color w:val="auto"/>
          <w:sz w:val="24"/>
          <w:szCs w:val="24"/>
          <w:highlight w:val="none"/>
          <w:lang w:eastAsia="zh-CN"/>
        </w:rPr>
        <w:t xml:space="preserve">  </w:t>
      </w:r>
    </w:p>
    <w:p w14:paraId="46510ED3">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18.3</w:t>
      </w: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lang w:eastAsia="zh-CN"/>
        </w:rPr>
        <w:t>在开标记录时，代理机构开启签字时段，须供应商使用CA锁在政采云平台进行签字确认报价。</w:t>
      </w:r>
    </w:p>
    <w:p w14:paraId="2A48A146">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18.4</w:t>
      </w:r>
      <w:r>
        <w:rPr>
          <w:rFonts w:hint="eastAsia" w:ascii="宋体" w:hAnsi="宋体" w:eastAsia="宋体" w:cs="宋体"/>
          <w:color w:val="auto"/>
          <w:sz w:val="24"/>
          <w:szCs w:val="24"/>
          <w:highlight w:val="none"/>
          <w:lang w:eastAsia="zh-CN"/>
        </w:rPr>
        <w:t xml:space="preserve"> 采购人或采购代理机构</w:t>
      </w:r>
      <w:r>
        <w:rPr>
          <w:rFonts w:hint="eastAsia" w:ascii="宋体" w:hAnsi="宋体" w:eastAsia="宋体" w:cs="宋体"/>
          <w:color w:val="auto"/>
          <w:sz w:val="24"/>
          <w:szCs w:val="24"/>
          <w:highlight w:val="none"/>
          <w:lang w:val="en-US" w:eastAsia="zh-CN"/>
        </w:rPr>
        <w:t>登录政采云平台对供应商的资格证明材料进行审查。</w:t>
      </w:r>
    </w:p>
    <w:p w14:paraId="7927660D">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136" w:name="_Toc5990"/>
      <w:bookmarkStart w:id="1137" w:name="_Toc4009"/>
      <w:bookmarkStart w:id="1138" w:name="_Toc2931"/>
      <w:bookmarkStart w:id="1139" w:name="_Toc11014"/>
      <w:bookmarkStart w:id="1140" w:name="_Toc1852"/>
      <w:bookmarkStart w:id="1141" w:name="_Toc17379"/>
      <w:bookmarkStart w:id="1142" w:name="_Toc929"/>
      <w:bookmarkStart w:id="1143" w:name="_Toc20729"/>
      <w:bookmarkStart w:id="1144" w:name="_Toc13972"/>
      <w:bookmarkStart w:id="1145" w:name="_Toc26020"/>
      <w:bookmarkStart w:id="1146" w:name="_Toc24084"/>
      <w:bookmarkStart w:id="1147" w:name="_Toc9876"/>
      <w:bookmarkStart w:id="1148" w:name="_Toc10879"/>
      <w:bookmarkStart w:id="1149" w:name="_Toc10614"/>
      <w:bookmarkStart w:id="1150" w:name="_Toc30321"/>
      <w:bookmarkStart w:id="1151" w:name="_Toc11694"/>
      <w:bookmarkStart w:id="1152" w:name="_Toc28437"/>
      <w:bookmarkStart w:id="1153" w:name="_Toc30996"/>
      <w:bookmarkStart w:id="1154" w:name="_Toc11038"/>
      <w:bookmarkStart w:id="1155" w:name="_Toc19959"/>
      <w:bookmarkStart w:id="1156" w:name="_Toc6355"/>
      <w:bookmarkStart w:id="1157" w:name="_Toc10437"/>
      <w:bookmarkStart w:id="1158" w:name="_Toc26580"/>
      <w:bookmarkStart w:id="1159" w:name="_Toc26822"/>
      <w:bookmarkStart w:id="1160" w:name="_Toc28842"/>
      <w:bookmarkStart w:id="1161" w:name="_Toc27732"/>
      <w:bookmarkStart w:id="1162" w:name="_Toc27802"/>
      <w:bookmarkStart w:id="1163" w:name="_Toc7092"/>
      <w:bookmarkStart w:id="1164" w:name="_Toc27002"/>
      <w:bookmarkStart w:id="1165" w:name="_Toc17081"/>
      <w:bookmarkStart w:id="1166" w:name="_Toc20262"/>
      <w:bookmarkStart w:id="1167" w:name="_Toc2680"/>
      <w:bookmarkStart w:id="1168" w:name="_Toc4245"/>
      <w:bookmarkStart w:id="1169" w:name="_Toc16943"/>
      <w:bookmarkStart w:id="1170" w:name="_Toc15350"/>
      <w:r>
        <w:rPr>
          <w:rFonts w:hint="eastAsia" w:ascii="宋体" w:hAnsi="宋体" w:eastAsia="宋体" w:cs="宋体"/>
          <w:b/>
          <w:bCs/>
          <w:color w:val="auto"/>
          <w:kern w:val="2"/>
          <w:sz w:val="24"/>
          <w:szCs w:val="24"/>
          <w:highlight w:val="none"/>
          <w:u w:val="none"/>
          <w:lang w:val="en-US" w:eastAsia="zh-CN" w:bidi="ar-SA"/>
        </w:rPr>
        <w:t>19.资格审查及组建评标委员会</w:t>
      </w:r>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p>
    <w:p w14:paraId="444C4A7A">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19.1</w:t>
      </w:r>
      <w:r>
        <w:rPr>
          <w:rFonts w:hint="eastAsia" w:ascii="宋体" w:hAnsi="宋体" w:eastAsia="宋体" w:cs="宋体"/>
          <w:color w:val="auto"/>
          <w:sz w:val="24"/>
          <w:szCs w:val="24"/>
          <w:highlight w:val="none"/>
          <w:lang w:eastAsia="zh-CN"/>
        </w:rPr>
        <w:t xml:space="preserve"> 采购人或采购代理机构依据法律法规和招标文件中规定的内容，对供应商资格进行审查，本项目审查内容如下：</w:t>
      </w:r>
    </w:p>
    <w:p w14:paraId="733ADF73">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jc w:val="both"/>
        <w:textAlignment w:val="baseline"/>
        <w:rPr>
          <w:rFonts w:hint="eastAsia" w:ascii="宋体" w:hAnsi="宋体" w:eastAsia="宋体" w:cs="宋体"/>
          <w:b/>
          <w:bCs/>
          <w:color w:val="auto"/>
          <w:sz w:val="24"/>
          <w:szCs w:val="24"/>
          <w:highlight w:val="none"/>
        </w:rPr>
      </w:pPr>
      <w:r>
        <w:rPr>
          <w:rFonts w:hint="eastAsia" w:ascii="宋体" w:hAnsi="宋体" w:eastAsia="宋体" w:cs="宋体"/>
          <w:b/>
          <w:bCs/>
          <w:i w:val="0"/>
          <w:caps w:val="0"/>
          <w:color w:val="auto"/>
          <w:spacing w:val="0"/>
          <w:w w:val="100"/>
          <w:sz w:val="24"/>
          <w:szCs w:val="24"/>
          <w:highlight w:val="none"/>
        </w:rPr>
        <w:t>合格供应商的资格要求</w:t>
      </w:r>
      <w:r>
        <w:rPr>
          <w:rFonts w:hint="eastAsia" w:ascii="宋体" w:hAnsi="宋体" w:eastAsia="宋体" w:cs="宋体"/>
          <w:b/>
          <w:bCs/>
          <w:i w:val="0"/>
          <w:caps w:val="0"/>
          <w:color w:val="auto"/>
          <w:spacing w:val="0"/>
          <w:w w:val="100"/>
          <w:sz w:val="24"/>
          <w:szCs w:val="24"/>
          <w:highlight w:val="none"/>
          <w:lang w:eastAsia="zh-CN"/>
        </w:rPr>
        <w:t>（</w:t>
      </w:r>
      <w:r>
        <w:rPr>
          <w:rFonts w:hint="eastAsia" w:ascii="宋体" w:hAnsi="宋体" w:eastAsia="宋体" w:cs="宋体"/>
          <w:b/>
          <w:bCs/>
          <w:i w:val="0"/>
          <w:caps w:val="0"/>
          <w:color w:val="auto"/>
          <w:spacing w:val="0"/>
          <w:w w:val="100"/>
          <w:sz w:val="24"/>
          <w:szCs w:val="24"/>
          <w:highlight w:val="none"/>
        </w:rPr>
        <w:t>本项目</w:t>
      </w:r>
      <w:r>
        <w:rPr>
          <w:rFonts w:hint="eastAsia" w:ascii="宋体" w:hAnsi="宋体" w:eastAsia="宋体" w:cs="宋体"/>
          <w:b/>
          <w:bCs/>
          <w:i w:val="0"/>
          <w:caps w:val="0"/>
          <w:color w:val="auto"/>
          <w:spacing w:val="0"/>
          <w:w w:val="100"/>
          <w:sz w:val="24"/>
          <w:szCs w:val="24"/>
          <w:highlight w:val="none"/>
          <w:lang w:val="en-US" w:eastAsia="zh-CN"/>
        </w:rPr>
        <w:t>资格审查资料须附在投标文件中</w:t>
      </w:r>
      <w:r>
        <w:rPr>
          <w:rFonts w:hint="eastAsia" w:ascii="宋体" w:hAnsi="宋体" w:eastAsia="宋体" w:cs="宋体"/>
          <w:b/>
          <w:bCs/>
          <w:i w:val="0"/>
          <w:caps w:val="0"/>
          <w:color w:val="auto"/>
          <w:spacing w:val="0"/>
          <w:w w:val="100"/>
          <w:sz w:val="24"/>
          <w:szCs w:val="24"/>
          <w:highlight w:val="none"/>
          <w:lang w:eastAsia="zh-CN"/>
        </w:rPr>
        <w:t>）</w:t>
      </w:r>
      <w:r>
        <w:rPr>
          <w:rFonts w:hint="eastAsia" w:ascii="宋体" w:hAnsi="宋体" w:eastAsia="宋体" w:cs="宋体"/>
          <w:b/>
          <w:bCs/>
          <w:i w:val="0"/>
          <w:caps w:val="0"/>
          <w:color w:val="auto"/>
          <w:spacing w:val="0"/>
          <w:w w:val="100"/>
          <w:sz w:val="24"/>
          <w:szCs w:val="24"/>
          <w:highlight w:val="none"/>
        </w:rPr>
        <w:t>：</w:t>
      </w:r>
    </w:p>
    <w:p w14:paraId="73A862F6">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（1）</w:t>
      </w:r>
      <w:r>
        <w:rPr>
          <w:rFonts w:hint="eastAsia" w:ascii="宋体" w:hAnsi="宋体" w:cs="宋体"/>
          <w:b/>
          <w:bCs/>
          <w:color w:val="auto"/>
          <w:kern w:val="2"/>
          <w:sz w:val="24"/>
          <w:szCs w:val="24"/>
          <w:highlight w:val="none"/>
          <w:lang w:val="en-US" w:eastAsia="zh-CN" w:bidi="ar-SA"/>
        </w:rPr>
        <w:t>具有有效的营业执照</w:t>
      </w:r>
      <w:r>
        <w:rPr>
          <w:rFonts w:hint="eastAsia" w:ascii="宋体" w:hAnsi="宋体" w:eastAsia="宋体" w:cs="宋体"/>
          <w:b/>
          <w:bCs/>
          <w:color w:val="auto"/>
          <w:sz w:val="24"/>
          <w:szCs w:val="24"/>
          <w:highlight w:val="none"/>
          <w:lang w:val="en-US" w:eastAsia="zh-CN"/>
        </w:rPr>
        <w:t>；</w:t>
      </w:r>
    </w:p>
    <w:p w14:paraId="2F8C1F76">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w:t>
      </w:r>
      <w:r>
        <w:rPr>
          <w:rFonts w:hint="eastAsia" w:ascii="宋体" w:hAnsi="宋体" w:eastAsia="宋体" w:cs="宋体"/>
          <w:b/>
          <w:bCs/>
          <w:color w:val="auto"/>
          <w:sz w:val="24"/>
          <w:szCs w:val="24"/>
          <w:highlight w:val="none"/>
          <w:lang w:val="en-US" w:eastAsia="zh-CN"/>
        </w:rPr>
        <w:t>法定代表人资格证明；</w:t>
      </w:r>
    </w:p>
    <w:p w14:paraId="37407BD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（3）</w:t>
      </w:r>
      <w:r>
        <w:rPr>
          <w:rFonts w:hint="eastAsia" w:ascii="宋体" w:hAnsi="宋体" w:eastAsia="宋体" w:cs="宋体"/>
          <w:b/>
          <w:bCs/>
          <w:color w:val="auto"/>
          <w:sz w:val="24"/>
          <w:szCs w:val="24"/>
          <w:highlight w:val="none"/>
          <w:lang w:val="en-US" w:eastAsia="zh-CN"/>
        </w:rPr>
        <w:t>提供近两年内任意一年的财务审计报告（成立未满十二个月的新公司可提供近三个月内任意一个月的银行资信证明）；</w:t>
      </w:r>
    </w:p>
    <w:p w14:paraId="33B08CF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kern w:val="2"/>
          <w:sz w:val="24"/>
          <w:szCs w:val="24"/>
          <w:highlight w:val="none"/>
          <w:lang w:val="en-US" w:eastAsia="zh-CN" w:bidi="ar-SA"/>
        </w:rPr>
        <w:t>（4）</w:t>
      </w:r>
      <w:r>
        <w:rPr>
          <w:rFonts w:hint="eastAsia" w:ascii="宋体" w:hAnsi="宋体" w:eastAsia="宋体" w:cs="宋体"/>
          <w:b/>
          <w:bCs/>
          <w:color w:val="auto"/>
          <w:sz w:val="24"/>
          <w:szCs w:val="24"/>
          <w:highlight w:val="none"/>
          <w:lang w:val="en-US" w:eastAsia="zh-CN"/>
        </w:rPr>
        <w:t>依法缴纳近六个月内任意一个月的社会保险证明</w:t>
      </w:r>
      <w:r>
        <w:rPr>
          <w:rFonts w:hint="eastAsia" w:ascii="宋体" w:hAnsi="宋体" w:eastAsia="宋体" w:cs="宋体"/>
          <w:b/>
          <w:bCs/>
          <w:i w:val="0"/>
          <w:caps w:val="0"/>
          <w:color w:val="auto"/>
          <w:spacing w:val="0"/>
          <w:w w:val="100"/>
          <w:sz w:val="24"/>
          <w:szCs w:val="24"/>
          <w:highlight w:val="none"/>
          <w:lang w:val="en-US" w:eastAsia="zh-CN"/>
        </w:rPr>
        <w:t>；</w:t>
      </w:r>
    </w:p>
    <w:p w14:paraId="3A279E99">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（5）依法缴纳近六个月内任意一个月的税收证明；</w:t>
      </w:r>
    </w:p>
    <w:p w14:paraId="3F321B7A">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1EE0AB26">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（7）参加政府采购活动前三年内在经营活动中没有重大违法记录的书面声明；</w:t>
      </w:r>
    </w:p>
    <w:p w14:paraId="64022A52">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（8）缴纳投标保证金的有效凭证。</w:t>
      </w:r>
    </w:p>
    <w:p w14:paraId="12959D69">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firstLine="482" w:firstLineChars="20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rPr>
        <w:t>各供应商应注意以下事项：①本项目要求各投标供应商提供“</w:t>
      </w:r>
      <w:r>
        <w:rPr>
          <w:rFonts w:hint="eastAsia" w:ascii="宋体" w:hAnsi="宋体" w:eastAsia="宋体" w:cs="宋体"/>
          <w:b/>
          <w:bCs/>
          <w:i w:val="0"/>
          <w:caps w:val="0"/>
          <w:color w:val="auto"/>
          <w:spacing w:val="0"/>
          <w:w w:val="100"/>
          <w:sz w:val="24"/>
          <w:szCs w:val="24"/>
          <w:highlight w:val="none"/>
          <w:lang w:eastAsia="zh-CN"/>
        </w:rPr>
        <w:t>依法缴纳近六个月内任意一个月的税收证明</w:t>
      </w:r>
      <w:r>
        <w:rPr>
          <w:rFonts w:hint="eastAsia" w:ascii="宋体" w:hAnsi="宋体" w:eastAsia="宋体" w:cs="宋体"/>
          <w:b/>
          <w:bCs/>
          <w:i w:val="0"/>
          <w:caps w:val="0"/>
          <w:color w:val="auto"/>
          <w:spacing w:val="0"/>
          <w:w w:val="100"/>
          <w:sz w:val="24"/>
          <w:szCs w:val="24"/>
          <w:highlight w:val="none"/>
        </w:rPr>
        <w:t>”，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r>
        <w:rPr>
          <w:rFonts w:hint="eastAsia" w:ascii="宋体" w:hAnsi="宋体" w:eastAsia="宋体" w:cs="宋体"/>
          <w:b/>
          <w:bCs/>
          <w:i w:val="0"/>
          <w:caps w:val="0"/>
          <w:color w:val="auto"/>
          <w:spacing w:val="0"/>
          <w:w w:val="100"/>
          <w:sz w:val="24"/>
          <w:szCs w:val="24"/>
          <w:highlight w:val="none"/>
          <w:lang w:eastAsia="zh-CN"/>
        </w:rPr>
        <w:t>。</w:t>
      </w:r>
    </w:p>
    <w:p w14:paraId="5266D5E0">
      <w:pPr>
        <w:pageBreakBefore w:val="0"/>
        <w:widowControl w:val="0"/>
        <w:kinsoku/>
        <w:wordWrap/>
        <w:overflowPunct/>
        <w:topLinePunct w:val="0"/>
        <w:bidi w:val="0"/>
        <w:spacing w:line="360" w:lineRule="exact"/>
        <w:ind w:left="0" w:lef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i w:val="0"/>
          <w:caps w:val="0"/>
          <w:color w:val="auto"/>
          <w:spacing w:val="0"/>
          <w:w w:val="100"/>
          <w:sz w:val="24"/>
          <w:szCs w:val="24"/>
          <w:highlight w:val="none"/>
        </w:rPr>
        <w:t>未通过资格审查的供应商不进入评标；通过资格审查的供应商少于三家的，不得评标。</w:t>
      </w:r>
    </w:p>
    <w:p w14:paraId="7A835E3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19.2   </w:t>
      </w:r>
      <w:r>
        <w:rPr>
          <w:rFonts w:hint="eastAsia" w:ascii="宋体" w:hAnsi="宋体" w:eastAsia="宋体" w:cs="宋体"/>
          <w:color w:val="auto"/>
          <w:sz w:val="24"/>
          <w:szCs w:val="24"/>
          <w:highlight w:val="none"/>
          <w:lang w:eastAsia="zh-CN"/>
        </w:rPr>
        <w:t>采购人或采购代理机构将在开标截止时间至投标截止后 1 小时的期间内查询供应商的信用记录。供应商存在不良信用记录的，其投标将被认定为</w:t>
      </w:r>
      <w:r>
        <w:rPr>
          <w:rFonts w:hint="eastAsia" w:ascii="宋体" w:hAnsi="宋体" w:eastAsia="宋体" w:cs="宋体"/>
          <w:b/>
          <w:bCs/>
          <w:color w:val="auto"/>
          <w:sz w:val="24"/>
          <w:szCs w:val="24"/>
          <w:highlight w:val="none"/>
          <w:lang w:eastAsia="zh-CN"/>
        </w:rPr>
        <w:t>投标无效</w:t>
      </w:r>
      <w:r>
        <w:rPr>
          <w:rFonts w:hint="eastAsia" w:ascii="宋体" w:hAnsi="宋体" w:eastAsia="宋体" w:cs="宋体"/>
          <w:b/>
          <w:bCs/>
          <w:color w:val="auto"/>
          <w:sz w:val="24"/>
          <w:szCs w:val="24"/>
          <w:highlight w:val="none"/>
        </w:rPr>
        <w:t>。</w:t>
      </w:r>
    </w:p>
    <w:p w14:paraId="291125C1">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19.2.1 不良信用记录指：供应商在“信用中国”网站（ www.creditchina.gov.cn） 被列入失信被执行人、重大税收违法案件当事人名单(信用服务-重点领域严重失信主体名单查询-搜索栏输入单位全称)、中国政府采购网（http://www.ccgp.gov.cn/search/cr/）严重违法失信行为记录名单的（尚在处罚期内的）、“国家企业信用信息公示系统（https://www.gsxt.gov.cn/）”列入经营异常名录信息、严重违法失信名单（黑名单）信息的。</w:t>
      </w:r>
    </w:p>
    <w:p w14:paraId="2764623E">
      <w:pPr>
        <w:pageBreakBefore w:val="0"/>
        <w:widowControl w:val="0"/>
        <w:kinsoku/>
        <w:wordWrap/>
        <w:overflowPunct/>
        <w:topLinePunct w:val="0"/>
        <w:bidi w:val="0"/>
        <w:spacing w:line="360" w:lineRule="exact"/>
        <w:ind w:left="958" w:leftChars="456"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6643C8FA">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19.2.2 查询及记录方式：采购人或采购代理机构经办人将查询网页打印、签字并存档备查。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不良信用记录以采购人或采购代理机构查询结果为准。</w:t>
      </w:r>
    </w:p>
    <w:p w14:paraId="3B2E462C">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在本招标文件规定的查询时间之后，网站信息发生的任何变更均不再作为评标依据。</w:t>
      </w:r>
    </w:p>
    <w:p w14:paraId="714981CC">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自行提供的与网站信息不一致的其他证明材料亦不作为资格审查依据。</w:t>
      </w:r>
    </w:p>
    <w:p w14:paraId="5E47847A">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19.3  </w:t>
      </w:r>
      <w:bookmarkStart w:id="1171" w:name="_Toc520356166"/>
      <w:r>
        <w:rPr>
          <w:rFonts w:hint="eastAsia" w:ascii="宋体" w:hAnsi="宋体" w:eastAsia="宋体" w:cs="宋体"/>
          <w:color w:val="auto"/>
          <w:sz w:val="24"/>
          <w:szCs w:val="24"/>
          <w:highlight w:val="none"/>
        </w:rPr>
        <w:t>按照《中华人民共和国政府采购法》、《中华人民共和国政府采购法实施条例》及本项目本级和上级财政部门的有关规定依法组建的评标委员会，负责评标工作</w:t>
      </w:r>
      <w:r>
        <w:rPr>
          <w:rFonts w:hint="eastAsia" w:ascii="宋体" w:hAnsi="宋体" w:eastAsia="宋体" w:cs="宋体"/>
          <w:b w:val="0"/>
          <w:bCs w:val="0"/>
          <w:color w:val="auto"/>
          <w:sz w:val="24"/>
          <w:szCs w:val="24"/>
          <w:highlight w:val="none"/>
        </w:rPr>
        <w:t>。</w:t>
      </w:r>
      <w:r>
        <w:rPr>
          <w:rFonts w:hint="eastAsia" w:ascii="宋体" w:hAnsi="宋体" w:eastAsia="宋体" w:cs="宋体"/>
          <w:b/>
          <w:bCs/>
          <w:color w:val="auto"/>
          <w:sz w:val="24"/>
          <w:szCs w:val="24"/>
          <w:highlight w:val="none"/>
        </w:rPr>
        <w:t>本项目评标委员会由</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人组成</w:t>
      </w:r>
      <w:r>
        <w:rPr>
          <w:rFonts w:hint="eastAsia" w:ascii="宋体" w:hAnsi="宋体" w:eastAsia="宋体" w:cs="宋体"/>
          <w:b/>
          <w:bCs/>
          <w:color w:val="auto"/>
          <w:sz w:val="24"/>
          <w:szCs w:val="24"/>
          <w:highlight w:val="none"/>
          <w:lang w:eastAsia="zh-CN"/>
        </w:rPr>
        <w:t>。</w:t>
      </w:r>
    </w:p>
    <w:p w14:paraId="2F37D2C7">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172" w:name="_Toc22009"/>
      <w:bookmarkStart w:id="1173" w:name="_Toc4663"/>
      <w:bookmarkStart w:id="1174" w:name="_Toc8129"/>
      <w:bookmarkStart w:id="1175" w:name="_Toc22736"/>
      <w:bookmarkStart w:id="1176" w:name="_Toc15270"/>
      <w:bookmarkStart w:id="1177" w:name="_Toc200"/>
      <w:bookmarkStart w:id="1178" w:name="_Toc11618"/>
      <w:bookmarkStart w:id="1179" w:name="_Toc515647781"/>
      <w:bookmarkStart w:id="1180" w:name="_Toc10732"/>
      <w:bookmarkStart w:id="1181" w:name="_Toc15504"/>
      <w:bookmarkStart w:id="1182" w:name="_Toc22021"/>
      <w:bookmarkStart w:id="1183" w:name="_Toc4062"/>
      <w:bookmarkStart w:id="1184" w:name="_Toc25564"/>
      <w:bookmarkStart w:id="1185" w:name="_Toc21185"/>
      <w:bookmarkStart w:id="1186" w:name="_Toc7962"/>
      <w:bookmarkStart w:id="1187" w:name="_Toc14377"/>
      <w:bookmarkStart w:id="1188" w:name="_Toc13188"/>
      <w:bookmarkStart w:id="1189" w:name="_Toc30436"/>
      <w:bookmarkStart w:id="1190" w:name="_Toc22201"/>
      <w:bookmarkStart w:id="1191" w:name="_Toc28479"/>
      <w:bookmarkStart w:id="1192" w:name="_Toc331"/>
      <w:bookmarkStart w:id="1193" w:name="_Toc21876"/>
      <w:bookmarkStart w:id="1194" w:name="_Toc19722"/>
      <w:bookmarkStart w:id="1195" w:name="_Toc26884"/>
      <w:bookmarkStart w:id="1196" w:name="_Toc3373"/>
      <w:bookmarkStart w:id="1197" w:name="_Toc19442"/>
      <w:bookmarkStart w:id="1198" w:name="_Toc29500"/>
      <w:bookmarkStart w:id="1199" w:name="_Toc13448"/>
      <w:bookmarkStart w:id="1200" w:name="_Toc27615"/>
      <w:bookmarkStart w:id="1201" w:name="_Toc16336"/>
      <w:bookmarkStart w:id="1202" w:name="_Toc6280"/>
      <w:bookmarkStart w:id="1203" w:name="_Toc28320"/>
      <w:bookmarkStart w:id="1204" w:name="_Toc15612"/>
      <w:bookmarkStart w:id="1205" w:name="_Toc731"/>
      <w:bookmarkStart w:id="1206" w:name="_Toc22431"/>
      <w:bookmarkStart w:id="1207" w:name="_Toc22105"/>
      <w:bookmarkStart w:id="1208" w:name="_Toc14200"/>
      <w:bookmarkStart w:id="1209" w:name="_Toc21640"/>
      <w:bookmarkStart w:id="1210" w:name="_Toc827"/>
      <w:bookmarkStart w:id="1211" w:name="_Toc11001"/>
      <w:bookmarkStart w:id="1212" w:name="_Toc28568"/>
      <w:bookmarkStart w:id="1213" w:name="_Toc32378"/>
      <w:bookmarkStart w:id="1214" w:name="_Toc6771"/>
      <w:bookmarkStart w:id="1215" w:name="_Toc8432"/>
      <w:bookmarkStart w:id="1216" w:name="_Toc20834"/>
      <w:bookmarkStart w:id="1217" w:name="_Toc3936"/>
      <w:bookmarkStart w:id="1218" w:name="_Toc20572"/>
      <w:bookmarkStart w:id="1219" w:name="_Toc372"/>
      <w:bookmarkStart w:id="1220" w:name="_Toc12543"/>
      <w:bookmarkStart w:id="1221" w:name="_Toc27593"/>
      <w:bookmarkStart w:id="1222" w:name="_Toc14028"/>
      <w:bookmarkStart w:id="1223" w:name="_Toc18369"/>
      <w:bookmarkStart w:id="1224" w:name="_Toc1091"/>
      <w:bookmarkStart w:id="1225" w:name="_Toc19094"/>
      <w:bookmarkStart w:id="1226" w:name="_Toc21538"/>
      <w:bookmarkStart w:id="1227" w:name="_Toc13892"/>
      <w:bookmarkStart w:id="1228" w:name="_Toc31534"/>
      <w:bookmarkStart w:id="1229" w:name="_Toc19949"/>
      <w:bookmarkStart w:id="1230" w:name="_Toc5508"/>
      <w:r>
        <w:rPr>
          <w:rFonts w:hint="eastAsia" w:ascii="宋体" w:hAnsi="宋体" w:eastAsia="宋体" w:cs="宋体"/>
          <w:b/>
          <w:bCs/>
          <w:color w:val="auto"/>
          <w:kern w:val="2"/>
          <w:sz w:val="24"/>
          <w:szCs w:val="24"/>
          <w:highlight w:val="none"/>
          <w:u w:val="none"/>
          <w:lang w:val="en-US" w:eastAsia="zh-CN" w:bidi="ar-SA"/>
        </w:rPr>
        <w:t>20.投标文件</w:t>
      </w:r>
      <w:bookmarkEnd w:id="1171"/>
      <w:r>
        <w:rPr>
          <w:rFonts w:hint="eastAsia" w:ascii="宋体" w:hAnsi="宋体" w:eastAsia="宋体" w:cs="宋体"/>
          <w:b/>
          <w:bCs/>
          <w:color w:val="auto"/>
          <w:kern w:val="2"/>
          <w:sz w:val="24"/>
          <w:szCs w:val="24"/>
          <w:highlight w:val="none"/>
          <w:u w:val="none"/>
          <w:lang w:val="en-US" w:eastAsia="zh-CN" w:bidi="ar-SA"/>
        </w:rPr>
        <w:t>符合性审查与澄清</w:t>
      </w:r>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p>
    <w:p w14:paraId="2A90864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20.1   符合性审查是指依据招标文件的规定，从投标文件的有效性和完整性对招标文件的响应程度进行审查，以确定是否对招标文件的实质性要求做出响应。</w:t>
      </w:r>
      <w:bookmarkStart w:id="1231" w:name="_Hlt522424701"/>
      <w:bookmarkEnd w:id="1231"/>
      <w:bookmarkStart w:id="1232" w:name="_Toc520356167"/>
    </w:p>
    <w:p w14:paraId="4D5B55DD">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投标文件的澄清</w:t>
      </w:r>
    </w:p>
    <w:p w14:paraId="3A0BF721">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20.2.1  在评标期间，评标委员会将以书面方式要求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对其投标文件中含义不明确、对同类问题表述不一致或者有明显文字和计算错误的内容，以及评标委员会认为</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的报价明显低于其他通过符合性检查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的报价，有可能影响履约的情况作必要的澄清、说明或补正。</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的澄清、说明或补正应在评标委员会规定的时间内以书面方式进行，并不得超出投标文件范围或者改变投标文件的实质性内容。</w:t>
      </w:r>
    </w:p>
    <w:p w14:paraId="55033E88">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20.2.2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的的澄清、说明或补正将作为投标文件的一部分。</w:t>
      </w:r>
    </w:p>
    <w:p w14:paraId="3C97C74D">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20.3  投标文件报价出现前后不一致的，按照下列规定修正：</w:t>
      </w:r>
    </w:p>
    <w:p w14:paraId="7FDAB984">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（一）投标文件中开标一览表（报价表）内容与投标文件中相应内容不一致的，以开标一览表（报价表）为准；</w:t>
      </w:r>
    </w:p>
    <w:p w14:paraId="149E0B76">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（二）大写金额和小写金额不一致的，以大写金额为准；</w:t>
      </w:r>
    </w:p>
    <w:p w14:paraId="2DCD93F9">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（三）单价金额小数点或者百分比有明显错位的，以开标一览表的总价为准，并修改单价；</w:t>
      </w:r>
    </w:p>
    <w:p w14:paraId="4109606F">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（四）总价金额与按单价汇总金额不一致的，以单价金额计算结果为准。</w:t>
      </w:r>
    </w:p>
    <w:p w14:paraId="5D9335DD">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同时出现两种以上不一致的，按照前款规定的顺序修正。修正后的报价按照第20.2条的规定经</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确认后产生约束力，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不确认的，其投标将被认定为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。对不同文字文本投标文件的解释发生异议的，以中文文本为准。</w:t>
      </w:r>
    </w:p>
    <w:p w14:paraId="028D613A">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   如一个分</w:t>
      </w:r>
      <w:r>
        <w:rPr>
          <w:rFonts w:hint="eastAsia" w:ascii="宋体" w:hAnsi="宋体" w:eastAsia="宋体" w:cs="宋体"/>
          <w:color w:val="auto"/>
          <w:sz w:val="24"/>
          <w:szCs w:val="24"/>
          <w:highlight w:val="none"/>
          <w:lang w:eastAsia="zh-CN"/>
        </w:rPr>
        <w:t>标项</w:t>
      </w:r>
      <w:r>
        <w:rPr>
          <w:rFonts w:hint="eastAsia" w:ascii="宋体" w:hAnsi="宋体" w:eastAsia="宋体" w:cs="宋体"/>
          <w:color w:val="auto"/>
          <w:sz w:val="24"/>
          <w:szCs w:val="24"/>
          <w:highlight w:val="none"/>
        </w:rPr>
        <w:t>内只有一种产品，不同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所投产品为同一品牌的，按如下方式处理：</w:t>
      </w:r>
    </w:p>
    <w:p w14:paraId="5815663D">
      <w:pPr>
        <w:pageBreakBefore w:val="0"/>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20.4.1  如本项目使用最低评标价法，提供相同品牌产品的不同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以其中通过资格审查、符合性审查且报价最低的参加评标；报价相同的，由采购人或者采购人委托评标委员会按照招标文件中评标办法规定的方式确定一个参加评标的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；未规定的采取随机抽取方式确定，其他投标将被认定为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47D7AB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20.4.2  如本项目使用综合评分法，提供相同品牌产品且通过资格审查、符合性审查的不同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，按一家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计算，评审后得分最高的同品牌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获得中标人推荐资格；评审得分相同的，由采购人或者采购人委托评标委员会按照招标文件中评标办法规定的方式确定一个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获得中标人推荐资格；未规定的采取随机抽取方式确定，其他同品牌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不作为中标候选人。</w:t>
      </w:r>
    </w:p>
    <w:p w14:paraId="408E8A8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20.5   如一个分</w:t>
      </w:r>
      <w:r>
        <w:rPr>
          <w:rFonts w:hint="eastAsia" w:ascii="宋体" w:hAnsi="宋体" w:cs="宋体"/>
          <w:color w:val="auto"/>
          <w:sz w:val="24"/>
          <w:szCs w:val="24"/>
          <w:highlight w:val="none"/>
          <w:lang w:val="en-US" w:eastAsia="zh-CN"/>
        </w:rPr>
        <w:t>标项</w:t>
      </w:r>
      <w:r>
        <w:rPr>
          <w:rFonts w:hint="eastAsia" w:ascii="宋体" w:hAnsi="宋体" w:eastAsia="宋体" w:cs="宋体"/>
          <w:color w:val="auto"/>
          <w:sz w:val="24"/>
          <w:szCs w:val="24"/>
          <w:highlight w:val="none"/>
          <w:lang w:val="en-US" w:eastAsia="zh-CN"/>
        </w:rPr>
        <w:t>内包含多种产品的，采购人或采购代理机构将在</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须知资料表中载明核心产品，多家</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提供的核心产品品牌相同的，按第 20.4条规定处理。</w:t>
      </w:r>
    </w:p>
    <w:p w14:paraId="66D7442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346C679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如采购人所采购产品为政府强制采购的节能产品，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所投产品的品牌及型号必须为清单中有效期内产品并提供证明文件，否则其投标将被认定为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FFEA7D5">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233" w:name="_Toc16606"/>
      <w:bookmarkStart w:id="1234" w:name="_Toc15001"/>
      <w:bookmarkStart w:id="1235" w:name="_Toc22069"/>
      <w:bookmarkStart w:id="1236" w:name="_Toc12301"/>
      <w:bookmarkStart w:id="1237" w:name="_Toc16070"/>
      <w:bookmarkStart w:id="1238" w:name="_Toc14269"/>
      <w:bookmarkStart w:id="1239" w:name="_Toc30789"/>
      <w:bookmarkStart w:id="1240" w:name="_Toc21796"/>
      <w:bookmarkStart w:id="1241" w:name="_Toc12161"/>
      <w:bookmarkStart w:id="1242" w:name="_Toc21482"/>
      <w:bookmarkStart w:id="1243" w:name="_Toc9963"/>
      <w:bookmarkStart w:id="1244" w:name="_Toc9469"/>
      <w:bookmarkStart w:id="1245" w:name="_Toc18009"/>
      <w:bookmarkStart w:id="1246" w:name="_Toc30055"/>
      <w:bookmarkStart w:id="1247" w:name="_Toc630"/>
      <w:bookmarkStart w:id="1248" w:name="_Toc14014"/>
      <w:bookmarkStart w:id="1249" w:name="_Toc29292"/>
      <w:bookmarkStart w:id="1250" w:name="_Toc7973"/>
      <w:bookmarkStart w:id="1251" w:name="_Toc293"/>
      <w:bookmarkStart w:id="1252" w:name="_Toc21891"/>
      <w:bookmarkStart w:id="1253" w:name="_Toc9572"/>
      <w:bookmarkStart w:id="1254" w:name="_Toc26698"/>
      <w:bookmarkStart w:id="1255" w:name="_Toc22"/>
      <w:bookmarkStart w:id="1256" w:name="_Toc5106"/>
      <w:bookmarkStart w:id="1257" w:name="_Toc19042"/>
      <w:bookmarkStart w:id="1258" w:name="_Toc24374"/>
      <w:bookmarkStart w:id="1259" w:name="_Toc27455"/>
      <w:bookmarkStart w:id="1260" w:name="_Toc7847"/>
      <w:bookmarkStart w:id="1261" w:name="_Toc24344"/>
      <w:bookmarkStart w:id="1262" w:name="_Toc28854"/>
      <w:bookmarkStart w:id="1263" w:name="_Toc13206"/>
      <w:bookmarkStart w:id="1264" w:name="_Toc21138"/>
      <w:bookmarkStart w:id="1265" w:name="_Toc17945"/>
      <w:bookmarkStart w:id="1266" w:name="_Toc11050"/>
      <w:bookmarkStart w:id="1267" w:name="_Toc12142"/>
      <w:bookmarkStart w:id="1268" w:name="_Toc3593"/>
      <w:bookmarkStart w:id="1269" w:name="_Toc18062"/>
      <w:bookmarkStart w:id="1270" w:name="_Toc30334"/>
      <w:bookmarkStart w:id="1271" w:name="_Toc14344"/>
      <w:bookmarkStart w:id="1272" w:name="_Toc29295"/>
      <w:bookmarkStart w:id="1273" w:name="_Toc27571"/>
      <w:bookmarkStart w:id="1274" w:name="_Toc28830"/>
      <w:bookmarkStart w:id="1275" w:name="_Toc22660"/>
      <w:bookmarkStart w:id="1276" w:name="_Toc17410"/>
      <w:bookmarkStart w:id="1277" w:name="_Toc6364"/>
      <w:bookmarkStart w:id="1278" w:name="_Toc2721"/>
      <w:bookmarkStart w:id="1279" w:name="_Toc10143"/>
      <w:bookmarkStart w:id="1280" w:name="_Toc1633"/>
      <w:bookmarkStart w:id="1281" w:name="_Toc515647782"/>
      <w:bookmarkStart w:id="1282" w:name="_Toc7304"/>
      <w:bookmarkStart w:id="1283" w:name="_Toc28431"/>
      <w:bookmarkStart w:id="1284" w:name="_Toc11608"/>
      <w:bookmarkStart w:id="1285" w:name="_Toc6538"/>
      <w:bookmarkStart w:id="1286" w:name="_Toc22191"/>
      <w:bookmarkStart w:id="1287" w:name="_Toc28949"/>
      <w:bookmarkStart w:id="1288" w:name="_Toc21658"/>
      <w:bookmarkStart w:id="1289" w:name="_Toc17115"/>
      <w:bookmarkStart w:id="1290" w:name="_Toc8071"/>
      <w:bookmarkStart w:id="1291" w:name="_Toc14637"/>
      <w:r>
        <w:rPr>
          <w:rFonts w:hint="eastAsia" w:ascii="宋体" w:hAnsi="宋体" w:eastAsia="宋体" w:cs="宋体"/>
          <w:b/>
          <w:bCs/>
          <w:color w:val="auto"/>
          <w:kern w:val="2"/>
          <w:sz w:val="24"/>
          <w:szCs w:val="24"/>
          <w:highlight w:val="none"/>
          <w:u w:val="none"/>
          <w:lang w:val="en-US" w:eastAsia="zh-CN" w:bidi="ar-SA"/>
        </w:rPr>
        <w:t>21.投标偏离</w:t>
      </w:r>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p>
    <w:p w14:paraId="5C2F2A06">
      <w:pPr>
        <w:pageBreakBefore w:val="0"/>
        <w:widowControl w:val="0"/>
        <w:kinsoku/>
        <w:wordWrap/>
        <w:overflowPunct/>
        <w:topLinePunct w:val="0"/>
        <w:bidi w:val="0"/>
        <w:spacing w:line="360" w:lineRule="exact"/>
        <w:ind w:left="640" w:leftChars="0" w:hanging="640" w:hangingChars="26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评标委员会可以接受投标文件中不构成实质性偏离的不正规或不一致。</w:t>
      </w:r>
      <w:bookmarkStart w:id="1292" w:name="_Toc515647783"/>
      <w:bookmarkStart w:id="1293" w:name="_Toc4950"/>
      <w:bookmarkStart w:id="1294" w:name="_Toc6092"/>
      <w:r>
        <w:rPr>
          <w:rFonts w:hint="eastAsia" w:ascii="宋体" w:hAnsi="宋体" w:eastAsia="宋体" w:cs="宋体"/>
          <w:color w:val="auto"/>
          <w:sz w:val="24"/>
          <w:szCs w:val="24"/>
          <w:highlight w:val="none"/>
          <w:lang w:eastAsia="zh-CN"/>
        </w:rPr>
        <w:t>本项目接受偏离，投标供应商提供参数中出现正偏离加分、负偏离扣</w:t>
      </w:r>
      <w:r>
        <w:rPr>
          <w:rFonts w:hint="eastAsia" w:ascii="宋体" w:hAnsi="宋体" w:eastAsia="宋体" w:cs="宋体"/>
          <w:color w:val="auto"/>
          <w:sz w:val="24"/>
          <w:szCs w:val="24"/>
          <w:highlight w:val="none"/>
          <w:lang w:val="en-US" w:eastAsia="zh-CN"/>
        </w:rPr>
        <w:t>分。</w:t>
      </w:r>
    </w:p>
    <w:p w14:paraId="2D744A7D">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295" w:name="_Toc9594"/>
      <w:bookmarkStart w:id="1296" w:name="_Toc22176"/>
      <w:bookmarkStart w:id="1297" w:name="_Toc4727"/>
      <w:bookmarkStart w:id="1298" w:name="_Toc19922"/>
      <w:bookmarkStart w:id="1299" w:name="_Toc12426"/>
      <w:bookmarkStart w:id="1300" w:name="_Toc3291"/>
      <w:bookmarkStart w:id="1301" w:name="_Toc21448"/>
      <w:bookmarkStart w:id="1302" w:name="_Toc31472"/>
      <w:bookmarkStart w:id="1303" w:name="_Toc13696"/>
      <w:bookmarkStart w:id="1304" w:name="_Toc1222"/>
      <w:bookmarkStart w:id="1305" w:name="_Toc26299"/>
      <w:bookmarkStart w:id="1306" w:name="_Toc23645"/>
      <w:bookmarkStart w:id="1307" w:name="_Toc31842"/>
      <w:bookmarkStart w:id="1308" w:name="_Toc22004"/>
      <w:bookmarkStart w:id="1309" w:name="_Toc27144"/>
      <w:bookmarkStart w:id="1310" w:name="_Toc21370"/>
      <w:bookmarkStart w:id="1311" w:name="_Toc8973"/>
      <w:bookmarkStart w:id="1312" w:name="_Toc28362"/>
      <w:bookmarkStart w:id="1313" w:name="_Toc32257"/>
      <w:bookmarkStart w:id="1314" w:name="_Toc8254"/>
      <w:bookmarkStart w:id="1315" w:name="_Toc12134"/>
      <w:bookmarkStart w:id="1316" w:name="_Toc6553"/>
      <w:bookmarkStart w:id="1317" w:name="_Toc11798"/>
      <w:bookmarkStart w:id="1318" w:name="_Toc17247"/>
      <w:bookmarkStart w:id="1319" w:name="_Toc18282"/>
      <w:bookmarkStart w:id="1320" w:name="_Toc28175"/>
      <w:bookmarkStart w:id="1321" w:name="_Toc28742"/>
      <w:bookmarkStart w:id="1322" w:name="_Toc17245"/>
      <w:bookmarkStart w:id="1323" w:name="_Toc23010"/>
      <w:bookmarkStart w:id="1324" w:name="_Toc25728"/>
      <w:bookmarkStart w:id="1325" w:name="_Toc13940"/>
      <w:bookmarkStart w:id="1326" w:name="_Toc772"/>
      <w:bookmarkStart w:id="1327" w:name="_Toc21724"/>
      <w:bookmarkStart w:id="1328" w:name="_Toc8325"/>
      <w:bookmarkStart w:id="1329" w:name="_Toc1107"/>
      <w:bookmarkStart w:id="1330" w:name="_Toc16195"/>
      <w:bookmarkStart w:id="1331" w:name="_Toc19251"/>
      <w:bookmarkStart w:id="1332" w:name="_Toc7356"/>
      <w:bookmarkStart w:id="1333" w:name="_Toc7199"/>
      <w:bookmarkStart w:id="1334" w:name="_Toc1257"/>
      <w:bookmarkStart w:id="1335" w:name="_Toc7071"/>
      <w:bookmarkStart w:id="1336" w:name="_Toc32135"/>
      <w:bookmarkStart w:id="1337" w:name="_Toc21207"/>
      <w:bookmarkStart w:id="1338" w:name="_Toc20555"/>
      <w:bookmarkStart w:id="1339" w:name="_Toc14833"/>
      <w:bookmarkStart w:id="1340" w:name="_Toc9613"/>
      <w:bookmarkStart w:id="1341" w:name="_Toc18096"/>
      <w:bookmarkStart w:id="1342" w:name="_Toc10779"/>
      <w:bookmarkStart w:id="1343" w:name="_Toc550"/>
      <w:bookmarkStart w:id="1344" w:name="_Toc26389"/>
      <w:bookmarkStart w:id="1345" w:name="_Toc665"/>
      <w:bookmarkStart w:id="1346" w:name="_Toc12294"/>
      <w:bookmarkStart w:id="1347" w:name="_Toc20972"/>
      <w:bookmarkStart w:id="1348" w:name="_Toc23335"/>
      <w:bookmarkStart w:id="1349" w:name="_Toc25453"/>
      <w:bookmarkStart w:id="1350" w:name="_Toc19430"/>
      <w:r>
        <w:rPr>
          <w:rFonts w:hint="eastAsia" w:ascii="宋体" w:hAnsi="宋体" w:eastAsia="宋体" w:cs="宋体"/>
          <w:b/>
          <w:bCs/>
          <w:color w:val="auto"/>
          <w:kern w:val="2"/>
          <w:sz w:val="24"/>
          <w:szCs w:val="24"/>
          <w:highlight w:val="none"/>
          <w:u w:val="none"/>
          <w:lang w:val="en-US" w:eastAsia="zh-CN" w:bidi="ar-SA"/>
        </w:rPr>
        <w:t>22.投标</w:t>
      </w:r>
      <w:bookmarkEnd w:id="1292"/>
      <w:r>
        <w:rPr>
          <w:rFonts w:hint="eastAsia" w:ascii="宋体" w:hAnsi="宋体" w:eastAsia="宋体" w:cs="宋体"/>
          <w:b/>
          <w:bCs/>
          <w:color w:val="auto"/>
          <w:kern w:val="2"/>
          <w:sz w:val="24"/>
          <w:szCs w:val="24"/>
          <w:highlight w:val="none"/>
          <w:u w:val="none"/>
          <w:lang w:val="en-US" w:eastAsia="zh-CN" w:bidi="ar-SA"/>
        </w:rPr>
        <w:t>无效</w:t>
      </w:r>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p>
    <w:p w14:paraId="3C157C8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不得通过修正或撤销不符合要求的偏离，从而使其投标成为实质上响应的投标。</w:t>
      </w:r>
    </w:p>
    <w:p w14:paraId="08B8EC1D">
      <w:pPr>
        <w:pageBreakBefore w:val="0"/>
        <w:widowControl w:val="0"/>
        <w:kinsoku/>
        <w:wordWrap/>
        <w:overflowPunct/>
        <w:topLinePunct w:val="0"/>
        <w:bidi w:val="0"/>
        <w:spacing w:line="360" w:lineRule="exact"/>
        <w:ind w:left="718" w:leftChars="342"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评标委员会决定投标的响应性只根据招标文件要求、投标文件内容及财政主管部门指定相关信息发布媒体。</w:t>
      </w:r>
    </w:p>
    <w:p w14:paraId="78B4F3D6">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rPr>
        <w:t>如发现下列情况之一的，其投标将被认定为投标无效</w:t>
      </w:r>
      <w:r>
        <w:rPr>
          <w:rFonts w:hint="eastAsia" w:ascii="宋体" w:hAnsi="宋体" w:eastAsia="宋体" w:cs="宋体"/>
          <w:color w:val="auto"/>
          <w:sz w:val="24"/>
          <w:szCs w:val="24"/>
          <w:highlight w:val="none"/>
        </w:rPr>
        <w:t>：</w:t>
      </w:r>
    </w:p>
    <w:p w14:paraId="78ABB19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未按招标文件规定的形式和金额提交投标保证金的；</w:t>
      </w:r>
    </w:p>
    <w:p w14:paraId="7D3228F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未按照招标文件规定要求签署、盖章的；</w:t>
      </w:r>
    </w:p>
    <w:p w14:paraId="5AC1925E">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未满足招标文件中技术条款的实质性要求；</w:t>
      </w:r>
    </w:p>
    <w:p w14:paraId="04F52C0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与其他</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串通投标，或者与</w:t>
      </w:r>
      <w:r>
        <w:rPr>
          <w:rFonts w:hint="eastAsia" w:ascii="宋体" w:hAnsi="宋体" w:eastAsia="宋体" w:cs="宋体"/>
          <w:b/>
          <w:bCs/>
          <w:color w:val="auto"/>
          <w:sz w:val="24"/>
          <w:szCs w:val="24"/>
          <w:highlight w:val="none"/>
          <w:lang w:eastAsia="zh-CN"/>
        </w:rPr>
        <w:t>采购人</w:t>
      </w:r>
      <w:r>
        <w:rPr>
          <w:rFonts w:hint="eastAsia" w:ascii="宋体" w:hAnsi="宋体" w:eastAsia="宋体" w:cs="宋体"/>
          <w:b/>
          <w:bCs/>
          <w:color w:val="auto"/>
          <w:sz w:val="24"/>
          <w:szCs w:val="24"/>
          <w:highlight w:val="none"/>
        </w:rPr>
        <w:t>串通投标；</w:t>
      </w:r>
      <w:r>
        <w:rPr>
          <w:rFonts w:hint="eastAsia" w:ascii="宋体" w:hAnsi="宋体" w:eastAsia="宋体" w:cs="宋体"/>
          <w:b/>
          <w:bCs/>
          <w:color w:val="auto"/>
          <w:sz w:val="24"/>
          <w:szCs w:val="24"/>
          <w:highlight w:val="none"/>
          <w:lang w:val="en-US" w:eastAsia="zh-CN"/>
        </w:rPr>
        <w:t xml:space="preserve">    </w:t>
      </w:r>
    </w:p>
    <w:p w14:paraId="66D1AE2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属于招标文件规定的其他投标无效情形；</w:t>
      </w:r>
    </w:p>
    <w:p w14:paraId="77B095E4">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538" w:leftChars="256"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评标委员会认为</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的报价明显低于其他通过符合性检查</w:t>
      </w:r>
      <w:r>
        <w:rPr>
          <w:rFonts w:hint="eastAsia" w:ascii="宋体" w:hAnsi="宋体" w:eastAsia="宋体" w:cs="宋体"/>
          <w:b/>
          <w:bCs/>
          <w:color w:val="auto"/>
          <w:sz w:val="24"/>
          <w:szCs w:val="24"/>
          <w:highlight w:val="none"/>
          <w:lang w:eastAsia="zh-CN"/>
        </w:rPr>
        <w:t>供应</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lang w:eastAsia="zh-CN"/>
        </w:rPr>
        <w:t>商</w:t>
      </w:r>
      <w:r>
        <w:rPr>
          <w:rFonts w:hint="eastAsia" w:ascii="宋体" w:hAnsi="宋体" w:eastAsia="宋体" w:cs="宋体"/>
          <w:b/>
          <w:bCs/>
          <w:color w:val="auto"/>
          <w:sz w:val="24"/>
          <w:szCs w:val="24"/>
          <w:highlight w:val="none"/>
        </w:rPr>
        <w:t>的报价，有可能影响履约的，且</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未按照规定证明其报价合理性的；</w:t>
      </w:r>
    </w:p>
    <w:p w14:paraId="56D86A44">
      <w:pPr>
        <w:pageBreakBefore w:val="0"/>
        <w:widowControl w:val="0"/>
        <w:numPr>
          <w:ilvl w:val="0"/>
          <w:numId w:val="0"/>
        </w:numPr>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投标文件含有采购人不能接受的附加条件的；</w:t>
      </w:r>
    </w:p>
    <w:p w14:paraId="64E52DBD">
      <w:pPr>
        <w:pageBreakBefore w:val="0"/>
        <w:widowControl w:val="0"/>
        <w:numPr>
          <w:ilvl w:val="0"/>
          <w:numId w:val="0"/>
        </w:numPr>
        <w:tabs>
          <w:tab w:val="left" w:pos="0"/>
        </w:tabs>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不符合法规和招标文件中规定的其他实质性要求的。</w:t>
      </w:r>
    </w:p>
    <w:p w14:paraId="60F0B1B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22.3   有下列情形之一的，属于恶意串通，对供应商依照政府采购法第七十七条第一款的规定追究法律责任，对采购人、采购代理机构及其工作人员依照政府采购法第七十二条的规定追究法律责任：</w:t>
      </w:r>
    </w:p>
    <w:p w14:paraId="260C9824">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（1）供应商直接或者间接从采购人或者采购代理机构处获得其他供应商的相关情况并修改其投标文件或者投标文件；</w:t>
      </w:r>
    </w:p>
    <w:p w14:paraId="3EB68073">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（2）供应商按照采购人或者采购代理机构的授意撤换、修改投标文件或者投标文件；</w:t>
      </w:r>
    </w:p>
    <w:p w14:paraId="6D7BE089">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（3）供应商之间协商报价、技术方案等投标文件或者投标文件的实质性内容；</w:t>
      </w:r>
    </w:p>
    <w:p w14:paraId="42FBE60A">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（4）属于同一集团、协会、商会等组织成员的供应商按照该组织要求协同参加政府采购活动；</w:t>
      </w:r>
    </w:p>
    <w:p w14:paraId="4E34E4BA">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（5）供应商之间事先约定由某一特定供应商中标、成交；</w:t>
      </w:r>
    </w:p>
    <w:p w14:paraId="6381DD28">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（6）供应商之间商定部分供应商放弃参加政府采购活动或者放弃中标、成交；</w:t>
      </w:r>
    </w:p>
    <w:p w14:paraId="75B45EBD">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（7）供应商与采购人或者采购代理机构之间、供应商相互之间，为谋求特定供应商中标、成交或者排斥其他供应商的其他串通行为。</w:t>
      </w:r>
    </w:p>
    <w:bookmarkEnd w:id="1232"/>
    <w:p w14:paraId="50BB1F2A">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351" w:name="_Toc2833"/>
      <w:bookmarkStart w:id="1352" w:name="_Toc27123"/>
      <w:bookmarkStart w:id="1353" w:name="_Toc25984"/>
      <w:bookmarkStart w:id="1354" w:name="_Toc32146"/>
      <w:bookmarkStart w:id="1355" w:name="_Toc18111"/>
      <w:bookmarkStart w:id="1356" w:name="_Toc22267"/>
      <w:bookmarkStart w:id="1357" w:name="_Toc22981"/>
      <w:bookmarkStart w:id="1358" w:name="_Toc26212"/>
      <w:bookmarkStart w:id="1359" w:name="_Toc21334"/>
      <w:bookmarkStart w:id="1360" w:name="_Toc29015"/>
      <w:bookmarkStart w:id="1361" w:name="_Toc30328"/>
      <w:bookmarkStart w:id="1362" w:name="_Toc16915"/>
      <w:bookmarkStart w:id="1363" w:name="_Toc9523"/>
      <w:bookmarkStart w:id="1364" w:name="_Toc1426"/>
      <w:bookmarkStart w:id="1365" w:name="_Toc28464"/>
      <w:bookmarkStart w:id="1366" w:name="_Toc13922"/>
      <w:bookmarkStart w:id="1367" w:name="_Toc4328"/>
      <w:bookmarkStart w:id="1368" w:name="_Toc31315"/>
      <w:bookmarkStart w:id="1369" w:name="_Toc3877"/>
      <w:bookmarkStart w:id="1370" w:name="_Toc6162"/>
      <w:bookmarkStart w:id="1371" w:name="_Toc19116"/>
      <w:bookmarkStart w:id="1372" w:name="_Toc6696"/>
      <w:bookmarkStart w:id="1373" w:name="_Toc16898"/>
      <w:bookmarkStart w:id="1374" w:name="_Toc24349"/>
      <w:bookmarkStart w:id="1375" w:name="_Toc7299"/>
      <w:bookmarkStart w:id="1376" w:name="_Toc13652"/>
      <w:bookmarkStart w:id="1377" w:name="_Toc20498"/>
      <w:bookmarkStart w:id="1378" w:name="_Toc24355"/>
      <w:bookmarkStart w:id="1379" w:name="_Toc515647784"/>
      <w:bookmarkStart w:id="1380" w:name="_Toc22501"/>
      <w:bookmarkStart w:id="1381" w:name="_Toc27075"/>
      <w:bookmarkStart w:id="1382" w:name="_Toc13750"/>
      <w:bookmarkStart w:id="1383" w:name="_Toc7474"/>
      <w:bookmarkStart w:id="1384" w:name="_Toc18290"/>
      <w:bookmarkStart w:id="1385" w:name="_Toc17177"/>
      <w:bookmarkStart w:id="1386" w:name="_Toc25837"/>
      <w:bookmarkStart w:id="1387" w:name="_Toc6874"/>
      <w:bookmarkStart w:id="1388" w:name="_Toc9811"/>
      <w:bookmarkStart w:id="1389" w:name="_Toc22941"/>
      <w:bookmarkStart w:id="1390" w:name="_Toc15539"/>
      <w:bookmarkStart w:id="1391" w:name="_Toc10236"/>
      <w:bookmarkStart w:id="1392" w:name="_Toc7106"/>
      <w:bookmarkStart w:id="1393" w:name="_Toc20315"/>
      <w:bookmarkStart w:id="1394" w:name="_Toc25606"/>
      <w:bookmarkStart w:id="1395" w:name="_Toc28738"/>
      <w:bookmarkStart w:id="1396" w:name="_Toc20639"/>
      <w:bookmarkStart w:id="1397" w:name="_Toc7488"/>
      <w:bookmarkStart w:id="1398" w:name="_Toc8402"/>
      <w:bookmarkStart w:id="1399" w:name="_Toc13566"/>
      <w:bookmarkStart w:id="1400" w:name="_Toc24966"/>
      <w:bookmarkStart w:id="1401" w:name="_Toc25951"/>
      <w:bookmarkStart w:id="1402" w:name="_Toc8381"/>
      <w:bookmarkStart w:id="1403" w:name="_Toc28718"/>
      <w:bookmarkStart w:id="1404" w:name="_Toc9676"/>
      <w:bookmarkStart w:id="1405" w:name="_Toc15400"/>
      <w:bookmarkStart w:id="1406" w:name="_Toc11918"/>
      <w:r>
        <w:rPr>
          <w:rFonts w:hint="eastAsia" w:ascii="宋体" w:hAnsi="宋体" w:eastAsia="宋体" w:cs="宋体"/>
          <w:b/>
          <w:bCs/>
          <w:color w:val="auto"/>
          <w:kern w:val="2"/>
          <w:sz w:val="24"/>
          <w:szCs w:val="24"/>
          <w:highlight w:val="none"/>
          <w:u w:val="none"/>
          <w:lang w:val="en-US" w:eastAsia="zh-CN" w:bidi="ar-SA"/>
        </w:rPr>
        <w:t>23.比较与评价</w:t>
      </w:r>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p>
    <w:p w14:paraId="1C85FD2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经符合性审查合格的投标文件，评标委员会将根据招标文件确定的评标方法和标准，对其技术部分和商务部分作进一步的比较和评价。</w:t>
      </w:r>
    </w:p>
    <w:p w14:paraId="5E7484E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23.2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评标严格按照招标文件的要求和条件进行。根据实际情况，在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中规定采用下列一种评标方法，详细评标标准见招标文件第六章：</w:t>
      </w:r>
    </w:p>
    <w:p w14:paraId="72405B97">
      <w:pPr>
        <w:pStyle w:val="14"/>
        <w:pageBreakBefore w:val="0"/>
        <w:widowControl w:val="0"/>
        <w:kinsoku/>
        <w:wordWrap/>
        <w:overflowPunct/>
        <w:topLinePunct w:val="0"/>
        <w:bidi w:val="0"/>
        <w:spacing w:line="360" w:lineRule="exact"/>
        <w:ind w:left="239" w:leftChars="114" w:firstLine="31" w:firstLineChars="1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（1）最低评标价法，是指投标文件满足招标文件全部实质性要求，且投标报价最低的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52B2F037">
      <w:pPr>
        <w:pStyle w:val="14"/>
        <w:pageBreakBefore w:val="0"/>
        <w:widowControl w:val="0"/>
        <w:kinsoku/>
        <w:wordWrap/>
        <w:overflowPunct/>
        <w:topLinePunct w:val="0"/>
        <w:bidi w:val="0"/>
        <w:spacing w:line="360" w:lineRule="exact"/>
        <w:ind w:left="239" w:leftChars="114" w:firstLine="33" w:firstLineChars="1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（2）综合评分法，是指投标文件满足招标文件全部实质性要求，且按照评审因素的量化指标评审得分最高的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7ACAE6BC">
      <w:pPr>
        <w:pStyle w:val="20"/>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color w:val="auto"/>
          <w:sz w:val="24"/>
          <w:szCs w:val="24"/>
          <w:highlight w:val="none"/>
          <w:u w:val="none"/>
          <w:lang w:eastAsia="zh-CN"/>
        </w:rPr>
      </w:pPr>
      <w:r>
        <w:rPr>
          <w:rFonts w:hint="eastAsia" w:ascii="宋体" w:hAnsi="宋体" w:eastAsia="宋体" w:cs="宋体"/>
          <w:b/>
          <w:bCs/>
          <w:color w:val="auto"/>
          <w:sz w:val="24"/>
          <w:szCs w:val="24"/>
          <w:highlight w:val="none"/>
          <w:u w:val="none"/>
          <w:lang w:val="en-US" w:eastAsia="zh-CN"/>
        </w:rPr>
        <w:t>本项目</w:t>
      </w:r>
      <w:r>
        <w:rPr>
          <w:rFonts w:hint="eastAsia" w:ascii="宋体" w:hAnsi="宋体" w:eastAsia="宋体" w:cs="宋体"/>
          <w:b/>
          <w:bCs/>
          <w:color w:val="auto"/>
          <w:sz w:val="24"/>
          <w:szCs w:val="24"/>
          <w:highlight w:val="none"/>
          <w:u w:val="none"/>
        </w:rPr>
        <w:t>采用综合评分法</w:t>
      </w:r>
    </w:p>
    <w:p w14:paraId="460BB8D8">
      <w:pPr>
        <w:pStyle w:val="14"/>
        <w:pageBreakBefore w:val="0"/>
        <w:kinsoku/>
        <w:wordWrap/>
        <w:overflowPunct/>
        <w:topLinePunct w:val="0"/>
        <w:bidi w:val="0"/>
        <w:spacing w:line="360" w:lineRule="exact"/>
        <w:ind w:left="900" w:hanging="904" w:hangingChars="375"/>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u w:val="none"/>
          <w:lang w:val="en-US" w:eastAsia="zh-CN" w:bidi="ar-SA"/>
        </w:rPr>
        <w:t>23.3</w:t>
      </w:r>
      <w:r>
        <w:rPr>
          <w:rFonts w:hint="eastAsia" w:ascii="宋体" w:hAnsi="宋体" w:eastAsia="宋体" w:cs="宋体"/>
          <w:b/>
          <w:bCs/>
          <w:color w:val="auto"/>
          <w:sz w:val="24"/>
          <w:szCs w:val="24"/>
          <w:highlight w:val="none"/>
          <w:lang w:val="en-US" w:eastAsia="zh-CN"/>
        </w:rPr>
        <w:t>本项目专门面向中小企业采购。根据《财政部关于进一步加大政府采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不进行扣除。</w:t>
      </w:r>
    </w:p>
    <w:p w14:paraId="7E8F7671">
      <w:pPr>
        <w:keepNext w:val="0"/>
        <w:keepLines w:val="0"/>
        <w:pageBreakBefore w:val="0"/>
        <w:widowControl/>
        <w:kinsoku/>
        <w:wordWrap/>
        <w:overflowPunct/>
        <w:topLinePunct w:val="0"/>
        <w:autoSpaceDE/>
        <w:autoSpaceDN/>
        <w:bidi w:val="0"/>
        <w:adjustRightInd/>
        <w:spacing w:line="360" w:lineRule="exact"/>
        <w:jc w:val="left"/>
        <w:rPr>
          <w:rFonts w:hint="eastAsia" w:ascii="宋体" w:hAnsi="宋体" w:eastAsia="宋体" w:cs="宋体"/>
          <w:b/>
          <w:bCs/>
          <w:color w:val="auto"/>
          <w:kern w:val="2"/>
          <w:sz w:val="24"/>
          <w:szCs w:val="24"/>
          <w:highlight w:val="none"/>
          <w:lang w:val="en-US" w:eastAsia="zh-CN" w:bidi="ar-SA"/>
        </w:rPr>
      </w:pPr>
    </w:p>
    <w:p w14:paraId="1389D3B6">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407" w:name="_Toc30099"/>
      <w:bookmarkStart w:id="1408" w:name="_Toc12703"/>
      <w:bookmarkStart w:id="1409" w:name="_Toc13518"/>
      <w:bookmarkStart w:id="1410" w:name="_Toc16371"/>
      <w:bookmarkStart w:id="1411" w:name="_Toc29851"/>
      <w:bookmarkStart w:id="1412" w:name="_Toc16929"/>
      <w:bookmarkStart w:id="1413" w:name="_Toc7770"/>
      <w:bookmarkStart w:id="1414" w:name="_Toc8174"/>
      <w:bookmarkStart w:id="1415" w:name="_Toc14038"/>
      <w:bookmarkStart w:id="1416" w:name="_Toc1505"/>
      <w:bookmarkStart w:id="1417" w:name="_Toc24292"/>
      <w:bookmarkStart w:id="1418" w:name="_Toc515647785"/>
      <w:bookmarkStart w:id="1419" w:name="_Toc31166"/>
      <w:bookmarkStart w:id="1420" w:name="_Toc9882"/>
      <w:bookmarkStart w:id="1421" w:name="_Toc28349"/>
      <w:bookmarkStart w:id="1422" w:name="_Toc9378"/>
      <w:bookmarkStart w:id="1423" w:name="_Toc26540"/>
      <w:bookmarkStart w:id="1424" w:name="_Toc19870"/>
      <w:bookmarkStart w:id="1425" w:name="_Toc26964"/>
      <w:bookmarkStart w:id="1426" w:name="_Toc18017"/>
      <w:bookmarkStart w:id="1427" w:name="_Toc6490"/>
      <w:bookmarkStart w:id="1428" w:name="_Toc462"/>
      <w:bookmarkStart w:id="1429" w:name="_Toc19218"/>
      <w:bookmarkStart w:id="1430" w:name="_Toc30532"/>
      <w:bookmarkStart w:id="1431" w:name="_Toc16770"/>
      <w:bookmarkStart w:id="1432" w:name="_Toc21133"/>
      <w:bookmarkStart w:id="1433" w:name="_Toc19832"/>
      <w:bookmarkStart w:id="1434" w:name="_Toc9199"/>
      <w:bookmarkStart w:id="1435" w:name="_Toc19228"/>
      <w:bookmarkStart w:id="1436" w:name="_Toc7815"/>
      <w:bookmarkStart w:id="1437" w:name="_Toc20227"/>
      <w:bookmarkStart w:id="1438" w:name="_Toc6001"/>
      <w:bookmarkStart w:id="1439" w:name="_Toc15370"/>
      <w:bookmarkStart w:id="1440" w:name="_Toc30602"/>
      <w:bookmarkStart w:id="1441" w:name="_Toc20565"/>
      <w:bookmarkStart w:id="1442" w:name="_Toc6053"/>
      <w:bookmarkStart w:id="1443" w:name="_Toc23302"/>
      <w:bookmarkStart w:id="1444" w:name="_Toc7858"/>
      <w:bookmarkStart w:id="1445" w:name="_Toc21430"/>
      <w:bookmarkStart w:id="1446" w:name="_Toc29970"/>
      <w:bookmarkStart w:id="1447" w:name="_Toc25460"/>
      <w:bookmarkStart w:id="1448" w:name="_Toc30004"/>
      <w:bookmarkStart w:id="1449" w:name="_Toc13417"/>
      <w:bookmarkStart w:id="1450" w:name="_Toc1735"/>
      <w:bookmarkStart w:id="1451" w:name="_Toc7323"/>
      <w:bookmarkStart w:id="1452" w:name="_Toc25661"/>
      <w:bookmarkStart w:id="1453" w:name="_Toc21815"/>
      <w:bookmarkStart w:id="1454" w:name="_Toc6919"/>
      <w:bookmarkStart w:id="1455" w:name="_Toc2816"/>
      <w:bookmarkStart w:id="1456" w:name="_Toc25811"/>
      <w:bookmarkStart w:id="1457" w:name="_Toc9423"/>
      <w:bookmarkStart w:id="1458" w:name="_Toc27067"/>
      <w:bookmarkStart w:id="1459" w:name="_Toc31084"/>
      <w:bookmarkStart w:id="1460" w:name="_Toc20853"/>
      <w:bookmarkStart w:id="1461" w:name="_Toc22101"/>
      <w:bookmarkStart w:id="1462" w:name="_Toc7769"/>
      <w:bookmarkStart w:id="1463" w:name="_Toc14346"/>
      <w:bookmarkStart w:id="1464" w:name="_Toc20064"/>
      <w:bookmarkStart w:id="1465" w:name="_Toc14924"/>
      <w:r>
        <w:rPr>
          <w:rFonts w:hint="eastAsia" w:ascii="宋体" w:hAnsi="宋体" w:eastAsia="宋体" w:cs="宋体"/>
          <w:b/>
          <w:bCs/>
          <w:color w:val="auto"/>
          <w:kern w:val="2"/>
          <w:sz w:val="24"/>
          <w:szCs w:val="24"/>
          <w:highlight w:val="none"/>
          <w:u w:val="none"/>
          <w:lang w:val="en-US" w:eastAsia="zh-CN" w:bidi="ar-SA"/>
        </w:rPr>
        <w:t>24.废标</w:t>
      </w:r>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p>
    <w:p w14:paraId="7A74A552">
      <w:pPr>
        <w:pageBreakBefore w:val="0"/>
        <w:widowControl w:val="0"/>
        <w:kinsoku/>
        <w:wordWrap/>
        <w:overflowPunct/>
        <w:topLinePunct w:val="0"/>
        <w:bidi w:val="0"/>
        <w:spacing w:line="360" w:lineRule="exact"/>
        <w:ind w:left="60" w:leftChars="0" w:hanging="60" w:hangingChars="25"/>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24.1</w:t>
      </w:r>
      <w:r>
        <w:rPr>
          <w:rFonts w:hint="eastAsia" w:ascii="宋体" w:hAnsi="宋体" w:eastAsia="宋体" w:cs="宋体"/>
          <w:b/>
          <w:bCs/>
          <w:color w:val="auto"/>
          <w:sz w:val="24"/>
          <w:szCs w:val="24"/>
          <w:highlight w:val="none"/>
        </w:rPr>
        <w:t>出现下列情形之一，将导致项目废标：</w:t>
      </w:r>
      <w:r>
        <w:rPr>
          <w:rFonts w:hint="eastAsia" w:ascii="宋体" w:hAnsi="宋体" w:eastAsia="宋体" w:cs="宋体"/>
          <w:color w:val="auto"/>
          <w:sz w:val="24"/>
          <w:szCs w:val="24"/>
          <w:highlight w:val="none"/>
        </w:rPr>
        <w:t xml:space="preserve"> </w:t>
      </w:r>
    </w:p>
    <w:p w14:paraId="380E771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rPr>
        <w:t>（1）符合专业条件的供应商或者对招标文件做实质性响应的供应商不足三家；</w:t>
      </w:r>
    </w:p>
    <w:p w14:paraId="1E165611">
      <w:pPr>
        <w:pageBreakBefore w:val="0"/>
        <w:widowControl w:val="0"/>
        <w:kinsoku/>
        <w:wordWrap/>
        <w:overflowPunct/>
        <w:topLinePunct w:val="0"/>
        <w:bidi w:val="0"/>
        <w:spacing w:line="360" w:lineRule="exact"/>
        <w:ind w:left="904" w:leftChars="0" w:hanging="904" w:hangingChars="375"/>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t>（2）出现影响采购公正的违法、违规行为的；</w:t>
      </w:r>
    </w:p>
    <w:p w14:paraId="30F1F4D2">
      <w:pPr>
        <w:pageBreakBefore w:val="0"/>
        <w:widowControl w:val="0"/>
        <w:kinsoku/>
        <w:wordWrap/>
        <w:overflowPunct/>
        <w:topLinePunct w:val="0"/>
        <w:bidi w:val="0"/>
        <w:spacing w:line="360" w:lineRule="exact"/>
        <w:ind w:left="0" w:leftChars="0" w:firstLine="843" w:firstLineChars="35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的报价均超过了采购预算，采购人不能支付的；</w:t>
      </w:r>
    </w:p>
    <w:p w14:paraId="21E5D78B">
      <w:pPr>
        <w:pageBreakBefore w:val="0"/>
        <w:widowControl w:val="0"/>
        <w:kinsoku/>
        <w:wordWrap/>
        <w:overflowPunct/>
        <w:topLinePunct w:val="0"/>
        <w:bidi w:val="0"/>
        <w:spacing w:line="360" w:lineRule="exact"/>
        <w:ind w:left="0" w:leftChars="0" w:firstLine="843" w:firstLineChars="35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（4）因重大变故，采购任务取消的。  </w:t>
      </w:r>
      <w:r>
        <w:rPr>
          <w:rFonts w:hint="eastAsia" w:ascii="宋体" w:hAnsi="宋体" w:eastAsia="宋体" w:cs="宋体"/>
          <w:color w:val="auto"/>
          <w:sz w:val="24"/>
          <w:szCs w:val="24"/>
          <w:highlight w:val="none"/>
        </w:rPr>
        <w:t xml:space="preserve"> </w:t>
      </w:r>
    </w:p>
    <w:p w14:paraId="2D612993">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466" w:name="_Toc3431"/>
      <w:bookmarkStart w:id="1467" w:name="_Toc9864"/>
      <w:bookmarkStart w:id="1468" w:name="_Toc5674"/>
      <w:bookmarkStart w:id="1469" w:name="_Toc10657"/>
      <w:bookmarkStart w:id="1470" w:name="_Toc28287"/>
      <w:bookmarkStart w:id="1471" w:name="_Toc21072"/>
      <w:bookmarkStart w:id="1472" w:name="_Toc21697"/>
      <w:bookmarkStart w:id="1473" w:name="_Toc21472"/>
      <w:bookmarkStart w:id="1474" w:name="_Toc29646"/>
      <w:bookmarkStart w:id="1475" w:name="_Toc15447"/>
      <w:bookmarkStart w:id="1476" w:name="_Toc21380"/>
      <w:bookmarkStart w:id="1477" w:name="_Toc13385"/>
      <w:bookmarkStart w:id="1478" w:name="_Toc27604"/>
      <w:bookmarkStart w:id="1479" w:name="_Toc22793"/>
      <w:bookmarkStart w:id="1480" w:name="_Toc10983"/>
      <w:bookmarkStart w:id="1481" w:name="_Toc31289"/>
      <w:bookmarkStart w:id="1482" w:name="_Toc3647"/>
      <w:bookmarkStart w:id="1483" w:name="_Toc11460"/>
      <w:bookmarkStart w:id="1484" w:name="_Toc993"/>
      <w:bookmarkStart w:id="1485" w:name="_Toc29661"/>
      <w:bookmarkStart w:id="1486" w:name="_Toc25356"/>
      <w:bookmarkStart w:id="1487" w:name="_Toc7707"/>
      <w:bookmarkStart w:id="1488" w:name="_Toc23725"/>
      <w:bookmarkStart w:id="1489" w:name="_Toc14381"/>
      <w:bookmarkStart w:id="1490" w:name="_Toc7431"/>
      <w:bookmarkStart w:id="1491" w:name="_Toc24972"/>
      <w:bookmarkStart w:id="1492" w:name="_Toc515647786"/>
      <w:bookmarkStart w:id="1493" w:name="_Toc21778"/>
      <w:bookmarkStart w:id="1494" w:name="_Toc27930"/>
      <w:bookmarkStart w:id="1495" w:name="_Toc30240"/>
      <w:bookmarkStart w:id="1496" w:name="_Toc15239"/>
      <w:bookmarkStart w:id="1497" w:name="_Toc5328"/>
      <w:bookmarkStart w:id="1498" w:name="_Toc24168"/>
      <w:bookmarkStart w:id="1499" w:name="_Toc29163"/>
      <w:bookmarkStart w:id="1500" w:name="_Toc32591"/>
      <w:bookmarkStart w:id="1501" w:name="_Toc4013"/>
      <w:bookmarkStart w:id="1502" w:name="_Toc14484"/>
      <w:bookmarkStart w:id="1503" w:name="_Toc29963"/>
      <w:bookmarkStart w:id="1504" w:name="_Toc3793"/>
      <w:bookmarkStart w:id="1505" w:name="_Toc12958"/>
      <w:bookmarkStart w:id="1506" w:name="_Toc11422"/>
      <w:bookmarkStart w:id="1507" w:name="_Toc7638"/>
      <w:bookmarkStart w:id="1508" w:name="_Toc30848"/>
      <w:bookmarkStart w:id="1509" w:name="_Toc6462"/>
      <w:bookmarkStart w:id="1510" w:name="_Toc13885"/>
      <w:bookmarkStart w:id="1511" w:name="_Toc29239"/>
      <w:bookmarkStart w:id="1512" w:name="_Toc29570"/>
      <w:bookmarkStart w:id="1513" w:name="_Toc9805"/>
      <w:bookmarkStart w:id="1514" w:name="_Toc29790"/>
      <w:bookmarkStart w:id="1515" w:name="_Toc1587"/>
      <w:bookmarkStart w:id="1516" w:name="_Toc25775"/>
      <w:bookmarkStart w:id="1517" w:name="_Toc1542"/>
      <w:bookmarkStart w:id="1518" w:name="_Toc5899"/>
      <w:bookmarkStart w:id="1519" w:name="_Toc31160"/>
      <w:bookmarkStart w:id="1520" w:name="_Toc17702"/>
      <w:bookmarkStart w:id="1521" w:name="_Toc25957"/>
      <w:bookmarkStart w:id="1522" w:name="_Toc11800"/>
      <w:bookmarkStart w:id="1523" w:name="_Toc30776"/>
      <w:bookmarkStart w:id="1524" w:name="_Toc12127"/>
      <w:bookmarkStart w:id="1525" w:name="_Toc520356169"/>
      <w:r>
        <w:rPr>
          <w:rFonts w:hint="eastAsia" w:ascii="宋体" w:hAnsi="宋体" w:eastAsia="宋体" w:cs="宋体"/>
          <w:b/>
          <w:bCs/>
          <w:color w:val="auto"/>
          <w:kern w:val="2"/>
          <w:sz w:val="24"/>
          <w:szCs w:val="24"/>
          <w:highlight w:val="none"/>
          <w:u w:val="none"/>
          <w:lang w:val="en-US" w:eastAsia="zh-CN" w:bidi="ar-SA"/>
        </w:rPr>
        <w:t>25.保密原则</w:t>
      </w:r>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p>
    <w:p w14:paraId="1CC4C9FD">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评标将在严格保密的情况下进行。</w:t>
      </w:r>
    </w:p>
    <w:p w14:paraId="3DEA7A8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政府采购评审专家应当遵守评审工作纪律，不得泄露评审文件、评审情况和评审中获悉的商业秘密。</w:t>
      </w:r>
    </w:p>
    <w:p w14:paraId="4B85866C">
      <w:pPr>
        <w:pageBreakBefore w:val="0"/>
        <w:widowControl w:val="0"/>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7FEFCE46">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1526" w:name="_Toc12143"/>
      <w:bookmarkStart w:id="1527" w:name="_Toc216582810"/>
      <w:bookmarkStart w:id="1528" w:name="_Toc515647787"/>
      <w:bookmarkStart w:id="1529" w:name="_Toc31410"/>
      <w:bookmarkStart w:id="1530" w:name="_Toc21721"/>
      <w:bookmarkStart w:id="1531" w:name="_Toc10537"/>
      <w:bookmarkStart w:id="1532" w:name="_Toc11503"/>
      <w:bookmarkStart w:id="1533" w:name="_Toc23904"/>
      <w:r>
        <w:rPr>
          <w:rFonts w:hint="eastAsia" w:ascii="宋体" w:hAnsi="宋体" w:eastAsia="宋体" w:cs="宋体"/>
          <w:color w:val="auto"/>
          <w:sz w:val="28"/>
          <w:szCs w:val="28"/>
          <w:highlight w:val="none"/>
          <w:lang w:val="en-US" w:eastAsia="zh-CN"/>
        </w:rPr>
        <w:t xml:space="preserve">六   </w:t>
      </w:r>
      <w:bookmarkEnd w:id="1525"/>
      <w:r>
        <w:rPr>
          <w:rFonts w:hint="eastAsia" w:ascii="宋体" w:hAnsi="宋体" w:eastAsia="宋体" w:cs="宋体"/>
          <w:color w:val="auto"/>
          <w:sz w:val="28"/>
          <w:szCs w:val="28"/>
          <w:highlight w:val="none"/>
          <w:lang w:val="en-US" w:eastAsia="zh-CN"/>
        </w:rPr>
        <w:t>确定中标</w:t>
      </w:r>
      <w:bookmarkEnd w:id="1526"/>
      <w:bookmarkEnd w:id="1527"/>
      <w:bookmarkEnd w:id="1528"/>
      <w:bookmarkEnd w:id="1529"/>
      <w:bookmarkEnd w:id="1530"/>
      <w:bookmarkEnd w:id="1531"/>
      <w:bookmarkEnd w:id="1532"/>
      <w:bookmarkEnd w:id="1533"/>
    </w:p>
    <w:p w14:paraId="4F245803">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534" w:name="_Ref467307010"/>
      <w:bookmarkStart w:id="1535" w:name="_Toc22054"/>
      <w:bookmarkStart w:id="1536" w:name="_Toc10124"/>
      <w:bookmarkStart w:id="1537" w:name="_Toc24745"/>
      <w:bookmarkStart w:id="1538" w:name="_Toc22284"/>
      <w:bookmarkStart w:id="1539" w:name="_Toc20061"/>
      <w:bookmarkStart w:id="1540" w:name="_Toc14359"/>
      <w:bookmarkStart w:id="1541" w:name="_Toc30160"/>
      <w:bookmarkStart w:id="1542" w:name="_Toc23617"/>
      <w:bookmarkStart w:id="1543" w:name="_Toc4705"/>
      <w:bookmarkStart w:id="1544" w:name="_Toc13936"/>
      <w:bookmarkStart w:id="1545" w:name="_Toc4670"/>
      <w:bookmarkStart w:id="1546" w:name="_Toc28180"/>
      <w:bookmarkStart w:id="1547" w:name="_Toc515647788"/>
      <w:bookmarkStart w:id="1548" w:name="_Toc15371"/>
      <w:bookmarkStart w:id="1549" w:name="_Toc520356170"/>
      <w:bookmarkStart w:id="1550" w:name="_Toc30510"/>
      <w:bookmarkStart w:id="1551" w:name="_Toc28179"/>
      <w:bookmarkStart w:id="1552" w:name="_Toc22859"/>
      <w:bookmarkStart w:id="1553" w:name="_Toc28816"/>
      <w:bookmarkStart w:id="1554" w:name="_Toc27888"/>
      <w:bookmarkStart w:id="1555" w:name="_Toc3604"/>
      <w:bookmarkStart w:id="1556" w:name="_Toc5542"/>
      <w:bookmarkStart w:id="1557" w:name="_Toc22520"/>
      <w:bookmarkStart w:id="1558" w:name="_Toc30011"/>
      <w:bookmarkStart w:id="1559" w:name="_Toc30741"/>
      <w:bookmarkStart w:id="1560" w:name="_Toc23762"/>
      <w:bookmarkStart w:id="1561" w:name="_Toc11630"/>
      <w:bookmarkStart w:id="1562" w:name="_Toc18720"/>
      <w:bookmarkStart w:id="1563" w:name="_Toc17694"/>
      <w:bookmarkStart w:id="1564" w:name="_Toc8133"/>
      <w:bookmarkStart w:id="1565" w:name="_Toc18751"/>
      <w:bookmarkStart w:id="1566" w:name="_Toc10010"/>
      <w:bookmarkStart w:id="1567" w:name="_Toc20762"/>
      <w:bookmarkStart w:id="1568" w:name="_Toc32446"/>
      <w:bookmarkStart w:id="1569" w:name="_Toc22747"/>
      <w:bookmarkStart w:id="1570" w:name="_Toc17072"/>
      <w:bookmarkStart w:id="1571" w:name="_Toc20567"/>
      <w:bookmarkStart w:id="1572" w:name="_Toc29156"/>
      <w:bookmarkStart w:id="1573" w:name="_Toc23770"/>
      <w:bookmarkStart w:id="1574" w:name="_Toc30739"/>
      <w:bookmarkStart w:id="1575" w:name="_Toc154"/>
      <w:bookmarkStart w:id="1576" w:name="_Toc12862"/>
      <w:bookmarkStart w:id="1577" w:name="_Toc7280"/>
      <w:bookmarkStart w:id="1578" w:name="_Toc26456"/>
      <w:bookmarkStart w:id="1579" w:name="_Toc14800"/>
      <w:bookmarkStart w:id="1580" w:name="_Toc24833"/>
      <w:bookmarkStart w:id="1581" w:name="_Toc24563"/>
      <w:bookmarkStart w:id="1582" w:name="_Toc7867"/>
      <w:bookmarkStart w:id="1583" w:name="_Toc27501"/>
      <w:bookmarkStart w:id="1584" w:name="_Toc31710"/>
      <w:bookmarkStart w:id="1585" w:name="_Toc12168"/>
      <w:bookmarkStart w:id="1586" w:name="_Toc28102"/>
      <w:bookmarkStart w:id="1587" w:name="_Toc24864"/>
      <w:bookmarkStart w:id="1588" w:name="_Toc13743"/>
      <w:bookmarkStart w:id="1589" w:name="_Toc31578"/>
      <w:bookmarkStart w:id="1590" w:name="_Toc6353"/>
      <w:bookmarkStart w:id="1591" w:name="_Toc6381"/>
      <w:bookmarkStart w:id="1592" w:name="_Toc7303"/>
      <w:bookmarkStart w:id="1593" w:name="_Toc27865"/>
      <w:r>
        <w:rPr>
          <w:rFonts w:hint="eastAsia" w:ascii="宋体" w:hAnsi="宋体" w:eastAsia="宋体" w:cs="宋体"/>
          <w:b/>
          <w:bCs/>
          <w:color w:val="auto"/>
          <w:kern w:val="2"/>
          <w:sz w:val="24"/>
          <w:szCs w:val="24"/>
          <w:highlight w:val="none"/>
          <w:u w:val="none"/>
          <w:lang w:val="en-US" w:eastAsia="zh-CN" w:bidi="ar-SA"/>
        </w:rPr>
        <w:t>26.中标候选人的确定原则及标准</w:t>
      </w:r>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p>
    <w:p w14:paraId="6E1185CF">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对实质上响应招标文件的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按下列方法进行排序，确定投标候选人：</w:t>
      </w:r>
    </w:p>
    <w:p w14:paraId="2FFC2275">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bookmarkStart w:id="1594" w:name="_Toc520356171"/>
      <w:bookmarkStart w:id="1595" w:name="_Toc515647789"/>
      <w:r>
        <w:rPr>
          <w:rFonts w:hint="eastAsia" w:ascii="宋体" w:hAnsi="宋体" w:eastAsia="宋体" w:cs="宋体"/>
          <w:color w:val="auto"/>
          <w:sz w:val="24"/>
          <w:szCs w:val="24"/>
          <w:highlight w:val="none"/>
        </w:rPr>
        <w:t>（1）采用最低评标价法的，除了算术修正和落实政府采购政策需进行的价格扣除外，不对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的投标价格进行任何调整。评标结果按修正和扣除后的投标报价由低到高顺序排列。报价相同的处理方式详见招标文件第6章。</w:t>
      </w:r>
    </w:p>
    <w:p w14:paraId="5CB85695">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5F82C981">
      <w:pPr>
        <w:pStyle w:val="20"/>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color w:val="auto"/>
          <w:sz w:val="24"/>
          <w:szCs w:val="24"/>
          <w:highlight w:val="none"/>
          <w:u w:val="none"/>
          <w:lang w:eastAsia="zh-CN"/>
        </w:rPr>
      </w:pPr>
      <w:bookmarkStart w:id="1596" w:name="_Toc17933"/>
      <w:bookmarkStart w:id="1597" w:name="_Toc28791"/>
      <w:bookmarkStart w:id="1598" w:name="_Toc3720"/>
      <w:bookmarkStart w:id="1599" w:name="_Toc1644"/>
      <w:bookmarkStart w:id="1600" w:name="_Toc27172"/>
      <w:bookmarkStart w:id="1601" w:name="_Toc19004"/>
      <w:bookmarkStart w:id="1602" w:name="_Toc14795"/>
      <w:bookmarkStart w:id="1603" w:name="_Toc2108"/>
      <w:bookmarkStart w:id="1604" w:name="_Toc11969"/>
      <w:bookmarkStart w:id="1605" w:name="_Toc29803"/>
      <w:bookmarkStart w:id="1606" w:name="_Toc15364"/>
      <w:bookmarkStart w:id="1607" w:name="_Toc2803"/>
      <w:bookmarkStart w:id="1608" w:name="_Toc20982"/>
      <w:bookmarkStart w:id="1609" w:name="_Toc3274"/>
      <w:bookmarkStart w:id="1610" w:name="_Toc25274"/>
      <w:bookmarkStart w:id="1611" w:name="_Toc14558"/>
      <w:bookmarkStart w:id="1612" w:name="_Toc21306"/>
      <w:bookmarkStart w:id="1613" w:name="_Toc976"/>
      <w:bookmarkStart w:id="1614" w:name="_Toc17200"/>
      <w:bookmarkStart w:id="1615" w:name="_Toc21913"/>
      <w:bookmarkStart w:id="1616" w:name="_Toc11247"/>
      <w:bookmarkStart w:id="1617" w:name="_Toc17164"/>
      <w:bookmarkStart w:id="1618" w:name="_Toc15710"/>
      <w:bookmarkStart w:id="1619" w:name="_Toc22737"/>
      <w:bookmarkStart w:id="1620" w:name="_Toc4911"/>
      <w:bookmarkStart w:id="1621" w:name="_Toc21768"/>
      <w:bookmarkStart w:id="1622" w:name="_Toc16846"/>
      <w:bookmarkStart w:id="1623" w:name="_Toc15604"/>
      <w:bookmarkStart w:id="1624" w:name="_Toc24948"/>
      <w:bookmarkStart w:id="1625" w:name="_Toc721"/>
      <w:bookmarkStart w:id="1626" w:name="_Toc12678"/>
      <w:bookmarkStart w:id="1627" w:name="_Toc28294"/>
      <w:bookmarkStart w:id="1628" w:name="_Toc13041"/>
      <w:bookmarkStart w:id="1629" w:name="_Toc30756"/>
      <w:r>
        <w:rPr>
          <w:rFonts w:hint="eastAsia" w:ascii="宋体" w:hAnsi="宋体" w:eastAsia="宋体" w:cs="宋体"/>
          <w:b/>
          <w:bCs/>
          <w:color w:val="auto"/>
          <w:kern w:val="2"/>
          <w:sz w:val="24"/>
          <w:szCs w:val="24"/>
          <w:highlight w:val="none"/>
          <w:u w:val="none"/>
          <w:lang w:val="en-US" w:eastAsia="zh-CN" w:bidi="ar-SA"/>
        </w:rPr>
        <w:t>本项目采用综合评分法</w:t>
      </w:r>
      <w:bookmarkStart w:id="1630" w:name="_Toc10822"/>
      <w:bookmarkStart w:id="1631" w:name="_Toc2933"/>
      <w:bookmarkStart w:id="1632" w:name="_Toc28629"/>
      <w:bookmarkStart w:id="1633" w:name="_Toc26548"/>
      <w:bookmarkStart w:id="1634" w:name="_Toc4183"/>
      <w:bookmarkStart w:id="1635" w:name="_Toc697"/>
    </w:p>
    <w:p w14:paraId="10B653B9">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636" w:name="_Toc21502"/>
      <w:bookmarkStart w:id="1637" w:name="_Toc5249"/>
      <w:bookmarkStart w:id="1638" w:name="_Toc2070"/>
      <w:bookmarkStart w:id="1639" w:name="_Toc26224"/>
      <w:bookmarkStart w:id="1640" w:name="_Toc9949"/>
      <w:bookmarkStart w:id="1641" w:name="_Toc20247"/>
      <w:bookmarkStart w:id="1642" w:name="_Toc11235"/>
      <w:bookmarkStart w:id="1643" w:name="_Toc14264"/>
      <w:bookmarkStart w:id="1644" w:name="_Toc1189"/>
      <w:bookmarkStart w:id="1645" w:name="_Toc5097"/>
      <w:bookmarkStart w:id="1646" w:name="_Toc22960"/>
      <w:bookmarkStart w:id="1647" w:name="_Toc14119"/>
      <w:bookmarkStart w:id="1648" w:name="_Toc31903"/>
      <w:bookmarkStart w:id="1649" w:name="_Toc26724"/>
      <w:bookmarkStart w:id="1650" w:name="_Toc22217"/>
      <w:bookmarkStart w:id="1651" w:name="_Toc21868"/>
      <w:bookmarkStart w:id="1652" w:name="_Toc10204"/>
      <w:bookmarkStart w:id="1653" w:name="_Toc8664"/>
      <w:bookmarkStart w:id="1654" w:name="_Toc22139"/>
      <w:r>
        <w:rPr>
          <w:rFonts w:hint="eastAsia" w:ascii="宋体" w:hAnsi="宋体" w:eastAsia="宋体" w:cs="宋体"/>
          <w:b/>
          <w:bCs/>
          <w:color w:val="auto"/>
          <w:kern w:val="2"/>
          <w:sz w:val="24"/>
          <w:szCs w:val="24"/>
          <w:highlight w:val="none"/>
          <w:u w:val="none"/>
          <w:lang w:val="en-US" w:eastAsia="zh-CN" w:bidi="ar-SA"/>
        </w:rPr>
        <w:t>27.确定中标候选人和</w:t>
      </w:r>
      <w:bookmarkEnd w:id="1596"/>
      <w:r>
        <w:rPr>
          <w:rFonts w:hint="eastAsia" w:ascii="宋体" w:hAnsi="宋体" w:eastAsia="宋体" w:cs="宋体"/>
          <w:b/>
          <w:bCs/>
          <w:color w:val="auto"/>
          <w:kern w:val="2"/>
          <w:sz w:val="24"/>
          <w:szCs w:val="24"/>
          <w:highlight w:val="none"/>
          <w:u w:val="none"/>
          <w:lang w:val="en-US" w:eastAsia="zh-CN" w:bidi="ar-SA"/>
        </w:rPr>
        <w:t>中标人</w:t>
      </w:r>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p>
    <w:bookmarkEnd w:id="1594"/>
    <w:bookmarkEnd w:id="1595"/>
    <w:p w14:paraId="393EB834">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评标委员会将根据评标标准，按</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须知资料表中</w:t>
      </w:r>
      <w:r>
        <w:rPr>
          <w:rFonts w:hint="eastAsia" w:ascii="宋体" w:hAnsi="宋体" w:eastAsia="宋体" w:cs="宋体"/>
          <w:color w:val="auto"/>
          <w:sz w:val="24"/>
          <w:szCs w:val="24"/>
          <w:highlight w:val="none"/>
        </w:rPr>
        <w:t>规定数量推荐中标候</w:t>
      </w:r>
    </w:p>
    <w:p w14:paraId="606AE781">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选人；或根据采购人的委托，直接确定中标人。</w:t>
      </w:r>
    </w:p>
    <w:p w14:paraId="72A999B3">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655" w:name="_Toc27227"/>
      <w:bookmarkStart w:id="1656" w:name="_Toc14335"/>
      <w:bookmarkStart w:id="1657" w:name="_Toc24276"/>
      <w:bookmarkStart w:id="1658" w:name="_Toc15888"/>
      <w:bookmarkStart w:id="1659" w:name="_Toc9051"/>
      <w:bookmarkStart w:id="1660" w:name="_Toc17591"/>
      <w:bookmarkStart w:id="1661" w:name="_Toc20193"/>
      <w:bookmarkStart w:id="1662" w:name="_Toc15139"/>
      <w:bookmarkStart w:id="1663" w:name="_Toc19007"/>
      <w:bookmarkStart w:id="1664" w:name="_Toc32323"/>
      <w:bookmarkStart w:id="1665" w:name="_Toc32208"/>
      <w:bookmarkStart w:id="1666" w:name="_Toc21889"/>
      <w:bookmarkStart w:id="1667" w:name="_Toc21618"/>
      <w:bookmarkStart w:id="1668" w:name="_Toc515647790"/>
      <w:bookmarkStart w:id="1669" w:name="_Toc25250"/>
      <w:bookmarkStart w:id="1670" w:name="_Toc31043"/>
      <w:bookmarkStart w:id="1671" w:name="_Toc7550"/>
      <w:bookmarkStart w:id="1672" w:name="_Toc3328"/>
      <w:bookmarkStart w:id="1673" w:name="_Toc1353"/>
      <w:bookmarkStart w:id="1674" w:name="_Toc28014"/>
      <w:bookmarkStart w:id="1675" w:name="_Toc1811"/>
      <w:bookmarkStart w:id="1676" w:name="_Toc28562"/>
      <w:bookmarkStart w:id="1677" w:name="_Toc17623"/>
      <w:bookmarkStart w:id="1678" w:name="_Toc24959"/>
      <w:bookmarkStart w:id="1679" w:name="_Toc7630"/>
      <w:bookmarkStart w:id="1680" w:name="_Toc9640"/>
      <w:bookmarkStart w:id="1681" w:name="_Toc18821"/>
      <w:bookmarkStart w:id="1682" w:name="_Toc20424"/>
      <w:bookmarkStart w:id="1683" w:name="_Toc4606"/>
      <w:bookmarkStart w:id="1684" w:name="_Toc45"/>
      <w:bookmarkStart w:id="1685" w:name="_Toc20705"/>
      <w:bookmarkStart w:id="1686" w:name="_Toc30775"/>
      <w:bookmarkStart w:id="1687" w:name="_Toc21208"/>
      <w:bookmarkStart w:id="1688" w:name="_Toc10338"/>
      <w:bookmarkStart w:id="1689" w:name="_Toc10944"/>
      <w:bookmarkStart w:id="1690" w:name="_Toc20001"/>
      <w:bookmarkStart w:id="1691" w:name="_Toc12082"/>
      <w:bookmarkStart w:id="1692" w:name="_Toc6340"/>
      <w:bookmarkStart w:id="1693" w:name="_Toc2533"/>
      <w:bookmarkStart w:id="1694" w:name="_Toc5507"/>
      <w:bookmarkStart w:id="1695" w:name="_Toc26608"/>
      <w:bookmarkStart w:id="1696" w:name="_Toc16469"/>
      <w:bookmarkStart w:id="1697" w:name="_Toc11853"/>
      <w:bookmarkStart w:id="1698" w:name="_Toc18980"/>
      <w:bookmarkStart w:id="1699" w:name="_Toc756"/>
      <w:bookmarkStart w:id="1700" w:name="_Toc9561"/>
      <w:bookmarkStart w:id="1701" w:name="_Toc12655"/>
      <w:bookmarkStart w:id="1702" w:name="_Toc11550"/>
      <w:bookmarkStart w:id="1703" w:name="_Toc1269"/>
      <w:bookmarkStart w:id="1704" w:name="_Toc9701"/>
      <w:bookmarkStart w:id="1705" w:name="_Toc7156"/>
      <w:bookmarkStart w:id="1706" w:name="_Toc21532"/>
      <w:bookmarkStart w:id="1707" w:name="_Toc25073"/>
      <w:bookmarkStart w:id="1708" w:name="_Toc30084"/>
      <w:bookmarkStart w:id="1709" w:name="_Toc8389"/>
      <w:bookmarkStart w:id="1710" w:name="_Toc32455"/>
      <w:bookmarkStart w:id="1711" w:name="_Toc4274"/>
      <w:bookmarkStart w:id="1712" w:name="_Toc31892"/>
      <w:bookmarkStart w:id="1713" w:name="_Toc25577"/>
      <w:r>
        <w:rPr>
          <w:rFonts w:hint="eastAsia" w:ascii="宋体" w:hAnsi="宋体" w:eastAsia="宋体" w:cs="宋体"/>
          <w:b/>
          <w:bCs/>
          <w:color w:val="auto"/>
          <w:kern w:val="2"/>
          <w:sz w:val="24"/>
          <w:szCs w:val="24"/>
          <w:highlight w:val="none"/>
          <w:u w:val="none"/>
          <w:lang w:val="en-US" w:eastAsia="zh-CN" w:bidi="ar-SA"/>
        </w:rPr>
        <w:t>28.采购任务取消</w:t>
      </w:r>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p>
    <w:p w14:paraId="7C5129C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因重大变故采购任务取消时，采购人有权拒绝任何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中标，且对受影响的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不承担任何责任。</w:t>
      </w:r>
      <w:bookmarkStart w:id="1714" w:name="_Toc520356174"/>
    </w:p>
    <w:p w14:paraId="4128484B">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715" w:name="_Toc25281"/>
      <w:bookmarkStart w:id="1716" w:name="_Toc1178"/>
      <w:bookmarkStart w:id="1717" w:name="_Toc27813"/>
      <w:bookmarkStart w:id="1718" w:name="_Toc17436"/>
      <w:bookmarkStart w:id="1719" w:name="_Toc13576"/>
      <w:bookmarkStart w:id="1720" w:name="_Toc15667"/>
      <w:bookmarkStart w:id="1721" w:name="_Toc4099"/>
      <w:bookmarkStart w:id="1722" w:name="_Toc27996"/>
      <w:bookmarkStart w:id="1723" w:name="_Toc2355"/>
      <w:bookmarkStart w:id="1724" w:name="_Toc12837"/>
      <w:bookmarkStart w:id="1725" w:name="_Toc515"/>
      <w:bookmarkStart w:id="1726" w:name="_Toc25137"/>
      <w:bookmarkStart w:id="1727" w:name="_Toc31099"/>
      <w:bookmarkStart w:id="1728" w:name="_Toc9513"/>
      <w:bookmarkStart w:id="1729" w:name="_Toc10358"/>
      <w:bookmarkStart w:id="1730" w:name="_Toc137"/>
      <w:bookmarkStart w:id="1731" w:name="_Toc31066"/>
      <w:bookmarkStart w:id="1732" w:name="_Toc515647791"/>
      <w:bookmarkStart w:id="1733" w:name="_Toc16182"/>
      <w:bookmarkStart w:id="1734" w:name="_Toc5820"/>
      <w:bookmarkStart w:id="1735" w:name="_Toc30179"/>
      <w:bookmarkStart w:id="1736" w:name="_Toc1676"/>
      <w:bookmarkStart w:id="1737" w:name="_Toc8140"/>
      <w:bookmarkStart w:id="1738" w:name="_Toc28882"/>
      <w:bookmarkStart w:id="1739" w:name="_Toc1818"/>
      <w:bookmarkStart w:id="1740" w:name="_Toc30931"/>
      <w:bookmarkStart w:id="1741" w:name="_Toc9879"/>
      <w:bookmarkStart w:id="1742" w:name="_Toc12348"/>
      <w:bookmarkStart w:id="1743" w:name="_Toc8834"/>
      <w:bookmarkStart w:id="1744" w:name="_Toc21164"/>
      <w:bookmarkStart w:id="1745" w:name="_Toc940"/>
      <w:bookmarkStart w:id="1746" w:name="_Toc17202"/>
      <w:bookmarkStart w:id="1747" w:name="_Toc8414"/>
      <w:bookmarkStart w:id="1748" w:name="_Toc20655"/>
      <w:bookmarkStart w:id="1749" w:name="_Toc22444"/>
      <w:bookmarkStart w:id="1750" w:name="_Toc19356"/>
      <w:bookmarkStart w:id="1751" w:name="_Toc30600"/>
      <w:bookmarkStart w:id="1752" w:name="_Toc20195"/>
      <w:bookmarkStart w:id="1753" w:name="_Toc3378"/>
      <w:bookmarkStart w:id="1754" w:name="_Toc4866"/>
      <w:bookmarkStart w:id="1755" w:name="_Toc30149"/>
      <w:bookmarkStart w:id="1756" w:name="_Toc16437"/>
      <w:bookmarkStart w:id="1757" w:name="_Toc7490"/>
      <w:bookmarkStart w:id="1758" w:name="_Toc9886"/>
      <w:bookmarkStart w:id="1759" w:name="_Toc2362"/>
      <w:bookmarkStart w:id="1760" w:name="_Toc7789"/>
      <w:bookmarkStart w:id="1761" w:name="_Toc957"/>
      <w:bookmarkStart w:id="1762" w:name="_Toc30170"/>
      <w:bookmarkStart w:id="1763" w:name="_Toc8574"/>
      <w:bookmarkStart w:id="1764" w:name="_Toc28268"/>
      <w:bookmarkStart w:id="1765" w:name="_Toc17151"/>
      <w:bookmarkStart w:id="1766" w:name="_Toc10717"/>
      <w:bookmarkStart w:id="1767" w:name="_Toc20363"/>
      <w:bookmarkStart w:id="1768" w:name="_Toc21583"/>
      <w:bookmarkStart w:id="1769" w:name="_Toc23089"/>
      <w:bookmarkStart w:id="1770" w:name="_Toc14221"/>
      <w:bookmarkStart w:id="1771" w:name="_Toc27654"/>
      <w:bookmarkStart w:id="1772" w:name="_Toc25981"/>
      <w:bookmarkStart w:id="1773" w:name="_Toc18772"/>
      <w:r>
        <w:rPr>
          <w:rFonts w:hint="eastAsia" w:ascii="宋体" w:hAnsi="宋体" w:eastAsia="宋体" w:cs="宋体"/>
          <w:b/>
          <w:bCs/>
          <w:color w:val="auto"/>
          <w:kern w:val="2"/>
          <w:sz w:val="24"/>
          <w:szCs w:val="24"/>
          <w:highlight w:val="none"/>
          <w:u w:val="none"/>
          <w:lang w:val="en-US" w:eastAsia="zh-CN" w:bidi="ar-SA"/>
        </w:rPr>
        <w:t>29.中标通知书</w:t>
      </w:r>
      <w:bookmarkEnd w:id="1714"/>
      <w:r>
        <w:rPr>
          <w:rFonts w:hint="eastAsia" w:ascii="宋体" w:hAnsi="宋体" w:eastAsia="宋体" w:cs="宋体"/>
          <w:b/>
          <w:bCs/>
          <w:color w:val="auto"/>
          <w:kern w:val="2"/>
          <w:sz w:val="24"/>
          <w:szCs w:val="24"/>
          <w:highlight w:val="none"/>
          <w:u w:val="none"/>
          <w:lang w:val="en-US" w:eastAsia="zh-CN" w:bidi="ar-SA"/>
        </w:rPr>
        <w:t>和招标结果通知书</w:t>
      </w:r>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p>
    <w:p w14:paraId="2CE66DF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在投标有效期内，中标人确定后，采购人或者采购代理机构发布中标公告，同时以书面形式向中标人发出中标通知书。</w:t>
      </w:r>
    </w:p>
    <w:p w14:paraId="7686C5A8">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中标通知书是合同的组成部分。</w:t>
      </w:r>
    </w:p>
    <w:p w14:paraId="1318C2E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29.3    招标结果通知书和中标通知书同时发出。招标结果通知书中将告知未通过资格审查的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未通过的原因；采用综合评分法评审的，还将告知未中标人本人的评审得分和排序。</w:t>
      </w:r>
    </w:p>
    <w:p w14:paraId="59D545F5">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774" w:name="_Toc790"/>
      <w:bookmarkStart w:id="1775" w:name="_Toc1101"/>
      <w:bookmarkStart w:id="1776" w:name="_Toc1386"/>
      <w:bookmarkStart w:id="1777" w:name="_Toc9945"/>
      <w:bookmarkStart w:id="1778" w:name="_Toc4038"/>
      <w:bookmarkStart w:id="1779" w:name="_Toc830"/>
      <w:bookmarkStart w:id="1780" w:name="_Toc19234"/>
      <w:bookmarkStart w:id="1781" w:name="_Ref467306978"/>
      <w:bookmarkStart w:id="1782" w:name="_Toc3557"/>
      <w:bookmarkStart w:id="1783" w:name="_Toc9417"/>
      <w:bookmarkStart w:id="1784" w:name="_Toc15610"/>
      <w:bookmarkStart w:id="1785" w:name="_Toc8670"/>
      <w:bookmarkStart w:id="1786" w:name="_Toc13873"/>
      <w:bookmarkStart w:id="1787" w:name="_Toc19580"/>
      <w:bookmarkStart w:id="1788" w:name="_Toc7584"/>
      <w:bookmarkStart w:id="1789" w:name="_Toc2704"/>
      <w:bookmarkStart w:id="1790" w:name="_Toc14896"/>
      <w:bookmarkStart w:id="1791" w:name="_Toc21404"/>
      <w:bookmarkStart w:id="1792" w:name="_Toc4466"/>
      <w:bookmarkStart w:id="1793" w:name="_Toc4716"/>
      <w:bookmarkStart w:id="1794" w:name="_Toc7779"/>
      <w:bookmarkStart w:id="1795" w:name="_Ref467307062"/>
      <w:bookmarkStart w:id="1796" w:name="_Toc19399"/>
      <w:bookmarkStart w:id="1797" w:name="_Toc18501"/>
      <w:bookmarkStart w:id="1798" w:name="_Toc16468"/>
      <w:bookmarkStart w:id="1799" w:name="_Toc5705"/>
      <w:bookmarkStart w:id="1800" w:name="_Toc26465"/>
      <w:bookmarkStart w:id="1801" w:name="_Toc26201"/>
      <w:bookmarkStart w:id="1802" w:name="_Toc11340"/>
      <w:bookmarkStart w:id="1803" w:name="_Toc25979"/>
      <w:bookmarkStart w:id="1804" w:name="_Toc26598"/>
      <w:bookmarkStart w:id="1805" w:name="_Toc520356175"/>
      <w:bookmarkStart w:id="1806" w:name="_Toc19626"/>
      <w:bookmarkStart w:id="1807" w:name="_Toc13944"/>
      <w:bookmarkStart w:id="1808" w:name="_Ref467307204"/>
      <w:bookmarkStart w:id="1809" w:name="_Toc10132"/>
      <w:bookmarkStart w:id="1810" w:name="_Toc3749"/>
      <w:bookmarkStart w:id="1811" w:name="_Toc19276"/>
      <w:bookmarkStart w:id="1812" w:name="_Toc515647792"/>
      <w:bookmarkStart w:id="1813" w:name="_Toc19952"/>
      <w:bookmarkStart w:id="1814" w:name="_Toc14551"/>
      <w:bookmarkStart w:id="1815" w:name="_Toc3425"/>
      <w:bookmarkStart w:id="1816" w:name="_Toc9133"/>
      <w:bookmarkStart w:id="1817" w:name="_Toc14106"/>
      <w:bookmarkStart w:id="1818" w:name="_Toc25569"/>
      <w:bookmarkStart w:id="1819" w:name="_Toc24666"/>
      <w:bookmarkStart w:id="1820" w:name="_Toc15018"/>
      <w:bookmarkStart w:id="1821" w:name="_Toc13619"/>
      <w:bookmarkStart w:id="1822" w:name="_Toc29299"/>
      <w:bookmarkStart w:id="1823" w:name="_Toc20651"/>
      <w:bookmarkStart w:id="1824" w:name="_Toc13395"/>
      <w:bookmarkStart w:id="1825" w:name="_Toc13210"/>
      <w:bookmarkStart w:id="1826" w:name="_Toc27034"/>
      <w:bookmarkStart w:id="1827" w:name="_Toc16259"/>
      <w:bookmarkStart w:id="1828" w:name="_Toc732"/>
      <w:bookmarkStart w:id="1829" w:name="_Ref467306377"/>
      <w:bookmarkStart w:id="1830" w:name="_Toc22424"/>
      <w:bookmarkStart w:id="1831" w:name="_Toc30068"/>
      <w:bookmarkStart w:id="1832" w:name="_Toc6847"/>
      <w:bookmarkStart w:id="1833" w:name="_Toc6885"/>
      <w:bookmarkStart w:id="1834" w:name="_Toc29255"/>
      <w:bookmarkStart w:id="1835" w:name="_Toc10790"/>
      <w:bookmarkStart w:id="1836" w:name="_Toc12288"/>
      <w:bookmarkStart w:id="1837" w:name="_Toc27105"/>
      <w:r>
        <w:rPr>
          <w:rFonts w:hint="eastAsia" w:ascii="宋体" w:hAnsi="宋体" w:eastAsia="宋体" w:cs="宋体"/>
          <w:b/>
          <w:bCs/>
          <w:color w:val="auto"/>
          <w:kern w:val="2"/>
          <w:sz w:val="24"/>
          <w:szCs w:val="24"/>
          <w:highlight w:val="none"/>
          <w:u w:val="none"/>
          <w:lang w:val="en-US" w:eastAsia="zh-CN" w:bidi="ar-SA"/>
        </w:rPr>
        <w:t>30.签订合同</w:t>
      </w:r>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p>
    <w:p w14:paraId="1D77FCC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中标人应当自发出中标通知书之日起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日内，与采购人签订合同。</w:t>
      </w:r>
    </w:p>
    <w:p w14:paraId="67FD45C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30.2</w:t>
      </w:r>
      <w:r>
        <w:rPr>
          <w:rFonts w:hint="eastAsia" w:ascii="宋体" w:hAnsi="宋体" w:eastAsia="宋体" w:cs="宋体"/>
          <w:color w:val="auto"/>
          <w:sz w:val="24"/>
          <w:szCs w:val="24"/>
          <w:highlight w:val="none"/>
        </w:rPr>
        <w:tab/>
      </w:r>
      <w:bookmarkStart w:id="1838" w:name="_Ref467307090"/>
      <w:bookmarkStart w:id="1839" w:name="_Ref467306425"/>
      <w:bookmarkStart w:id="1840" w:name="_Toc520356176"/>
      <w:r>
        <w:rPr>
          <w:rFonts w:hint="eastAsia" w:ascii="宋体" w:hAnsi="宋体" w:eastAsia="宋体" w:cs="宋体"/>
          <w:color w:val="auto"/>
          <w:sz w:val="24"/>
          <w:szCs w:val="24"/>
          <w:highlight w:val="none"/>
        </w:rPr>
        <w:t>招标文件、中标人的投标文件及其澄清文件等，均为签订合同的依据。</w:t>
      </w:r>
    </w:p>
    <w:p w14:paraId="269C9D1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30.3   中标人拒绝与采购人签订合同的，采购人可以按照评审报告推荐的中标候选人名单排序，确定下一中标候选人为中标人，也可以重新开展政府采购活动。</w:t>
      </w:r>
    </w:p>
    <w:p w14:paraId="7D42F3B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30.4   当出现法规规定的</w:t>
      </w:r>
      <w:r>
        <w:rPr>
          <w:rFonts w:hint="eastAsia" w:ascii="宋体" w:hAnsi="宋体" w:eastAsia="宋体" w:cs="宋体"/>
          <w:b/>
          <w:color w:val="auto"/>
          <w:sz w:val="24"/>
          <w:szCs w:val="24"/>
          <w:highlight w:val="none"/>
        </w:rPr>
        <w:t>中标无效或中标结果无效</w:t>
      </w:r>
      <w:r>
        <w:rPr>
          <w:rFonts w:hint="eastAsia" w:ascii="宋体" w:hAnsi="宋体" w:eastAsia="宋体" w:cs="宋体"/>
          <w:color w:val="auto"/>
          <w:sz w:val="24"/>
          <w:szCs w:val="24"/>
          <w:highlight w:val="none"/>
        </w:rPr>
        <w:t>情形时，采购人可与排名下一位的中标候选人另行签订合同，或依法重新开展采购活动。</w:t>
      </w:r>
    </w:p>
    <w:p w14:paraId="64005D28">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841" w:name="_Toc15498"/>
      <w:bookmarkStart w:id="1842" w:name="_Toc32131"/>
      <w:bookmarkStart w:id="1843" w:name="_Toc11471"/>
      <w:bookmarkStart w:id="1844" w:name="_Toc19052"/>
      <w:bookmarkStart w:id="1845" w:name="_Toc14697"/>
      <w:bookmarkStart w:id="1846" w:name="_Toc2313"/>
      <w:bookmarkStart w:id="1847" w:name="_Toc9588"/>
      <w:bookmarkStart w:id="1848" w:name="_Toc27652"/>
      <w:bookmarkStart w:id="1849" w:name="_Toc28788"/>
      <w:bookmarkStart w:id="1850" w:name="_Toc8579"/>
      <w:bookmarkStart w:id="1851" w:name="_Toc26203"/>
      <w:bookmarkStart w:id="1852" w:name="_Toc5174"/>
      <w:bookmarkStart w:id="1853" w:name="_Toc20233"/>
      <w:bookmarkStart w:id="1854" w:name="_Toc7809"/>
      <w:bookmarkStart w:id="1855" w:name="_Toc15216"/>
      <w:bookmarkStart w:id="1856" w:name="_Toc19465"/>
      <w:bookmarkStart w:id="1857" w:name="_Toc7735"/>
      <w:bookmarkStart w:id="1858" w:name="_Toc29712"/>
      <w:bookmarkStart w:id="1859" w:name="_Toc7172"/>
      <w:bookmarkStart w:id="1860" w:name="_Toc13252"/>
      <w:bookmarkStart w:id="1861" w:name="_Toc22635"/>
      <w:bookmarkStart w:id="1862" w:name="_Toc4849"/>
      <w:bookmarkStart w:id="1863" w:name="_Toc5041"/>
      <w:bookmarkStart w:id="1864" w:name="_Toc25827"/>
      <w:bookmarkStart w:id="1865" w:name="_Toc18526"/>
      <w:bookmarkStart w:id="1866" w:name="_Toc11467"/>
      <w:bookmarkStart w:id="1867" w:name="_Toc21692"/>
      <w:bookmarkStart w:id="1868" w:name="_Toc21321"/>
      <w:bookmarkStart w:id="1869" w:name="_Toc27000"/>
      <w:bookmarkStart w:id="1870" w:name="_Toc16092"/>
      <w:bookmarkStart w:id="1871" w:name="_Toc32530"/>
      <w:bookmarkStart w:id="1872" w:name="_Toc29887"/>
      <w:bookmarkStart w:id="1873" w:name="_Toc8801"/>
      <w:bookmarkStart w:id="1874" w:name="_Toc31991"/>
      <w:bookmarkStart w:id="1875" w:name="_Toc14080"/>
      <w:bookmarkStart w:id="1876" w:name="_Toc515647793"/>
      <w:bookmarkStart w:id="1877" w:name="_Toc31493"/>
      <w:bookmarkStart w:id="1878" w:name="_Toc10991"/>
      <w:bookmarkStart w:id="1879" w:name="_Toc15750"/>
      <w:bookmarkStart w:id="1880" w:name="_Toc22555"/>
      <w:bookmarkStart w:id="1881" w:name="_Toc4673"/>
      <w:bookmarkStart w:id="1882" w:name="_Toc17960"/>
      <w:bookmarkStart w:id="1883" w:name="_Toc1245"/>
      <w:bookmarkStart w:id="1884" w:name="_Toc11387"/>
      <w:bookmarkStart w:id="1885" w:name="_Toc27314"/>
      <w:bookmarkStart w:id="1886" w:name="_Toc29317"/>
      <w:bookmarkStart w:id="1887" w:name="_Toc20991"/>
      <w:bookmarkStart w:id="1888" w:name="_Toc26902"/>
      <w:bookmarkStart w:id="1889" w:name="_Toc4216"/>
      <w:bookmarkStart w:id="1890" w:name="_Toc23223"/>
      <w:bookmarkStart w:id="1891" w:name="_Toc31190"/>
      <w:bookmarkStart w:id="1892" w:name="_Toc30190"/>
      <w:bookmarkStart w:id="1893" w:name="_Toc23943"/>
      <w:bookmarkStart w:id="1894" w:name="_Toc15755"/>
      <w:bookmarkStart w:id="1895" w:name="_Toc28518"/>
      <w:bookmarkStart w:id="1896" w:name="_Toc9468"/>
      <w:bookmarkStart w:id="1897" w:name="_Toc8189"/>
      <w:bookmarkStart w:id="1898" w:name="_Toc4460"/>
      <w:bookmarkStart w:id="1899" w:name="_Toc26623"/>
      <w:r>
        <w:rPr>
          <w:rFonts w:hint="eastAsia" w:ascii="宋体" w:hAnsi="宋体" w:eastAsia="宋体" w:cs="宋体"/>
          <w:b/>
          <w:bCs/>
          <w:color w:val="auto"/>
          <w:kern w:val="2"/>
          <w:sz w:val="24"/>
          <w:szCs w:val="24"/>
          <w:highlight w:val="none"/>
          <w:u w:val="none"/>
          <w:lang w:val="en-US" w:eastAsia="zh-CN" w:bidi="ar-SA"/>
        </w:rPr>
        <w:t>31.履约保证金</w:t>
      </w:r>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p>
    <w:p w14:paraId="7980233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中标人应按照</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规定向采购人缴纳履约保证金。</w:t>
      </w:r>
    </w:p>
    <w:p w14:paraId="57AE878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政府采购利用担保试点范围内的项目，除31.1规定的情形外，中标人也可以按照财政部门的规定，向采购人提供合格的履约担</w:t>
      </w:r>
      <w:r>
        <w:rPr>
          <w:rFonts w:hint="eastAsia" w:ascii="宋体" w:hAnsi="宋体" w:eastAsia="宋体" w:cs="宋体"/>
          <w:color w:val="auto"/>
          <w:sz w:val="24"/>
          <w:szCs w:val="24"/>
          <w:highlight w:val="none"/>
          <w:lang w:eastAsia="zh-CN"/>
        </w:rPr>
        <w:t>保函。</w:t>
      </w:r>
    </w:p>
    <w:p w14:paraId="5A9188B9">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900" w:name="_Toc17667"/>
      <w:bookmarkStart w:id="1901" w:name="_Toc17256"/>
      <w:bookmarkStart w:id="1902" w:name="_Toc1987"/>
      <w:bookmarkStart w:id="1903" w:name="_Toc1920"/>
      <w:bookmarkStart w:id="1904" w:name="_Toc15461"/>
      <w:bookmarkStart w:id="1905" w:name="_Toc25385"/>
      <w:bookmarkStart w:id="1906" w:name="_Toc20965"/>
      <w:bookmarkStart w:id="1907" w:name="_Toc16136"/>
      <w:bookmarkStart w:id="1908" w:name="_Toc8906"/>
      <w:bookmarkStart w:id="1909" w:name="_Toc5520"/>
      <w:bookmarkStart w:id="1910" w:name="_Toc18723"/>
      <w:bookmarkStart w:id="1911" w:name="_Toc17462"/>
      <w:bookmarkStart w:id="1912" w:name="_Toc9967"/>
      <w:bookmarkStart w:id="1913" w:name="_Toc77"/>
      <w:bookmarkStart w:id="1914" w:name="_Toc14539"/>
      <w:bookmarkStart w:id="1915" w:name="_Toc14040"/>
      <w:bookmarkStart w:id="1916" w:name="_Toc31793"/>
      <w:bookmarkStart w:id="1917" w:name="_Toc3603"/>
      <w:bookmarkStart w:id="1918" w:name="_Toc2081"/>
      <w:bookmarkStart w:id="1919" w:name="_Toc19487"/>
      <w:bookmarkStart w:id="1920" w:name="_Toc29081"/>
      <w:bookmarkStart w:id="1921" w:name="_Toc141"/>
      <w:bookmarkStart w:id="1922" w:name="_Toc31075"/>
      <w:bookmarkStart w:id="1923" w:name="_Toc3090"/>
      <w:bookmarkStart w:id="1924" w:name="_Toc13784"/>
      <w:bookmarkStart w:id="1925" w:name="_Toc17264"/>
      <w:bookmarkStart w:id="1926" w:name="_Toc22260"/>
      <w:bookmarkStart w:id="1927" w:name="_Toc1144"/>
      <w:bookmarkStart w:id="1928" w:name="_Toc27154"/>
      <w:bookmarkStart w:id="1929" w:name="_Toc23284"/>
      <w:bookmarkStart w:id="1930" w:name="_Toc26497"/>
      <w:bookmarkStart w:id="1931" w:name="_Toc18914"/>
      <w:bookmarkStart w:id="1932" w:name="_Toc5660"/>
      <w:bookmarkStart w:id="1933" w:name="_Toc515647794"/>
      <w:bookmarkStart w:id="1934" w:name="_Toc31331"/>
      <w:bookmarkStart w:id="1935" w:name="_Toc25399"/>
      <w:bookmarkStart w:id="1936" w:name="_Toc13048"/>
      <w:bookmarkStart w:id="1937" w:name="_Toc15314"/>
      <w:bookmarkStart w:id="1938" w:name="_Toc29408"/>
      <w:bookmarkStart w:id="1939" w:name="_Toc17827"/>
      <w:bookmarkStart w:id="1940" w:name="_Toc24979"/>
      <w:bookmarkStart w:id="1941" w:name="_Toc7949"/>
      <w:bookmarkStart w:id="1942" w:name="_Toc20538"/>
      <w:bookmarkStart w:id="1943" w:name="_Toc30817"/>
      <w:bookmarkStart w:id="1944" w:name="_Toc16406"/>
      <w:bookmarkStart w:id="1945" w:name="_Toc414"/>
      <w:bookmarkStart w:id="1946" w:name="_Toc21835"/>
      <w:bookmarkStart w:id="1947" w:name="_Toc18254"/>
      <w:bookmarkStart w:id="1948" w:name="_Toc66"/>
      <w:bookmarkStart w:id="1949" w:name="_Toc2126"/>
      <w:bookmarkStart w:id="1950" w:name="_Toc13043"/>
      <w:bookmarkStart w:id="1951" w:name="_Toc19141"/>
      <w:bookmarkStart w:id="1952" w:name="_Toc1705"/>
      <w:bookmarkStart w:id="1953" w:name="_Toc20540"/>
      <w:bookmarkStart w:id="1954" w:name="_Toc9993"/>
      <w:bookmarkStart w:id="1955" w:name="_Toc25637"/>
      <w:bookmarkStart w:id="1956" w:name="_Toc30327"/>
      <w:bookmarkStart w:id="1957" w:name="_Toc21246"/>
      <w:bookmarkStart w:id="1958" w:name="_Toc6090"/>
      <w:r>
        <w:rPr>
          <w:rFonts w:hint="eastAsia" w:ascii="宋体" w:hAnsi="宋体" w:eastAsia="宋体" w:cs="宋体"/>
          <w:b/>
          <w:bCs/>
          <w:color w:val="auto"/>
          <w:kern w:val="2"/>
          <w:sz w:val="24"/>
          <w:szCs w:val="24"/>
          <w:highlight w:val="none"/>
          <w:u w:val="none"/>
          <w:lang w:val="en-US" w:eastAsia="zh-CN" w:bidi="ar-SA"/>
        </w:rPr>
        <w:t>32.中标服务费</w:t>
      </w:r>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p>
    <w:p w14:paraId="652B4CB1">
      <w:pPr>
        <w:pageBreakBefore w:val="0"/>
        <w:widowControl w:val="0"/>
        <w:kinsoku/>
        <w:wordWrap/>
        <w:overflowPunct/>
        <w:topLinePunct w:val="0"/>
        <w:bidi w:val="0"/>
        <w:spacing w:line="360" w:lineRule="exact"/>
        <w:ind w:left="420" w:leftChars="0" w:hanging="420" w:hanging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中标人须按照</w:t>
      </w:r>
      <w:r>
        <w:rPr>
          <w:rFonts w:hint="eastAsia" w:ascii="宋体" w:hAnsi="宋体" w:eastAsia="宋体" w:cs="宋体"/>
          <w:color w:val="auto"/>
          <w:sz w:val="24"/>
          <w:szCs w:val="24"/>
          <w:highlight w:val="none"/>
          <w:u w:val="single"/>
        </w:rPr>
        <w:t>投标须知资料表</w:t>
      </w:r>
      <w:r>
        <w:rPr>
          <w:rFonts w:hint="eastAsia" w:ascii="宋体" w:hAnsi="宋体" w:eastAsia="宋体" w:cs="宋体"/>
          <w:color w:val="auto"/>
          <w:sz w:val="24"/>
          <w:szCs w:val="24"/>
          <w:highlight w:val="none"/>
        </w:rPr>
        <w:t>规定，向采购代理机构支付中标服务费。</w:t>
      </w:r>
    </w:p>
    <w:p w14:paraId="395E0E15">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1959" w:name="_Toc20219"/>
      <w:bookmarkStart w:id="1960" w:name="_Toc515647795"/>
      <w:bookmarkStart w:id="1961" w:name="_Toc14969"/>
      <w:bookmarkStart w:id="1962" w:name="_Toc9625"/>
      <w:bookmarkStart w:id="1963" w:name="_Toc7158"/>
      <w:bookmarkStart w:id="1964" w:name="_Toc28372"/>
      <w:bookmarkStart w:id="1965" w:name="_Toc26038"/>
      <w:bookmarkStart w:id="1966" w:name="_Toc25011"/>
      <w:bookmarkStart w:id="1967" w:name="_Toc29117"/>
      <w:bookmarkStart w:id="1968" w:name="_Toc16900"/>
      <w:bookmarkStart w:id="1969" w:name="_Toc30214"/>
      <w:bookmarkStart w:id="1970" w:name="_Toc11597"/>
      <w:bookmarkStart w:id="1971" w:name="_Toc14442"/>
      <w:bookmarkStart w:id="1972" w:name="_Toc7049"/>
      <w:bookmarkStart w:id="1973" w:name="_Toc365"/>
      <w:bookmarkStart w:id="1974" w:name="_Toc3263"/>
      <w:bookmarkStart w:id="1975" w:name="_Toc26896"/>
      <w:bookmarkStart w:id="1976" w:name="_Toc25076"/>
      <w:bookmarkStart w:id="1977" w:name="_Toc23330"/>
      <w:bookmarkStart w:id="1978" w:name="_Toc16905"/>
      <w:bookmarkStart w:id="1979" w:name="_Toc29687"/>
      <w:bookmarkStart w:id="1980" w:name="_Toc1592"/>
      <w:bookmarkStart w:id="1981" w:name="_Toc8503"/>
      <w:bookmarkStart w:id="1982" w:name="_Toc8477"/>
      <w:bookmarkStart w:id="1983" w:name="_Toc25982"/>
      <w:bookmarkStart w:id="1984" w:name="_Toc30107"/>
      <w:bookmarkStart w:id="1985" w:name="_Toc6626"/>
      <w:bookmarkStart w:id="1986" w:name="_Toc9363"/>
      <w:bookmarkStart w:id="1987" w:name="_Toc29584"/>
      <w:bookmarkStart w:id="1988" w:name="_Toc26840"/>
      <w:bookmarkStart w:id="1989" w:name="_Toc1224"/>
      <w:bookmarkStart w:id="1990" w:name="_Toc11984"/>
      <w:bookmarkStart w:id="1991" w:name="_Toc13012"/>
      <w:bookmarkStart w:id="1992" w:name="_Toc3584"/>
      <w:bookmarkStart w:id="1993" w:name="_Toc17807"/>
      <w:bookmarkStart w:id="1994" w:name="_Toc20843"/>
      <w:bookmarkStart w:id="1995" w:name="_Toc31379"/>
      <w:bookmarkStart w:id="1996" w:name="_Toc2419"/>
      <w:bookmarkStart w:id="1997" w:name="_Toc13990"/>
      <w:bookmarkStart w:id="1998" w:name="_Toc25232"/>
      <w:bookmarkStart w:id="1999" w:name="_Toc3053"/>
      <w:bookmarkStart w:id="2000" w:name="_Toc4947"/>
      <w:bookmarkStart w:id="2001" w:name="_Toc28049"/>
      <w:bookmarkStart w:id="2002" w:name="_Toc31201"/>
      <w:bookmarkStart w:id="2003" w:name="_Toc2245"/>
      <w:bookmarkStart w:id="2004" w:name="_Toc31423"/>
      <w:bookmarkStart w:id="2005" w:name="_Toc24031"/>
      <w:bookmarkStart w:id="2006" w:name="_Toc10050"/>
      <w:bookmarkStart w:id="2007" w:name="_Toc10747"/>
      <w:bookmarkStart w:id="2008" w:name="_Toc21755"/>
      <w:bookmarkStart w:id="2009" w:name="_Toc7265"/>
      <w:bookmarkStart w:id="2010" w:name="_Toc24525"/>
      <w:bookmarkStart w:id="2011" w:name="_Toc10756"/>
      <w:bookmarkStart w:id="2012" w:name="_Toc23477"/>
      <w:bookmarkStart w:id="2013" w:name="_Toc17470"/>
      <w:bookmarkStart w:id="2014" w:name="_Toc4845"/>
      <w:bookmarkStart w:id="2015" w:name="_Toc6923"/>
      <w:bookmarkStart w:id="2016" w:name="_Toc16722"/>
      <w:bookmarkStart w:id="2017" w:name="_Toc28073"/>
      <w:r>
        <w:rPr>
          <w:rFonts w:hint="eastAsia" w:ascii="宋体" w:hAnsi="宋体" w:eastAsia="宋体" w:cs="宋体"/>
          <w:b/>
          <w:bCs/>
          <w:color w:val="auto"/>
          <w:kern w:val="2"/>
          <w:sz w:val="24"/>
          <w:szCs w:val="24"/>
          <w:highlight w:val="none"/>
          <w:u w:val="none"/>
          <w:lang w:val="en-US" w:eastAsia="zh-CN" w:bidi="ar-SA"/>
        </w:rPr>
        <w:t>33.政府采购信用担保</w:t>
      </w:r>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p>
    <w:p w14:paraId="12E6CC1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   本项目是否属于信用担保试点范围见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3C812180">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   如属于政府采购信用担保试点范围内，中小型企业</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可以自由按照财政部门的规定，采用投标担保、履约担保和融资担保。</w:t>
      </w:r>
    </w:p>
    <w:p w14:paraId="132618E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33.2.1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递交的投标担</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和履约担</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应符合本招标文件的规定。</w:t>
      </w:r>
    </w:p>
    <w:p w14:paraId="78CC6C3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33.2.2 中标人可以采取融资担保的形式为政府采购项目履约进行融资。</w:t>
      </w:r>
    </w:p>
    <w:p w14:paraId="26524DE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33.2.3 合格的政府采购专业信用担保机构名单见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27CC8419">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018" w:name="_Toc26894"/>
      <w:bookmarkStart w:id="2019" w:name="_Toc623"/>
      <w:bookmarkStart w:id="2020" w:name="_Toc7635"/>
      <w:bookmarkStart w:id="2021" w:name="_Toc3713"/>
      <w:bookmarkStart w:id="2022" w:name="_Toc31178"/>
      <w:bookmarkStart w:id="2023" w:name="_Toc29108"/>
      <w:bookmarkStart w:id="2024" w:name="_Toc19633"/>
      <w:bookmarkStart w:id="2025" w:name="_Toc19888"/>
      <w:bookmarkStart w:id="2026" w:name="_Toc12158"/>
      <w:bookmarkStart w:id="2027" w:name="_Toc5438"/>
      <w:bookmarkStart w:id="2028" w:name="_Toc15505"/>
      <w:bookmarkStart w:id="2029" w:name="_Toc14268"/>
      <w:bookmarkStart w:id="2030" w:name="_Toc23161"/>
      <w:bookmarkStart w:id="2031" w:name="_Toc10305"/>
      <w:bookmarkStart w:id="2032" w:name="_Toc7459"/>
      <w:bookmarkStart w:id="2033" w:name="_Toc30794"/>
      <w:bookmarkStart w:id="2034" w:name="_Toc23999"/>
      <w:bookmarkStart w:id="2035" w:name="_Toc11552"/>
      <w:bookmarkStart w:id="2036" w:name="_Toc3656"/>
      <w:bookmarkStart w:id="2037" w:name="_Toc27009"/>
      <w:bookmarkStart w:id="2038" w:name="_Toc22463"/>
      <w:bookmarkStart w:id="2039" w:name="_Toc18611"/>
      <w:bookmarkStart w:id="2040" w:name="_Toc11707"/>
      <w:bookmarkStart w:id="2041" w:name="_Toc3616"/>
      <w:bookmarkStart w:id="2042" w:name="_Toc24958"/>
      <w:bookmarkStart w:id="2043" w:name="_Toc100"/>
      <w:bookmarkStart w:id="2044" w:name="_Toc20849"/>
      <w:bookmarkStart w:id="2045" w:name="_Toc27493"/>
      <w:bookmarkStart w:id="2046" w:name="_Toc515647796"/>
      <w:bookmarkStart w:id="2047" w:name="_Toc401"/>
      <w:bookmarkStart w:id="2048" w:name="_Toc18954"/>
      <w:bookmarkStart w:id="2049" w:name="_Toc32540"/>
      <w:bookmarkStart w:id="2050" w:name="_Toc5262"/>
      <w:bookmarkStart w:id="2051" w:name="_Toc5350"/>
      <w:bookmarkStart w:id="2052" w:name="_Toc31843"/>
      <w:bookmarkStart w:id="2053" w:name="_Toc7880"/>
      <w:bookmarkStart w:id="2054" w:name="_Toc19434"/>
      <w:bookmarkStart w:id="2055" w:name="_Toc25791"/>
      <w:bookmarkStart w:id="2056" w:name="_Toc7703"/>
      <w:bookmarkStart w:id="2057" w:name="_Toc22315"/>
      <w:bookmarkStart w:id="2058" w:name="_Toc11013"/>
      <w:bookmarkStart w:id="2059" w:name="_Toc5750"/>
      <w:bookmarkStart w:id="2060" w:name="_Toc16669"/>
      <w:bookmarkStart w:id="2061" w:name="_Toc32669"/>
      <w:bookmarkStart w:id="2062" w:name="_Toc24545"/>
      <w:bookmarkStart w:id="2063" w:name="_Toc2133"/>
      <w:bookmarkStart w:id="2064" w:name="_Toc22695"/>
      <w:bookmarkStart w:id="2065" w:name="_Toc10844"/>
      <w:bookmarkStart w:id="2066" w:name="_Toc28193"/>
      <w:bookmarkStart w:id="2067" w:name="_Toc6060"/>
      <w:bookmarkStart w:id="2068" w:name="_Toc28053"/>
      <w:bookmarkStart w:id="2069" w:name="_Toc19060"/>
      <w:bookmarkStart w:id="2070" w:name="_Toc15776"/>
      <w:bookmarkStart w:id="2071" w:name="_Toc5770"/>
      <w:bookmarkStart w:id="2072" w:name="_Toc32379"/>
      <w:bookmarkStart w:id="2073" w:name="_Toc31425"/>
      <w:bookmarkStart w:id="2074" w:name="_Toc25147"/>
      <w:bookmarkStart w:id="2075" w:name="_Toc19585"/>
      <w:bookmarkStart w:id="2076" w:name="_Toc20793"/>
      <w:r>
        <w:rPr>
          <w:rFonts w:hint="eastAsia" w:ascii="宋体" w:hAnsi="宋体" w:eastAsia="宋体" w:cs="宋体"/>
          <w:b/>
          <w:bCs/>
          <w:color w:val="auto"/>
          <w:kern w:val="2"/>
          <w:sz w:val="24"/>
          <w:szCs w:val="24"/>
          <w:highlight w:val="none"/>
          <w:u w:val="none"/>
          <w:lang w:val="en-US" w:eastAsia="zh-CN" w:bidi="ar-SA"/>
        </w:rPr>
        <w:t>34.廉洁自律规定</w:t>
      </w:r>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p>
    <w:p w14:paraId="6C5F89B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采购代理机构工作人员不得以不正当手段获取政府采购代理业务，不得与采购人、供应商恶意串通操纵政府采购活动。</w:t>
      </w:r>
    </w:p>
    <w:p w14:paraId="24EE43B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0C1AD878">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077" w:name="_Toc20451"/>
      <w:bookmarkStart w:id="2078" w:name="_Toc4102"/>
      <w:bookmarkStart w:id="2079" w:name="_Toc14907"/>
      <w:bookmarkStart w:id="2080" w:name="_Toc13914"/>
      <w:bookmarkStart w:id="2081" w:name="_Toc23126"/>
      <w:bookmarkStart w:id="2082" w:name="_Toc15644"/>
      <w:bookmarkStart w:id="2083" w:name="_Toc6587"/>
      <w:bookmarkStart w:id="2084" w:name="_Toc20945"/>
      <w:bookmarkStart w:id="2085" w:name="_Toc7741"/>
      <w:bookmarkStart w:id="2086" w:name="_Toc30009"/>
      <w:bookmarkStart w:id="2087" w:name="_Toc4757"/>
      <w:bookmarkStart w:id="2088" w:name="_Toc18931"/>
      <w:bookmarkStart w:id="2089" w:name="_Toc29018"/>
      <w:bookmarkStart w:id="2090" w:name="_Toc8370"/>
      <w:bookmarkStart w:id="2091" w:name="_Toc13468"/>
      <w:bookmarkStart w:id="2092" w:name="_Toc20413"/>
      <w:bookmarkStart w:id="2093" w:name="_Toc27265"/>
      <w:bookmarkStart w:id="2094" w:name="_Toc3585"/>
      <w:bookmarkStart w:id="2095" w:name="_Toc11586"/>
      <w:bookmarkStart w:id="2096" w:name="_Toc26971"/>
      <w:bookmarkStart w:id="2097" w:name="_Toc6929"/>
      <w:bookmarkStart w:id="2098" w:name="_Toc30045"/>
      <w:bookmarkStart w:id="2099" w:name="_Toc25732"/>
      <w:bookmarkStart w:id="2100" w:name="_Toc23695"/>
      <w:bookmarkStart w:id="2101" w:name="_Toc11250"/>
      <w:bookmarkStart w:id="2102" w:name="_Toc32400"/>
      <w:bookmarkStart w:id="2103" w:name="_Toc12422"/>
      <w:bookmarkStart w:id="2104" w:name="_Toc17375"/>
      <w:bookmarkStart w:id="2105" w:name="_Toc9421"/>
      <w:bookmarkStart w:id="2106" w:name="_Toc29873"/>
      <w:bookmarkStart w:id="2107" w:name="_Toc29037"/>
      <w:bookmarkStart w:id="2108" w:name="_Toc11695"/>
      <w:bookmarkStart w:id="2109" w:name="_Toc29594"/>
      <w:bookmarkStart w:id="2110" w:name="_Toc17670"/>
      <w:bookmarkStart w:id="2111" w:name="_Toc5069"/>
      <w:bookmarkStart w:id="2112" w:name="_Toc29035"/>
      <w:bookmarkStart w:id="2113" w:name="_Toc27794"/>
      <w:bookmarkStart w:id="2114" w:name="_Toc5448"/>
      <w:bookmarkStart w:id="2115" w:name="_Toc15949"/>
      <w:bookmarkStart w:id="2116" w:name="_Toc28123"/>
      <w:bookmarkStart w:id="2117" w:name="_Toc4826"/>
      <w:bookmarkStart w:id="2118" w:name="_Toc31630"/>
      <w:bookmarkStart w:id="2119" w:name="_Toc31981"/>
      <w:bookmarkStart w:id="2120" w:name="_Toc19368"/>
      <w:bookmarkStart w:id="2121" w:name="_Toc515647797"/>
      <w:bookmarkStart w:id="2122" w:name="_Toc23875"/>
      <w:bookmarkStart w:id="2123" w:name="_Toc21456"/>
      <w:bookmarkStart w:id="2124" w:name="_Toc27260"/>
      <w:bookmarkStart w:id="2125" w:name="_Toc3319"/>
      <w:bookmarkStart w:id="2126" w:name="_Toc26119"/>
      <w:bookmarkStart w:id="2127" w:name="_Toc20284"/>
      <w:bookmarkStart w:id="2128" w:name="_Toc25480"/>
      <w:bookmarkStart w:id="2129" w:name="_Toc17079"/>
      <w:bookmarkStart w:id="2130" w:name="_Toc19338"/>
      <w:bookmarkStart w:id="2131" w:name="_Toc4417"/>
      <w:bookmarkStart w:id="2132" w:name="_Toc28378"/>
      <w:bookmarkStart w:id="2133" w:name="_Toc27045"/>
      <w:bookmarkStart w:id="2134" w:name="_Toc17682"/>
      <w:bookmarkStart w:id="2135" w:name="_Toc30765"/>
      <w:r>
        <w:rPr>
          <w:rFonts w:hint="eastAsia" w:ascii="宋体" w:hAnsi="宋体" w:eastAsia="宋体" w:cs="宋体"/>
          <w:b/>
          <w:bCs/>
          <w:color w:val="auto"/>
          <w:kern w:val="2"/>
          <w:sz w:val="24"/>
          <w:szCs w:val="24"/>
          <w:highlight w:val="none"/>
          <w:u w:val="none"/>
          <w:lang w:val="en-US" w:eastAsia="zh-CN" w:bidi="ar-SA"/>
        </w:rPr>
        <w:t>35.人员回避</w:t>
      </w:r>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p>
    <w:p w14:paraId="5FB6E1E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认为采购人员及其相关人员有法律法规所列与其他供应商有利害关系的，可以向采购人或采购代理机构书面提出回避申请，并说明理由。</w:t>
      </w:r>
    </w:p>
    <w:p w14:paraId="690A153F">
      <w:pPr>
        <w:pStyle w:val="5"/>
        <w:pageBreakBefore w:val="0"/>
        <w:widowControl w:val="0"/>
        <w:numPr>
          <w:ilvl w:val="0"/>
          <w:numId w:val="0"/>
        </w:numPr>
        <w:kinsoku/>
        <w:wordWrap/>
        <w:overflowPunct/>
        <w:topLinePunct w:val="0"/>
        <w:bidi w:val="0"/>
        <w:spacing w:before="0" w:after="0" w:line="360" w:lineRule="exact"/>
        <w:ind w:left="0" w:leftChars="0"/>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136" w:name="_Toc8352"/>
      <w:bookmarkStart w:id="2137" w:name="_Toc12727"/>
      <w:bookmarkStart w:id="2138" w:name="_Toc12144"/>
      <w:bookmarkStart w:id="2139" w:name="_Toc1948"/>
      <w:bookmarkStart w:id="2140" w:name="_Toc25072"/>
      <w:bookmarkStart w:id="2141" w:name="_Toc427"/>
      <w:bookmarkStart w:id="2142" w:name="_Toc2750"/>
      <w:bookmarkStart w:id="2143" w:name="_Toc3991"/>
      <w:bookmarkStart w:id="2144" w:name="_Toc5829"/>
      <w:bookmarkStart w:id="2145" w:name="_Toc21766"/>
      <w:bookmarkStart w:id="2146" w:name="_Toc8082"/>
      <w:bookmarkStart w:id="2147" w:name="_Toc8645"/>
      <w:bookmarkStart w:id="2148" w:name="_Toc8144"/>
      <w:bookmarkStart w:id="2149" w:name="_Toc23339"/>
      <w:bookmarkStart w:id="2150" w:name="_Toc6387"/>
      <w:bookmarkStart w:id="2151" w:name="_Toc17209"/>
      <w:bookmarkStart w:id="2152" w:name="_Toc7238"/>
      <w:bookmarkStart w:id="2153" w:name="_Toc15630"/>
      <w:bookmarkStart w:id="2154" w:name="_Toc2844"/>
      <w:bookmarkStart w:id="2155" w:name="_Toc21847"/>
      <w:bookmarkStart w:id="2156" w:name="_Toc10042"/>
      <w:bookmarkStart w:id="2157" w:name="_Toc29119"/>
      <w:bookmarkStart w:id="2158" w:name="_Toc6634"/>
      <w:bookmarkStart w:id="2159" w:name="_Toc5907"/>
      <w:bookmarkStart w:id="2160" w:name="_Toc9357"/>
      <w:bookmarkStart w:id="2161" w:name="_Toc22831"/>
      <w:bookmarkStart w:id="2162" w:name="_Toc27972"/>
      <w:bookmarkStart w:id="2163" w:name="_Toc14457"/>
      <w:bookmarkStart w:id="2164" w:name="_Toc23090"/>
      <w:bookmarkStart w:id="2165" w:name="_Toc27421"/>
      <w:bookmarkStart w:id="2166" w:name="_Toc11645"/>
      <w:bookmarkStart w:id="2167" w:name="_Toc7870"/>
      <w:bookmarkStart w:id="2168" w:name="_Toc31967"/>
      <w:bookmarkStart w:id="2169" w:name="_Toc30943"/>
      <w:bookmarkStart w:id="2170" w:name="_Toc3765"/>
      <w:bookmarkStart w:id="2171" w:name="_Toc26773"/>
      <w:bookmarkStart w:id="2172" w:name="_Toc22542"/>
      <w:bookmarkStart w:id="2173" w:name="_Toc12470"/>
      <w:bookmarkStart w:id="2174" w:name="_Toc20087"/>
      <w:bookmarkStart w:id="2175" w:name="_Toc12880"/>
      <w:bookmarkStart w:id="2176" w:name="_Toc1324"/>
      <w:bookmarkStart w:id="2177" w:name="_Toc25174"/>
      <w:bookmarkStart w:id="2178" w:name="_Toc5566"/>
      <w:bookmarkStart w:id="2179" w:name="_Toc21912"/>
      <w:bookmarkStart w:id="2180" w:name="_Toc27328"/>
      <w:bookmarkStart w:id="2181" w:name="_Toc1162"/>
      <w:bookmarkStart w:id="2182" w:name="_Toc20864"/>
      <w:bookmarkStart w:id="2183" w:name="_Toc14473"/>
      <w:bookmarkStart w:id="2184" w:name="_Toc5309"/>
      <w:bookmarkStart w:id="2185" w:name="_Toc24333"/>
      <w:bookmarkStart w:id="2186" w:name="_Toc26015"/>
      <w:bookmarkStart w:id="2187" w:name="_Toc10123"/>
      <w:bookmarkStart w:id="2188" w:name="_Toc8024"/>
      <w:bookmarkStart w:id="2189" w:name="_Toc7903"/>
      <w:bookmarkStart w:id="2190" w:name="_Toc19156"/>
      <w:r>
        <w:rPr>
          <w:rFonts w:hint="eastAsia" w:ascii="宋体" w:hAnsi="宋体" w:eastAsia="宋体" w:cs="宋体"/>
          <w:b/>
          <w:bCs/>
          <w:color w:val="auto"/>
          <w:kern w:val="2"/>
          <w:sz w:val="24"/>
          <w:szCs w:val="24"/>
          <w:highlight w:val="none"/>
          <w:u w:val="none"/>
          <w:lang w:val="en-US" w:eastAsia="zh-CN" w:bidi="ar-SA"/>
        </w:rPr>
        <w:t>36.质疑与接收</w:t>
      </w:r>
      <w:bookmarkEnd w:id="25"/>
      <w:bookmarkEnd w:id="26"/>
      <w:bookmarkEnd w:id="27"/>
      <w:bookmarkEnd w:id="28"/>
      <w:bookmarkEnd w:id="29"/>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p>
    <w:p w14:paraId="19E5078F">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1AB1292A">
      <w:pPr>
        <w:pStyle w:val="36"/>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557397F6">
      <w:pPr>
        <w:pStyle w:val="36"/>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1386FBA2">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6CC0F2E9">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36.5  采购代理机构质疑函接收部门、联系电话和通讯地址, 见</w:t>
      </w:r>
      <w:r>
        <w:rPr>
          <w:rFonts w:hint="eastAsia" w:ascii="宋体" w:hAnsi="宋体" w:eastAsia="宋体" w:cs="宋体"/>
          <w:color w:val="auto"/>
          <w:sz w:val="24"/>
          <w:szCs w:val="24"/>
          <w:highlight w:val="none"/>
          <w:u w:val="single"/>
        </w:rPr>
        <w:t>供应商须知资料表。</w:t>
      </w:r>
    </w:p>
    <w:p w14:paraId="6E1979D8">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36.6   供应商认为采购文件、采购过程和中标结果使自己的权益受到损害的，可以在知道或者应知其权益受到损害之日起7个工作日内，以书面形式向采购方提出质疑。供应商应知其权益受到损害之日，是指：</w:t>
      </w:r>
    </w:p>
    <w:p w14:paraId="65D93C94">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（一）对可以质疑的采购文件提出质疑的，为收到采购文件之日或者采购文件公告期限届满之日；</w:t>
      </w:r>
    </w:p>
    <w:p w14:paraId="549AB181">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（二）对采购过程提出质疑的，为各采购程序环节结束之日；</w:t>
      </w:r>
    </w:p>
    <w:p w14:paraId="2F6052A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（三）对中标结果提出质疑的，为中标结果公告期限届满之日。</w:t>
      </w:r>
    </w:p>
    <w:p w14:paraId="2B621AC7">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 xml:space="preserve">36.7   </w:t>
      </w:r>
      <w:r>
        <w:rPr>
          <w:rFonts w:hint="eastAsia" w:ascii="宋体" w:hAnsi="宋体" w:eastAsia="宋体" w:cs="宋体"/>
          <w:b w:val="0"/>
          <w:bCs w:val="0"/>
          <w:color w:val="auto"/>
          <w:sz w:val="24"/>
          <w:szCs w:val="24"/>
          <w:highlight w:val="none"/>
          <w:lang w:val="en-US" w:eastAsia="zh-CN"/>
        </w:rPr>
        <w:t>供应商在法定质疑期内只能一次性提出针对同一采购程序环节的质疑，否则不予受理。</w:t>
      </w:r>
    </w:p>
    <w:p w14:paraId="18BC6F10">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36.8   </w:t>
      </w:r>
      <w:r>
        <w:rPr>
          <w:rFonts w:hint="eastAsia" w:ascii="宋体" w:hAnsi="宋体" w:eastAsia="宋体" w:cs="宋体"/>
          <w:b w:val="0"/>
          <w:bCs w:val="0"/>
          <w:color w:val="auto"/>
          <w:sz w:val="24"/>
          <w:szCs w:val="24"/>
          <w:highlight w:val="none"/>
        </w:rPr>
        <w:t>对可以质</w:t>
      </w:r>
      <w:r>
        <w:rPr>
          <w:rFonts w:hint="eastAsia" w:ascii="宋体" w:hAnsi="宋体" w:eastAsia="宋体" w:cs="宋体"/>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6B57B0B8">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对采购过程和中标结果提出质疑的，质疑人为直接参与本项目的报价方。采购过程,即从采购项目信息公告发布起到中标结果公告止，包括采购文件的发出、提交</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开启、评审等各个采购程序环节。</w:t>
      </w:r>
    </w:p>
    <w:p w14:paraId="65A11D7E">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提出质疑应当符合下列条件：</w:t>
      </w:r>
    </w:p>
    <w:p w14:paraId="7C09F8D7">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（一）质疑主体应当符合有关规定；</w:t>
      </w:r>
    </w:p>
    <w:p w14:paraId="6A38F2A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（二）在质疑法定期限内提出；</w:t>
      </w:r>
    </w:p>
    <w:p w14:paraId="36478D74">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（三）属于可以提出质疑的政府采购事项受理范围和本项目采购人的管辖权范围；</w:t>
      </w:r>
    </w:p>
    <w:p w14:paraId="65BD4E3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（四）政府采购法律、法规、规章规定的其他条件。</w:t>
      </w:r>
    </w:p>
    <w:p w14:paraId="6261D3AF">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8057DC3">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质疑人所提供的证明材料应当具有真实性、合法性以及与质疑事项的关联性和证明力，否则不能作为认定该质疑事项成立的依据。</w:t>
      </w:r>
    </w:p>
    <w:p w14:paraId="3AC9C30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质疑人提出质疑时应当提交质疑函。质疑函包括下列内容：</w:t>
      </w:r>
    </w:p>
    <w:p w14:paraId="1A556BFB">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（一）提出质疑的质疑人的名称、地址、邮编、联系人及联系电话等；</w:t>
      </w:r>
    </w:p>
    <w:p w14:paraId="7B2FD58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15D26306">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w:t>
      </w:r>
    </w:p>
    <w:p w14:paraId="4D5D8A8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（四）事实依据和证明材料；</w:t>
      </w:r>
    </w:p>
    <w:p w14:paraId="0E14BAEF">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030EC39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7C9D2592">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352D769">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 xml:space="preserve">  质疑人可以委托代理人进行质疑。代理人应当提交授权委托书。授权委托书应当载明委托代理的具体权限、期限和相关事项。</w:t>
      </w:r>
    </w:p>
    <w:p w14:paraId="1330CE30">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质疑的审查和受理</w:t>
      </w:r>
    </w:p>
    <w:p w14:paraId="45CA881E">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采购方在收到质疑函后应当及时审查是否符合质疑受理条件，对符合质疑受理条件的，及时予以受理。</w:t>
      </w:r>
    </w:p>
    <w:p w14:paraId="728416D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对不符合质疑受理条件的，分别按照下列不同情形予以处理：</w:t>
      </w:r>
    </w:p>
    <w:p w14:paraId="295B9F90">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6D776F8F">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（二）质疑主体不符合有关规定的，告知质疑人不予受理；</w:t>
      </w:r>
    </w:p>
    <w:p w14:paraId="48F8396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（三）超过质疑法定期限提出质疑的，告知质疑人不予受理；</w:t>
      </w:r>
    </w:p>
    <w:p w14:paraId="5D99232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（四）对不属于可以提出质疑的政府采购事项提出质疑的，告知质疑人不予受理；</w:t>
      </w:r>
    </w:p>
    <w:p w14:paraId="690B0ADC">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（五）质疑不属于本项目采购方管辖的，告知质疑人向有管辖权的采购人提出质疑；</w:t>
      </w:r>
    </w:p>
    <w:p w14:paraId="4ECBCA7E">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（六）质疑不符合其他条件的，告知质疑人不予受理。</w:t>
      </w:r>
    </w:p>
    <w:p w14:paraId="550C1A9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质疑的处理和答复</w:t>
      </w:r>
    </w:p>
    <w:p w14:paraId="132BC56A">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采购方受理质疑后，将及时把质疑函发送给被质疑人，并要求其在一定限期内提交书面答复，同时提供有关证据、依据和相关材料。</w:t>
      </w:r>
    </w:p>
    <w:p w14:paraId="4BD40A16">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 xml:space="preserve">  对于质疑事项中涉及的问题较多、情况比较复杂的，为了全面查清事实、取得充分的证据，采购方认为有必要时，可以进行调查取证或者组织质证。</w:t>
      </w:r>
    </w:p>
    <w:p w14:paraId="0F07B5DC">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 xml:space="preserve">  对评审过程、中标结果提出质疑的，采购方可以组织原评审委员会协助答复质疑。</w:t>
      </w:r>
    </w:p>
    <w:p w14:paraId="787D229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质疑处理过程中，质疑人书面申请撤回质疑的，将终止质疑处理程序。</w:t>
      </w:r>
    </w:p>
    <w:p w14:paraId="43746ACE">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06D7759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35046824">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采购方将在正式受理质疑后7个工作日内作出答复。</w:t>
      </w:r>
      <w:r>
        <w:rPr>
          <w:rFonts w:hint="eastAsia" w:ascii="宋体" w:hAnsi="宋体" w:eastAsia="宋体" w:cs="宋体"/>
          <w:color w:val="auto"/>
          <w:sz w:val="24"/>
          <w:szCs w:val="24"/>
          <w:highlight w:val="none"/>
          <w:lang w:val="en-US" w:eastAsia="zh-CN"/>
        </w:rPr>
        <w:t xml:space="preserve"> </w:t>
      </w:r>
    </w:p>
    <w:p w14:paraId="0435F2B3">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质疑答复应当包括下列内容：</w:t>
      </w:r>
    </w:p>
    <w:p w14:paraId="52463C51">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（一）质疑人的姓名或者名称；</w:t>
      </w:r>
    </w:p>
    <w:p w14:paraId="356C2A64">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（二）收到质疑函的日期、质疑项目名称及编号；</w:t>
      </w:r>
    </w:p>
    <w:p w14:paraId="26B27687">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（三）质疑事项、质疑答复的具体内容、事实依据和法律依据；</w:t>
      </w:r>
    </w:p>
    <w:p w14:paraId="24675D7B">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（四）告知质疑供应商依法投诉的权利；</w:t>
      </w:r>
    </w:p>
    <w:p w14:paraId="1EC17ED7">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（五）质疑答复人名称；</w:t>
      </w:r>
    </w:p>
    <w:p w14:paraId="5E761036">
      <w:pPr>
        <w:pStyle w:val="36"/>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（六）答复质疑的日期。</w:t>
      </w:r>
    </w:p>
    <w:p w14:paraId="28D662BD">
      <w:pPr>
        <w:pStyle w:val="5"/>
        <w:pageBreakBefore w:val="0"/>
        <w:widowControl w:val="0"/>
        <w:numPr>
          <w:ilvl w:val="0"/>
          <w:numId w:val="0"/>
        </w:numPr>
        <w:kinsoku/>
        <w:wordWrap/>
        <w:overflowPunct/>
        <w:topLinePunct w:val="0"/>
        <w:bidi w:val="0"/>
        <w:spacing w:before="0" w:after="0" w:line="360" w:lineRule="exact"/>
        <w:ind w:left="0" w:leftChars="0"/>
        <w:jc w:val="center"/>
        <w:textAlignment w:val="auto"/>
        <w:outlineLvl w:val="2"/>
        <w:rPr>
          <w:rFonts w:hint="eastAsia" w:ascii="宋体" w:hAnsi="宋体" w:eastAsia="宋体" w:cs="宋体"/>
          <w:b/>
          <w:bCs/>
          <w:color w:val="auto"/>
          <w:kern w:val="2"/>
          <w:sz w:val="24"/>
          <w:szCs w:val="24"/>
          <w:highlight w:val="none"/>
          <w:u w:val="none"/>
          <w:lang w:val="en-US" w:eastAsia="zh-CN" w:bidi="ar-SA"/>
        </w:rPr>
      </w:pPr>
      <w:bookmarkStart w:id="2191" w:name="_Toc6493"/>
      <w:bookmarkStart w:id="2192" w:name="_Toc2072"/>
      <w:bookmarkStart w:id="2193" w:name="_Toc30543"/>
      <w:bookmarkStart w:id="2194" w:name="_Toc9003"/>
      <w:bookmarkStart w:id="2195" w:name="_Toc5728"/>
      <w:bookmarkStart w:id="2196" w:name="_Toc3696"/>
      <w:bookmarkStart w:id="2197" w:name="_Toc4474"/>
      <w:bookmarkStart w:id="2198" w:name="_Toc3750"/>
      <w:bookmarkStart w:id="2199" w:name="_Toc25636"/>
      <w:bookmarkStart w:id="2200" w:name="_Toc23411"/>
      <w:bookmarkStart w:id="2201" w:name="_Toc18518"/>
      <w:bookmarkStart w:id="2202" w:name="_Toc11297"/>
      <w:bookmarkStart w:id="2203" w:name="_Toc13021"/>
      <w:bookmarkStart w:id="2204" w:name="_Toc9437"/>
      <w:bookmarkStart w:id="2205" w:name="_Toc29230"/>
      <w:bookmarkStart w:id="2206" w:name="_Toc15388"/>
      <w:bookmarkStart w:id="2207" w:name="_Toc2500"/>
      <w:bookmarkStart w:id="2208" w:name="_Toc25633"/>
      <w:bookmarkStart w:id="2209" w:name="_Toc6405"/>
      <w:bookmarkStart w:id="2210" w:name="_Toc27146"/>
      <w:bookmarkStart w:id="2211" w:name="_Toc30512"/>
      <w:bookmarkStart w:id="2212" w:name="_Toc1369"/>
      <w:bookmarkStart w:id="2213" w:name="_Toc2799"/>
      <w:bookmarkStart w:id="2214" w:name="_Toc29563"/>
      <w:bookmarkStart w:id="2215" w:name="_Toc24314"/>
      <w:bookmarkStart w:id="2216" w:name="_Toc24622"/>
      <w:bookmarkStart w:id="2217" w:name="_Toc1819"/>
      <w:bookmarkStart w:id="2218" w:name="_Toc20672"/>
      <w:bookmarkStart w:id="2219" w:name="_Toc20378"/>
      <w:bookmarkStart w:id="2220" w:name="_Toc27096"/>
      <w:bookmarkStart w:id="2221" w:name="_Toc27601"/>
      <w:bookmarkStart w:id="2222" w:name="_Toc16553"/>
      <w:bookmarkStart w:id="2223" w:name="_Toc8353"/>
      <w:bookmarkStart w:id="2224" w:name="_Toc30855"/>
      <w:bookmarkStart w:id="2225" w:name="_Toc7283"/>
      <w:bookmarkStart w:id="2226" w:name="_Toc30986"/>
      <w:bookmarkStart w:id="2227" w:name="_Toc30093"/>
      <w:bookmarkStart w:id="2228" w:name="_Toc23799"/>
      <w:bookmarkStart w:id="2229" w:name="_Toc24946"/>
      <w:bookmarkStart w:id="2230" w:name="_Toc532"/>
      <w:bookmarkStart w:id="2231" w:name="_Toc24180"/>
      <w:bookmarkStart w:id="2232" w:name="_Toc22908"/>
      <w:bookmarkStart w:id="2233" w:name="_Toc29087"/>
      <w:bookmarkStart w:id="2234" w:name="_Toc11447"/>
      <w:bookmarkStart w:id="2235" w:name="_Toc2270"/>
      <w:bookmarkStart w:id="2236" w:name="_Toc5175"/>
      <w:bookmarkStart w:id="2237" w:name="_Toc12538"/>
      <w:bookmarkStart w:id="2238" w:name="_Toc11973"/>
      <w:bookmarkStart w:id="2239" w:name="_Toc12088"/>
      <w:bookmarkStart w:id="2240" w:name="_Toc1801"/>
      <w:r>
        <w:rPr>
          <w:rFonts w:hint="eastAsia" w:ascii="宋体" w:hAnsi="宋体" w:eastAsia="宋体" w:cs="宋体"/>
          <w:b/>
          <w:bCs/>
          <w:color w:val="auto"/>
          <w:kern w:val="2"/>
          <w:sz w:val="24"/>
          <w:szCs w:val="24"/>
          <w:highlight w:val="none"/>
          <w:u w:val="none"/>
          <w:lang w:val="en-US" w:eastAsia="zh-CN" w:bidi="ar-SA"/>
        </w:rPr>
        <w:t>质疑函范本</w:t>
      </w:r>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p>
    <w:p w14:paraId="2B52367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5D5A9C25">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single"/>
        </w:rPr>
        <w:t xml:space="preserve">                                        </w:t>
      </w:r>
    </w:p>
    <w:p w14:paraId="4B23670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459C2EB2">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3EFB3B9">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single"/>
        </w:rPr>
        <w:t xml:space="preserve">                                          </w:t>
      </w:r>
    </w:p>
    <w:p w14:paraId="181D2CF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04394098">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253C4DCD">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748FAF0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single"/>
        </w:rPr>
        <w:t xml:space="preserve">                                      </w:t>
      </w:r>
    </w:p>
    <w:p w14:paraId="1EFC9CB7">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1E05A66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single"/>
        </w:rPr>
        <w:t xml:space="preserve">                                         </w:t>
      </w:r>
    </w:p>
    <w:p w14:paraId="3FFCBE7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single"/>
        </w:rPr>
        <w:t xml:space="preserve">                                           </w:t>
      </w:r>
    </w:p>
    <w:p w14:paraId="17D49885">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2EEAD98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single"/>
        </w:rPr>
        <w:t xml:space="preserve">                                         </w:t>
      </w:r>
    </w:p>
    <w:p w14:paraId="6FF31DD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single"/>
        </w:rPr>
        <w:t xml:space="preserve">                                          </w:t>
      </w:r>
    </w:p>
    <w:p w14:paraId="60DF6143">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p w14:paraId="799D8451">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single"/>
        </w:rPr>
        <w:t xml:space="preserve">                                          </w:t>
      </w:r>
    </w:p>
    <w:p w14:paraId="4C517D6C">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single"/>
        </w:rPr>
        <w:t xml:space="preserve">                                                     </w:t>
      </w:r>
    </w:p>
    <w:p w14:paraId="2FDA29F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545254AD">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427D3005">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61C5A111">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single"/>
        </w:rPr>
        <w:t xml:space="preserve">                                               </w:t>
      </w:r>
    </w:p>
    <w:p w14:paraId="0B5354B6">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2B6182E7">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5E19C30E">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p>
    <w:p w14:paraId="21F90D4E">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5419E7EA">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0A2D97C6">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3405D1A9">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进行质疑，质疑函中应列明具体分</w:t>
      </w:r>
      <w:r>
        <w:rPr>
          <w:rFonts w:hint="eastAsia" w:ascii="宋体" w:hAnsi="宋体" w:cs="宋体"/>
          <w:color w:val="auto"/>
          <w:sz w:val="24"/>
          <w:szCs w:val="24"/>
          <w:highlight w:val="none"/>
          <w:lang w:eastAsia="zh-CN"/>
        </w:rPr>
        <w:t>标项</w:t>
      </w:r>
      <w:r>
        <w:rPr>
          <w:rFonts w:hint="eastAsia" w:ascii="宋体" w:hAnsi="宋体" w:eastAsia="宋体" w:cs="宋体"/>
          <w:color w:val="auto"/>
          <w:sz w:val="24"/>
          <w:szCs w:val="24"/>
          <w:highlight w:val="none"/>
        </w:rPr>
        <w:t>号。</w:t>
      </w:r>
    </w:p>
    <w:p w14:paraId="47995425">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18E06C1E">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69E0DC90">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6CE62D90">
      <w:pPr>
        <w:pStyle w:val="6"/>
        <w:spacing w:line="400" w:lineRule="exact"/>
        <w:ind w:firstLine="0"/>
        <w:rPr>
          <w:rFonts w:hint="eastAsia" w:ascii="宋体" w:hAnsi="宋体" w:eastAsia="宋体" w:cs="宋体"/>
          <w:color w:val="auto"/>
          <w:kern w:val="2"/>
          <w:sz w:val="21"/>
          <w:szCs w:val="21"/>
          <w:highlight w:val="none"/>
        </w:rPr>
      </w:pPr>
      <w:r>
        <w:rPr>
          <w:rFonts w:hint="eastAsia" w:ascii="宋体" w:hAnsi="宋体" w:eastAsia="宋体" w:cs="宋体"/>
          <w:b/>
          <w:color w:val="auto"/>
          <w:szCs w:val="24"/>
          <w:highlight w:val="none"/>
        </w:rPr>
        <w:br w:type="page"/>
      </w:r>
    </w:p>
    <w:p w14:paraId="7EFE5D85">
      <w:pPr>
        <w:pStyle w:val="6"/>
        <w:ind w:firstLine="0"/>
        <w:jc w:val="center"/>
        <w:outlineLvl w:val="0"/>
        <w:rPr>
          <w:rFonts w:hint="eastAsia" w:ascii="宋体" w:hAnsi="宋体" w:eastAsia="宋体" w:cs="宋体"/>
          <w:b/>
          <w:bCs/>
          <w:color w:val="auto"/>
          <w:sz w:val="32"/>
          <w:szCs w:val="32"/>
          <w:highlight w:val="none"/>
        </w:rPr>
      </w:pPr>
      <w:bookmarkStart w:id="2241" w:name="_Toc9181"/>
      <w:bookmarkStart w:id="2242" w:name="_Toc29770"/>
      <w:bookmarkStart w:id="2243" w:name="_Toc515647802"/>
      <w:bookmarkStart w:id="2244" w:name="_Toc702"/>
      <w:bookmarkStart w:id="2245" w:name="_Toc3574"/>
      <w:bookmarkStart w:id="2246" w:name="_Toc728"/>
      <w:bookmarkStart w:id="2247" w:name="_Toc216582812"/>
      <w:bookmarkStart w:id="2248" w:name="_Toc31373"/>
      <w:bookmarkStart w:id="2249" w:name="_Toc21988"/>
      <w:r>
        <w:rPr>
          <w:rFonts w:hint="eastAsia" w:ascii="宋体" w:hAnsi="宋体" w:eastAsia="宋体" w:cs="宋体"/>
          <w:b/>
          <w:bCs/>
          <w:color w:val="auto"/>
          <w:sz w:val="32"/>
          <w:szCs w:val="32"/>
          <w:highlight w:val="none"/>
          <w:lang w:val="en-US" w:eastAsia="zh-CN"/>
        </w:rPr>
        <w:t>第2章  投标文件格式</w:t>
      </w:r>
      <w:bookmarkEnd w:id="2241"/>
      <w:bookmarkEnd w:id="2242"/>
      <w:bookmarkEnd w:id="2243"/>
      <w:bookmarkEnd w:id="2244"/>
      <w:bookmarkEnd w:id="2245"/>
      <w:bookmarkEnd w:id="2246"/>
      <w:bookmarkEnd w:id="2247"/>
      <w:bookmarkEnd w:id="2248"/>
      <w:bookmarkEnd w:id="2249"/>
    </w:p>
    <w:p w14:paraId="5B7F85B9">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2250" w:name="_Toc32566"/>
      <w:bookmarkStart w:id="2251" w:name="_Toc32123"/>
      <w:bookmarkStart w:id="2252" w:name="_Toc18974"/>
      <w:bookmarkStart w:id="2253" w:name="_Toc22572"/>
      <w:bookmarkStart w:id="2254" w:name="_Toc17114"/>
      <w:bookmarkStart w:id="2255" w:name="_Toc515647803"/>
      <w:bookmarkStart w:id="2256" w:name="_Toc32079"/>
      <w:bookmarkStart w:id="2257" w:name="_Toc18694"/>
      <w:bookmarkStart w:id="2258" w:name="_Toc16148"/>
      <w:bookmarkStart w:id="2259" w:name="_Toc16750"/>
      <w:bookmarkStart w:id="2260" w:name="_Toc11138"/>
      <w:bookmarkStart w:id="2261" w:name="_Toc515647804"/>
      <w:bookmarkStart w:id="2262" w:name="_Toc30524"/>
      <w:bookmarkStart w:id="2263" w:name="_Toc522"/>
      <w:bookmarkStart w:id="2264" w:name="_Toc16568"/>
      <w:bookmarkStart w:id="2265" w:name="_Toc21614"/>
      <w:bookmarkStart w:id="2266" w:name="_Toc14118"/>
      <w:bookmarkStart w:id="2267" w:name="_Toc30630"/>
      <w:bookmarkStart w:id="2268" w:name="_Toc13595"/>
      <w:bookmarkStart w:id="2269" w:name="_Toc29091"/>
      <w:bookmarkStart w:id="2270" w:name="_Toc3620"/>
      <w:bookmarkStart w:id="2271" w:name="_Toc216582813"/>
      <w:bookmarkStart w:id="2272" w:name="_Toc480942349"/>
      <w:bookmarkStart w:id="2273" w:name="_Ref467988698"/>
      <w:bookmarkStart w:id="2274" w:name="_Toc520356217"/>
      <w:r>
        <w:rPr>
          <w:rFonts w:hint="eastAsia" w:ascii="宋体" w:hAnsi="宋体" w:eastAsia="宋体" w:cs="宋体"/>
          <w:color w:val="auto"/>
          <w:sz w:val="28"/>
          <w:szCs w:val="28"/>
          <w:highlight w:val="none"/>
          <w:lang w:val="en-US" w:eastAsia="zh-CN"/>
        </w:rPr>
        <w:t>第一部分 开标一览表及资格证明文件</w:t>
      </w:r>
      <w:bookmarkEnd w:id="2250"/>
      <w:bookmarkEnd w:id="2251"/>
      <w:bookmarkEnd w:id="2252"/>
      <w:bookmarkEnd w:id="2253"/>
      <w:bookmarkEnd w:id="2254"/>
      <w:bookmarkEnd w:id="2255"/>
      <w:bookmarkEnd w:id="2256"/>
      <w:bookmarkEnd w:id="2257"/>
      <w:bookmarkEnd w:id="2258"/>
    </w:p>
    <w:p w14:paraId="1CC4E898">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开标一览表</w:t>
      </w:r>
      <w:r>
        <w:rPr>
          <w:rFonts w:hint="eastAsia" w:ascii="宋体" w:hAnsi="宋体" w:eastAsia="宋体" w:cs="宋体"/>
          <w:color w:val="auto"/>
          <w:sz w:val="24"/>
          <w:szCs w:val="24"/>
          <w:highlight w:val="none"/>
          <w:lang w:eastAsia="zh-CN"/>
        </w:rPr>
        <w:t>；</w:t>
      </w:r>
    </w:p>
    <w:p w14:paraId="76644CE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具有有效的营业执照</w:t>
      </w:r>
      <w:r>
        <w:rPr>
          <w:rFonts w:hint="eastAsia" w:ascii="宋体" w:hAnsi="宋体" w:eastAsia="宋体" w:cs="宋体"/>
          <w:color w:val="auto"/>
          <w:sz w:val="24"/>
          <w:szCs w:val="24"/>
          <w:highlight w:val="none"/>
          <w:lang w:eastAsia="zh-CN"/>
        </w:rPr>
        <w:t>；</w:t>
      </w:r>
    </w:p>
    <w:p w14:paraId="6193C9D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法定代表人资格证明；</w:t>
      </w:r>
    </w:p>
    <w:p w14:paraId="3E629C0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4.提供近两年内任意一年的财务审计报告（成立未满十二个月的新公司可提供近三个月内任意一个月的银行资信证明）</w:t>
      </w:r>
      <w:r>
        <w:rPr>
          <w:rFonts w:hint="eastAsia" w:ascii="宋体" w:hAnsi="宋体" w:eastAsia="宋体" w:cs="宋体"/>
          <w:color w:val="auto"/>
          <w:sz w:val="24"/>
          <w:szCs w:val="24"/>
          <w:highlight w:val="none"/>
          <w:lang w:eastAsia="zh-CN"/>
        </w:rPr>
        <w:t>；</w:t>
      </w:r>
    </w:p>
    <w:p w14:paraId="5656471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依法缴纳近六个月内任意一个月的社会保险证明；</w:t>
      </w:r>
    </w:p>
    <w:p w14:paraId="56CF115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依法缴纳近六个月内任意一个月的税收证明；</w:t>
      </w:r>
    </w:p>
    <w:p w14:paraId="30A5761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4D70041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参加政府采购活动前三年内在经营活动中没有重大违法记录的书面声明；</w:t>
      </w:r>
    </w:p>
    <w:p w14:paraId="0CC723BB">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缴纳投标保证金的有效凭证；</w:t>
      </w:r>
    </w:p>
    <w:p w14:paraId="3FF0942F">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银行开户许可证复印件或银行基本账户信息(包含：银行账号及开户行名称）；</w:t>
      </w:r>
    </w:p>
    <w:p w14:paraId="527DE3FF">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.供应商可提供有利于投标的其他资格证明材料。</w:t>
      </w:r>
    </w:p>
    <w:p w14:paraId="08819983">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1"/>
          <w:szCs w:val="21"/>
          <w:highlight w:val="none"/>
        </w:rPr>
      </w:pPr>
    </w:p>
    <w:p w14:paraId="7C5E3F25">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各供应商应注意以下事项：①本项目要求各投标供应商提供“</w:t>
      </w:r>
      <w:r>
        <w:rPr>
          <w:rFonts w:hint="eastAsia" w:ascii="宋体" w:hAnsi="宋体" w:eastAsia="宋体" w:cs="宋体"/>
          <w:b/>
          <w:bCs/>
          <w:color w:val="auto"/>
          <w:sz w:val="21"/>
          <w:szCs w:val="21"/>
          <w:highlight w:val="none"/>
          <w:lang w:eastAsia="zh-CN"/>
        </w:rPr>
        <w:t>依法缴纳近六个月内任意一个月的税收证明</w:t>
      </w:r>
      <w:r>
        <w:rPr>
          <w:rFonts w:hint="eastAsia" w:ascii="宋体" w:hAnsi="宋体" w:eastAsia="宋体" w:cs="宋体"/>
          <w:b/>
          <w:bCs/>
          <w:color w:val="auto"/>
          <w:sz w:val="21"/>
          <w:szCs w:val="21"/>
          <w:highlight w:val="none"/>
        </w:rPr>
        <w:t>”，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4DB0B2A0">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bookmarkEnd w:id="2259"/>
    <w:bookmarkEnd w:id="2260"/>
    <w:bookmarkEnd w:id="2261"/>
    <w:bookmarkEnd w:id="2262"/>
    <w:bookmarkEnd w:id="2263"/>
    <w:bookmarkEnd w:id="2264"/>
    <w:bookmarkEnd w:id="2265"/>
    <w:bookmarkEnd w:id="2266"/>
    <w:bookmarkEnd w:id="2267"/>
    <w:bookmarkEnd w:id="2268"/>
    <w:bookmarkEnd w:id="2269"/>
    <w:bookmarkEnd w:id="2270"/>
    <w:p w14:paraId="65050F72">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275" w:name="_Toc22726"/>
      <w:bookmarkStart w:id="2276" w:name="_Toc12356"/>
      <w:bookmarkStart w:id="2277" w:name="_Toc8623"/>
      <w:r>
        <w:rPr>
          <w:rFonts w:hint="eastAsia" w:ascii="宋体" w:hAnsi="宋体" w:eastAsia="宋体" w:cs="宋体"/>
          <w:b/>
          <w:bCs/>
          <w:color w:val="auto"/>
          <w:sz w:val="28"/>
          <w:szCs w:val="28"/>
          <w:highlight w:val="none"/>
          <w:u w:val="none"/>
        </w:rPr>
        <w:t>1.开标一览表；</w:t>
      </w:r>
      <w:bookmarkEnd w:id="2275"/>
      <w:bookmarkEnd w:id="2276"/>
      <w:bookmarkEnd w:id="2277"/>
    </w:p>
    <w:p w14:paraId="07172C0D">
      <w:pPr>
        <w:pStyle w:val="6"/>
        <w:tabs>
          <w:tab w:val="left" w:pos="5580"/>
        </w:tabs>
        <w:spacing w:line="400" w:lineRule="exact"/>
        <w:ind w:left="1080" w:leftChars="257" w:hanging="540"/>
        <w:jc w:val="center"/>
        <w:rPr>
          <w:rFonts w:hint="eastAsia" w:ascii="宋体" w:hAnsi="宋体" w:eastAsia="宋体" w:cs="宋体"/>
          <w:color w:val="auto"/>
          <w:highlight w:val="none"/>
        </w:rPr>
      </w:pPr>
      <w:bookmarkStart w:id="2278" w:name="_Hlt520356241"/>
      <w:bookmarkEnd w:id="2278"/>
      <w:bookmarkStart w:id="2279" w:name="_Toc494296984"/>
      <w:r>
        <w:rPr>
          <w:rFonts w:hint="eastAsia" w:ascii="宋体" w:hAnsi="宋体" w:eastAsia="宋体" w:cs="宋体"/>
          <w:b/>
          <w:color w:val="auto"/>
          <w:highlight w:val="none"/>
        </w:rPr>
        <w:t>开标一览表</w:t>
      </w:r>
      <w:bookmarkEnd w:id="2279"/>
    </w:p>
    <w:p w14:paraId="7569F4AB">
      <w:pPr>
        <w:tabs>
          <w:tab w:val="left" w:pos="1800"/>
          <w:tab w:val="left" w:pos="5580"/>
        </w:tabs>
        <w:spacing w:line="400" w:lineRule="exact"/>
        <w:ind w:left="1080" w:leftChars="257" w:right="-867" w:rightChars="-413"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项目编号：                          </w:t>
      </w:r>
    </w:p>
    <w:p w14:paraId="1C802D9F">
      <w:pPr>
        <w:tabs>
          <w:tab w:val="left" w:pos="1800"/>
          <w:tab w:val="left" w:pos="5580"/>
        </w:tabs>
        <w:spacing w:line="400" w:lineRule="exact"/>
        <w:ind w:left="1080" w:leftChars="257" w:right="-867" w:rightChars="-413"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报价单位：人民币</w:t>
      </w:r>
      <w:r>
        <w:rPr>
          <w:rFonts w:hint="eastAsia" w:ascii="宋体" w:hAnsi="宋体" w:eastAsia="宋体" w:cs="宋体"/>
          <w:color w:val="auto"/>
          <w:sz w:val="24"/>
          <w:highlight w:val="none"/>
          <w:lang w:eastAsia="zh-CN"/>
        </w:rPr>
        <w:t>（</w:t>
      </w:r>
      <w:r>
        <w:rPr>
          <w:rFonts w:hint="eastAsia" w:ascii="宋体" w:hAnsi="宋体" w:eastAsia="宋体" w:cs="宋体"/>
          <w:b/>
          <w:color w:val="auto"/>
          <w:sz w:val="24"/>
          <w:highlight w:val="none"/>
        </w:rPr>
        <w:t>元</w:t>
      </w:r>
      <w:r>
        <w:rPr>
          <w:rFonts w:hint="eastAsia" w:ascii="宋体" w:hAnsi="宋体" w:eastAsia="宋体" w:cs="宋体"/>
          <w:color w:val="auto"/>
          <w:sz w:val="24"/>
          <w:highlight w:val="none"/>
          <w:lang w:eastAsia="zh-CN"/>
        </w:rPr>
        <w:t>）</w:t>
      </w:r>
      <w:r>
        <w:rPr>
          <w:rFonts w:hint="eastAsia" w:ascii="宋体" w:hAnsi="宋体" w:eastAsia="宋体" w:cs="宋体"/>
          <w:b/>
          <w:color w:val="auto"/>
          <w:sz w:val="24"/>
          <w:highlight w:val="none"/>
          <w:lang w:val="en-US" w:eastAsia="zh-CN"/>
        </w:rPr>
        <w:t xml:space="preserve">          </w:t>
      </w:r>
    </w:p>
    <w:tbl>
      <w:tblPr>
        <w:tblStyle w:val="2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40"/>
        <w:gridCol w:w="1440"/>
        <w:gridCol w:w="1796"/>
        <w:gridCol w:w="1440"/>
        <w:gridCol w:w="1440"/>
        <w:gridCol w:w="728"/>
      </w:tblGrid>
      <w:tr w14:paraId="614D4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3" w:hRule="atLeast"/>
          <w:jc w:val="center"/>
        </w:trPr>
        <w:tc>
          <w:tcPr>
            <w:tcW w:w="1440" w:type="dxa"/>
            <w:vAlign w:val="center"/>
          </w:tcPr>
          <w:p w14:paraId="1C6C1E65">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tc>
        <w:tc>
          <w:tcPr>
            <w:tcW w:w="1440" w:type="dxa"/>
            <w:vAlign w:val="center"/>
          </w:tcPr>
          <w:p w14:paraId="4951C8A3">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投标总价</w:t>
            </w:r>
          </w:p>
        </w:tc>
        <w:tc>
          <w:tcPr>
            <w:tcW w:w="1796" w:type="dxa"/>
            <w:vAlign w:val="center"/>
          </w:tcPr>
          <w:p w14:paraId="7A058C59">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投标保证金</w:t>
            </w:r>
          </w:p>
        </w:tc>
        <w:tc>
          <w:tcPr>
            <w:tcW w:w="1440" w:type="dxa"/>
            <w:vAlign w:val="center"/>
          </w:tcPr>
          <w:p w14:paraId="63310F50">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服务时间</w:t>
            </w:r>
          </w:p>
        </w:tc>
        <w:tc>
          <w:tcPr>
            <w:tcW w:w="1440" w:type="dxa"/>
            <w:vAlign w:val="center"/>
          </w:tcPr>
          <w:p w14:paraId="1BC478F7">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000000"/>
                <w:sz w:val="24"/>
                <w:szCs w:val="24"/>
                <w:lang w:val="en-US" w:eastAsia="zh-CN"/>
              </w:rPr>
              <w:t>服务地点</w:t>
            </w:r>
          </w:p>
        </w:tc>
        <w:tc>
          <w:tcPr>
            <w:tcW w:w="728" w:type="dxa"/>
            <w:vAlign w:val="center"/>
          </w:tcPr>
          <w:p w14:paraId="02BED8A1">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备注</w:t>
            </w:r>
          </w:p>
        </w:tc>
      </w:tr>
      <w:tr w14:paraId="10E45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34" w:hRule="atLeast"/>
          <w:jc w:val="center"/>
        </w:trPr>
        <w:tc>
          <w:tcPr>
            <w:tcW w:w="1440" w:type="dxa"/>
            <w:vAlign w:val="center"/>
          </w:tcPr>
          <w:p w14:paraId="674A4A8D">
            <w:pPr>
              <w:tabs>
                <w:tab w:val="left" w:pos="5580"/>
              </w:tabs>
              <w:spacing w:line="400" w:lineRule="exact"/>
              <w:jc w:val="center"/>
              <w:rPr>
                <w:rFonts w:hint="eastAsia" w:ascii="宋体" w:hAnsi="宋体" w:eastAsia="宋体" w:cs="宋体"/>
                <w:color w:val="auto"/>
                <w:sz w:val="24"/>
                <w:highlight w:val="none"/>
                <w:lang w:val="en-US" w:eastAsia="zh-CN"/>
              </w:rPr>
            </w:pPr>
          </w:p>
        </w:tc>
        <w:tc>
          <w:tcPr>
            <w:tcW w:w="1440" w:type="dxa"/>
            <w:vAlign w:val="center"/>
          </w:tcPr>
          <w:p w14:paraId="75A3B19C">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大写：</w:t>
            </w:r>
          </w:p>
          <w:p w14:paraId="6AB8A75D">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小写：</w:t>
            </w:r>
          </w:p>
        </w:tc>
        <w:tc>
          <w:tcPr>
            <w:tcW w:w="1796" w:type="dxa"/>
            <w:vAlign w:val="center"/>
          </w:tcPr>
          <w:p w14:paraId="09473513">
            <w:pPr>
              <w:tabs>
                <w:tab w:val="left" w:pos="5580"/>
              </w:tabs>
              <w:spacing w:line="400" w:lineRule="exact"/>
              <w:jc w:val="center"/>
              <w:rPr>
                <w:rFonts w:hint="eastAsia" w:ascii="宋体" w:hAnsi="宋体" w:eastAsia="宋体" w:cs="宋体"/>
                <w:color w:val="auto"/>
                <w:sz w:val="24"/>
                <w:highlight w:val="none"/>
                <w:lang w:val="en-US" w:eastAsia="zh-CN"/>
              </w:rPr>
            </w:pPr>
          </w:p>
        </w:tc>
        <w:tc>
          <w:tcPr>
            <w:tcW w:w="1440" w:type="dxa"/>
            <w:vAlign w:val="center"/>
          </w:tcPr>
          <w:p w14:paraId="028D739F">
            <w:pPr>
              <w:tabs>
                <w:tab w:val="left" w:pos="5580"/>
              </w:tabs>
              <w:spacing w:line="400" w:lineRule="exact"/>
              <w:jc w:val="center"/>
              <w:rPr>
                <w:rFonts w:hint="eastAsia" w:ascii="宋体" w:hAnsi="宋体" w:eastAsia="宋体" w:cs="宋体"/>
                <w:color w:val="auto"/>
                <w:sz w:val="24"/>
                <w:highlight w:val="none"/>
                <w:lang w:val="en-US" w:eastAsia="zh-CN"/>
              </w:rPr>
            </w:pPr>
          </w:p>
        </w:tc>
        <w:tc>
          <w:tcPr>
            <w:tcW w:w="1440" w:type="dxa"/>
            <w:vAlign w:val="center"/>
          </w:tcPr>
          <w:p w14:paraId="45A2259D">
            <w:pPr>
              <w:tabs>
                <w:tab w:val="left" w:pos="5580"/>
              </w:tabs>
              <w:spacing w:line="400" w:lineRule="exact"/>
              <w:jc w:val="center"/>
              <w:rPr>
                <w:rFonts w:hint="eastAsia" w:ascii="宋体" w:hAnsi="宋体" w:eastAsia="宋体" w:cs="宋体"/>
                <w:color w:val="auto"/>
                <w:sz w:val="24"/>
                <w:highlight w:val="none"/>
                <w:lang w:val="en-US" w:eastAsia="zh-CN"/>
              </w:rPr>
            </w:pPr>
          </w:p>
        </w:tc>
        <w:tc>
          <w:tcPr>
            <w:tcW w:w="728" w:type="dxa"/>
            <w:vAlign w:val="center"/>
          </w:tcPr>
          <w:p w14:paraId="0DAD4025">
            <w:pPr>
              <w:tabs>
                <w:tab w:val="left" w:pos="5580"/>
              </w:tabs>
              <w:spacing w:line="400" w:lineRule="exact"/>
              <w:jc w:val="center"/>
              <w:rPr>
                <w:rFonts w:hint="eastAsia" w:ascii="宋体" w:hAnsi="宋体" w:eastAsia="宋体" w:cs="宋体"/>
                <w:color w:val="auto"/>
                <w:sz w:val="24"/>
                <w:highlight w:val="none"/>
                <w:lang w:val="en-US" w:eastAsia="zh-CN"/>
              </w:rPr>
            </w:pPr>
          </w:p>
        </w:tc>
      </w:tr>
    </w:tbl>
    <w:p w14:paraId="278A4F08">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17F0D5BF">
      <w:pPr>
        <w:pStyle w:val="14"/>
        <w:tabs>
          <w:tab w:val="left" w:pos="5580"/>
        </w:tabs>
        <w:spacing w:line="400" w:lineRule="exact"/>
        <w:ind w:left="1080" w:leftChars="257" w:hanging="540"/>
        <w:rPr>
          <w:rFonts w:hint="eastAsia" w:ascii="宋体" w:hAnsi="宋体" w:eastAsia="宋体" w:cs="宋体"/>
          <w:color w:val="auto"/>
          <w:sz w:val="24"/>
          <w:highlight w:val="none"/>
          <w:u w:val="single"/>
        </w:rPr>
      </w:pPr>
    </w:p>
    <w:p w14:paraId="4B95CBE8">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供应商名称（公章）：</w:t>
      </w:r>
      <w:r>
        <w:rPr>
          <w:rFonts w:hint="eastAsia" w:ascii="宋体" w:hAnsi="宋体" w:eastAsia="宋体" w:cs="宋体"/>
          <w:color w:val="auto"/>
          <w:sz w:val="24"/>
          <w:highlight w:val="none"/>
          <w:u w:val="single"/>
        </w:rPr>
        <w:t xml:space="preserve">                       </w:t>
      </w:r>
    </w:p>
    <w:p w14:paraId="4EA8AA58">
      <w:pPr>
        <w:pStyle w:val="14"/>
        <w:tabs>
          <w:tab w:val="left" w:pos="5580"/>
        </w:tabs>
        <w:spacing w:line="400" w:lineRule="exact"/>
        <w:ind w:left="1080" w:leftChars="257" w:hanging="540"/>
        <w:rPr>
          <w:rFonts w:hint="eastAsia" w:hAnsi="宋体" w:cs="宋体"/>
          <w:color w:val="auto"/>
          <w:sz w:val="24"/>
          <w:highlight w:val="none"/>
          <w:u w:val="single"/>
          <w:lang w:val="en-US" w:eastAsia="zh-CN"/>
        </w:rPr>
      </w:pPr>
      <w:r>
        <w:rPr>
          <w:rFonts w:hint="eastAsia" w:ascii="宋体" w:hAnsi="宋体" w:eastAsia="宋体" w:cs="宋体"/>
          <w:color w:val="auto"/>
          <w:sz w:val="24"/>
          <w:highlight w:val="none"/>
        </w:rPr>
        <w:t>法定代表人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签字或盖章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ab/>
      </w:r>
      <w:r>
        <w:rPr>
          <w:rFonts w:hint="eastAsia" w:hAnsi="宋体" w:cs="宋体"/>
          <w:color w:val="auto"/>
          <w:sz w:val="24"/>
          <w:highlight w:val="none"/>
          <w:u w:val="single"/>
          <w:lang w:val="en-US" w:eastAsia="zh-CN"/>
        </w:rPr>
        <w:t xml:space="preserve"> </w:t>
      </w:r>
    </w:p>
    <w:p w14:paraId="6AAB79A5">
      <w:pPr>
        <w:pStyle w:val="14"/>
        <w:tabs>
          <w:tab w:val="left" w:pos="5580"/>
        </w:tabs>
        <w:spacing w:line="400" w:lineRule="exact"/>
        <w:ind w:left="1080" w:leftChars="257" w:hanging="540"/>
        <w:rPr>
          <w:rFonts w:hint="default" w:ascii="宋体" w:hAnsi="宋体" w:eastAsia="宋体" w:cs="宋体"/>
          <w:color w:val="auto"/>
          <w:sz w:val="24"/>
          <w:highlight w:val="none"/>
          <w:u w:val="single"/>
          <w:lang w:val="en-US" w:eastAsia="zh-CN"/>
        </w:rPr>
      </w:pPr>
      <w:r>
        <w:rPr>
          <w:rFonts w:hint="eastAsia" w:hAnsi="宋体" w:cs="宋体"/>
          <w:color w:val="auto"/>
          <w:sz w:val="24"/>
          <w:highlight w:val="none"/>
          <w:u w:val="none"/>
          <w:lang w:val="en-US" w:eastAsia="zh-CN"/>
        </w:rPr>
        <w:t>日期：</w:t>
      </w:r>
      <w:r>
        <w:rPr>
          <w:rFonts w:hint="eastAsia" w:hAnsi="宋体" w:cs="宋体"/>
          <w:color w:val="auto"/>
          <w:sz w:val="24"/>
          <w:highlight w:val="none"/>
          <w:u w:val="single"/>
          <w:lang w:val="en-US" w:eastAsia="zh-CN"/>
        </w:rPr>
        <w:t xml:space="preserve">                       </w:t>
      </w:r>
    </w:p>
    <w:p w14:paraId="7492B9F2">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46852E18">
      <w:pPr>
        <w:pStyle w:val="14"/>
        <w:tabs>
          <w:tab w:val="left" w:pos="5580"/>
        </w:tabs>
        <w:spacing w:line="400" w:lineRule="exact"/>
        <w:ind w:left="741" w:leftChars="35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667EB2BE">
      <w:pPr>
        <w:pStyle w:val="14"/>
        <w:numPr>
          <w:ilvl w:val="0"/>
          <w:numId w:val="0"/>
        </w:numPr>
        <w:tabs>
          <w:tab w:val="left" w:pos="5580"/>
        </w:tabs>
        <w:spacing w:line="400" w:lineRule="exact"/>
        <w:ind w:left="741" w:leftChars="353"/>
        <w:jc w:val="left"/>
        <w:rPr>
          <w:rFonts w:hint="eastAsia" w:hAnsi="宋体" w:cs="宋体"/>
          <w:color w:val="auto"/>
          <w:sz w:val="24"/>
          <w:highlight w:val="none"/>
          <w:lang w:val="en-US" w:eastAsia="zh-CN"/>
        </w:rPr>
      </w:pPr>
      <w:r>
        <w:rPr>
          <w:rFonts w:hint="eastAsia" w:ascii="宋体" w:hAnsi="宋体" w:eastAsia="宋体" w:cs="宋体"/>
          <w:color w:val="auto"/>
          <w:kern w:val="2"/>
          <w:sz w:val="24"/>
          <w:szCs w:val="20"/>
          <w:lang w:val="en-US" w:eastAsia="zh-CN" w:bidi="ar-SA"/>
        </w:rPr>
        <w:t>1、</w:t>
      </w:r>
      <w:r>
        <w:rPr>
          <w:rFonts w:hint="eastAsia" w:hAnsi="宋体" w:cs="宋体"/>
          <w:color w:val="auto"/>
          <w:sz w:val="24"/>
          <w:highlight w:val="none"/>
          <w:lang w:val="en-US" w:eastAsia="zh-CN"/>
        </w:rPr>
        <w:t>此表应按供应商须知的规定上传。</w:t>
      </w:r>
    </w:p>
    <w:p w14:paraId="59CB42B8">
      <w:pPr>
        <w:pStyle w:val="14"/>
        <w:numPr>
          <w:ilvl w:val="0"/>
          <w:numId w:val="0"/>
        </w:numPr>
        <w:tabs>
          <w:tab w:val="left" w:pos="5580"/>
        </w:tabs>
        <w:spacing w:line="400" w:lineRule="exact"/>
        <w:ind w:left="741" w:leftChars="353"/>
        <w:jc w:val="left"/>
        <w:rPr>
          <w:rFonts w:hint="eastAsia" w:hAnsi="宋体" w:cs="宋体"/>
          <w:color w:val="auto"/>
          <w:sz w:val="24"/>
          <w:highlight w:val="none"/>
          <w:lang w:val="en-US" w:eastAsia="zh-CN"/>
        </w:rPr>
      </w:pPr>
      <w:r>
        <w:rPr>
          <w:rFonts w:hint="eastAsia" w:hAnsi="宋体" w:cs="宋体"/>
          <w:color w:val="auto"/>
          <w:sz w:val="24"/>
          <w:highlight w:val="none"/>
          <w:lang w:val="en-US" w:eastAsia="zh-CN"/>
        </w:rPr>
        <w:t>2、此表中，投标总价应和投标分项报价表的总价相一致。</w:t>
      </w:r>
    </w:p>
    <w:p w14:paraId="66607A0B">
      <w:pPr>
        <w:pStyle w:val="14"/>
        <w:numPr>
          <w:ilvl w:val="0"/>
          <w:numId w:val="0"/>
        </w:numPr>
        <w:tabs>
          <w:tab w:val="left" w:pos="5580"/>
        </w:tabs>
        <w:spacing w:line="400" w:lineRule="exact"/>
        <w:ind w:left="741" w:leftChars="353"/>
        <w:jc w:val="left"/>
        <w:rPr>
          <w:rFonts w:hint="eastAsia" w:hAnsi="宋体" w:cs="宋体"/>
          <w:color w:val="auto"/>
          <w:sz w:val="24"/>
          <w:highlight w:val="none"/>
          <w:lang w:val="en-US" w:eastAsia="zh-CN"/>
        </w:rPr>
      </w:pPr>
      <w:r>
        <w:rPr>
          <w:rFonts w:hint="eastAsia" w:hAnsi="宋体" w:cs="宋体"/>
          <w:color w:val="auto"/>
          <w:sz w:val="24"/>
          <w:highlight w:val="none"/>
          <w:lang w:val="en-US" w:eastAsia="zh-CN"/>
        </w:rPr>
        <w:t>3、投标商报价时包含税费等一切与本次项目相关的费用。</w:t>
      </w:r>
    </w:p>
    <w:p w14:paraId="2A03F9B1">
      <w:pPr>
        <w:pStyle w:val="14"/>
        <w:numPr>
          <w:ilvl w:val="0"/>
          <w:numId w:val="0"/>
        </w:numPr>
        <w:tabs>
          <w:tab w:val="left" w:pos="5580"/>
        </w:tabs>
        <w:spacing w:line="400" w:lineRule="exact"/>
        <w:ind w:left="741" w:leftChars="353"/>
        <w:jc w:val="left"/>
        <w:rPr>
          <w:rFonts w:hint="eastAsia" w:hAnsi="宋体" w:cs="宋体"/>
          <w:color w:val="auto"/>
          <w:sz w:val="24"/>
          <w:highlight w:val="none"/>
          <w:lang w:val="en-US" w:eastAsia="zh-CN"/>
        </w:rPr>
      </w:pPr>
      <w:r>
        <w:rPr>
          <w:rFonts w:hint="eastAsia" w:hAnsi="宋体" w:cs="宋体"/>
          <w:color w:val="auto"/>
          <w:sz w:val="24"/>
          <w:highlight w:val="none"/>
          <w:lang w:val="en-US" w:eastAsia="zh-CN"/>
        </w:rPr>
        <w:t>4、供应商应按招标文件规定的服务要求、责任范围和合同条件，以人民币进行报价。</w:t>
      </w:r>
    </w:p>
    <w:p w14:paraId="2F2EF1E9">
      <w:pPr>
        <w:pStyle w:val="14"/>
        <w:numPr>
          <w:ilvl w:val="0"/>
          <w:numId w:val="0"/>
        </w:numPr>
        <w:tabs>
          <w:tab w:val="left" w:pos="5580"/>
        </w:tabs>
        <w:spacing w:line="400" w:lineRule="exact"/>
        <w:ind w:left="741" w:leftChars="353"/>
        <w:jc w:val="left"/>
        <w:rPr>
          <w:rFonts w:hint="default" w:hAnsi="宋体" w:cs="宋体"/>
          <w:color w:val="auto"/>
          <w:sz w:val="24"/>
          <w:highlight w:val="none"/>
          <w:lang w:val="en-US" w:eastAsia="zh-CN"/>
        </w:rPr>
      </w:pPr>
      <w:r>
        <w:rPr>
          <w:rFonts w:hint="eastAsia" w:hAnsi="宋体" w:cs="宋体"/>
          <w:color w:val="auto"/>
          <w:sz w:val="24"/>
          <w:highlight w:val="none"/>
          <w:lang w:val="en-US" w:eastAsia="zh-CN"/>
        </w:rPr>
        <w:t>5、本项目预算金额为3000000元，投标最高限价为2920000元，供应商的投标报价超出最高限价的视为投标无效。</w:t>
      </w:r>
    </w:p>
    <w:p w14:paraId="27F977C1">
      <w:pPr>
        <w:pStyle w:val="14"/>
        <w:tabs>
          <w:tab w:val="left" w:pos="5580"/>
        </w:tabs>
        <w:spacing w:line="240" w:lineRule="atLeast"/>
        <w:rPr>
          <w:rFonts w:hint="eastAsia" w:ascii="宋体" w:hAnsi="宋体" w:eastAsia="宋体" w:cs="宋体"/>
          <w:b/>
          <w:color w:val="auto"/>
          <w:sz w:val="24"/>
          <w:highlight w:val="none"/>
        </w:rPr>
      </w:pPr>
    </w:p>
    <w:p w14:paraId="710660CF">
      <w:pPr>
        <w:pStyle w:val="14"/>
        <w:tabs>
          <w:tab w:val="left" w:pos="5580"/>
        </w:tabs>
        <w:spacing w:line="240" w:lineRule="atLeast"/>
        <w:rPr>
          <w:rFonts w:hint="eastAsia" w:ascii="宋体" w:hAnsi="宋体" w:eastAsia="宋体" w:cs="宋体"/>
          <w:b/>
          <w:color w:val="auto"/>
          <w:sz w:val="24"/>
          <w:highlight w:val="none"/>
        </w:rPr>
      </w:pPr>
    </w:p>
    <w:p w14:paraId="754937D3">
      <w:pPr>
        <w:pStyle w:val="14"/>
        <w:tabs>
          <w:tab w:val="left" w:pos="5580"/>
        </w:tabs>
        <w:spacing w:line="240" w:lineRule="atLeast"/>
        <w:rPr>
          <w:rFonts w:hint="eastAsia" w:ascii="宋体" w:hAnsi="宋体" w:eastAsia="宋体" w:cs="宋体"/>
          <w:b/>
          <w:color w:val="auto"/>
          <w:sz w:val="24"/>
          <w:highlight w:val="none"/>
        </w:rPr>
      </w:pPr>
    </w:p>
    <w:p w14:paraId="43A28A14">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280" w:name="_Toc3446"/>
      <w:bookmarkStart w:id="2281" w:name="_Toc5222"/>
      <w:bookmarkStart w:id="2282" w:name="_Toc263"/>
      <w:r>
        <w:rPr>
          <w:rFonts w:hint="eastAsia" w:ascii="宋体" w:hAnsi="宋体" w:eastAsia="宋体" w:cs="宋体"/>
          <w:b/>
          <w:bCs/>
          <w:color w:val="auto"/>
          <w:sz w:val="28"/>
          <w:szCs w:val="28"/>
          <w:highlight w:val="none"/>
          <w:u w:val="none"/>
        </w:rPr>
        <w:t>2.</w:t>
      </w:r>
      <w:r>
        <w:rPr>
          <w:rFonts w:hint="eastAsia" w:hAnsi="宋体" w:cs="宋体"/>
          <w:b/>
          <w:bCs/>
          <w:color w:val="auto"/>
          <w:sz w:val="28"/>
          <w:szCs w:val="28"/>
          <w:highlight w:val="none"/>
          <w:u w:val="none"/>
          <w:lang w:eastAsia="zh-CN"/>
        </w:rPr>
        <w:t>具有有效的营业执照</w:t>
      </w:r>
      <w:r>
        <w:rPr>
          <w:rFonts w:hint="eastAsia" w:ascii="宋体" w:hAnsi="宋体" w:eastAsia="宋体" w:cs="宋体"/>
          <w:b/>
          <w:bCs/>
          <w:color w:val="auto"/>
          <w:sz w:val="28"/>
          <w:szCs w:val="28"/>
          <w:highlight w:val="none"/>
          <w:u w:val="none"/>
          <w:lang w:val="en-US" w:eastAsia="zh-CN"/>
        </w:rPr>
        <w:t>；</w:t>
      </w:r>
      <w:bookmarkEnd w:id="2280"/>
      <w:bookmarkEnd w:id="2281"/>
      <w:bookmarkEnd w:id="2282"/>
    </w:p>
    <w:p w14:paraId="5D46B721">
      <w:pPr>
        <w:pStyle w:val="14"/>
        <w:tabs>
          <w:tab w:val="left" w:pos="5580"/>
        </w:tabs>
        <w:spacing w:line="240" w:lineRule="atLeast"/>
        <w:rPr>
          <w:rFonts w:hint="eastAsia" w:ascii="宋体" w:hAnsi="宋体" w:eastAsia="宋体" w:cs="宋体"/>
          <w:b/>
          <w:color w:val="auto"/>
          <w:sz w:val="24"/>
          <w:highlight w:val="none"/>
        </w:rPr>
      </w:pPr>
    </w:p>
    <w:p w14:paraId="116B8EA9">
      <w:pPr>
        <w:pStyle w:val="14"/>
        <w:tabs>
          <w:tab w:val="left" w:pos="5580"/>
        </w:tabs>
        <w:spacing w:line="240" w:lineRule="atLeast"/>
        <w:rPr>
          <w:rFonts w:hint="eastAsia" w:ascii="宋体" w:hAnsi="宋体" w:eastAsia="宋体" w:cs="宋体"/>
          <w:b/>
          <w:color w:val="auto"/>
          <w:sz w:val="24"/>
          <w:highlight w:val="none"/>
        </w:rPr>
      </w:pPr>
    </w:p>
    <w:p w14:paraId="3A2AF9B4">
      <w:pPr>
        <w:outlineLvl w:val="9"/>
        <w:rPr>
          <w:rFonts w:hint="eastAsia" w:ascii="宋体" w:hAnsi="宋体" w:eastAsia="宋体" w:cs="宋体"/>
          <w:color w:val="auto"/>
          <w:sz w:val="28"/>
          <w:szCs w:val="28"/>
          <w:highlight w:val="none"/>
          <w:lang w:val="en-US" w:eastAsia="zh-CN"/>
        </w:rPr>
      </w:pPr>
      <w:bookmarkStart w:id="2283" w:name="_Toc16610"/>
    </w:p>
    <w:p w14:paraId="70069DF6">
      <w:pPr>
        <w:pStyle w:val="6"/>
        <w:rPr>
          <w:rFonts w:hint="eastAsia" w:ascii="宋体" w:hAnsi="宋体" w:eastAsia="宋体" w:cs="宋体"/>
          <w:color w:val="auto"/>
          <w:sz w:val="28"/>
          <w:szCs w:val="28"/>
          <w:highlight w:val="none"/>
          <w:lang w:val="en-US" w:eastAsia="zh-CN"/>
        </w:rPr>
      </w:pPr>
    </w:p>
    <w:p w14:paraId="70896ABC">
      <w:pPr>
        <w:pStyle w:val="7"/>
        <w:rPr>
          <w:rFonts w:hint="eastAsia" w:ascii="宋体" w:hAnsi="宋体" w:eastAsia="宋体" w:cs="宋体"/>
          <w:highlight w:val="none"/>
          <w:lang w:val="en-US" w:eastAsia="zh-CN"/>
        </w:rPr>
      </w:pPr>
    </w:p>
    <w:p w14:paraId="17DE278D">
      <w:pPr>
        <w:rPr>
          <w:rFonts w:hint="eastAsia" w:ascii="宋体" w:hAnsi="宋体" w:eastAsia="宋体" w:cs="宋体"/>
          <w:highlight w:val="none"/>
        </w:rPr>
      </w:pPr>
      <w:r>
        <w:rPr>
          <w:rFonts w:hint="eastAsia" w:ascii="宋体" w:hAnsi="宋体" w:eastAsia="宋体" w:cs="宋体"/>
          <w:color w:val="auto"/>
          <w:sz w:val="28"/>
          <w:szCs w:val="28"/>
          <w:highlight w:val="none"/>
          <w:lang w:val="en-US" w:eastAsia="zh-CN"/>
        </w:rPr>
        <w:br w:type="page"/>
      </w:r>
    </w:p>
    <w:p w14:paraId="4903B5F0">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284" w:name="_Toc2026"/>
      <w:bookmarkStart w:id="2285" w:name="_Toc26738"/>
      <w:r>
        <w:rPr>
          <w:rFonts w:hint="eastAsia" w:ascii="宋体" w:hAnsi="宋体" w:eastAsia="宋体" w:cs="宋体"/>
          <w:b/>
          <w:bCs/>
          <w:color w:val="auto"/>
          <w:sz w:val="28"/>
          <w:szCs w:val="28"/>
          <w:highlight w:val="none"/>
          <w:u w:val="none"/>
          <w:lang w:val="en-US" w:eastAsia="zh-CN"/>
        </w:rPr>
        <w:t>3.法定代表人资格证明；</w:t>
      </w:r>
      <w:bookmarkEnd w:id="2283"/>
      <w:bookmarkEnd w:id="2284"/>
      <w:bookmarkEnd w:id="2285"/>
    </w:p>
    <w:p w14:paraId="6D2889F1">
      <w:pPr>
        <w:adjustRightInd w:val="0"/>
        <w:snapToGrid w:val="0"/>
        <w:spacing w:before="240" w:beforeLines="100" w:after="240" w:afterLines="100" w:line="360" w:lineRule="auto"/>
        <w:jc w:val="center"/>
        <w:outlineLvl w:val="9"/>
        <w:rPr>
          <w:rFonts w:hint="eastAsia" w:ascii="宋体" w:hAnsi="宋体" w:eastAsia="宋体" w:cs="宋体"/>
          <w:color w:val="auto"/>
          <w:sz w:val="24"/>
          <w:szCs w:val="24"/>
          <w:highlight w:val="none"/>
        </w:rPr>
      </w:pPr>
      <w:bookmarkStart w:id="2286" w:name="_Toc27898"/>
      <w:bookmarkStart w:id="2287" w:name="_Toc617"/>
      <w:r>
        <w:rPr>
          <w:rFonts w:hint="eastAsia" w:ascii="宋体" w:hAnsi="宋体" w:eastAsia="宋体" w:cs="宋体"/>
          <w:b/>
          <w:color w:val="auto"/>
          <w:sz w:val="24"/>
          <w:szCs w:val="24"/>
          <w:highlight w:val="none"/>
        </w:rPr>
        <w:t>法定代表人</w:t>
      </w:r>
      <w:r>
        <w:rPr>
          <w:rFonts w:hint="eastAsia" w:ascii="宋体" w:hAnsi="宋体" w:eastAsia="宋体" w:cs="宋体"/>
          <w:b/>
          <w:color w:val="auto"/>
          <w:sz w:val="24"/>
          <w:szCs w:val="24"/>
          <w:highlight w:val="none"/>
          <w:lang w:val="en-US" w:eastAsia="zh-CN"/>
        </w:rPr>
        <w:t>资格</w:t>
      </w:r>
      <w:r>
        <w:rPr>
          <w:rFonts w:hint="eastAsia" w:ascii="宋体" w:hAnsi="宋体" w:eastAsia="宋体" w:cs="宋体"/>
          <w:b/>
          <w:color w:val="auto"/>
          <w:sz w:val="24"/>
          <w:szCs w:val="24"/>
          <w:highlight w:val="none"/>
        </w:rPr>
        <w:t>证明</w:t>
      </w:r>
      <w:bookmarkEnd w:id="2286"/>
      <w:bookmarkEnd w:id="2287"/>
    </w:p>
    <w:p w14:paraId="01522571">
      <w:pPr>
        <w:spacing w:line="360" w:lineRule="auto"/>
        <w:ind w:left="24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同志，现任我单位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职务，为法定代表人，特此证明。     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CF706E4">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附：代表人性别：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8826373">
      <w:pPr>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统一社会信用代码</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4E512170">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经济性质：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7FCBAE4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78735B1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1、法定代表人为企业事业单位、国家机关、社会团体的主要行政负责人。</w:t>
      </w:r>
    </w:p>
    <w:p w14:paraId="4F8C2B15">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w:t>
      </w: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提供身份证正反面。</w:t>
      </w:r>
    </w:p>
    <w:p w14:paraId="60A08E3C">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内容必须填写真实、清楚、涂改无效，不得转让。</w:t>
      </w:r>
    </w:p>
    <w:p w14:paraId="4C27D5F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026"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7DF3BE7">
                            <w:pPr>
                              <w:jc w:val="center"/>
                              <w:rPr>
                                <w:rFonts w:hAnsi="宋体"/>
                                <w:szCs w:val="21"/>
                              </w:rPr>
                            </w:pPr>
                          </w:p>
                          <w:p w14:paraId="5B5B9612">
                            <w:pPr>
                              <w:jc w:val="center"/>
                              <w:rPr>
                                <w:rFonts w:hAnsi="宋体"/>
                                <w:szCs w:val="21"/>
                              </w:rPr>
                            </w:pPr>
                          </w:p>
                          <w:p w14:paraId="3DA382D7">
                            <w:pPr>
                              <w:jc w:val="center"/>
                              <w:rPr>
                                <w:rFonts w:hAnsi="宋体"/>
                                <w:szCs w:val="21"/>
                              </w:rPr>
                            </w:pPr>
                          </w:p>
                          <w:p w14:paraId="04C5599A">
                            <w:pPr>
                              <w:jc w:val="center"/>
                              <w:rPr>
                                <w:rFonts w:hint="eastAsia" w:hAnsi="宋体"/>
                                <w:szCs w:val="21"/>
                              </w:rPr>
                            </w:pPr>
                            <w:r>
                              <w:rPr>
                                <w:rFonts w:hint="eastAsia" w:hAnsi="宋体"/>
                                <w:szCs w:val="21"/>
                              </w:rPr>
                              <w:t>法定代表人身份证复印件</w:t>
                            </w:r>
                          </w:p>
                          <w:p w14:paraId="66D97AA2">
                            <w:pPr>
                              <w:jc w:val="center"/>
                              <w:rPr>
                                <w:rFonts w:hint="eastAsia" w:hAnsi="宋体" w:eastAsia="宋体"/>
                                <w:szCs w:val="21"/>
                                <w:lang w:eastAsia="zh-CN"/>
                              </w:rPr>
                            </w:pPr>
                            <w:r>
                              <w:rPr>
                                <w:rFonts w:hint="eastAsia" w:hAnsi="宋体"/>
                                <w:szCs w:val="21"/>
                                <w:lang w:eastAsia="zh-CN"/>
                              </w:rPr>
                              <w:t>（</w:t>
                            </w:r>
                            <w:r>
                              <w:rPr>
                                <w:rFonts w:hint="eastAsia" w:hAnsi="宋体"/>
                                <w:szCs w:val="21"/>
                                <w:lang w:val="en-US" w:eastAsia="zh-CN"/>
                              </w:rPr>
                              <w:t>国徽面</w:t>
                            </w:r>
                            <w:r>
                              <w:rPr>
                                <w:rFonts w:hint="eastAsia" w:hAnsi="宋体"/>
                                <w:szCs w:val="21"/>
                                <w:lang w:eastAsia="zh-CN"/>
                              </w:rPr>
                              <w:t>）</w:t>
                            </w:r>
                          </w:p>
                        </w:txbxContent>
                      </wps:txbx>
                      <wps:bodyPr wrap="square" upright="1"/>
                    </wps:wsp>
                  </a:graphicData>
                </a:graphic>
              </wp:anchor>
            </w:drawing>
          </mc:Choice>
          <mc:Fallback>
            <w:pict>
              <v:shape id="流程图: 可选过程 14" o:spid="_x0000_s1026"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5WTr11gAAAAgBAAAPAAAAAAAAAAEAIAAAACIAAABkcnMvZG93bnJldi54&#10;bWxQSwECFAAUAAAACACHTuJAmbji5zUCAABiBAAADgAAAAAAAAABACAAAAAlAQAAZHJzL2Uyb0Rv&#10;Yy54bWxQSwUGAAAAAAYABgBZAQAAzAUAAAAA&#10;">
                <v:fill on="t" focussize="0,0"/>
                <v:stroke color="#000000" joinstyle="miter"/>
                <v:imagedata o:title=""/>
                <o:lock v:ext="edit" aspectratio="f"/>
                <v:textbox>
                  <w:txbxContent>
                    <w:p w14:paraId="47DF3BE7">
                      <w:pPr>
                        <w:jc w:val="center"/>
                        <w:rPr>
                          <w:rFonts w:hAnsi="宋体"/>
                          <w:szCs w:val="21"/>
                        </w:rPr>
                      </w:pPr>
                    </w:p>
                    <w:p w14:paraId="5B5B9612">
                      <w:pPr>
                        <w:jc w:val="center"/>
                        <w:rPr>
                          <w:rFonts w:hAnsi="宋体"/>
                          <w:szCs w:val="21"/>
                        </w:rPr>
                      </w:pPr>
                    </w:p>
                    <w:p w14:paraId="3DA382D7">
                      <w:pPr>
                        <w:jc w:val="center"/>
                        <w:rPr>
                          <w:rFonts w:hAnsi="宋体"/>
                          <w:szCs w:val="21"/>
                        </w:rPr>
                      </w:pPr>
                    </w:p>
                    <w:p w14:paraId="04C5599A">
                      <w:pPr>
                        <w:jc w:val="center"/>
                        <w:rPr>
                          <w:rFonts w:hint="eastAsia" w:hAnsi="宋体"/>
                          <w:szCs w:val="21"/>
                        </w:rPr>
                      </w:pPr>
                      <w:r>
                        <w:rPr>
                          <w:rFonts w:hint="eastAsia" w:hAnsi="宋体"/>
                          <w:szCs w:val="21"/>
                        </w:rPr>
                        <w:t>法定代表人身份证复印件</w:t>
                      </w:r>
                    </w:p>
                    <w:p w14:paraId="66D97AA2">
                      <w:pPr>
                        <w:jc w:val="center"/>
                        <w:rPr>
                          <w:rFonts w:hint="eastAsia" w:hAnsi="宋体" w:eastAsia="宋体"/>
                          <w:szCs w:val="21"/>
                          <w:lang w:eastAsia="zh-CN"/>
                        </w:rPr>
                      </w:pPr>
                      <w:r>
                        <w:rPr>
                          <w:rFonts w:hint="eastAsia" w:hAnsi="宋体"/>
                          <w:szCs w:val="21"/>
                          <w:lang w:eastAsia="zh-CN"/>
                        </w:rPr>
                        <w:t>（</w:t>
                      </w:r>
                      <w:r>
                        <w:rPr>
                          <w:rFonts w:hint="eastAsia" w:hAnsi="宋体"/>
                          <w:szCs w:val="21"/>
                          <w:lang w:val="en-US" w:eastAsia="zh-CN"/>
                        </w:rPr>
                        <w:t>国徽面</w:t>
                      </w:r>
                      <w:r>
                        <w:rPr>
                          <w:rFonts w:hint="eastAsia" w:hAnsi="宋体"/>
                          <w:szCs w:val="21"/>
                          <w:lang w:eastAsia="zh-CN"/>
                        </w:rPr>
                        <w:t>）</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2918460</wp:posOffset>
                </wp:positionH>
                <wp:positionV relativeFrom="paragraph">
                  <wp:posOffset>28575</wp:posOffset>
                </wp:positionV>
                <wp:extent cx="2392045" cy="1557020"/>
                <wp:effectExtent l="5080" t="4445" r="12700" b="10160"/>
                <wp:wrapNone/>
                <wp:docPr id="1027" name="圆角矩形 15"/>
                <wp:cNvGraphicFramePr/>
                <a:graphic xmlns:a="http://schemas.openxmlformats.org/drawingml/2006/main">
                  <a:graphicData uri="http://schemas.microsoft.com/office/word/2010/wordprocessingShape">
                    <wps:wsp>
                      <wps:cNvSpPr/>
                      <wps:spPr>
                        <a:xfrm>
                          <a:off x="0" y="0"/>
                          <a:ext cx="2392045" cy="1557020"/>
                        </a:xfrm>
                        <a:prstGeom prst="roundRect">
                          <a:avLst>
                            <a:gd name="adj" fmla="val 16667"/>
                          </a:avLst>
                        </a:prstGeom>
                        <a:solidFill>
                          <a:srgbClr val="FFFFFF"/>
                        </a:solidFill>
                        <a:ln w="9525" cap="flat" cmpd="sng">
                          <a:solidFill>
                            <a:srgbClr val="000000"/>
                          </a:solidFill>
                          <a:prstDash val="solid"/>
                          <a:miter/>
                          <a:headEnd type="none" w="med" len="med"/>
                          <a:tailEnd type="none" w="med" len="med"/>
                        </a:ln>
                      </wps:spPr>
                      <wps:txbx>
                        <w:txbxContent>
                          <w:p w14:paraId="66C380C5">
                            <w:pPr>
                              <w:jc w:val="center"/>
                              <w:rPr>
                                <w:rFonts w:hAnsi="宋体"/>
                                <w:szCs w:val="21"/>
                              </w:rPr>
                            </w:pPr>
                            <w:r>
                              <w:rPr>
                                <w:rFonts w:hint="eastAsia" w:hAnsi="宋体"/>
                                <w:szCs w:val="21"/>
                              </w:rPr>
                              <w:t xml:space="preserve">  </w:t>
                            </w:r>
                          </w:p>
                          <w:p w14:paraId="280C48BC">
                            <w:pPr>
                              <w:jc w:val="center"/>
                              <w:rPr>
                                <w:rFonts w:hAnsi="宋体"/>
                                <w:szCs w:val="21"/>
                              </w:rPr>
                            </w:pPr>
                          </w:p>
                          <w:p w14:paraId="6E653632">
                            <w:pPr>
                              <w:jc w:val="center"/>
                              <w:rPr>
                                <w:rFonts w:hAnsi="宋体"/>
                                <w:szCs w:val="21"/>
                              </w:rPr>
                            </w:pPr>
                          </w:p>
                          <w:p w14:paraId="0AFEF3E8">
                            <w:pPr>
                              <w:jc w:val="center"/>
                              <w:rPr>
                                <w:rFonts w:hint="eastAsia" w:hAnsi="宋体"/>
                                <w:szCs w:val="21"/>
                              </w:rPr>
                            </w:pPr>
                            <w:r>
                              <w:rPr>
                                <w:rFonts w:hint="eastAsia" w:hAnsi="宋体"/>
                                <w:szCs w:val="21"/>
                              </w:rPr>
                              <w:t>法定代表人身份证复印件</w:t>
                            </w:r>
                          </w:p>
                          <w:p w14:paraId="45E37753">
                            <w:pPr>
                              <w:jc w:val="center"/>
                              <w:rPr>
                                <w:rFonts w:hint="eastAsia" w:hAnsi="宋体" w:eastAsia="宋体"/>
                                <w:szCs w:val="21"/>
                                <w:lang w:eastAsia="zh-CN"/>
                              </w:rPr>
                            </w:pPr>
                            <w:r>
                              <w:rPr>
                                <w:rFonts w:hint="eastAsia" w:hAnsi="宋体"/>
                                <w:szCs w:val="21"/>
                                <w:lang w:eastAsia="zh-CN"/>
                              </w:rPr>
                              <w:t>（</w:t>
                            </w:r>
                            <w:r>
                              <w:rPr>
                                <w:rFonts w:hint="eastAsia" w:hAnsi="宋体"/>
                                <w:szCs w:val="21"/>
                                <w:lang w:val="en-US" w:eastAsia="zh-CN"/>
                              </w:rPr>
                              <w:t>人像面</w:t>
                            </w:r>
                            <w:r>
                              <w:rPr>
                                <w:rFonts w:hint="eastAsia" w:hAnsi="宋体"/>
                                <w:szCs w:val="21"/>
                                <w:lang w:eastAsia="zh-CN"/>
                              </w:rPr>
                              <w:t>）</w:t>
                            </w:r>
                          </w:p>
                          <w:p w14:paraId="6C31D6C8"/>
                          <w:p w14:paraId="1CF0EDA5">
                            <w:pPr>
                              <w:pStyle w:val="6"/>
                            </w:pPr>
                          </w:p>
                          <w:p w14:paraId="60BE1B12">
                            <w:pPr>
                              <w:pStyle w:val="6"/>
                            </w:pPr>
                          </w:p>
                          <w:p w14:paraId="049A4564">
                            <w:pPr>
                              <w:pStyle w:val="6"/>
                            </w:pPr>
                          </w:p>
                          <w:p w14:paraId="17A8D5FB">
                            <w:pPr>
                              <w:pStyle w:val="6"/>
                            </w:pPr>
                          </w:p>
                        </w:txbxContent>
                      </wps:txbx>
                      <wps:bodyPr wrap="square" upright="1"/>
                    </wps:wsp>
                  </a:graphicData>
                </a:graphic>
              </wp:anchor>
            </w:drawing>
          </mc:Choice>
          <mc:Fallback>
            <w:pict>
              <v:roundrect id="圆角矩形 15" o:spid="_x0000_s1026" o:spt="2" style="position:absolute;left:0pt;margin-left:229.8pt;margin-top:2.25pt;height:122.6pt;width:188.35pt;z-index:251659264;mso-width-relative:page;mso-height-relative:page;" fillcolor="#FFFFFF" filled="t" stroked="t" coordsize="21600,21600" arcsize="0.166666666666667" o:gfxdata="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MUD8jnaAAAACQEAAA8AAAAAAAAAAQAgAAAAIgAAAGRycy9kb3du&#10;cmV2LnhtbFBLAQIUABQAAAAIAIdO4kDJv7a+NgIAAHMEAAAOAAAAAAAAAAEAIAAAACkBAABkcnMv&#10;ZTJvRG9jLnhtbFBLBQYAAAAABgAGAFkBAADRBQAAAAA=&#10;">
                <v:fill on="t" focussize="0,0"/>
                <v:stroke color="#000000" joinstyle="miter"/>
                <v:imagedata o:title=""/>
                <o:lock v:ext="edit" aspectratio="f"/>
                <v:textbox>
                  <w:txbxContent>
                    <w:p w14:paraId="66C380C5">
                      <w:pPr>
                        <w:jc w:val="center"/>
                        <w:rPr>
                          <w:rFonts w:hAnsi="宋体"/>
                          <w:szCs w:val="21"/>
                        </w:rPr>
                      </w:pPr>
                      <w:r>
                        <w:rPr>
                          <w:rFonts w:hint="eastAsia" w:hAnsi="宋体"/>
                          <w:szCs w:val="21"/>
                        </w:rPr>
                        <w:t xml:space="preserve">  </w:t>
                      </w:r>
                    </w:p>
                    <w:p w14:paraId="280C48BC">
                      <w:pPr>
                        <w:jc w:val="center"/>
                        <w:rPr>
                          <w:rFonts w:hAnsi="宋体"/>
                          <w:szCs w:val="21"/>
                        </w:rPr>
                      </w:pPr>
                    </w:p>
                    <w:p w14:paraId="6E653632">
                      <w:pPr>
                        <w:jc w:val="center"/>
                        <w:rPr>
                          <w:rFonts w:hAnsi="宋体"/>
                          <w:szCs w:val="21"/>
                        </w:rPr>
                      </w:pPr>
                    </w:p>
                    <w:p w14:paraId="0AFEF3E8">
                      <w:pPr>
                        <w:jc w:val="center"/>
                        <w:rPr>
                          <w:rFonts w:hint="eastAsia" w:hAnsi="宋体"/>
                          <w:szCs w:val="21"/>
                        </w:rPr>
                      </w:pPr>
                      <w:r>
                        <w:rPr>
                          <w:rFonts w:hint="eastAsia" w:hAnsi="宋体"/>
                          <w:szCs w:val="21"/>
                        </w:rPr>
                        <w:t>法定代表人身份证复印件</w:t>
                      </w:r>
                    </w:p>
                    <w:p w14:paraId="45E37753">
                      <w:pPr>
                        <w:jc w:val="center"/>
                        <w:rPr>
                          <w:rFonts w:hint="eastAsia" w:hAnsi="宋体" w:eastAsia="宋体"/>
                          <w:szCs w:val="21"/>
                          <w:lang w:eastAsia="zh-CN"/>
                        </w:rPr>
                      </w:pPr>
                      <w:r>
                        <w:rPr>
                          <w:rFonts w:hint="eastAsia" w:hAnsi="宋体"/>
                          <w:szCs w:val="21"/>
                          <w:lang w:eastAsia="zh-CN"/>
                        </w:rPr>
                        <w:t>（</w:t>
                      </w:r>
                      <w:r>
                        <w:rPr>
                          <w:rFonts w:hint="eastAsia" w:hAnsi="宋体"/>
                          <w:szCs w:val="21"/>
                          <w:lang w:val="en-US" w:eastAsia="zh-CN"/>
                        </w:rPr>
                        <w:t>人像面</w:t>
                      </w:r>
                      <w:r>
                        <w:rPr>
                          <w:rFonts w:hint="eastAsia" w:hAnsi="宋体"/>
                          <w:szCs w:val="21"/>
                          <w:lang w:eastAsia="zh-CN"/>
                        </w:rPr>
                        <w:t>）</w:t>
                      </w:r>
                    </w:p>
                    <w:p w14:paraId="6C31D6C8"/>
                    <w:p w14:paraId="1CF0EDA5">
                      <w:pPr>
                        <w:pStyle w:val="6"/>
                      </w:pPr>
                    </w:p>
                    <w:p w14:paraId="60BE1B12">
                      <w:pPr>
                        <w:pStyle w:val="6"/>
                      </w:pPr>
                    </w:p>
                    <w:p w14:paraId="049A4564">
                      <w:pPr>
                        <w:pStyle w:val="6"/>
                      </w:pPr>
                    </w:p>
                    <w:p w14:paraId="17A8D5FB">
                      <w:pPr>
                        <w:pStyle w:val="6"/>
                      </w:pPr>
                    </w:p>
                  </w:txbxContent>
                </v:textbox>
              </v:roundrect>
            </w:pict>
          </mc:Fallback>
        </mc:AlternateContent>
      </w:r>
    </w:p>
    <w:p w14:paraId="26990C3D">
      <w:pPr>
        <w:spacing w:line="360" w:lineRule="auto"/>
        <w:rPr>
          <w:rFonts w:hint="eastAsia" w:ascii="宋体" w:hAnsi="宋体" w:eastAsia="宋体" w:cs="宋体"/>
          <w:color w:val="auto"/>
          <w:sz w:val="24"/>
          <w:szCs w:val="24"/>
          <w:highlight w:val="none"/>
        </w:rPr>
      </w:pPr>
    </w:p>
    <w:p w14:paraId="351C3DA2">
      <w:pPr>
        <w:spacing w:line="360" w:lineRule="auto"/>
        <w:rPr>
          <w:rFonts w:hint="eastAsia" w:ascii="宋体" w:hAnsi="宋体" w:eastAsia="宋体" w:cs="宋体"/>
          <w:color w:val="auto"/>
          <w:sz w:val="24"/>
          <w:szCs w:val="24"/>
          <w:highlight w:val="none"/>
        </w:rPr>
      </w:pPr>
    </w:p>
    <w:p w14:paraId="595D5D5A">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宋体" w:hAnsi="宋体" w:eastAsia="宋体" w:cs="宋体"/>
          <w:color w:val="auto"/>
          <w:sz w:val="24"/>
          <w:szCs w:val="24"/>
          <w:highlight w:val="none"/>
        </w:rPr>
      </w:pPr>
    </w:p>
    <w:p w14:paraId="2F7D62DA">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0DF01C83">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7E708C76">
      <w:pPr>
        <w:autoSpaceDE w:val="0"/>
        <w:autoSpaceDN w:val="0"/>
        <w:adjustRightInd w:val="0"/>
        <w:spacing w:line="360" w:lineRule="auto"/>
        <w:ind w:right="246"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公</w:t>
      </w:r>
      <w:r>
        <w:rPr>
          <w:rFonts w:hint="eastAsia" w:ascii="宋体" w:hAnsi="宋体" w:eastAsia="宋体" w:cs="宋体"/>
          <w:color w:val="auto"/>
          <w:kern w:val="0"/>
          <w:sz w:val="24"/>
          <w:szCs w:val="24"/>
          <w:highlight w:val="none"/>
        </w:rPr>
        <w:t>章）：</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6E27C674">
      <w:pPr>
        <w:adjustRightInd w:val="0"/>
        <w:snapToGrid w:val="0"/>
        <w:spacing w:line="360" w:lineRule="auto"/>
        <w:ind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签/章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081950F">
      <w:pPr>
        <w:autoSpaceDE w:val="0"/>
        <w:autoSpaceDN w:val="0"/>
        <w:adjustRightInd w:val="0"/>
        <w:spacing w:line="360" w:lineRule="auto"/>
        <w:ind w:right="246" w:firstLine="784" w:firstLineChars="327"/>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日期：</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eastAsia="宋体" w:cs="宋体"/>
          <w:color w:val="auto"/>
          <w:kern w:val="0"/>
          <w:sz w:val="24"/>
          <w:szCs w:val="24"/>
          <w:highlight w:val="none"/>
          <w:lang w:eastAsia="zh-CN"/>
        </w:rPr>
        <w:t xml:space="preserve">         </w:t>
      </w:r>
    </w:p>
    <w:p w14:paraId="032C6BEE">
      <w:pPr>
        <w:adjustRightInd w:val="0"/>
        <w:snapToGrid w:val="0"/>
        <w:spacing w:line="400" w:lineRule="exact"/>
        <w:ind w:firstLine="784" w:firstLineChars="32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                                  </w:t>
      </w:r>
    </w:p>
    <w:p w14:paraId="1D944758">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说明：1.供应商为自然人的，应提供身份证明的复印件。</w:t>
      </w:r>
    </w:p>
    <w:p w14:paraId="356C0D33">
      <w:pPr>
        <w:pStyle w:val="14"/>
        <w:tabs>
          <w:tab w:val="left" w:pos="5580"/>
        </w:tabs>
        <w:spacing w:line="400" w:lineRule="exact"/>
        <w:ind w:left="1080" w:leftChars="257" w:hanging="54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.联合体投标应提供联合体各方满足以上要求的证明文件。</w:t>
      </w:r>
      <w:bookmarkStart w:id="2288" w:name="_Toc22472"/>
      <w:bookmarkStart w:id="2289" w:name="_Toc1083"/>
      <w:bookmarkStart w:id="2290" w:name="_Toc21867"/>
      <w:bookmarkStart w:id="2291" w:name="_Toc16640"/>
      <w:bookmarkStart w:id="2292" w:name="_Toc6829"/>
      <w:bookmarkStart w:id="2293" w:name="_Toc5436"/>
      <w:bookmarkStart w:id="2294" w:name="_Toc13107"/>
      <w:bookmarkStart w:id="2295" w:name="_Toc515647807"/>
    </w:p>
    <w:p w14:paraId="07E81122">
      <w:pPr>
        <w:rPr>
          <w:rFonts w:hint="eastAsia" w:ascii="宋体" w:hAnsi="宋体" w:eastAsia="宋体" w:cs="宋体"/>
          <w:b/>
          <w:bCs/>
          <w:color w:val="auto"/>
          <w:sz w:val="24"/>
          <w:highlight w:val="none"/>
        </w:rPr>
      </w:pPr>
      <w:bookmarkStart w:id="2296" w:name="_Toc6179"/>
      <w:bookmarkStart w:id="2297" w:name="_Toc32380"/>
      <w:bookmarkStart w:id="2298" w:name="_Toc24769"/>
    </w:p>
    <w:p w14:paraId="47CF7F20">
      <w:pP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br w:type="page"/>
      </w:r>
    </w:p>
    <w:bookmarkEnd w:id="2288"/>
    <w:bookmarkEnd w:id="2289"/>
    <w:bookmarkEnd w:id="2290"/>
    <w:bookmarkEnd w:id="2291"/>
    <w:bookmarkEnd w:id="2292"/>
    <w:bookmarkEnd w:id="2293"/>
    <w:bookmarkEnd w:id="2294"/>
    <w:bookmarkEnd w:id="2295"/>
    <w:bookmarkEnd w:id="2296"/>
    <w:bookmarkEnd w:id="2297"/>
    <w:bookmarkEnd w:id="2298"/>
    <w:p w14:paraId="00C720C2">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299" w:name="_Toc23487"/>
      <w:bookmarkStart w:id="2300" w:name="_Toc11236"/>
      <w:bookmarkStart w:id="2301" w:name="_Toc4363"/>
      <w:r>
        <w:rPr>
          <w:rFonts w:hint="eastAsia" w:ascii="宋体" w:hAnsi="宋体" w:eastAsia="宋体" w:cs="宋体"/>
          <w:b/>
          <w:bCs/>
          <w:color w:val="auto"/>
          <w:sz w:val="28"/>
          <w:szCs w:val="28"/>
          <w:highlight w:val="none"/>
          <w:u w:val="none"/>
          <w:lang w:val="en-US" w:eastAsia="zh-CN"/>
        </w:rPr>
        <w:t>4.提供近两年内任意一年的财务审计报告（成立未满十二个月的新公司可提供近三个月内任意一个月的银行资信证明）；</w:t>
      </w:r>
      <w:bookmarkEnd w:id="2299"/>
      <w:bookmarkEnd w:id="2300"/>
      <w:bookmarkEnd w:id="2301"/>
    </w:p>
    <w:p w14:paraId="0305E58B">
      <w:pPr>
        <w:pStyle w:val="11"/>
        <w:spacing w:line="400" w:lineRule="exact"/>
        <w:ind w:firstLine="0" w:firstLineChars="0"/>
        <w:rPr>
          <w:rFonts w:hint="eastAsia" w:ascii="宋体" w:hAnsi="宋体" w:eastAsia="宋体" w:cs="宋体"/>
          <w:b/>
          <w:color w:val="auto"/>
          <w:kern w:val="0"/>
          <w:szCs w:val="20"/>
          <w:highlight w:val="none"/>
        </w:rPr>
      </w:pPr>
    </w:p>
    <w:p w14:paraId="702FD8DC">
      <w:pPr>
        <w:pStyle w:val="7"/>
        <w:rPr>
          <w:rFonts w:hint="eastAsia" w:ascii="宋体" w:hAnsi="宋体" w:eastAsia="宋体" w:cs="宋体"/>
          <w:highlight w:val="none"/>
        </w:rPr>
      </w:pPr>
    </w:p>
    <w:p w14:paraId="584CBB2B">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302" w:name="_Toc3143"/>
      <w:bookmarkStart w:id="2303" w:name="_Toc15774"/>
      <w:bookmarkStart w:id="2304" w:name="_Toc27938"/>
      <w:r>
        <w:rPr>
          <w:rFonts w:hint="eastAsia" w:ascii="宋体" w:hAnsi="宋体" w:eastAsia="宋体" w:cs="宋体"/>
          <w:b/>
          <w:bCs/>
          <w:color w:val="auto"/>
          <w:sz w:val="28"/>
          <w:szCs w:val="28"/>
          <w:highlight w:val="none"/>
          <w:u w:val="none"/>
          <w:lang w:val="en-US" w:eastAsia="zh-CN"/>
        </w:rPr>
        <w:t>5.依法缴纳近六个月内任意一个月的社会保险证明；</w:t>
      </w:r>
      <w:bookmarkEnd w:id="2302"/>
      <w:bookmarkEnd w:id="2303"/>
      <w:bookmarkEnd w:id="2304"/>
    </w:p>
    <w:p w14:paraId="59BB65A2">
      <w:pPr>
        <w:pStyle w:val="6"/>
        <w:ind w:left="0" w:leftChars="0" w:firstLine="0" w:firstLineChars="0"/>
        <w:rPr>
          <w:rFonts w:hint="eastAsia" w:ascii="宋体" w:hAnsi="宋体" w:eastAsia="宋体" w:cs="宋体"/>
          <w:highlight w:val="none"/>
        </w:rPr>
      </w:pPr>
    </w:p>
    <w:p w14:paraId="7DA9186C">
      <w:pPr>
        <w:pStyle w:val="9"/>
        <w:rPr>
          <w:rFonts w:hint="eastAsia" w:ascii="宋体" w:hAnsi="宋体" w:eastAsia="宋体" w:cs="宋体"/>
          <w:highlight w:val="none"/>
        </w:rPr>
      </w:pPr>
    </w:p>
    <w:p w14:paraId="64E5573F">
      <w:pPr>
        <w:pStyle w:val="6"/>
        <w:rPr>
          <w:rFonts w:hint="eastAsia" w:ascii="宋体" w:hAnsi="宋体" w:eastAsia="宋体" w:cs="宋体"/>
          <w:highlight w:val="none"/>
        </w:rPr>
      </w:pPr>
    </w:p>
    <w:p w14:paraId="6192C7B9">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305" w:name="_Toc14027"/>
      <w:bookmarkStart w:id="2306" w:name="_Toc16666"/>
      <w:bookmarkStart w:id="2307" w:name="_Toc16359"/>
      <w:r>
        <w:rPr>
          <w:rFonts w:hint="eastAsia" w:ascii="宋体" w:hAnsi="宋体" w:eastAsia="宋体" w:cs="宋体"/>
          <w:b/>
          <w:bCs/>
          <w:color w:val="auto"/>
          <w:sz w:val="28"/>
          <w:szCs w:val="28"/>
          <w:highlight w:val="none"/>
          <w:u w:val="none"/>
          <w:lang w:val="en-US" w:eastAsia="zh-CN"/>
        </w:rPr>
        <w:t>6.依法缴纳近六个月内任意一个月的税收证明；</w:t>
      </w:r>
      <w:bookmarkEnd w:id="2305"/>
      <w:bookmarkEnd w:id="2306"/>
      <w:bookmarkEnd w:id="2307"/>
    </w:p>
    <w:p w14:paraId="36F54ADE">
      <w:pPr>
        <w:pStyle w:val="14"/>
        <w:tabs>
          <w:tab w:val="left" w:pos="5580"/>
        </w:tabs>
        <w:spacing w:line="400" w:lineRule="exact"/>
        <w:rPr>
          <w:rFonts w:hint="eastAsia" w:ascii="宋体" w:hAnsi="宋体" w:eastAsia="宋体" w:cs="宋体"/>
          <w:b/>
          <w:color w:val="auto"/>
          <w:kern w:val="0"/>
          <w:sz w:val="24"/>
          <w:highlight w:val="none"/>
        </w:rPr>
      </w:pPr>
    </w:p>
    <w:p w14:paraId="13AB5754">
      <w:pPr>
        <w:pStyle w:val="14"/>
        <w:tabs>
          <w:tab w:val="left" w:pos="5580"/>
        </w:tabs>
        <w:spacing w:line="400" w:lineRule="exact"/>
        <w:rPr>
          <w:rFonts w:hint="eastAsia" w:ascii="宋体" w:hAnsi="宋体" w:eastAsia="宋体" w:cs="宋体"/>
          <w:b/>
          <w:color w:val="auto"/>
          <w:kern w:val="0"/>
          <w:sz w:val="24"/>
          <w:highlight w:val="none"/>
        </w:rPr>
      </w:pPr>
    </w:p>
    <w:p w14:paraId="5E5837DA">
      <w:pPr>
        <w:pStyle w:val="14"/>
        <w:tabs>
          <w:tab w:val="left" w:pos="5580"/>
        </w:tabs>
        <w:spacing w:line="400" w:lineRule="exact"/>
        <w:rPr>
          <w:rFonts w:hint="eastAsia" w:ascii="宋体" w:hAnsi="宋体" w:eastAsia="宋体" w:cs="宋体"/>
          <w:b/>
          <w:color w:val="auto"/>
          <w:kern w:val="0"/>
          <w:sz w:val="24"/>
          <w:highlight w:val="none"/>
        </w:rPr>
      </w:pPr>
    </w:p>
    <w:p w14:paraId="5B628A00">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308" w:name="_Toc3162"/>
      <w:bookmarkStart w:id="2309" w:name="_Toc12258"/>
      <w:bookmarkStart w:id="2310" w:name="_Toc6252"/>
      <w:r>
        <w:rPr>
          <w:rFonts w:hint="eastAsia" w:ascii="宋体" w:hAnsi="宋体" w:eastAsia="宋体" w:cs="宋体"/>
          <w:b/>
          <w:bCs/>
          <w:color w:val="auto"/>
          <w:sz w:val="28"/>
          <w:szCs w:val="28"/>
          <w:highlight w:val="none"/>
          <w:u w:val="none"/>
          <w:lang w:val="en-US" w:eastAsia="zh-CN"/>
        </w:rPr>
        <w:t>7.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bookmarkEnd w:id="2308"/>
      <w:bookmarkEnd w:id="2309"/>
      <w:bookmarkEnd w:id="2310"/>
    </w:p>
    <w:p w14:paraId="28964A83">
      <w:pPr>
        <w:pStyle w:val="14"/>
        <w:tabs>
          <w:tab w:val="left" w:pos="5580"/>
        </w:tabs>
        <w:spacing w:line="400" w:lineRule="exact"/>
        <w:ind w:left="1080" w:leftChars="257" w:hanging="540"/>
        <w:rPr>
          <w:rFonts w:hint="eastAsia" w:ascii="宋体" w:hAnsi="宋体" w:eastAsia="宋体" w:cs="宋体"/>
          <w:b/>
          <w:color w:val="auto"/>
          <w:kern w:val="0"/>
          <w:sz w:val="24"/>
          <w:highlight w:val="none"/>
        </w:rPr>
      </w:pPr>
    </w:p>
    <w:p w14:paraId="7C79205A">
      <w:pPr>
        <w:pStyle w:val="14"/>
        <w:tabs>
          <w:tab w:val="left" w:pos="5580"/>
        </w:tabs>
        <w:spacing w:line="400" w:lineRule="exact"/>
        <w:ind w:left="1080" w:leftChars="257" w:hanging="540"/>
        <w:rPr>
          <w:rFonts w:hint="eastAsia" w:ascii="宋体" w:hAnsi="宋体" w:eastAsia="宋体" w:cs="宋体"/>
          <w:b/>
          <w:color w:val="auto"/>
          <w:kern w:val="0"/>
          <w:sz w:val="24"/>
          <w:highlight w:val="none"/>
        </w:rPr>
      </w:pPr>
    </w:p>
    <w:p w14:paraId="7D6C1A0C">
      <w:pPr>
        <w:pStyle w:val="14"/>
        <w:tabs>
          <w:tab w:val="left" w:pos="5580"/>
        </w:tabs>
        <w:spacing w:line="400" w:lineRule="exact"/>
        <w:rPr>
          <w:rFonts w:hint="eastAsia" w:ascii="宋体" w:hAnsi="宋体" w:eastAsia="宋体" w:cs="宋体"/>
          <w:b/>
          <w:color w:val="auto"/>
          <w:kern w:val="0"/>
          <w:sz w:val="24"/>
          <w:highlight w:val="none"/>
        </w:rPr>
      </w:pPr>
    </w:p>
    <w:p w14:paraId="3D18F4B5">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311" w:name="_Toc20020"/>
      <w:bookmarkStart w:id="2312" w:name="_Toc12315"/>
      <w:bookmarkStart w:id="2313" w:name="_Toc19085"/>
      <w:r>
        <w:rPr>
          <w:rFonts w:hint="eastAsia" w:ascii="宋体" w:hAnsi="宋体" w:eastAsia="宋体" w:cs="宋体"/>
          <w:b/>
          <w:bCs/>
          <w:color w:val="auto"/>
          <w:sz w:val="28"/>
          <w:szCs w:val="28"/>
          <w:highlight w:val="none"/>
          <w:u w:val="none"/>
          <w:lang w:val="en-US" w:eastAsia="zh-CN"/>
        </w:rPr>
        <w:t>8.参加政府采购活动前三年内在经营活动中没有重大违法记录的书面声明；</w:t>
      </w:r>
      <w:bookmarkEnd w:id="2311"/>
      <w:bookmarkEnd w:id="2312"/>
      <w:bookmarkEnd w:id="2313"/>
    </w:p>
    <w:p w14:paraId="302D1EC9">
      <w:pPr>
        <w:pStyle w:val="14"/>
        <w:tabs>
          <w:tab w:val="left" w:pos="5580"/>
        </w:tabs>
        <w:spacing w:line="400" w:lineRule="exact"/>
        <w:rPr>
          <w:rFonts w:hint="eastAsia" w:ascii="宋体" w:hAnsi="宋体" w:eastAsia="宋体" w:cs="宋体"/>
          <w:b/>
          <w:color w:val="auto"/>
          <w:kern w:val="0"/>
          <w:sz w:val="24"/>
          <w:highlight w:val="none"/>
        </w:rPr>
      </w:pPr>
    </w:p>
    <w:p w14:paraId="406411C1">
      <w:pP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br w:type="page"/>
      </w:r>
    </w:p>
    <w:p w14:paraId="03AAE9D0">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314" w:name="_Toc8586"/>
      <w:bookmarkStart w:id="2315" w:name="_Toc15341"/>
      <w:bookmarkStart w:id="2316" w:name="_Toc2831"/>
      <w:r>
        <w:rPr>
          <w:rFonts w:hint="eastAsia" w:ascii="宋体" w:hAnsi="宋体" w:eastAsia="宋体" w:cs="宋体"/>
          <w:b/>
          <w:bCs/>
          <w:color w:val="auto"/>
          <w:sz w:val="28"/>
          <w:szCs w:val="28"/>
          <w:highlight w:val="none"/>
          <w:u w:val="none"/>
          <w:lang w:val="en-US" w:eastAsia="zh-CN"/>
        </w:rPr>
        <w:t>9.缴纳投标保证金的有效凭证；</w:t>
      </w:r>
      <w:bookmarkEnd w:id="2314"/>
      <w:bookmarkEnd w:id="2315"/>
      <w:bookmarkEnd w:id="2316"/>
    </w:p>
    <w:p w14:paraId="7405E19D">
      <w:pPr>
        <w:shd w:val="clear" w:color="auto" w:fill="auto"/>
        <w:snapToGrid w:val="0"/>
        <w:spacing w:before="0" w:beforeAutospacing="0" w:after="0" w:afterAutospacing="0" w:line="360" w:lineRule="exact"/>
        <w:jc w:val="both"/>
        <w:textAlignment w:val="baseline"/>
        <w:outlineLvl w:val="9"/>
        <w:rPr>
          <w:rFonts w:hint="eastAsia" w:ascii="宋体" w:hAnsi="宋体" w:eastAsia="宋体" w:cs="宋体"/>
          <w:b/>
          <w:bCs/>
          <w:i w:val="0"/>
          <w:caps w:val="0"/>
          <w:color w:val="auto"/>
          <w:spacing w:val="0"/>
          <w:w w:val="100"/>
          <w:sz w:val="24"/>
          <w:highlight w:val="none"/>
        </w:rPr>
      </w:pPr>
      <w:r>
        <w:rPr>
          <w:rFonts w:hint="eastAsia" w:ascii="宋体" w:hAnsi="宋体" w:eastAsia="宋体" w:cs="宋体"/>
          <w:b/>
          <w:bCs/>
          <w:i w:val="0"/>
          <w:caps w:val="0"/>
          <w:color w:val="auto"/>
          <w:spacing w:val="0"/>
          <w:w w:val="100"/>
          <w:sz w:val="24"/>
          <w:highlight w:val="none"/>
        </w:rPr>
        <w:t>（注：</w:t>
      </w:r>
      <w:r>
        <w:rPr>
          <w:rFonts w:hint="eastAsia" w:ascii="宋体" w:hAnsi="宋体" w:eastAsia="宋体" w:cs="宋体"/>
          <w:b/>
          <w:bCs/>
          <w:i w:val="0"/>
          <w:caps w:val="0"/>
          <w:color w:val="auto"/>
          <w:spacing w:val="0"/>
          <w:w w:val="100"/>
          <w:sz w:val="24"/>
          <w:highlight w:val="none"/>
          <w:lang w:val="en-US" w:eastAsia="zh-CN"/>
        </w:rPr>
        <w:t>本项目以缴纳投标保证金的有效凭证复印件加盖公章为准</w:t>
      </w:r>
      <w:r>
        <w:rPr>
          <w:rFonts w:hint="eastAsia" w:ascii="宋体" w:hAnsi="宋体" w:eastAsia="宋体" w:cs="宋体"/>
          <w:b/>
          <w:bCs/>
          <w:i w:val="0"/>
          <w:caps w:val="0"/>
          <w:color w:val="auto"/>
          <w:spacing w:val="0"/>
          <w:w w:val="100"/>
          <w:sz w:val="24"/>
          <w:highlight w:val="none"/>
        </w:rPr>
        <w:t>。）</w:t>
      </w:r>
    </w:p>
    <w:tbl>
      <w:tblPr>
        <w:tblStyle w:val="27"/>
        <w:tblpPr w:leftFromText="180" w:rightFromText="180" w:vertAnchor="text" w:horzAnchor="page" w:tblpX="1967" w:tblpY="235"/>
        <w:tblOverlap w:val="never"/>
        <w:tblW w:w="8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0"/>
      </w:tblGrid>
      <w:tr w14:paraId="2A84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3" w:hRule="atLeast"/>
        </w:trPr>
        <w:tc>
          <w:tcPr>
            <w:tcW w:w="8080" w:type="dxa"/>
          </w:tcPr>
          <w:p w14:paraId="5EE59B4E">
            <w:pPr>
              <w:shd w:val="clear" w:color="auto" w:fill="auto"/>
              <w:snapToGrid w:val="0"/>
              <w:spacing w:before="0" w:beforeAutospacing="0" w:after="0" w:afterAutospacing="0" w:line="360" w:lineRule="exact"/>
              <w:jc w:val="both"/>
              <w:textAlignment w:val="baseline"/>
              <w:rPr>
                <w:rFonts w:hint="eastAsia" w:ascii="宋体" w:hAnsi="宋体" w:eastAsia="宋体" w:cs="宋体"/>
                <w:b w:val="0"/>
                <w:i w:val="0"/>
                <w:caps w:val="0"/>
                <w:color w:val="auto"/>
                <w:spacing w:val="0"/>
                <w:w w:val="100"/>
                <w:sz w:val="24"/>
                <w:highlight w:val="none"/>
              </w:rPr>
            </w:pPr>
          </w:p>
          <w:p w14:paraId="63B0A7A1">
            <w:pPr>
              <w:shd w:val="clear" w:color="auto" w:fill="auto"/>
              <w:snapToGrid w:val="0"/>
              <w:spacing w:before="0" w:beforeAutospacing="0" w:after="0" w:afterAutospacing="0" w:line="360" w:lineRule="exact"/>
              <w:jc w:val="both"/>
              <w:textAlignment w:val="baseline"/>
              <w:rPr>
                <w:rFonts w:hint="eastAsia" w:ascii="宋体" w:hAnsi="宋体" w:eastAsia="宋体" w:cs="宋体"/>
                <w:b w:val="0"/>
                <w:i w:val="0"/>
                <w:caps w:val="0"/>
                <w:color w:val="auto"/>
                <w:spacing w:val="0"/>
                <w:w w:val="100"/>
                <w:sz w:val="24"/>
                <w:highlight w:val="none"/>
              </w:rPr>
            </w:pPr>
          </w:p>
          <w:p w14:paraId="13ABAC25">
            <w:pPr>
              <w:shd w:val="clear" w:color="auto" w:fill="auto"/>
              <w:snapToGrid w:val="0"/>
              <w:spacing w:before="0" w:beforeAutospacing="0" w:after="0" w:afterAutospacing="0" w:line="360" w:lineRule="exact"/>
              <w:jc w:val="center"/>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eastAsia="宋体" w:cs="宋体"/>
                <w:b w:val="0"/>
                <w:i w:val="0"/>
                <w:caps w:val="0"/>
                <w:color w:val="auto"/>
                <w:spacing w:val="0"/>
                <w:w w:val="100"/>
                <w:sz w:val="24"/>
                <w:highlight w:val="none"/>
                <w:lang w:eastAsia="zh-CN"/>
              </w:rPr>
              <w:t>缴纳投标保证金的有效凭证</w:t>
            </w:r>
            <w:r>
              <w:rPr>
                <w:rFonts w:hint="eastAsia" w:ascii="宋体" w:hAnsi="宋体" w:eastAsia="宋体" w:cs="宋体"/>
                <w:b w:val="0"/>
                <w:i w:val="0"/>
                <w:caps w:val="0"/>
                <w:color w:val="auto"/>
                <w:spacing w:val="0"/>
                <w:w w:val="100"/>
                <w:sz w:val="24"/>
                <w:highlight w:val="none"/>
              </w:rPr>
              <w:t>复印件</w:t>
            </w:r>
            <w:r>
              <w:rPr>
                <w:rFonts w:hint="eastAsia" w:ascii="宋体" w:hAnsi="宋体" w:eastAsia="宋体" w:cs="宋体"/>
                <w:b w:val="0"/>
                <w:i w:val="0"/>
                <w:caps w:val="0"/>
                <w:color w:val="auto"/>
                <w:spacing w:val="0"/>
                <w:w w:val="100"/>
                <w:sz w:val="24"/>
                <w:highlight w:val="none"/>
                <w:lang w:eastAsia="zh-CN"/>
              </w:rPr>
              <w:t>（银行转账回执单/保函/支票</w:t>
            </w:r>
            <w:r>
              <w:rPr>
                <w:rFonts w:hint="eastAsia" w:ascii="宋体" w:hAnsi="宋体" w:eastAsia="宋体" w:cs="宋体"/>
                <w:b w:val="0"/>
                <w:i w:val="0"/>
                <w:caps w:val="0"/>
                <w:color w:val="auto"/>
                <w:spacing w:val="0"/>
                <w:w w:val="100"/>
                <w:sz w:val="24"/>
                <w:highlight w:val="none"/>
                <w:lang w:val="en-US" w:eastAsia="zh-CN"/>
              </w:rPr>
              <w:t>等</w:t>
            </w:r>
            <w:r>
              <w:rPr>
                <w:rFonts w:hint="eastAsia" w:ascii="宋体" w:hAnsi="宋体" w:eastAsia="宋体" w:cs="宋体"/>
                <w:b w:val="0"/>
                <w:i w:val="0"/>
                <w:caps w:val="0"/>
                <w:color w:val="auto"/>
                <w:spacing w:val="0"/>
                <w:w w:val="100"/>
                <w:sz w:val="24"/>
                <w:highlight w:val="none"/>
                <w:lang w:eastAsia="zh-CN"/>
              </w:rPr>
              <w:t>）</w:t>
            </w:r>
          </w:p>
        </w:tc>
      </w:tr>
    </w:tbl>
    <w:p w14:paraId="6AD70287">
      <w:pPr>
        <w:pStyle w:val="14"/>
        <w:tabs>
          <w:tab w:val="left" w:pos="5580"/>
        </w:tabs>
        <w:spacing w:line="400" w:lineRule="exact"/>
        <w:outlineLvl w:val="9"/>
        <w:rPr>
          <w:rFonts w:hint="eastAsia" w:ascii="宋体" w:hAnsi="宋体" w:eastAsia="宋体" w:cs="宋体"/>
          <w:b/>
          <w:color w:val="auto"/>
          <w:kern w:val="0"/>
          <w:sz w:val="24"/>
          <w:highlight w:val="none"/>
          <w:lang w:eastAsia="zh-CN"/>
        </w:rPr>
      </w:pPr>
    </w:p>
    <w:p w14:paraId="7068E71A">
      <w:pPr>
        <w:pStyle w:val="14"/>
        <w:tabs>
          <w:tab w:val="left" w:pos="5580"/>
        </w:tabs>
        <w:spacing w:line="400" w:lineRule="exact"/>
        <w:ind w:left="540" w:leftChars="257"/>
        <w:outlineLvl w:val="9"/>
        <w:rPr>
          <w:rFonts w:hint="eastAsia" w:ascii="宋体" w:hAnsi="宋体" w:eastAsia="宋体" w:cs="宋体"/>
          <w:b/>
          <w:color w:val="auto"/>
          <w:kern w:val="0"/>
          <w:sz w:val="24"/>
          <w:highlight w:val="none"/>
        </w:rPr>
      </w:pPr>
    </w:p>
    <w:p w14:paraId="32EDC476">
      <w:pPr>
        <w:pStyle w:val="14"/>
        <w:tabs>
          <w:tab w:val="left" w:pos="5580"/>
        </w:tabs>
        <w:spacing w:line="400" w:lineRule="exact"/>
        <w:ind w:left="540" w:leftChars="257"/>
        <w:outlineLvl w:val="9"/>
        <w:rPr>
          <w:rFonts w:hint="eastAsia" w:ascii="宋体" w:hAnsi="宋体" w:eastAsia="宋体" w:cs="宋体"/>
          <w:b/>
          <w:color w:val="auto"/>
          <w:kern w:val="0"/>
          <w:sz w:val="24"/>
          <w:highlight w:val="none"/>
        </w:rPr>
      </w:pPr>
    </w:p>
    <w:p w14:paraId="26FD1099">
      <w:pPr>
        <w:pStyle w:val="14"/>
        <w:tabs>
          <w:tab w:val="left" w:pos="5580"/>
        </w:tabs>
        <w:spacing w:line="400" w:lineRule="exact"/>
        <w:outlineLvl w:val="9"/>
        <w:rPr>
          <w:rFonts w:hint="eastAsia" w:ascii="宋体" w:hAnsi="宋体" w:eastAsia="宋体" w:cs="宋体"/>
          <w:b/>
          <w:color w:val="auto"/>
          <w:kern w:val="0"/>
          <w:sz w:val="24"/>
          <w:highlight w:val="none"/>
        </w:rPr>
      </w:pPr>
    </w:p>
    <w:p w14:paraId="104461EB">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rPr>
      </w:pPr>
      <w:bookmarkStart w:id="2317" w:name="_Toc16032"/>
      <w:bookmarkStart w:id="2318" w:name="_Toc14384"/>
      <w:bookmarkStart w:id="2319" w:name="_Toc9458"/>
      <w:bookmarkStart w:id="2320" w:name="_Toc30653"/>
      <w:bookmarkStart w:id="2321" w:name="_Toc11180"/>
      <w:bookmarkStart w:id="2322" w:name="_Toc515647816"/>
      <w:bookmarkStart w:id="2323" w:name="_Toc22967"/>
      <w:bookmarkStart w:id="2324" w:name="_Toc15346"/>
      <w:bookmarkStart w:id="2325" w:name="_Toc18263"/>
      <w:r>
        <w:rPr>
          <w:rFonts w:hint="eastAsia" w:ascii="宋体" w:hAnsi="宋体" w:eastAsia="宋体" w:cs="宋体"/>
          <w:b/>
          <w:bCs/>
          <w:color w:val="auto"/>
          <w:sz w:val="28"/>
          <w:szCs w:val="28"/>
          <w:highlight w:val="none"/>
          <w:u w:val="none"/>
          <w:lang w:val="en-US" w:eastAsia="zh-CN"/>
        </w:rPr>
        <w:t>1</w:t>
      </w:r>
      <w:r>
        <w:rPr>
          <w:rFonts w:hint="eastAsia" w:hAnsi="宋体" w:cs="宋体"/>
          <w:b/>
          <w:bCs/>
          <w:color w:val="auto"/>
          <w:sz w:val="28"/>
          <w:szCs w:val="28"/>
          <w:highlight w:val="none"/>
          <w:u w:val="none"/>
          <w:lang w:val="en-US" w:eastAsia="zh-CN"/>
        </w:rPr>
        <w:t>0</w:t>
      </w:r>
      <w:r>
        <w:rPr>
          <w:rFonts w:hint="eastAsia" w:ascii="宋体" w:hAnsi="宋体" w:eastAsia="宋体" w:cs="宋体"/>
          <w:b/>
          <w:bCs/>
          <w:color w:val="auto"/>
          <w:sz w:val="28"/>
          <w:szCs w:val="28"/>
          <w:highlight w:val="none"/>
          <w:u w:val="none"/>
          <w:lang w:val="en-US" w:eastAsia="zh-CN"/>
        </w:rPr>
        <w:t>.银行开户许可证复印件或银行基本账户信息(包含：银行账号及开户行名称）；</w:t>
      </w:r>
      <w:bookmarkEnd w:id="2317"/>
      <w:bookmarkEnd w:id="2318"/>
      <w:bookmarkEnd w:id="2319"/>
    </w:p>
    <w:p w14:paraId="2B54DFE6">
      <w:pPr>
        <w:pStyle w:val="20"/>
        <w:rPr>
          <w:rFonts w:hint="eastAsia" w:ascii="宋体" w:hAnsi="宋体" w:eastAsia="宋体" w:cs="宋体"/>
          <w:color w:val="auto"/>
          <w:highlight w:val="none"/>
        </w:rPr>
      </w:pPr>
    </w:p>
    <w:p w14:paraId="022175C1">
      <w:pPr>
        <w:pStyle w:val="20"/>
        <w:rPr>
          <w:rFonts w:hint="eastAsia" w:ascii="宋体" w:hAnsi="宋体" w:eastAsia="宋体" w:cs="宋体"/>
          <w:color w:val="auto"/>
          <w:highlight w:val="none"/>
        </w:rPr>
      </w:pPr>
    </w:p>
    <w:p w14:paraId="6D00511B">
      <w:pPr>
        <w:pStyle w:val="20"/>
        <w:rPr>
          <w:rFonts w:hint="eastAsia" w:ascii="宋体" w:hAnsi="宋体" w:eastAsia="宋体" w:cs="宋体"/>
          <w:color w:val="auto"/>
          <w:highlight w:val="none"/>
        </w:rPr>
      </w:pPr>
    </w:p>
    <w:p w14:paraId="451E6DB3">
      <w:pPr>
        <w:pStyle w:val="20"/>
        <w:rPr>
          <w:rFonts w:hint="eastAsia" w:ascii="宋体" w:hAnsi="宋体" w:eastAsia="宋体" w:cs="宋体"/>
          <w:color w:val="auto"/>
          <w:highlight w:val="none"/>
        </w:rPr>
      </w:pPr>
    </w:p>
    <w:p w14:paraId="4BF882FD">
      <w:pPr>
        <w:pStyle w:val="20"/>
        <w:rPr>
          <w:rFonts w:hint="eastAsia" w:ascii="宋体" w:hAnsi="宋体" w:eastAsia="宋体" w:cs="宋体"/>
          <w:color w:val="auto"/>
          <w:highlight w:val="none"/>
        </w:rPr>
      </w:pPr>
    </w:p>
    <w:p w14:paraId="1BF60B74">
      <w:pPr>
        <w:pStyle w:val="20"/>
        <w:rPr>
          <w:rFonts w:hint="eastAsia" w:ascii="宋体" w:hAnsi="宋体" w:eastAsia="宋体" w:cs="宋体"/>
          <w:color w:val="auto"/>
          <w:highlight w:val="none"/>
        </w:rPr>
      </w:pPr>
    </w:p>
    <w:p w14:paraId="2F5DBE3F">
      <w:pPr>
        <w:pStyle w:val="20"/>
        <w:rPr>
          <w:rFonts w:hint="eastAsia" w:ascii="宋体" w:hAnsi="宋体" w:eastAsia="宋体" w:cs="宋体"/>
          <w:color w:val="auto"/>
          <w:highlight w:val="none"/>
        </w:rPr>
      </w:pPr>
    </w:p>
    <w:p w14:paraId="15DD6EDD">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326" w:name="_Toc8478"/>
      <w:bookmarkStart w:id="2327" w:name="_Toc13729"/>
      <w:bookmarkStart w:id="2328" w:name="_Toc30139"/>
      <w:r>
        <w:rPr>
          <w:rFonts w:hint="eastAsia" w:ascii="宋体" w:hAnsi="宋体" w:eastAsia="宋体" w:cs="宋体"/>
          <w:b/>
          <w:bCs/>
          <w:color w:val="auto"/>
          <w:sz w:val="28"/>
          <w:szCs w:val="28"/>
          <w:highlight w:val="none"/>
          <w:u w:val="none"/>
          <w:lang w:val="en-US" w:eastAsia="zh-CN"/>
        </w:rPr>
        <w:t>1</w:t>
      </w:r>
      <w:r>
        <w:rPr>
          <w:rFonts w:hint="eastAsia" w:hAnsi="宋体" w:cs="宋体"/>
          <w:b/>
          <w:bCs/>
          <w:color w:val="auto"/>
          <w:sz w:val="28"/>
          <w:szCs w:val="28"/>
          <w:highlight w:val="none"/>
          <w:u w:val="none"/>
          <w:lang w:val="en-US" w:eastAsia="zh-CN"/>
        </w:rPr>
        <w:t>1</w:t>
      </w:r>
      <w:r>
        <w:rPr>
          <w:rFonts w:hint="eastAsia" w:ascii="宋体" w:hAnsi="宋体" w:eastAsia="宋体" w:cs="宋体"/>
          <w:b/>
          <w:bCs/>
          <w:color w:val="auto"/>
          <w:sz w:val="28"/>
          <w:szCs w:val="28"/>
          <w:highlight w:val="none"/>
          <w:u w:val="none"/>
          <w:lang w:val="en-US" w:eastAsia="zh-CN"/>
        </w:rPr>
        <w:t>.供应商可提供有利于投标的其他资格证明材料。</w:t>
      </w:r>
      <w:bookmarkEnd w:id="2326"/>
      <w:bookmarkEnd w:id="2327"/>
      <w:bookmarkEnd w:id="2328"/>
    </w:p>
    <w:p w14:paraId="7A3153DB">
      <w:pPr>
        <w:rPr>
          <w:rFonts w:hint="eastAsia" w:ascii="宋体" w:hAnsi="宋体" w:eastAsia="宋体" w:cs="宋体"/>
          <w:b/>
          <w:color w:val="auto"/>
          <w:kern w:val="0"/>
          <w:sz w:val="24"/>
          <w:szCs w:val="20"/>
          <w:highlight w:val="none"/>
        </w:rPr>
      </w:pPr>
    </w:p>
    <w:p w14:paraId="1525C9B1">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4E52D9D5">
      <w:pPr>
        <w:pStyle w:val="4"/>
        <w:pageBreakBefore w:val="0"/>
        <w:kinsoku/>
        <w:wordWrap/>
        <w:overflowPunct/>
        <w:topLinePunct w:val="0"/>
        <w:bidi w:val="0"/>
        <w:spacing w:before="0" w:line="360" w:lineRule="exact"/>
        <w:ind w:left="1080" w:leftChars="257" w:hanging="540"/>
        <w:jc w:val="center"/>
        <w:rPr>
          <w:rFonts w:hint="eastAsia" w:ascii="宋体" w:hAnsi="宋体" w:eastAsia="宋体" w:cs="宋体"/>
          <w:color w:val="auto"/>
          <w:sz w:val="28"/>
          <w:szCs w:val="28"/>
          <w:highlight w:val="none"/>
          <w:lang w:val="en-US" w:eastAsia="zh-CN"/>
        </w:rPr>
      </w:pPr>
      <w:bookmarkStart w:id="2329" w:name="_Toc19728"/>
      <w:bookmarkStart w:id="2330" w:name="_Toc3922"/>
      <w:bookmarkStart w:id="2331" w:name="_Toc31672"/>
      <w:r>
        <w:rPr>
          <w:rFonts w:hint="eastAsia" w:ascii="宋体" w:hAnsi="宋体" w:eastAsia="宋体" w:cs="宋体"/>
          <w:color w:val="auto"/>
          <w:sz w:val="28"/>
          <w:szCs w:val="28"/>
          <w:highlight w:val="none"/>
          <w:lang w:val="en-US" w:eastAsia="zh-CN"/>
        </w:rPr>
        <w:t>第二部分  商务及技术文件</w:t>
      </w:r>
      <w:bookmarkEnd w:id="2329"/>
      <w:bookmarkEnd w:id="2330"/>
      <w:bookmarkEnd w:id="2331"/>
    </w:p>
    <w:p w14:paraId="254BEAAE">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kern w:val="0"/>
          <w:sz w:val="24"/>
          <w:szCs w:val="24"/>
          <w:highlight w:val="none"/>
          <w:lang w:val="en-US" w:eastAsia="zh-CN"/>
        </w:rPr>
      </w:pPr>
    </w:p>
    <w:p w14:paraId="79C89F4D">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bookmarkStart w:id="2332" w:name="_Toc14915"/>
      <w:bookmarkStart w:id="2333" w:name="_Toc515647817"/>
      <w:bookmarkStart w:id="2334" w:name="_Toc2041"/>
      <w:r>
        <w:rPr>
          <w:rFonts w:hint="eastAsia" w:ascii="宋体" w:hAnsi="宋体" w:eastAsia="宋体" w:cs="宋体"/>
          <w:color w:val="auto"/>
          <w:kern w:val="0"/>
          <w:sz w:val="24"/>
          <w:szCs w:val="24"/>
          <w:highlight w:val="none"/>
          <w:lang w:val="en-US" w:eastAsia="zh-CN"/>
        </w:rPr>
        <w:t>1.投标书</w:t>
      </w:r>
    </w:p>
    <w:p w14:paraId="17D7D6DF">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2.投标分项报价表</w:t>
      </w:r>
    </w:p>
    <w:p w14:paraId="2E9B9CA4">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r>
        <w:rPr>
          <w:rFonts w:hint="eastAsia" w:ascii="宋体" w:hAnsi="宋体" w:cs="宋体"/>
          <w:color w:val="auto"/>
          <w:kern w:val="0"/>
          <w:sz w:val="24"/>
          <w:szCs w:val="24"/>
          <w:highlight w:val="none"/>
          <w:lang w:val="en-US" w:eastAsia="zh-CN"/>
        </w:rPr>
        <w:t>服务说明一览表</w:t>
      </w:r>
    </w:p>
    <w:p w14:paraId="0AB15C6F">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w:t>
      </w:r>
      <w:r>
        <w:rPr>
          <w:rFonts w:hint="eastAsia" w:ascii="宋体" w:hAnsi="宋体" w:cs="宋体"/>
          <w:color w:val="auto"/>
          <w:kern w:val="0"/>
          <w:sz w:val="24"/>
          <w:szCs w:val="24"/>
          <w:highlight w:val="none"/>
          <w:lang w:val="en-US" w:eastAsia="zh-CN"/>
        </w:rPr>
        <w:t>服务要求偏离表</w:t>
      </w:r>
    </w:p>
    <w:p w14:paraId="3511B0B6">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5.商务条款偏离表</w:t>
      </w:r>
    </w:p>
    <w:p w14:paraId="0546474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yellow"/>
          <w:lang w:val="en-US" w:eastAsia="zh-CN"/>
        </w:rPr>
      </w:pPr>
      <w:r>
        <w:rPr>
          <w:rFonts w:hint="eastAsia" w:ascii="宋体" w:hAnsi="宋体" w:eastAsia="宋体" w:cs="宋体"/>
          <w:color w:val="auto"/>
          <w:kern w:val="0"/>
          <w:sz w:val="24"/>
          <w:szCs w:val="24"/>
          <w:highlight w:val="none"/>
          <w:lang w:val="en-US" w:eastAsia="zh-CN"/>
        </w:rPr>
        <w:t>6-1 中小企业声明函</w:t>
      </w:r>
    </w:p>
    <w:p w14:paraId="45560799">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 xml:space="preserve"> 残疾人福利性单位声明函</w:t>
      </w:r>
    </w:p>
    <w:p w14:paraId="3160A0A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7.供应商关联单位的说明</w:t>
      </w:r>
    </w:p>
    <w:p w14:paraId="6F0C6218">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8.供应商可提供有利于投标的其他证明材料</w:t>
      </w:r>
    </w:p>
    <w:p w14:paraId="3C5B0A88">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9.投标文件格式范本</w:t>
      </w:r>
    </w:p>
    <w:p w14:paraId="74A1DDCB">
      <w:pPr>
        <w:spacing w:line="360" w:lineRule="auto"/>
        <w:rPr>
          <w:rFonts w:hint="eastAsia" w:ascii="宋体" w:hAnsi="宋体" w:eastAsia="宋体" w:cs="宋体"/>
          <w:b/>
          <w:bCs/>
          <w:color w:val="auto"/>
          <w:highlight w:val="none"/>
        </w:rPr>
      </w:pPr>
    </w:p>
    <w:p w14:paraId="311D5DAE">
      <w:pPr>
        <w:pStyle w:val="6"/>
        <w:rPr>
          <w:rFonts w:hint="eastAsia" w:ascii="宋体" w:hAnsi="宋体" w:eastAsia="宋体" w:cs="宋体"/>
          <w:b/>
          <w:bCs/>
          <w:color w:val="auto"/>
          <w:highlight w:val="none"/>
        </w:rPr>
      </w:pPr>
    </w:p>
    <w:p w14:paraId="16EF459E">
      <w:pPr>
        <w:pStyle w:val="6"/>
        <w:rPr>
          <w:rFonts w:hint="eastAsia" w:ascii="宋体" w:hAnsi="宋体" w:eastAsia="宋体" w:cs="宋体"/>
          <w:b/>
          <w:bCs/>
          <w:color w:val="auto"/>
          <w:highlight w:val="none"/>
        </w:rPr>
      </w:pPr>
    </w:p>
    <w:p w14:paraId="19EE8F15">
      <w:pPr>
        <w:pStyle w:val="6"/>
        <w:rPr>
          <w:rFonts w:hint="eastAsia" w:ascii="宋体" w:hAnsi="宋体" w:eastAsia="宋体" w:cs="宋体"/>
          <w:b/>
          <w:bCs/>
          <w:color w:val="auto"/>
          <w:highlight w:val="none"/>
        </w:rPr>
      </w:pPr>
    </w:p>
    <w:p w14:paraId="46603459">
      <w:pPr>
        <w:pStyle w:val="6"/>
        <w:rPr>
          <w:rFonts w:hint="eastAsia" w:ascii="宋体" w:hAnsi="宋体" w:eastAsia="宋体" w:cs="宋体"/>
          <w:b/>
          <w:bCs/>
          <w:color w:val="auto"/>
          <w:highlight w:val="none"/>
        </w:rPr>
      </w:pPr>
    </w:p>
    <w:p w14:paraId="7807C910">
      <w:pPr>
        <w:pStyle w:val="6"/>
        <w:rPr>
          <w:rFonts w:hint="eastAsia" w:ascii="宋体" w:hAnsi="宋体" w:eastAsia="宋体" w:cs="宋体"/>
          <w:b/>
          <w:bCs/>
          <w:color w:val="auto"/>
          <w:highlight w:val="none"/>
        </w:rPr>
      </w:pPr>
    </w:p>
    <w:p w14:paraId="7D6EAA9C">
      <w:pPr>
        <w:pStyle w:val="6"/>
        <w:rPr>
          <w:rFonts w:hint="eastAsia" w:ascii="宋体" w:hAnsi="宋体" w:eastAsia="宋体" w:cs="宋体"/>
          <w:b/>
          <w:bCs/>
          <w:color w:val="auto"/>
          <w:highlight w:val="none"/>
        </w:rPr>
      </w:pPr>
    </w:p>
    <w:p w14:paraId="054ABCE7">
      <w:pPr>
        <w:spacing w:line="360" w:lineRule="auto"/>
        <w:rPr>
          <w:rFonts w:hint="eastAsia" w:ascii="宋体" w:hAnsi="宋体" w:eastAsia="宋体" w:cs="宋体"/>
          <w:color w:val="auto"/>
          <w:sz w:val="24"/>
          <w:highlight w:val="none"/>
        </w:rPr>
      </w:pPr>
    </w:p>
    <w:p w14:paraId="6AB47E68">
      <w:pPr>
        <w:pStyle w:val="14"/>
        <w:tabs>
          <w:tab w:val="left" w:pos="5580"/>
        </w:tabs>
        <w:spacing w:line="240" w:lineRule="atLeast"/>
        <w:rPr>
          <w:rFonts w:hint="eastAsia" w:ascii="宋体" w:hAnsi="宋体" w:eastAsia="宋体" w:cs="宋体"/>
          <w:color w:val="auto"/>
          <w:szCs w:val="21"/>
          <w:highlight w:val="none"/>
        </w:rPr>
      </w:pPr>
    </w:p>
    <w:p w14:paraId="7D36BB35">
      <w:pPr>
        <w:pStyle w:val="14"/>
        <w:tabs>
          <w:tab w:val="left" w:pos="5580"/>
        </w:tabs>
        <w:spacing w:line="240" w:lineRule="atLeast"/>
        <w:rPr>
          <w:rFonts w:hint="eastAsia" w:ascii="宋体" w:hAnsi="宋体" w:eastAsia="宋体" w:cs="宋体"/>
          <w:color w:val="auto"/>
          <w:szCs w:val="21"/>
          <w:highlight w:val="none"/>
        </w:rPr>
      </w:pPr>
    </w:p>
    <w:p w14:paraId="348B8377">
      <w:pPr>
        <w:pStyle w:val="14"/>
        <w:tabs>
          <w:tab w:val="left" w:pos="5580"/>
        </w:tabs>
        <w:spacing w:line="240" w:lineRule="atLeast"/>
        <w:rPr>
          <w:rFonts w:hint="eastAsia" w:ascii="宋体" w:hAnsi="宋体" w:eastAsia="宋体" w:cs="宋体"/>
          <w:color w:val="auto"/>
          <w:szCs w:val="21"/>
          <w:highlight w:val="none"/>
        </w:rPr>
      </w:pPr>
    </w:p>
    <w:p w14:paraId="12D1E150">
      <w:pPr>
        <w:pStyle w:val="14"/>
        <w:tabs>
          <w:tab w:val="left" w:pos="5580"/>
        </w:tabs>
        <w:spacing w:line="240" w:lineRule="atLeast"/>
        <w:rPr>
          <w:rFonts w:hint="eastAsia" w:ascii="宋体" w:hAnsi="宋体" w:eastAsia="宋体" w:cs="宋体"/>
          <w:color w:val="auto"/>
          <w:szCs w:val="21"/>
          <w:highlight w:val="none"/>
        </w:rPr>
      </w:pPr>
    </w:p>
    <w:p w14:paraId="7EED81CF">
      <w:pPr>
        <w:pStyle w:val="14"/>
        <w:tabs>
          <w:tab w:val="left" w:pos="5580"/>
        </w:tabs>
        <w:spacing w:line="240" w:lineRule="atLeast"/>
        <w:rPr>
          <w:rFonts w:hint="eastAsia" w:ascii="宋体" w:hAnsi="宋体" w:eastAsia="宋体" w:cs="宋体"/>
          <w:color w:val="auto"/>
          <w:szCs w:val="21"/>
          <w:highlight w:val="none"/>
        </w:rPr>
      </w:pPr>
    </w:p>
    <w:p w14:paraId="1DAE9D55">
      <w:pPr>
        <w:pStyle w:val="14"/>
        <w:tabs>
          <w:tab w:val="left" w:pos="5580"/>
        </w:tabs>
        <w:spacing w:line="240" w:lineRule="atLeast"/>
        <w:rPr>
          <w:rFonts w:hint="eastAsia" w:ascii="宋体" w:hAnsi="宋体" w:eastAsia="宋体" w:cs="宋体"/>
          <w:color w:val="auto"/>
          <w:szCs w:val="21"/>
          <w:highlight w:val="none"/>
        </w:rPr>
      </w:pPr>
    </w:p>
    <w:p w14:paraId="32B21EC0">
      <w:pPr>
        <w:pStyle w:val="14"/>
        <w:tabs>
          <w:tab w:val="left" w:pos="5580"/>
        </w:tabs>
        <w:spacing w:line="240" w:lineRule="atLeast"/>
        <w:rPr>
          <w:rFonts w:hint="eastAsia" w:ascii="宋体" w:hAnsi="宋体" w:eastAsia="宋体" w:cs="宋体"/>
          <w:color w:val="auto"/>
          <w:szCs w:val="21"/>
          <w:highlight w:val="none"/>
        </w:rPr>
      </w:pPr>
    </w:p>
    <w:p w14:paraId="3E65389F">
      <w:pPr>
        <w:pStyle w:val="14"/>
        <w:tabs>
          <w:tab w:val="left" w:pos="5580"/>
        </w:tabs>
        <w:spacing w:line="240" w:lineRule="atLeast"/>
        <w:rPr>
          <w:rFonts w:hint="eastAsia" w:ascii="宋体" w:hAnsi="宋体" w:eastAsia="宋体" w:cs="宋体"/>
          <w:color w:val="auto"/>
          <w:szCs w:val="21"/>
          <w:highlight w:val="none"/>
        </w:rPr>
      </w:pPr>
    </w:p>
    <w:p w14:paraId="57DEBB97">
      <w:pPr>
        <w:pStyle w:val="14"/>
        <w:tabs>
          <w:tab w:val="left" w:pos="5580"/>
        </w:tabs>
        <w:spacing w:line="240" w:lineRule="atLeast"/>
        <w:rPr>
          <w:rFonts w:hint="eastAsia" w:ascii="宋体" w:hAnsi="宋体" w:eastAsia="宋体" w:cs="宋体"/>
          <w:color w:val="auto"/>
          <w:szCs w:val="21"/>
          <w:highlight w:val="none"/>
        </w:rPr>
      </w:pPr>
    </w:p>
    <w:p w14:paraId="29DA48A5">
      <w:pPr>
        <w:pStyle w:val="14"/>
        <w:tabs>
          <w:tab w:val="left" w:pos="5580"/>
        </w:tabs>
        <w:spacing w:line="240" w:lineRule="atLeast"/>
        <w:rPr>
          <w:rFonts w:hint="eastAsia" w:ascii="宋体" w:hAnsi="宋体" w:eastAsia="宋体" w:cs="宋体"/>
          <w:color w:val="auto"/>
          <w:szCs w:val="21"/>
          <w:highlight w:val="none"/>
        </w:rPr>
      </w:pPr>
    </w:p>
    <w:p w14:paraId="3482A77C">
      <w:pPr>
        <w:rPr>
          <w:rFonts w:hint="eastAsia" w:ascii="宋体" w:hAnsi="宋体" w:eastAsia="宋体" w:cs="宋体"/>
          <w:b/>
          <w:bCs/>
          <w:color w:val="auto"/>
          <w:sz w:val="24"/>
          <w:szCs w:val="24"/>
          <w:highlight w:val="none"/>
        </w:rPr>
      </w:pPr>
      <w:bookmarkStart w:id="2335" w:name="_Toc30408"/>
      <w:bookmarkStart w:id="2336" w:name="_Toc29625"/>
      <w:bookmarkStart w:id="2337" w:name="_Toc25918"/>
      <w:bookmarkStart w:id="2338" w:name="_Toc21772"/>
      <w:r>
        <w:rPr>
          <w:rFonts w:hint="eastAsia" w:ascii="宋体" w:hAnsi="宋体" w:eastAsia="宋体" w:cs="宋体"/>
          <w:b/>
          <w:bCs/>
          <w:color w:val="auto"/>
          <w:sz w:val="24"/>
          <w:szCs w:val="24"/>
          <w:highlight w:val="none"/>
        </w:rPr>
        <w:br w:type="page"/>
      </w:r>
    </w:p>
    <w:bookmarkEnd w:id="2332"/>
    <w:bookmarkEnd w:id="2333"/>
    <w:bookmarkEnd w:id="2334"/>
    <w:bookmarkEnd w:id="2335"/>
    <w:bookmarkEnd w:id="2336"/>
    <w:bookmarkEnd w:id="2337"/>
    <w:bookmarkEnd w:id="2338"/>
    <w:p w14:paraId="4420D3C9">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339" w:name="_Toc17248"/>
      <w:bookmarkStart w:id="2340" w:name="_Toc7083"/>
      <w:bookmarkStart w:id="2341" w:name="_Toc163"/>
      <w:r>
        <w:rPr>
          <w:rFonts w:hint="eastAsia" w:ascii="宋体" w:hAnsi="宋体" w:eastAsia="宋体" w:cs="宋体"/>
          <w:b/>
          <w:bCs/>
          <w:color w:val="auto"/>
          <w:sz w:val="28"/>
          <w:szCs w:val="28"/>
          <w:highlight w:val="none"/>
          <w:u w:val="none"/>
          <w:lang w:val="en-US" w:eastAsia="zh-CN"/>
        </w:rPr>
        <w:t>1.投标书</w:t>
      </w:r>
      <w:bookmarkEnd w:id="2339"/>
      <w:bookmarkEnd w:id="2340"/>
      <w:bookmarkEnd w:id="2341"/>
    </w:p>
    <w:p w14:paraId="26E1C0D1">
      <w:pPr>
        <w:tabs>
          <w:tab w:val="left" w:pos="5580"/>
        </w:tabs>
        <w:spacing w:line="400" w:lineRule="exact"/>
        <w:ind w:left="1080" w:hanging="108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p>
    <w:p w14:paraId="5C920D9F">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p>
    <w:p w14:paraId="16AD8FB2">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根据贵方(</w:t>
      </w:r>
      <w:r>
        <w:rPr>
          <w:rFonts w:hint="eastAsia" w:ascii="宋体" w:hAnsi="宋体" w:eastAsia="宋体" w:cs="宋体"/>
          <w:i/>
          <w:color w:val="auto"/>
          <w:kern w:val="2"/>
          <w:sz w:val="24"/>
          <w:szCs w:val="24"/>
          <w:highlight w:val="none"/>
          <w:u w:val="single"/>
          <w:lang w:val="en-US" w:eastAsia="zh-CN" w:bidi="ar-SA"/>
        </w:rPr>
        <w:t>项目名称</w:t>
      </w:r>
      <w:r>
        <w:rPr>
          <w:rFonts w:hint="eastAsia" w:ascii="宋体" w:hAnsi="宋体" w:eastAsia="宋体" w:cs="宋体"/>
          <w:color w:val="auto"/>
          <w:kern w:val="2"/>
          <w:sz w:val="24"/>
          <w:szCs w:val="24"/>
          <w:highlight w:val="none"/>
          <w:lang w:val="en-US" w:eastAsia="zh-CN" w:bidi="ar-SA"/>
        </w:rPr>
        <w:t>)项目的投标邀请(</w:t>
      </w:r>
      <w:r>
        <w:rPr>
          <w:rFonts w:hint="eastAsia" w:ascii="宋体" w:hAnsi="宋体" w:eastAsia="宋体" w:cs="宋体"/>
          <w:i/>
          <w:color w:val="auto"/>
          <w:kern w:val="2"/>
          <w:sz w:val="24"/>
          <w:szCs w:val="24"/>
          <w:highlight w:val="none"/>
          <w:u w:val="single"/>
          <w:lang w:val="en-US" w:eastAsia="zh-CN" w:bidi="ar-SA"/>
        </w:rPr>
        <w:t>项目编号，</w:t>
      </w:r>
      <w:r>
        <w:rPr>
          <w:rFonts w:hint="eastAsia" w:ascii="宋体" w:hAnsi="宋体" w:eastAsia="宋体" w:cs="宋体"/>
          <w:b w:val="0"/>
          <w:bCs/>
          <w:color w:val="auto"/>
          <w:kern w:val="2"/>
          <w:sz w:val="24"/>
          <w:szCs w:val="20"/>
          <w:highlight w:val="none"/>
          <w:u w:val="single"/>
          <w:lang w:val="en-US" w:eastAsia="zh-CN" w:bidi="ar-SA"/>
        </w:rPr>
        <w:t>标项号</w:t>
      </w:r>
      <w:r>
        <w:rPr>
          <w:rFonts w:hint="eastAsia" w:ascii="宋体" w:hAnsi="宋体" w:eastAsia="宋体" w:cs="宋体"/>
          <w:color w:val="auto"/>
          <w:kern w:val="2"/>
          <w:sz w:val="24"/>
          <w:szCs w:val="24"/>
          <w:highlight w:val="none"/>
          <w:lang w:val="en-US" w:eastAsia="zh-CN" w:bidi="ar-SA"/>
        </w:rPr>
        <w:t>),签字代表(</w:t>
      </w:r>
      <w:r>
        <w:rPr>
          <w:rFonts w:hint="eastAsia" w:ascii="宋体" w:hAnsi="宋体" w:eastAsia="宋体" w:cs="宋体"/>
          <w:i/>
          <w:color w:val="auto"/>
          <w:kern w:val="2"/>
          <w:sz w:val="24"/>
          <w:szCs w:val="24"/>
          <w:highlight w:val="none"/>
          <w:u w:val="single"/>
          <w:lang w:val="en-US" w:eastAsia="zh-CN" w:bidi="ar-SA"/>
        </w:rPr>
        <w:t>姓名、职务</w:t>
      </w:r>
      <w:r>
        <w:rPr>
          <w:rFonts w:hint="eastAsia" w:ascii="宋体" w:hAnsi="宋体" w:eastAsia="宋体" w:cs="宋体"/>
          <w:color w:val="auto"/>
          <w:kern w:val="2"/>
          <w:sz w:val="24"/>
          <w:szCs w:val="24"/>
          <w:highlight w:val="none"/>
          <w:lang w:val="en-US" w:eastAsia="zh-CN" w:bidi="ar-SA"/>
        </w:rPr>
        <w:t>)经正式授权并代表供应商（</w:t>
      </w:r>
      <w:r>
        <w:rPr>
          <w:rFonts w:hint="eastAsia" w:ascii="宋体" w:hAnsi="宋体" w:eastAsia="宋体" w:cs="宋体"/>
          <w:i/>
          <w:color w:val="auto"/>
          <w:kern w:val="2"/>
          <w:sz w:val="24"/>
          <w:szCs w:val="24"/>
          <w:highlight w:val="none"/>
          <w:u w:val="single"/>
          <w:lang w:val="en-US" w:eastAsia="zh-CN" w:bidi="ar-SA"/>
        </w:rPr>
        <w:t>名称、地址</w:t>
      </w:r>
      <w:r>
        <w:rPr>
          <w:rFonts w:hint="eastAsia" w:ascii="宋体" w:hAnsi="宋体" w:eastAsia="宋体" w:cs="宋体"/>
          <w:color w:val="auto"/>
          <w:kern w:val="2"/>
          <w:sz w:val="24"/>
          <w:szCs w:val="24"/>
          <w:highlight w:val="none"/>
          <w:lang w:val="en-US" w:eastAsia="zh-CN" w:bidi="ar-SA"/>
        </w:rPr>
        <w:t>）上传投标文件，并以</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形式出具的金额为人民币</w:t>
      </w:r>
      <w:r>
        <w:rPr>
          <w:rFonts w:hint="eastAsia" w:ascii="宋体" w:hAnsi="宋体" w:eastAsia="宋体" w:cs="宋体"/>
          <w:color w:val="auto"/>
          <w:kern w:val="2"/>
          <w:sz w:val="24"/>
          <w:szCs w:val="24"/>
          <w:highlight w:val="none"/>
          <w:u w:val="single"/>
          <w:lang w:val="en-US" w:eastAsia="zh-CN" w:bidi="ar-SA"/>
        </w:rPr>
        <w:t>　　　　</w:t>
      </w:r>
      <w:r>
        <w:rPr>
          <w:rFonts w:hint="eastAsia" w:ascii="宋体" w:hAnsi="宋体" w:eastAsia="宋体" w:cs="宋体"/>
          <w:color w:val="auto"/>
          <w:kern w:val="2"/>
          <w:sz w:val="24"/>
          <w:szCs w:val="24"/>
          <w:highlight w:val="none"/>
          <w:lang w:val="en-US" w:eastAsia="zh-CN" w:bidi="ar-SA"/>
        </w:rPr>
        <w:t>元的投标保证金。</w:t>
      </w:r>
    </w:p>
    <w:p w14:paraId="1BC8CA47">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据此，签字代表宣布同意如下：</w:t>
      </w:r>
    </w:p>
    <w:p w14:paraId="0964E593">
      <w:pPr>
        <w:pageBreakBefore w:val="0"/>
        <w:widowControl w:val="0"/>
        <w:tabs>
          <w:tab w:val="left" w:pos="720"/>
          <w:tab w:val="left" w:pos="90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u w:val="single"/>
          <w:lang w:val="en-US" w:eastAsia="zh-CN" w:bidi="ar-SA"/>
        </w:rPr>
      </w:pPr>
      <w:r>
        <w:rPr>
          <w:rFonts w:hint="eastAsia" w:ascii="宋体" w:hAnsi="宋体" w:eastAsia="宋体" w:cs="宋体"/>
          <w:color w:val="auto"/>
          <w:kern w:val="2"/>
          <w:sz w:val="24"/>
          <w:szCs w:val="24"/>
          <w:highlight w:val="none"/>
          <w:lang w:val="en-US" w:eastAsia="zh-CN" w:bidi="ar-SA"/>
        </w:rPr>
        <w:t>（1）附投标价格表中规定的应提供服务的投标总价详见开标一览表，</w:t>
      </w:r>
      <w:r>
        <w:rPr>
          <w:rFonts w:hint="eastAsia" w:ascii="宋体" w:hAnsi="宋体" w:eastAsia="宋体" w:cs="宋体"/>
          <w:color w:val="auto"/>
          <w:kern w:val="2"/>
          <w:sz w:val="24"/>
          <w:szCs w:val="24"/>
          <w:highlight w:val="none"/>
          <w:u w:val="none"/>
          <w:lang w:val="en-US" w:eastAsia="zh-CN" w:bidi="ar-SA"/>
        </w:rPr>
        <w:t>其中由</w:t>
      </w:r>
      <w:r>
        <w:rPr>
          <w:rFonts w:hint="eastAsia" w:ascii="宋体" w:hAnsi="宋体" w:eastAsia="宋体" w:cs="宋体"/>
          <w:color w:val="auto"/>
          <w:kern w:val="2"/>
          <w:sz w:val="24"/>
          <w:szCs w:val="24"/>
          <w:highlight w:val="none"/>
          <w:u w:val="single"/>
          <w:lang w:val="en-US" w:eastAsia="zh-CN" w:bidi="ar-SA"/>
        </w:rPr>
        <w:t>小型和微型企业</w:t>
      </w:r>
      <w:r>
        <w:rPr>
          <w:rFonts w:hint="eastAsia" w:ascii="宋体" w:hAnsi="宋体" w:eastAsia="宋体" w:cs="宋体"/>
          <w:color w:val="auto"/>
          <w:kern w:val="2"/>
          <w:sz w:val="24"/>
          <w:szCs w:val="24"/>
          <w:highlight w:val="none"/>
          <w:lang w:val="en-US" w:eastAsia="zh-CN" w:bidi="ar-SA"/>
        </w:rPr>
        <w:t>承接服务的价格为</w:t>
      </w:r>
      <w:r>
        <w:rPr>
          <w:rFonts w:hint="eastAsia" w:ascii="宋体" w:hAnsi="宋体" w:eastAsia="宋体" w:cs="宋体"/>
          <w:color w:val="auto"/>
          <w:kern w:val="2"/>
          <w:sz w:val="24"/>
          <w:szCs w:val="24"/>
          <w:highlight w:val="none"/>
          <w:u w:val="single"/>
          <w:lang w:val="en-US" w:eastAsia="zh-CN" w:bidi="ar-SA"/>
        </w:rPr>
        <w:t>　　  （用文字和数字表示），占投标总价   %</w:t>
      </w:r>
      <w:r>
        <w:rPr>
          <w:rFonts w:hint="eastAsia" w:ascii="宋体" w:hAnsi="宋体" w:eastAsia="宋体" w:cs="宋体"/>
          <w:color w:val="auto"/>
          <w:kern w:val="2"/>
          <w:sz w:val="24"/>
          <w:szCs w:val="24"/>
          <w:highlight w:val="none"/>
          <w:lang w:val="en-US" w:eastAsia="zh-CN" w:bidi="ar-SA"/>
        </w:rPr>
        <w:t>。</w:t>
      </w:r>
    </w:p>
    <w:p w14:paraId="417BDB0B">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（2）本投标有效期为自投标截止之日起</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个日历日。</w:t>
      </w:r>
    </w:p>
    <w:p w14:paraId="1D128C50">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（3）联合体中的大中型企业和其他自然人、法人或者非法人组织，与联合体中的小型、微型企业之间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存在、不存在）投资关系（如果是联合体的话）。</w:t>
      </w:r>
    </w:p>
    <w:p w14:paraId="7E5FBE90">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（4）已详细审查全部招标文件，包括所有补充通知（如果有的话），完全理解并同意放弃对这方面有不明、误解和质疑的权力。</w:t>
      </w:r>
    </w:p>
    <w:p w14:paraId="50538BE5">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（5）在规定的开标时间后，遵守招标文件中有关保证金的规定。</w:t>
      </w:r>
    </w:p>
    <w:p w14:paraId="250DF90D">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（6）我方不是为本项目提供整体设计、规范编制或者项目管理、监理、检测等服务的供应商，我方不是采购代理机构的附属机构。</w:t>
      </w:r>
    </w:p>
    <w:p w14:paraId="495444B2">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（7）按照贵方可能要求，提供与其投标有关的一切数据或资料，完全理解贵方不一定接受最低价的投标或收到的任何投标。</w:t>
      </w:r>
    </w:p>
    <w:p w14:paraId="6721904C">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（8）按照招标文件的规定履行合同责任和义务。</w:t>
      </w:r>
    </w:p>
    <w:p w14:paraId="5E1F8D1D">
      <w:pPr>
        <w:pStyle w:val="14"/>
        <w:tabs>
          <w:tab w:val="left" w:pos="5580"/>
        </w:tabs>
        <w:spacing w:line="400" w:lineRule="exact"/>
        <w:ind w:left="359" w:leftChars="68" w:hanging="216" w:hangingChars="9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与本投标有关的一切正式往来信函请寄：</w:t>
      </w:r>
    </w:p>
    <w:p w14:paraId="1B9D410B">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传真</w:t>
      </w:r>
      <w:r>
        <w:rPr>
          <w:rFonts w:hint="eastAsia" w:ascii="宋体" w:hAnsi="宋体" w:eastAsia="宋体" w:cs="宋体"/>
          <w:color w:val="auto"/>
          <w:sz w:val="24"/>
          <w:szCs w:val="24"/>
          <w:highlight w:val="none"/>
          <w:u w:val="single"/>
        </w:rPr>
        <w:t xml:space="preserve">                             </w:t>
      </w:r>
    </w:p>
    <w:p w14:paraId="099B3CB4">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电子函件</w:t>
      </w:r>
      <w:r>
        <w:rPr>
          <w:rFonts w:hint="eastAsia" w:ascii="宋体" w:hAnsi="宋体" w:eastAsia="宋体" w:cs="宋体"/>
          <w:color w:val="auto"/>
          <w:sz w:val="24"/>
          <w:szCs w:val="24"/>
          <w:highlight w:val="none"/>
          <w:u w:val="single"/>
        </w:rPr>
        <w:t xml:space="preserve">                         </w:t>
      </w:r>
    </w:p>
    <w:p w14:paraId="7127A69C">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法定代表人（签/章）</w:t>
      </w:r>
      <w:r>
        <w:rPr>
          <w:rFonts w:hint="eastAsia" w:ascii="宋体" w:hAnsi="宋体" w:eastAsia="宋体" w:cs="宋体"/>
          <w:color w:val="auto"/>
          <w:sz w:val="24"/>
          <w:szCs w:val="24"/>
          <w:highlight w:val="none"/>
          <w:u w:val="single"/>
        </w:rPr>
        <w:t xml:space="preserve">       </w:t>
      </w:r>
    </w:p>
    <w:p w14:paraId="03676FC4">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名称</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u w:val="single"/>
        </w:rPr>
        <w:t xml:space="preserve">               </w:t>
      </w:r>
    </w:p>
    <w:p w14:paraId="689C71F1">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供应商开户银行（全称）</w:t>
      </w:r>
      <w:r>
        <w:rPr>
          <w:rFonts w:hint="eastAsia" w:ascii="宋体" w:hAnsi="宋体" w:eastAsia="宋体" w:cs="宋体"/>
          <w:color w:val="auto"/>
          <w:sz w:val="24"/>
          <w:szCs w:val="24"/>
          <w:highlight w:val="none"/>
          <w:u w:val="single"/>
        </w:rPr>
        <w:t xml:space="preserve">　　　　　　 </w:t>
      </w:r>
    </w:p>
    <w:p w14:paraId="08C67A20">
      <w:pPr>
        <w:pStyle w:val="14"/>
        <w:tabs>
          <w:tab w:val="left" w:pos="5580"/>
        </w:tabs>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供应商银行帐号</w:t>
      </w:r>
      <w:r>
        <w:rPr>
          <w:rFonts w:hint="eastAsia" w:ascii="宋体" w:hAnsi="宋体" w:eastAsia="宋体" w:cs="宋体"/>
          <w:color w:val="auto"/>
          <w:sz w:val="24"/>
          <w:szCs w:val="24"/>
          <w:highlight w:val="none"/>
          <w:u w:val="single"/>
        </w:rPr>
        <w:t>　　　　　　　　 　　</w:t>
      </w:r>
    </w:p>
    <w:p w14:paraId="34607CB1">
      <w:pPr>
        <w:pStyle w:val="14"/>
        <w:tabs>
          <w:tab w:val="left" w:pos="5580"/>
        </w:tabs>
        <w:spacing w:line="400" w:lineRule="exact"/>
        <w:ind w:left="1080" w:leftChars="257" w:hanging="54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期</w:t>
      </w:r>
      <w:r>
        <w:rPr>
          <w:rFonts w:hint="eastAsia" w:ascii="宋体" w:hAnsi="宋体" w:eastAsia="宋体" w:cs="宋体"/>
          <w:color w:val="auto"/>
          <w:sz w:val="24"/>
          <w:szCs w:val="24"/>
          <w:highlight w:val="none"/>
          <w:u w:val="single"/>
        </w:rPr>
        <w:t xml:space="preserve">                </w:t>
      </w:r>
      <w:bookmarkStart w:id="2342" w:name="_Toc19819"/>
      <w:bookmarkStart w:id="2343" w:name="_Toc1266"/>
      <w:bookmarkStart w:id="2344" w:name="_Toc14219"/>
      <w:bookmarkStart w:id="2345" w:name="_Toc23473"/>
      <w:bookmarkStart w:id="2346" w:name="_Toc6738"/>
      <w:bookmarkStart w:id="2347" w:name="_Toc30947"/>
    </w:p>
    <w:p w14:paraId="53C2B3FF">
      <w:pPr>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br w:type="page"/>
      </w:r>
    </w:p>
    <w:bookmarkEnd w:id="2342"/>
    <w:bookmarkEnd w:id="2343"/>
    <w:bookmarkEnd w:id="2344"/>
    <w:bookmarkEnd w:id="2345"/>
    <w:bookmarkEnd w:id="2346"/>
    <w:bookmarkEnd w:id="2347"/>
    <w:p w14:paraId="669B0098">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348" w:name="_Toc11299"/>
      <w:bookmarkStart w:id="2349" w:name="_Toc25752"/>
      <w:bookmarkStart w:id="2350" w:name="_Toc26990"/>
      <w:bookmarkStart w:id="2351" w:name="_Toc515647820"/>
      <w:bookmarkStart w:id="2352" w:name="_Toc22563"/>
      <w:bookmarkStart w:id="2353" w:name="_Toc28959"/>
      <w:bookmarkStart w:id="2354" w:name="_Toc216582817"/>
      <w:r>
        <w:rPr>
          <w:rFonts w:hint="eastAsia" w:ascii="宋体" w:hAnsi="宋体" w:eastAsia="宋体" w:cs="宋体"/>
          <w:b/>
          <w:bCs/>
          <w:color w:val="auto"/>
          <w:sz w:val="28"/>
          <w:szCs w:val="28"/>
          <w:highlight w:val="none"/>
          <w:u w:val="none"/>
          <w:lang w:val="en-US" w:eastAsia="zh-CN"/>
        </w:rPr>
        <w:t>2.投标分项报价表</w:t>
      </w:r>
      <w:bookmarkEnd w:id="2348"/>
      <w:bookmarkEnd w:id="2349"/>
      <w:bookmarkEnd w:id="2350"/>
    </w:p>
    <w:p w14:paraId="541E611F">
      <w:pPr>
        <w:pStyle w:val="14"/>
        <w:keepNext w:val="0"/>
        <w:keepLines w:val="0"/>
        <w:pageBreakBefore w:val="0"/>
        <w:widowControl w:val="0"/>
        <w:kinsoku/>
        <w:wordWrap/>
        <w:overflowPunct/>
        <w:topLinePunct w:val="0"/>
        <w:autoSpaceDE/>
        <w:autoSpaceDN/>
        <w:bidi w:val="0"/>
        <w:adjustRightInd/>
        <w:snapToGrid/>
        <w:spacing w:line="400" w:lineRule="exact"/>
        <w:ind w:left="540" w:leftChars="257" w:firstLine="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                      项目编号:                       　 　          报价单位：人民币</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rPr>
        <w:t>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 xml:space="preserve">         </w:t>
      </w:r>
      <w:r>
        <w:rPr>
          <w:rFonts w:hint="eastAsia" w:hAnsi="宋体" w:cs="宋体"/>
          <w:color w:val="auto"/>
          <w:sz w:val="24"/>
          <w:szCs w:val="24"/>
          <w:highlight w:val="none"/>
          <w:lang w:val="en-US" w:eastAsia="zh-CN"/>
        </w:rPr>
        <w:t>标项</w:t>
      </w:r>
      <w:r>
        <w:rPr>
          <w:rFonts w:hint="eastAsia" w:ascii="宋体" w:hAnsi="宋体" w:eastAsia="宋体" w:cs="宋体"/>
          <w:color w:val="auto"/>
          <w:sz w:val="24"/>
          <w:szCs w:val="24"/>
          <w:highlight w:val="none"/>
          <w:lang w:val="en-US" w:eastAsia="zh-CN"/>
        </w:rPr>
        <w:t>：（如有）</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046"/>
        <w:gridCol w:w="1047"/>
        <w:gridCol w:w="1047"/>
        <w:gridCol w:w="1047"/>
        <w:gridCol w:w="1047"/>
        <w:gridCol w:w="651"/>
        <w:gridCol w:w="654"/>
        <w:gridCol w:w="653"/>
        <w:gridCol w:w="653"/>
      </w:tblGrid>
      <w:tr w14:paraId="2DE92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jc w:val="center"/>
        </w:trPr>
        <w:tc>
          <w:tcPr>
            <w:tcW w:w="650" w:type="dxa"/>
            <w:vAlign w:val="center"/>
          </w:tcPr>
          <w:p w14:paraId="02C99FA8">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序号</w:t>
            </w:r>
          </w:p>
        </w:tc>
        <w:tc>
          <w:tcPr>
            <w:tcW w:w="1046" w:type="dxa"/>
            <w:vAlign w:val="center"/>
          </w:tcPr>
          <w:p w14:paraId="496C5AE4">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标的名称</w:t>
            </w:r>
          </w:p>
        </w:tc>
        <w:tc>
          <w:tcPr>
            <w:tcW w:w="1047" w:type="dxa"/>
            <w:vAlign w:val="center"/>
          </w:tcPr>
          <w:p w14:paraId="363A14C3">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服务范围</w:t>
            </w:r>
          </w:p>
        </w:tc>
        <w:tc>
          <w:tcPr>
            <w:tcW w:w="1047" w:type="dxa"/>
            <w:vAlign w:val="center"/>
          </w:tcPr>
          <w:p w14:paraId="18C237D2">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服务要求</w:t>
            </w:r>
          </w:p>
        </w:tc>
        <w:tc>
          <w:tcPr>
            <w:tcW w:w="1047" w:type="dxa"/>
            <w:vAlign w:val="center"/>
          </w:tcPr>
          <w:p w14:paraId="505B5E7A">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服务时间</w:t>
            </w:r>
          </w:p>
        </w:tc>
        <w:tc>
          <w:tcPr>
            <w:tcW w:w="1047" w:type="dxa"/>
            <w:vAlign w:val="center"/>
          </w:tcPr>
          <w:p w14:paraId="5E9B57F8">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服务标准</w:t>
            </w:r>
          </w:p>
        </w:tc>
        <w:tc>
          <w:tcPr>
            <w:tcW w:w="651" w:type="dxa"/>
            <w:vAlign w:val="center"/>
          </w:tcPr>
          <w:p w14:paraId="13209D8A">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数量</w:t>
            </w:r>
          </w:p>
        </w:tc>
        <w:tc>
          <w:tcPr>
            <w:tcW w:w="654" w:type="dxa"/>
            <w:vAlign w:val="center"/>
          </w:tcPr>
          <w:p w14:paraId="712A84F9">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w:t>
            </w:r>
          </w:p>
        </w:tc>
        <w:tc>
          <w:tcPr>
            <w:tcW w:w="653" w:type="dxa"/>
            <w:vAlign w:val="center"/>
          </w:tcPr>
          <w:p w14:paraId="0F12034B">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总</w:t>
            </w:r>
            <w:r>
              <w:rPr>
                <w:rFonts w:hint="eastAsia" w:ascii="宋体" w:hAnsi="宋体" w:eastAsia="宋体" w:cs="宋体"/>
                <w:color w:val="000000"/>
                <w:sz w:val="24"/>
                <w:highlight w:val="none"/>
              </w:rPr>
              <w:t>价</w:t>
            </w:r>
          </w:p>
        </w:tc>
        <w:tc>
          <w:tcPr>
            <w:tcW w:w="653" w:type="dxa"/>
            <w:vAlign w:val="center"/>
          </w:tcPr>
          <w:p w14:paraId="30ED2B5C">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备注</w:t>
            </w:r>
          </w:p>
        </w:tc>
      </w:tr>
      <w:tr w14:paraId="4F61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50" w:type="dxa"/>
            <w:vAlign w:val="center"/>
          </w:tcPr>
          <w:p w14:paraId="7B307B75">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1</w:t>
            </w:r>
          </w:p>
        </w:tc>
        <w:tc>
          <w:tcPr>
            <w:tcW w:w="1046" w:type="dxa"/>
            <w:vAlign w:val="center"/>
          </w:tcPr>
          <w:p w14:paraId="144B86B0">
            <w:pPr>
              <w:spacing w:line="360" w:lineRule="auto"/>
              <w:jc w:val="center"/>
              <w:rPr>
                <w:rFonts w:hint="eastAsia" w:ascii="宋体" w:hAnsi="宋体" w:eastAsia="宋体" w:cs="宋体"/>
                <w:color w:val="000000"/>
                <w:sz w:val="24"/>
                <w:highlight w:val="none"/>
                <w:lang w:val="en-US" w:eastAsia="zh-CN"/>
              </w:rPr>
            </w:pPr>
          </w:p>
        </w:tc>
        <w:tc>
          <w:tcPr>
            <w:tcW w:w="1047" w:type="dxa"/>
            <w:vAlign w:val="center"/>
          </w:tcPr>
          <w:p w14:paraId="504AB01C">
            <w:pPr>
              <w:spacing w:line="360" w:lineRule="auto"/>
              <w:jc w:val="center"/>
              <w:rPr>
                <w:rFonts w:hint="eastAsia" w:ascii="宋体" w:hAnsi="宋体" w:eastAsia="宋体" w:cs="宋体"/>
                <w:color w:val="000000"/>
                <w:sz w:val="24"/>
                <w:highlight w:val="none"/>
                <w:lang w:val="en-US" w:eastAsia="zh-CN"/>
              </w:rPr>
            </w:pPr>
          </w:p>
        </w:tc>
        <w:tc>
          <w:tcPr>
            <w:tcW w:w="1047" w:type="dxa"/>
            <w:vAlign w:val="center"/>
          </w:tcPr>
          <w:p w14:paraId="03D652DC">
            <w:pPr>
              <w:spacing w:line="360" w:lineRule="auto"/>
              <w:jc w:val="center"/>
              <w:rPr>
                <w:rFonts w:hint="eastAsia" w:ascii="宋体" w:hAnsi="宋体" w:eastAsia="宋体" w:cs="宋体"/>
                <w:color w:val="000000"/>
                <w:sz w:val="24"/>
                <w:highlight w:val="none"/>
              </w:rPr>
            </w:pPr>
          </w:p>
        </w:tc>
        <w:tc>
          <w:tcPr>
            <w:tcW w:w="1047" w:type="dxa"/>
            <w:vAlign w:val="center"/>
          </w:tcPr>
          <w:p w14:paraId="76838649">
            <w:pPr>
              <w:spacing w:line="360" w:lineRule="auto"/>
              <w:jc w:val="center"/>
              <w:rPr>
                <w:rFonts w:hint="eastAsia" w:ascii="宋体" w:hAnsi="宋体" w:eastAsia="宋体" w:cs="宋体"/>
                <w:color w:val="000000"/>
                <w:sz w:val="24"/>
                <w:highlight w:val="none"/>
              </w:rPr>
            </w:pPr>
          </w:p>
        </w:tc>
        <w:tc>
          <w:tcPr>
            <w:tcW w:w="1047" w:type="dxa"/>
            <w:vAlign w:val="center"/>
          </w:tcPr>
          <w:p w14:paraId="777091D4">
            <w:pPr>
              <w:spacing w:line="360" w:lineRule="auto"/>
              <w:jc w:val="center"/>
              <w:rPr>
                <w:rFonts w:hint="eastAsia" w:ascii="宋体" w:hAnsi="宋体" w:eastAsia="宋体" w:cs="宋体"/>
                <w:color w:val="000000"/>
                <w:sz w:val="24"/>
                <w:highlight w:val="none"/>
              </w:rPr>
            </w:pPr>
          </w:p>
        </w:tc>
        <w:tc>
          <w:tcPr>
            <w:tcW w:w="651" w:type="dxa"/>
            <w:vAlign w:val="center"/>
          </w:tcPr>
          <w:p w14:paraId="040989D5">
            <w:pPr>
              <w:spacing w:line="360" w:lineRule="auto"/>
              <w:jc w:val="center"/>
              <w:rPr>
                <w:rFonts w:hint="eastAsia" w:ascii="宋体" w:hAnsi="宋体" w:eastAsia="宋体" w:cs="宋体"/>
                <w:color w:val="000000"/>
                <w:sz w:val="24"/>
                <w:highlight w:val="none"/>
              </w:rPr>
            </w:pPr>
          </w:p>
        </w:tc>
        <w:tc>
          <w:tcPr>
            <w:tcW w:w="654" w:type="dxa"/>
            <w:vAlign w:val="center"/>
          </w:tcPr>
          <w:p w14:paraId="75A8F66E">
            <w:pPr>
              <w:spacing w:line="360" w:lineRule="auto"/>
              <w:jc w:val="center"/>
              <w:rPr>
                <w:rFonts w:hint="eastAsia" w:ascii="宋体" w:hAnsi="宋体" w:eastAsia="宋体" w:cs="宋体"/>
                <w:color w:val="000000"/>
                <w:sz w:val="24"/>
                <w:highlight w:val="none"/>
              </w:rPr>
            </w:pPr>
          </w:p>
        </w:tc>
        <w:tc>
          <w:tcPr>
            <w:tcW w:w="653" w:type="dxa"/>
            <w:vAlign w:val="center"/>
          </w:tcPr>
          <w:p w14:paraId="23112997">
            <w:pPr>
              <w:spacing w:line="360" w:lineRule="auto"/>
              <w:jc w:val="center"/>
              <w:rPr>
                <w:rFonts w:hint="eastAsia" w:ascii="宋体" w:hAnsi="宋体" w:eastAsia="宋体" w:cs="宋体"/>
                <w:color w:val="000000"/>
                <w:sz w:val="24"/>
                <w:highlight w:val="none"/>
                <w:lang w:val="en-US"/>
              </w:rPr>
            </w:pPr>
          </w:p>
        </w:tc>
        <w:tc>
          <w:tcPr>
            <w:tcW w:w="653" w:type="dxa"/>
            <w:vAlign w:val="center"/>
          </w:tcPr>
          <w:p w14:paraId="0676EE07">
            <w:pPr>
              <w:spacing w:line="360" w:lineRule="auto"/>
              <w:jc w:val="center"/>
              <w:rPr>
                <w:rFonts w:hint="eastAsia" w:ascii="宋体" w:hAnsi="宋体" w:eastAsia="宋体" w:cs="宋体"/>
                <w:color w:val="000000"/>
                <w:sz w:val="24"/>
                <w:highlight w:val="none"/>
              </w:rPr>
            </w:pPr>
          </w:p>
        </w:tc>
      </w:tr>
      <w:tr w14:paraId="4CD85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50" w:type="dxa"/>
            <w:vAlign w:val="center"/>
          </w:tcPr>
          <w:p w14:paraId="292BBE89">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2</w:t>
            </w:r>
          </w:p>
        </w:tc>
        <w:tc>
          <w:tcPr>
            <w:tcW w:w="1046" w:type="dxa"/>
            <w:vAlign w:val="center"/>
          </w:tcPr>
          <w:p w14:paraId="7B26DCB5">
            <w:pPr>
              <w:spacing w:line="360" w:lineRule="auto"/>
              <w:jc w:val="center"/>
              <w:rPr>
                <w:rFonts w:hint="eastAsia" w:ascii="宋体" w:hAnsi="宋体" w:eastAsia="宋体" w:cs="宋体"/>
                <w:color w:val="000000"/>
                <w:sz w:val="24"/>
                <w:highlight w:val="none"/>
              </w:rPr>
            </w:pPr>
          </w:p>
        </w:tc>
        <w:tc>
          <w:tcPr>
            <w:tcW w:w="1047" w:type="dxa"/>
            <w:vAlign w:val="center"/>
          </w:tcPr>
          <w:p w14:paraId="43D852CE">
            <w:pPr>
              <w:spacing w:line="360" w:lineRule="auto"/>
              <w:jc w:val="center"/>
              <w:rPr>
                <w:rFonts w:hint="eastAsia" w:ascii="宋体" w:hAnsi="宋体" w:eastAsia="宋体" w:cs="宋体"/>
                <w:color w:val="000000"/>
                <w:sz w:val="24"/>
                <w:highlight w:val="none"/>
              </w:rPr>
            </w:pPr>
          </w:p>
        </w:tc>
        <w:tc>
          <w:tcPr>
            <w:tcW w:w="1047" w:type="dxa"/>
            <w:vAlign w:val="center"/>
          </w:tcPr>
          <w:p w14:paraId="21F80BF9">
            <w:pPr>
              <w:spacing w:line="360" w:lineRule="auto"/>
              <w:jc w:val="center"/>
              <w:rPr>
                <w:rFonts w:hint="eastAsia" w:ascii="宋体" w:hAnsi="宋体" w:eastAsia="宋体" w:cs="宋体"/>
                <w:color w:val="000000"/>
                <w:sz w:val="24"/>
                <w:highlight w:val="none"/>
              </w:rPr>
            </w:pPr>
          </w:p>
        </w:tc>
        <w:tc>
          <w:tcPr>
            <w:tcW w:w="1047" w:type="dxa"/>
            <w:vAlign w:val="center"/>
          </w:tcPr>
          <w:p w14:paraId="7FBAE0C0">
            <w:pPr>
              <w:spacing w:line="360" w:lineRule="auto"/>
              <w:jc w:val="center"/>
              <w:rPr>
                <w:rFonts w:hint="eastAsia" w:ascii="宋体" w:hAnsi="宋体" w:eastAsia="宋体" w:cs="宋体"/>
                <w:color w:val="000000"/>
                <w:sz w:val="24"/>
                <w:highlight w:val="none"/>
              </w:rPr>
            </w:pPr>
          </w:p>
        </w:tc>
        <w:tc>
          <w:tcPr>
            <w:tcW w:w="1047" w:type="dxa"/>
            <w:vAlign w:val="center"/>
          </w:tcPr>
          <w:p w14:paraId="08C99811">
            <w:pPr>
              <w:spacing w:line="360" w:lineRule="auto"/>
              <w:jc w:val="center"/>
              <w:rPr>
                <w:rFonts w:hint="eastAsia" w:ascii="宋体" w:hAnsi="宋体" w:eastAsia="宋体" w:cs="宋体"/>
                <w:color w:val="000000"/>
                <w:sz w:val="24"/>
                <w:highlight w:val="none"/>
              </w:rPr>
            </w:pPr>
          </w:p>
        </w:tc>
        <w:tc>
          <w:tcPr>
            <w:tcW w:w="651" w:type="dxa"/>
            <w:vAlign w:val="center"/>
          </w:tcPr>
          <w:p w14:paraId="4A262960">
            <w:pPr>
              <w:spacing w:line="360" w:lineRule="auto"/>
              <w:jc w:val="center"/>
              <w:rPr>
                <w:rFonts w:hint="eastAsia" w:ascii="宋体" w:hAnsi="宋体" w:eastAsia="宋体" w:cs="宋体"/>
                <w:color w:val="000000"/>
                <w:sz w:val="24"/>
                <w:highlight w:val="none"/>
              </w:rPr>
            </w:pPr>
          </w:p>
        </w:tc>
        <w:tc>
          <w:tcPr>
            <w:tcW w:w="654" w:type="dxa"/>
            <w:vAlign w:val="center"/>
          </w:tcPr>
          <w:p w14:paraId="72B4DB26">
            <w:pPr>
              <w:spacing w:line="360" w:lineRule="auto"/>
              <w:jc w:val="center"/>
              <w:rPr>
                <w:rFonts w:hint="eastAsia" w:ascii="宋体" w:hAnsi="宋体" w:eastAsia="宋体" w:cs="宋体"/>
                <w:color w:val="000000"/>
                <w:sz w:val="24"/>
                <w:highlight w:val="none"/>
              </w:rPr>
            </w:pPr>
          </w:p>
        </w:tc>
        <w:tc>
          <w:tcPr>
            <w:tcW w:w="653" w:type="dxa"/>
            <w:vAlign w:val="center"/>
          </w:tcPr>
          <w:p w14:paraId="477B96BD">
            <w:pPr>
              <w:spacing w:line="360" w:lineRule="auto"/>
              <w:jc w:val="center"/>
              <w:rPr>
                <w:rFonts w:hint="eastAsia" w:ascii="宋体" w:hAnsi="宋体" w:eastAsia="宋体" w:cs="宋体"/>
                <w:color w:val="000000"/>
                <w:sz w:val="24"/>
                <w:highlight w:val="none"/>
              </w:rPr>
            </w:pPr>
          </w:p>
        </w:tc>
        <w:tc>
          <w:tcPr>
            <w:tcW w:w="653" w:type="dxa"/>
            <w:vAlign w:val="center"/>
          </w:tcPr>
          <w:p w14:paraId="7DBD4B6A">
            <w:pPr>
              <w:spacing w:line="360" w:lineRule="auto"/>
              <w:jc w:val="center"/>
              <w:rPr>
                <w:rFonts w:hint="eastAsia" w:ascii="宋体" w:hAnsi="宋体" w:eastAsia="宋体" w:cs="宋体"/>
                <w:color w:val="000000"/>
                <w:sz w:val="24"/>
                <w:highlight w:val="none"/>
              </w:rPr>
            </w:pPr>
          </w:p>
        </w:tc>
      </w:tr>
      <w:tr w14:paraId="12B6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50" w:type="dxa"/>
            <w:vAlign w:val="center"/>
          </w:tcPr>
          <w:p w14:paraId="70D7BC84">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w:t>
            </w:r>
          </w:p>
        </w:tc>
        <w:tc>
          <w:tcPr>
            <w:tcW w:w="1046" w:type="dxa"/>
            <w:vAlign w:val="center"/>
          </w:tcPr>
          <w:p w14:paraId="60094961">
            <w:pPr>
              <w:spacing w:line="360" w:lineRule="auto"/>
              <w:jc w:val="center"/>
              <w:rPr>
                <w:rFonts w:hint="eastAsia" w:ascii="宋体" w:hAnsi="宋体" w:eastAsia="宋体" w:cs="宋体"/>
                <w:color w:val="000000"/>
                <w:sz w:val="24"/>
                <w:highlight w:val="none"/>
              </w:rPr>
            </w:pPr>
          </w:p>
        </w:tc>
        <w:tc>
          <w:tcPr>
            <w:tcW w:w="1047" w:type="dxa"/>
            <w:vAlign w:val="center"/>
          </w:tcPr>
          <w:p w14:paraId="4F70E170">
            <w:pPr>
              <w:spacing w:line="360" w:lineRule="auto"/>
              <w:jc w:val="center"/>
              <w:rPr>
                <w:rFonts w:hint="eastAsia" w:ascii="宋体" w:hAnsi="宋体" w:eastAsia="宋体" w:cs="宋体"/>
                <w:color w:val="000000"/>
                <w:sz w:val="24"/>
                <w:highlight w:val="none"/>
              </w:rPr>
            </w:pPr>
          </w:p>
        </w:tc>
        <w:tc>
          <w:tcPr>
            <w:tcW w:w="1047" w:type="dxa"/>
            <w:vAlign w:val="center"/>
          </w:tcPr>
          <w:p w14:paraId="2CEB9D70">
            <w:pPr>
              <w:spacing w:line="360" w:lineRule="auto"/>
              <w:jc w:val="center"/>
              <w:rPr>
                <w:rFonts w:hint="eastAsia" w:ascii="宋体" w:hAnsi="宋体" w:eastAsia="宋体" w:cs="宋体"/>
                <w:color w:val="000000"/>
                <w:sz w:val="24"/>
                <w:highlight w:val="none"/>
              </w:rPr>
            </w:pPr>
          </w:p>
        </w:tc>
        <w:tc>
          <w:tcPr>
            <w:tcW w:w="1047" w:type="dxa"/>
            <w:vAlign w:val="center"/>
          </w:tcPr>
          <w:p w14:paraId="7FC92DEA">
            <w:pPr>
              <w:spacing w:line="360" w:lineRule="auto"/>
              <w:jc w:val="center"/>
              <w:rPr>
                <w:rFonts w:hint="eastAsia" w:ascii="宋体" w:hAnsi="宋体" w:eastAsia="宋体" w:cs="宋体"/>
                <w:color w:val="000000"/>
                <w:sz w:val="24"/>
                <w:highlight w:val="none"/>
              </w:rPr>
            </w:pPr>
          </w:p>
        </w:tc>
        <w:tc>
          <w:tcPr>
            <w:tcW w:w="1047" w:type="dxa"/>
            <w:vAlign w:val="center"/>
          </w:tcPr>
          <w:p w14:paraId="6D8B9DD2">
            <w:pPr>
              <w:spacing w:line="360" w:lineRule="auto"/>
              <w:jc w:val="center"/>
              <w:rPr>
                <w:rFonts w:hint="eastAsia" w:ascii="宋体" w:hAnsi="宋体" w:eastAsia="宋体" w:cs="宋体"/>
                <w:color w:val="000000"/>
                <w:sz w:val="24"/>
                <w:highlight w:val="none"/>
              </w:rPr>
            </w:pPr>
          </w:p>
        </w:tc>
        <w:tc>
          <w:tcPr>
            <w:tcW w:w="651" w:type="dxa"/>
            <w:vAlign w:val="center"/>
          </w:tcPr>
          <w:p w14:paraId="0ADE00C7">
            <w:pPr>
              <w:spacing w:line="360" w:lineRule="auto"/>
              <w:jc w:val="center"/>
              <w:rPr>
                <w:rFonts w:hint="eastAsia" w:ascii="宋体" w:hAnsi="宋体" w:eastAsia="宋体" w:cs="宋体"/>
                <w:color w:val="000000"/>
                <w:sz w:val="24"/>
                <w:highlight w:val="none"/>
              </w:rPr>
            </w:pPr>
          </w:p>
        </w:tc>
        <w:tc>
          <w:tcPr>
            <w:tcW w:w="654" w:type="dxa"/>
            <w:vAlign w:val="center"/>
          </w:tcPr>
          <w:p w14:paraId="3D62C4B5">
            <w:pPr>
              <w:spacing w:line="360" w:lineRule="auto"/>
              <w:jc w:val="center"/>
              <w:rPr>
                <w:rFonts w:hint="eastAsia" w:ascii="宋体" w:hAnsi="宋体" w:eastAsia="宋体" w:cs="宋体"/>
                <w:color w:val="000000"/>
                <w:sz w:val="24"/>
                <w:highlight w:val="none"/>
              </w:rPr>
            </w:pPr>
          </w:p>
        </w:tc>
        <w:tc>
          <w:tcPr>
            <w:tcW w:w="653" w:type="dxa"/>
            <w:vAlign w:val="center"/>
          </w:tcPr>
          <w:p w14:paraId="513A7913">
            <w:pPr>
              <w:spacing w:line="360" w:lineRule="auto"/>
              <w:jc w:val="center"/>
              <w:rPr>
                <w:rFonts w:hint="eastAsia" w:ascii="宋体" w:hAnsi="宋体" w:eastAsia="宋体" w:cs="宋体"/>
                <w:color w:val="000000"/>
                <w:sz w:val="24"/>
                <w:highlight w:val="none"/>
              </w:rPr>
            </w:pPr>
          </w:p>
        </w:tc>
        <w:tc>
          <w:tcPr>
            <w:tcW w:w="653" w:type="dxa"/>
            <w:vAlign w:val="center"/>
          </w:tcPr>
          <w:p w14:paraId="51988EB2">
            <w:pPr>
              <w:spacing w:line="360" w:lineRule="auto"/>
              <w:jc w:val="center"/>
              <w:rPr>
                <w:rFonts w:hint="eastAsia" w:ascii="宋体" w:hAnsi="宋体" w:eastAsia="宋体" w:cs="宋体"/>
                <w:color w:val="000000"/>
                <w:sz w:val="24"/>
                <w:highlight w:val="none"/>
              </w:rPr>
            </w:pPr>
          </w:p>
        </w:tc>
      </w:tr>
      <w:tr w14:paraId="3BEB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650" w:type="dxa"/>
            <w:vAlign w:val="center"/>
          </w:tcPr>
          <w:p w14:paraId="77AB00CA">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4</w:t>
            </w:r>
          </w:p>
        </w:tc>
        <w:tc>
          <w:tcPr>
            <w:tcW w:w="1046" w:type="dxa"/>
            <w:vAlign w:val="center"/>
          </w:tcPr>
          <w:p w14:paraId="7A8EAA9E">
            <w:pPr>
              <w:spacing w:line="360" w:lineRule="auto"/>
              <w:jc w:val="center"/>
              <w:rPr>
                <w:rFonts w:hint="eastAsia" w:ascii="宋体" w:hAnsi="宋体" w:eastAsia="宋体" w:cs="宋体"/>
                <w:color w:val="000000"/>
                <w:sz w:val="24"/>
                <w:highlight w:val="none"/>
              </w:rPr>
            </w:pPr>
          </w:p>
        </w:tc>
        <w:tc>
          <w:tcPr>
            <w:tcW w:w="1047" w:type="dxa"/>
            <w:vAlign w:val="center"/>
          </w:tcPr>
          <w:p w14:paraId="5DC3E25D">
            <w:pPr>
              <w:spacing w:line="360" w:lineRule="auto"/>
              <w:jc w:val="center"/>
              <w:rPr>
                <w:rFonts w:hint="eastAsia" w:ascii="宋体" w:hAnsi="宋体" w:eastAsia="宋体" w:cs="宋体"/>
                <w:color w:val="000000"/>
                <w:sz w:val="24"/>
                <w:highlight w:val="none"/>
              </w:rPr>
            </w:pPr>
          </w:p>
        </w:tc>
        <w:tc>
          <w:tcPr>
            <w:tcW w:w="1047" w:type="dxa"/>
            <w:vAlign w:val="center"/>
          </w:tcPr>
          <w:p w14:paraId="3E5E0FAB">
            <w:pPr>
              <w:spacing w:line="360" w:lineRule="auto"/>
              <w:jc w:val="center"/>
              <w:rPr>
                <w:rFonts w:hint="eastAsia" w:ascii="宋体" w:hAnsi="宋体" w:eastAsia="宋体" w:cs="宋体"/>
                <w:color w:val="000000"/>
                <w:sz w:val="24"/>
                <w:highlight w:val="none"/>
              </w:rPr>
            </w:pPr>
          </w:p>
        </w:tc>
        <w:tc>
          <w:tcPr>
            <w:tcW w:w="1047" w:type="dxa"/>
            <w:vAlign w:val="center"/>
          </w:tcPr>
          <w:p w14:paraId="2CA67101">
            <w:pPr>
              <w:spacing w:line="360" w:lineRule="auto"/>
              <w:jc w:val="center"/>
              <w:rPr>
                <w:rFonts w:hint="eastAsia" w:ascii="宋体" w:hAnsi="宋体" w:eastAsia="宋体" w:cs="宋体"/>
                <w:color w:val="000000"/>
                <w:sz w:val="24"/>
                <w:highlight w:val="none"/>
              </w:rPr>
            </w:pPr>
          </w:p>
        </w:tc>
        <w:tc>
          <w:tcPr>
            <w:tcW w:w="1047" w:type="dxa"/>
            <w:vAlign w:val="center"/>
          </w:tcPr>
          <w:p w14:paraId="0292B25D">
            <w:pPr>
              <w:spacing w:line="360" w:lineRule="auto"/>
              <w:jc w:val="center"/>
              <w:rPr>
                <w:rFonts w:hint="eastAsia" w:ascii="宋体" w:hAnsi="宋体" w:eastAsia="宋体" w:cs="宋体"/>
                <w:color w:val="000000"/>
                <w:sz w:val="24"/>
                <w:highlight w:val="none"/>
              </w:rPr>
            </w:pPr>
          </w:p>
        </w:tc>
        <w:tc>
          <w:tcPr>
            <w:tcW w:w="651" w:type="dxa"/>
            <w:vAlign w:val="center"/>
          </w:tcPr>
          <w:p w14:paraId="5FFE5370">
            <w:pPr>
              <w:spacing w:line="360" w:lineRule="auto"/>
              <w:jc w:val="center"/>
              <w:rPr>
                <w:rFonts w:hint="eastAsia" w:ascii="宋体" w:hAnsi="宋体" w:eastAsia="宋体" w:cs="宋体"/>
                <w:color w:val="000000"/>
                <w:sz w:val="24"/>
                <w:highlight w:val="none"/>
              </w:rPr>
            </w:pPr>
          </w:p>
        </w:tc>
        <w:tc>
          <w:tcPr>
            <w:tcW w:w="654" w:type="dxa"/>
            <w:vAlign w:val="center"/>
          </w:tcPr>
          <w:p w14:paraId="421BC3F3">
            <w:pPr>
              <w:spacing w:line="360" w:lineRule="auto"/>
              <w:jc w:val="center"/>
              <w:rPr>
                <w:rFonts w:hint="eastAsia" w:ascii="宋体" w:hAnsi="宋体" w:eastAsia="宋体" w:cs="宋体"/>
                <w:color w:val="000000"/>
                <w:sz w:val="24"/>
                <w:highlight w:val="none"/>
              </w:rPr>
            </w:pPr>
          </w:p>
        </w:tc>
        <w:tc>
          <w:tcPr>
            <w:tcW w:w="653" w:type="dxa"/>
            <w:vAlign w:val="center"/>
          </w:tcPr>
          <w:p w14:paraId="675B8539">
            <w:pPr>
              <w:spacing w:line="360" w:lineRule="auto"/>
              <w:jc w:val="center"/>
              <w:rPr>
                <w:rFonts w:hint="eastAsia" w:ascii="宋体" w:hAnsi="宋体" w:eastAsia="宋体" w:cs="宋体"/>
                <w:color w:val="000000"/>
                <w:sz w:val="24"/>
                <w:highlight w:val="none"/>
              </w:rPr>
            </w:pPr>
          </w:p>
        </w:tc>
        <w:tc>
          <w:tcPr>
            <w:tcW w:w="653" w:type="dxa"/>
            <w:vAlign w:val="center"/>
          </w:tcPr>
          <w:p w14:paraId="5AF1A7CA">
            <w:pPr>
              <w:spacing w:line="360" w:lineRule="auto"/>
              <w:jc w:val="center"/>
              <w:rPr>
                <w:rFonts w:hint="eastAsia" w:ascii="宋体" w:hAnsi="宋体" w:eastAsia="宋体" w:cs="宋体"/>
                <w:color w:val="000000"/>
                <w:sz w:val="24"/>
                <w:highlight w:val="none"/>
              </w:rPr>
            </w:pPr>
          </w:p>
        </w:tc>
      </w:tr>
      <w:tr w14:paraId="6C667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189" w:type="dxa"/>
            <w:gridSpan w:val="8"/>
            <w:vAlign w:val="center"/>
          </w:tcPr>
          <w:p w14:paraId="29CE3D14">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总价（元）</w:t>
            </w:r>
          </w:p>
        </w:tc>
        <w:tc>
          <w:tcPr>
            <w:tcW w:w="1306" w:type="dxa"/>
            <w:gridSpan w:val="2"/>
            <w:vAlign w:val="center"/>
          </w:tcPr>
          <w:p w14:paraId="5071403A">
            <w:pPr>
              <w:spacing w:line="360" w:lineRule="auto"/>
              <w:jc w:val="center"/>
              <w:rPr>
                <w:rFonts w:hint="eastAsia" w:ascii="宋体" w:hAnsi="宋体" w:eastAsia="宋体" w:cs="宋体"/>
                <w:color w:val="000000"/>
                <w:sz w:val="24"/>
                <w:highlight w:val="none"/>
                <w:lang w:val="en-US" w:eastAsia="zh-CN"/>
              </w:rPr>
            </w:pPr>
          </w:p>
        </w:tc>
      </w:tr>
    </w:tbl>
    <w:p w14:paraId="04963264">
      <w:pPr>
        <w:pStyle w:val="14"/>
        <w:spacing w:line="400" w:lineRule="exact"/>
        <w:ind w:left="1080" w:leftChars="257" w:hanging="540"/>
        <w:rPr>
          <w:rFonts w:hint="eastAsia" w:ascii="宋体" w:hAnsi="宋体" w:eastAsia="宋体" w:cs="宋体"/>
          <w:color w:val="auto"/>
          <w:sz w:val="24"/>
          <w:szCs w:val="24"/>
          <w:highlight w:val="none"/>
        </w:rPr>
      </w:pPr>
    </w:p>
    <w:p w14:paraId="49E7487C">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23DF2119">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724E445B">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7699037E">
      <w:pPr>
        <w:pStyle w:val="14"/>
        <w:spacing w:line="400" w:lineRule="exact"/>
        <w:ind w:left="1080" w:leftChars="257" w:hanging="540"/>
        <w:rPr>
          <w:rFonts w:hint="eastAsia" w:ascii="宋体" w:hAnsi="宋体" w:eastAsia="宋体" w:cs="宋体"/>
          <w:color w:val="auto"/>
          <w:sz w:val="24"/>
          <w:szCs w:val="24"/>
          <w:highlight w:val="none"/>
        </w:rPr>
      </w:pPr>
    </w:p>
    <w:p w14:paraId="07EFFC7E">
      <w:pPr>
        <w:pageBreakBefore w:val="0"/>
        <w:widowControl w:val="0"/>
        <w:tabs>
          <w:tab w:val="left" w:pos="5580"/>
        </w:tabs>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w:t>
      </w:r>
    </w:p>
    <w:p w14:paraId="061513CF">
      <w:pPr>
        <w:pageBreakBefore w:val="0"/>
        <w:widowControl w:val="0"/>
        <w:tabs>
          <w:tab w:val="left" w:pos="5580"/>
        </w:tabs>
        <w:kinsoku/>
        <w:overflowPunct/>
        <w:topLinePunct w:val="0"/>
        <w:bidi w:val="0"/>
        <w:spacing w:line="240" w:lineRule="auto"/>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1.本项目为服务项目，表格中的“服务名称、服务内容、数量等”类似情形</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各供应商可结合本项目服务内容，根据自身情况填写价格构成</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但必须满足项目基本要求。</w:t>
      </w:r>
    </w:p>
    <w:p w14:paraId="2CD81F78">
      <w:pPr>
        <w:pageBreakBefore w:val="0"/>
        <w:widowControl w:val="0"/>
        <w:tabs>
          <w:tab w:val="left" w:pos="5580"/>
        </w:tabs>
        <w:kinsoku/>
        <w:overflowPunct/>
        <w:topLinePunct w:val="0"/>
        <w:bidi w:val="0"/>
        <w:spacing w:line="240" w:lineRule="auto"/>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2.如果供应商认为需要，每种服务填写一份该表。</w:t>
      </w:r>
    </w:p>
    <w:p w14:paraId="4A072153">
      <w:pPr>
        <w:pageBreakBefore w:val="0"/>
        <w:widowControl w:val="0"/>
        <w:tabs>
          <w:tab w:val="left" w:pos="5580"/>
        </w:tabs>
        <w:kinsoku/>
        <w:overflowPunct/>
        <w:topLinePunct w:val="0"/>
        <w:bidi w:val="0"/>
        <w:spacing w:line="240" w:lineRule="auto"/>
        <w:ind w:left="0" w:leftChars="0" w:right="0" w:righ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3.如果开标一览表（报价表）内容与投标文件中明细表内容不一致的，以开标一览表（报价表）内容为准。</w:t>
      </w:r>
    </w:p>
    <w:p w14:paraId="78B56B40">
      <w:pPr>
        <w:pageBreakBefore w:val="0"/>
        <w:widowControl w:val="0"/>
        <w:tabs>
          <w:tab w:val="left" w:pos="5580"/>
        </w:tabs>
        <w:kinsoku/>
        <w:overflowPunct/>
        <w:topLinePunct w:val="0"/>
        <w:bidi w:val="0"/>
        <w:spacing w:line="240" w:lineRule="auto"/>
        <w:ind w:left="0" w:leftChars="0" w:right="0" w:rightChars="0" w:firstLine="480" w:firstLineChars="200"/>
        <w:jc w:val="both"/>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4.供应商应按招标文件规定的服务要求、责任范围和合同条件，以人民币进行报价。</w:t>
      </w:r>
    </w:p>
    <w:p w14:paraId="6E52967A">
      <w:pPr>
        <w:pageBreakBefore w:val="0"/>
        <w:widowControl w:val="0"/>
        <w:tabs>
          <w:tab w:val="left" w:pos="5580"/>
        </w:tabs>
        <w:kinsoku/>
        <w:overflowPunct/>
        <w:topLinePunct w:val="0"/>
        <w:bidi w:val="0"/>
        <w:spacing w:line="240" w:lineRule="auto"/>
        <w:ind w:left="0" w:leftChars="0" w:right="0" w:rightChars="0" w:firstLine="480" w:firstLineChars="200"/>
        <w:jc w:val="both"/>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5、本项目预算金额为3000000元，投标最高限价为2920000元，供应商的投标报价超出最高限价的视为投标无效。</w:t>
      </w:r>
    </w:p>
    <w:p w14:paraId="437E6F4C">
      <w:pPr>
        <w:rPr>
          <w:rFonts w:hint="eastAsia" w:ascii="宋体" w:hAnsi="宋体" w:eastAsia="宋体" w:cs="宋体"/>
          <w:color w:val="auto"/>
          <w:sz w:val="28"/>
          <w:szCs w:val="28"/>
          <w:highlight w:val="none"/>
          <w:lang w:val="en-US" w:eastAsia="zh-CN"/>
        </w:rPr>
      </w:pPr>
      <w:bookmarkStart w:id="2355" w:name="_Toc3096"/>
      <w:bookmarkStart w:id="2356" w:name="_Toc10486"/>
      <w:bookmarkStart w:id="2357" w:name="_Toc26185"/>
      <w:bookmarkStart w:id="2358" w:name="_Toc13950"/>
      <w:bookmarkStart w:id="2359" w:name="_Toc28199"/>
      <w:bookmarkStart w:id="2360" w:name="_Toc30209"/>
      <w:bookmarkStart w:id="2361" w:name="_Toc29174"/>
      <w:bookmarkStart w:id="2362" w:name="_Toc27975"/>
      <w:bookmarkStart w:id="2363" w:name="_Toc6480"/>
      <w:bookmarkStart w:id="2364" w:name="_Toc16798"/>
      <w:bookmarkStart w:id="2365" w:name="_Toc32439"/>
      <w:bookmarkStart w:id="2366" w:name="_Toc27721"/>
      <w:r>
        <w:rPr>
          <w:rFonts w:hint="eastAsia" w:ascii="宋体" w:hAnsi="宋体" w:eastAsia="宋体" w:cs="宋体"/>
          <w:color w:val="auto"/>
          <w:sz w:val="28"/>
          <w:szCs w:val="28"/>
          <w:highlight w:val="none"/>
          <w:lang w:val="en-US" w:eastAsia="zh-CN"/>
        </w:rPr>
        <w:br w:type="page"/>
      </w:r>
    </w:p>
    <w:bookmarkEnd w:id="2355"/>
    <w:bookmarkEnd w:id="2356"/>
    <w:bookmarkEnd w:id="2357"/>
    <w:bookmarkEnd w:id="2358"/>
    <w:bookmarkEnd w:id="2359"/>
    <w:bookmarkEnd w:id="2360"/>
    <w:bookmarkEnd w:id="2361"/>
    <w:bookmarkEnd w:id="2362"/>
    <w:bookmarkEnd w:id="2363"/>
    <w:bookmarkEnd w:id="2364"/>
    <w:bookmarkEnd w:id="2365"/>
    <w:bookmarkEnd w:id="2366"/>
    <w:p w14:paraId="531B2B9F">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367" w:name="_Toc17348"/>
      <w:bookmarkStart w:id="2368" w:name="_Toc8259"/>
      <w:bookmarkStart w:id="2369" w:name="_Toc21463"/>
      <w:r>
        <w:rPr>
          <w:rFonts w:hint="eastAsia" w:ascii="宋体" w:hAnsi="宋体" w:eastAsia="宋体" w:cs="宋体"/>
          <w:b/>
          <w:bCs/>
          <w:color w:val="auto"/>
          <w:sz w:val="28"/>
          <w:szCs w:val="28"/>
          <w:highlight w:val="none"/>
          <w:u w:val="none"/>
          <w:lang w:val="en-US" w:eastAsia="zh-CN"/>
        </w:rPr>
        <w:t>3.</w:t>
      </w:r>
      <w:bookmarkEnd w:id="2367"/>
      <w:bookmarkEnd w:id="2368"/>
      <w:r>
        <w:rPr>
          <w:rFonts w:hint="eastAsia" w:hAnsi="宋体" w:cs="宋体"/>
          <w:b/>
          <w:bCs/>
          <w:color w:val="auto"/>
          <w:sz w:val="28"/>
          <w:szCs w:val="28"/>
          <w:highlight w:val="none"/>
          <w:u w:val="none"/>
          <w:lang w:val="en-US" w:eastAsia="zh-CN"/>
        </w:rPr>
        <w:t>服务说明一览表</w:t>
      </w:r>
      <w:bookmarkEnd w:id="2369"/>
    </w:p>
    <w:p w14:paraId="7E48B4C8">
      <w:pPr>
        <w:pStyle w:val="14"/>
        <w:spacing w:line="360" w:lineRule="exact"/>
        <w:ind w:left="1080" w:leftChars="257" w:hanging="54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z w:val="24"/>
          <w:highlight w:val="none"/>
          <w:lang w:eastAsia="zh-CN"/>
        </w:rPr>
        <w:t>项目编号</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p>
    <w:tbl>
      <w:tblPr>
        <w:tblStyle w:val="2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470"/>
        <w:gridCol w:w="1470"/>
        <w:gridCol w:w="870"/>
        <w:gridCol w:w="1470"/>
        <w:gridCol w:w="1470"/>
        <w:gridCol w:w="870"/>
      </w:tblGrid>
      <w:tr w14:paraId="2733D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870" w:type="dxa"/>
          </w:tcPr>
          <w:p w14:paraId="6B3C4A6A">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470" w:type="dxa"/>
          </w:tcPr>
          <w:p w14:paraId="1A50A589">
            <w:pPr>
              <w:pStyle w:val="14"/>
              <w:spacing w:line="360" w:lineRule="exact"/>
              <w:jc w:val="center"/>
              <w:rPr>
                <w:rFonts w:hint="eastAsia" w:ascii="宋体" w:hAnsi="宋体" w:eastAsia="宋体" w:cs="宋体"/>
                <w:color w:val="auto"/>
                <w:sz w:val="24"/>
                <w:highlight w:val="none"/>
              </w:rPr>
            </w:pPr>
            <w:r>
              <w:rPr>
                <w:rFonts w:hint="eastAsia" w:hAnsi="宋体" w:cs="宋体"/>
                <w:color w:val="auto"/>
                <w:sz w:val="24"/>
                <w:highlight w:val="none"/>
                <w:lang w:val="en-US" w:eastAsia="zh-CN"/>
              </w:rPr>
              <w:t>服务</w:t>
            </w:r>
            <w:r>
              <w:rPr>
                <w:rFonts w:hint="eastAsia" w:ascii="宋体" w:hAnsi="宋体" w:eastAsia="宋体" w:cs="宋体"/>
                <w:color w:val="auto"/>
                <w:sz w:val="24"/>
                <w:highlight w:val="none"/>
              </w:rPr>
              <w:t>名称</w:t>
            </w:r>
          </w:p>
        </w:tc>
        <w:tc>
          <w:tcPr>
            <w:tcW w:w="1470" w:type="dxa"/>
          </w:tcPr>
          <w:p w14:paraId="70BA4A32">
            <w:pPr>
              <w:pStyle w:val="14"/>
              <w:spacing w:line="360" w:lineRule="exact"/>
              <w:jc w:val="center"/>
              <w:rPr>
                <w:rFonts w:hint="eastAsia" w:ascii="宋体" w:hAnsi="宋体" w:eastAsia="宋体" w:cs="宋体"/>
                <w:color w:val="auto"/>
                <w:sz w:val="24"/>
                <w:highlight w:val="none"/>
                <w:lang w:eastAsia="zh-CN"/>
              </w:rPr>
            </w:pPr>
            <w:r>
              <w:rPr>
                <w:rFonts w:hint="eastAsia" w:hAnsi="宋体" w:cs="宋体"/>
                <w:color w:val="auto"/>
                <w:sz w:val="24"/>
                <w:highlight w:val="none"/>
                <w:lang w:val="en-US" w:eastAsia="zh-CN"/>
              </w:rPr>
              <w:t>服务内容</w:t>
            </w:r>
          </w:p>
        </w:tc>
        <w:tc>
          <w:tcPr>
            <w:tcW w:w="870" w:type="dxa"/>
          </w:tcPr>
          <w:p w14:paraId="0F323A51">
            <w:pPr>
              <w:pStyle w:val="14"/>
              <w:spacing w:line="360" w:lineRule="exact"/>
              <w:jc w:val="center"/>
              <w:rPr>
                <w:rFonts w:hint="default" w:hAnsi="宋体" w:cs="宋体"/>
                <w:color w:val="auto"/>
                <w:sz w:val="24"/>
                <w:highlight w:val="none"/>
                <w:lang w:val="en-US" w:eastAsia="zh-CN"/>
              </w:rPr>
            </w:pPr>
            <w:r>
              <w:rPr>
                <w:rFonts w:hint="eastAsia" w:hAnsi="宋体" w:cs="宋体"/>
                <w:color w:val="auto"/>
                <w:sz w:val="24"/>
                <w:highlight w:val="none"/>
                <w:lang w:val="en-US" w:eastAsia="zh-CN"/>
              </w:rPr>
              <w:t>数量</w:t>
            </w:r>
          </w:p>
        </w:tc>
        <w:tc>
          <w:tcPr>
            <w:tcW w:w="1470" w:type="dxa"/>
          </w:tcPr>
          <w:p w14:paraId="20E638AA">
            <w:pPr>
              <w:pStyle w:val="14"/>
              <w:spacing w:line="360" w:lineRule="exact"/>
              <w:jc w:val="center"/>
              <w:rPr>
                <w:rFonts w:hint="eastAsia" w:hAnsi="宋体" w:cs="宋体"/>
                <w:color w:val="auto"/>
                <w:sz w:val="24"/>
                <w:highlight w:val="none"/>
                <w:lang w:val="en-US" w:eastAsia="zh-CN"/>
              </w:rPr>
            </w:pPr>
            <w:r>
              <w:rPr>
                <w:rFonts w:hint="eastAsia" w:hAnsi="宋体" w:cs="宋体"/>
                <w:color w:val="auto"/>
                <w:sz w:val="24"/>
                <w:highlight w:val="none"/>
                <w:lang w:val="en-US" w:eastAsia="zh-CN"/>
              </w:rPr>
              <w:t>服务时间</w:t>
            </w:r>
          </w:p>
        </w:tc>
        <w:tc>
          <w:tcPr>
            <w:tcW w:w="1470" w:type="dxa"/>
          </w:tcPr>
          <w:p w14:paraId="6B594020">
            <w:pPr>
              <w:pStyle w:val="14"/>
              <w:spacing w:line="360" w:lineRule="exact"/>
              <w:jc w:val="center"/>
              <w:rPr>
                <w:rFonts w:hint="eastAsia" w:ascii="宋体" w:hAnsi="宋体" w:eastAsia="宋体" w:cs="宋体"/>
                <w:color w:val="auto"/>
                <w:sz w:val="24"/>
                <w:highlight w:val="yellow"/>
              </w:rPr>
            </w:pPr>
            <w:r>
              <w:rPr>
                <w:rFonts w:hint="eastAsia" w:hAnsi="宋体" w:cs="宋体"/>
                <w:color w:val="auto"/>
                <w:sz w:val="24"/>
                <w:highlight w:val="none"/>
                <w:lang w:val="en-US" w:eastAsia="zh-CN"/>
              </w:rPr>
              <w:t>服务地点</w:t>
            </w:r>
          </w:p>
        </w:tc>
        <w:tc>
          <w:tcPr>
            <w:tcW w:w="870" w:type="dxa"/>
          </w:tcPr>
          <w:p w14:paraId="673E617C">
            <w:pPr>
              <w:pStyle w:val="14"/>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备注</w:t>
            </w:r>
          </w:p>
        </w:tc>
      </w:tr>
      <w:tr w14:paraId="605D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0A67EA2F">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1470" w:type="dxa"/>
          </w:tcPr>
          <w:p w14:paraId="72FD651F">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459855DD">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25EA0D42">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4068C86A">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5BF3A926">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673D8131">
            <w:pPr>
              <w:pStyle w:val="14"/>
              <w:spacing w:line="360" w:lineRule="exact"/>
              <w:ind w:left="1080" w:leftChars="257" w:hanging="540"/>
              <w:rPr>
                <w:rFonts w:hint="eastAsia" w:ascii="宋体" w:hAnsi="宋体" w:eastAsia="宋体" w:cs="宋体"/>
                <w:color w:val="auto"/>
                <w:sz w:val="24"/>
                <w:highlight w:val="none"/>
              </w:rPr>
            </w:pPr>
          </w:p>
        </w:tc>
      </w:tr>
      <w:tr w14:paraId="5B85F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3EC9FBBE">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1470" w:type="dxa"/>
          </w:tcPr>
          <w:p w14:paraId="6BB4E4C1">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40B796C4">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15028A4C">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0E801855">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5BAC33F1">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2BFABF8C">
            <w:pPr>
              <w:pStyle w:val="14"/>
              <w:spacing w:line="360" w:lineRule="exact"/>
              <w:ind w:left="1080" w:leftChars="257" w:hanging="540"/>
              <w:rPr>
                <w:rFonts w:hint="eastAsia" w:ascii="宋体" w:hAnsi="宋体" w:eastAsia="宋体" w:cs="宋体"/>
                <w:color w:val="auto"/>
                <w:sz w:val="24"/>
                <w:highlight w:val="none"/>
              </w:rPr>
            </w:pPr>
          </w:p>
        </w:tc>
      </w:tr>
      <w:tr w14:paraId="131F0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75E73120">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1470" w:type="dxa"/>
          </w:tcPr>
          <w:p w14:paraId="6ADA0B2F">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1D62F505">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7870655A">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663C0907">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31D9A549">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5A03E983">
            <w:pPr>
              <w:pStyle w:val="14"/>
              <w:spacing w:line="360" w:lineRule="exact"/>
              <w:ind w:left="1080" w:leftChars="257" w:hanging="540"/>
              <w:rPr>
                <w:rFonts w:hint="eastAsia" w:ascii="宋体" w:hAnsi="宋体" w:eastAsia="宋体" w:cs="宋体"/>
                <w:color w:val="auto"/>
                <w:sz w:val="24"/>
                <w:highlight w:val="none"/>
              </w:rPr>
            </w:pPr>
          </w:p>
        </w:tc>
      </w:tr>
      <w:tr w14:paraId="41CF2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6E3622A8">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1470" w:type="dxa"/>
          </w:tcPr>
          <w:p w14:paraId="5FC088AC">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43EF76B7">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0F758BE9">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5DDDDED8">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628312E0">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738A9FCF">
            <w:pPr>
              <w:pStyle w:val="14"/>
              <w:spacing w:line="360" w:lineRule="exact"/>
              <w:ind w:left="1080" w:leftChars="257" w:hanging="540"/>
              <w:rPr>
                <w:rFonts w:hint="eastAsia" w:ascii="宋体" w:hAnsi="宋体" w:eastAsia="宋体" w:cs="宋体"/>
                <w:color w:val="auto"/>
                <w:sz w:val="24"/>
                <w:highlight w:val="none"/>
              </w:rPr>
            </w:pPr>
          </w:p>
        </w:tc>
      </w:tr>
      <w:tr w14:paraId="65930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63D20C7A">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470" w:type="dxa"/>
          </w:tcPr>
          <w:p w14:paraId="249236C1">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1BD0FFEF">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6ECE336E">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33E19659">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70C4341C">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73205C04">
            <w:pPr>
              <w:pStyle w:val="14"/>
              <w:spacing w:line="360" w:lineRule="exact"/>
              <w:ind w:left="1080" w:leftChars="257" w:hanging="540"/>
              <w:rPr>
                <w:rFonts w:hint="eastAsia" w:ascii="宋体" w:hAnsi="宋体" w:eastAsia="宋体" w:cs="宋体"/>
                <w:color w:val="auto"/>
                <w:sz w:val="24"/>
                <w:highlight w:val="none"/>
              </w:rPr>
            </w:pPr>
          </w:p>
        </w:tc>
      </w:tr>
      <w:tr w14:paraId="2DC56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00009B82">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1470" w:type="dxa"/>
          </w:tcPr>
          <w:p w14:paraId="5801F838">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24B800DF">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4AAE5884">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3CEC8A54">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0780A3EF">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47728C13">
            <w:pPr>
              <w:pStyle w:val="14"/>
              <w:spacing w:line="360" w:lineRule="exact"/>
              <w:ind w:left="1080" w:leftChars="257" w:hanging="540"/>
              <w:rPr>
                <w:rFonts w:hint="eastAsia" w:ascii="宋体" w:hAnsi="宋体" w:eastAsia="宋体" w:cs="宋体"/>
                <w:color w:val="auto"/>
                <w:sz w:val="24"/>
                <w:highlight w:val="none"/>
              </w:rPr>
            </w:pPr>
          </w:p>
        </w:tc>
      </w:tr>
      <w:tr w14:paraId="39B8C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70" w:type="dxa"/>
            <w:vAlign w:val="center"/>
          </w:tcPr>
          <w:p w14:paraId="5F907295">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1470" w:type="dxa"/>
          </w:tcPr>
          <w:p w14:paraId="7A6E093F">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127CB369">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0FA7ADED">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76335B52">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569C9078">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77EB2425">
            <w:pPr>
              <w:pStyle w:val="14"/>
              <w:spacing w:line="360" w:lineRule="exact"/>
              <w:ind w:left="1080" w:leftChars="257" w:hanging="540"/>
              <w:rPr>
                <w:rFonts w:hint="eastAsia" w:ascii="宋体" w:hAnsi="宋体" w:eastAsia="宋体" w:cs="宋体"/>
                <w:color w:val="auto"/>
                <w:sz w:val="24"/>
                <w:highlight w:val="none"/>
              </w:rPr>
            </w:pPr>
          </w:p>
        </w:tc>
      </w:tr>
      <w:tr w14:paraId="5B005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70" w:type="dxa"/>
            <w:vAlign w:val="center"/>
          </w:tcPr>
          <w:p w14:paraId="2A1057FC">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1470" w:type="dxa"/>
          </w:tcPr>
          <w:p w14:paraId="6D1A5E86">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610532EE">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5A1FE136">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2E9CDC49">
            <w:pPr>
              <w:pStyle w:val="14"/>
              <w:spacing w:line="360" w:lineRule="exact"/>
              <w:ind w:left="1080" w:leftChars="257" w:hanging="540"/>
              <w:rPr>
                <w:rFonts w:hint="eastAsia" w:ascii="宋体" w:hAnsi="宋体" w:eastAsia="宋体" w:cs="宋体"/>
                <w:color w:val="auto"/>
                <w:sz w:val="24"/>
                <w:highlight w:val="none"/>
              </w:rPr>
            </w:pPr>
          </w:p>
        </w:tc>
        <w:tc>
          <w:tcPr>
            <w:tcW w:w="1470" w:type="dxa"/>
          </w:tcPr>
          <w:p w14:paraId="0253F07E">
            <w:pPr>
              <w:pStyle w:val="14"/>
              <w:spacing w:line="360" w:lineRule="exact"/>
              <w:ind w:left="1080" w:leftChars="257" w:hanging="540"/>
              <w:rPr>
                <w:rFonts w:hint="eastAsia" w:ascii="宋体" w:hAnsi="宋体" w:eastAsia="宋体" w:cs="宋体"/>
                <w:color w:val="auto"/>
                <w:sz w:val="24"/>
                <w:highlight w:val="none"/>
              </w:rPr>
            </w:pPr>
          </w:p>
        </w:tc>
        <w:tc>
          <w:tcPr>
            <w:tcW w:w="870" w:type="dxa"/>
          </w:tcPr>
          <w:p w14:paraId="78402A8F">
            <w:pPr>
              <w:pStyle w:val="14"/>
              <w:spacing w:line="360" w:lineRule="exact"/>
              <w:ind w:left="1080" w:leftChars="257" w:hanging="540"/>
              <w:rPr>
                <w:rFonts w:hint="eastAsia" w:ascii="宋体" w:hAnsi="宋体" w:eastAsia="宋体" w:cs="宋体"/>
                <w:color w:val="auto"/>
                <w:sz w:val="24"/>
                <w:highlight w:val="none"/>
              </w:rPr>
            </w:pPr>
          </w:p>
        </w:tc>
      </w:tr>
    </w:tbl>
    <w:p w14:paraId="2A22936D">
      <w:pPr>
        <w:pStyle w:val="14"/>
        <w:spacing w:line="360" w:lineRule="exact"/>
        <w:ind w:left="1080" w:leftChars="257" w:hanging="540"/>
        <w:rPr>
          <w:rFonts w:hint="eastAsia" w:ascii="宋体" w:hAnsi="宋体" w:eastAsia="宋体" w:cs="宋体"/>
          <w:color w:val="auto"/>
          <w:sz w:val="24"/>
          <w:highlight w:val="none"/>
        </w:rPr>
      </w:pPr>
    </w:p>
    <w:p w14:paraId="749D96B3">
      <w:pPr>
        <w:pStyle w:val="14"/>
        <w:spacing w:line="400" w:lineRule="exact"/>
        <w:ind w:left="1080" w:leftChars="257" w:hanging="540"/>
        <w:rPr>
          <w:rFonts w:hint="eastAsia" w:ascii="宋体" w:hAnsi="宋体" w:eastAsia="宋体" w:cs="宋体"/>
          <w:color w:val="auto"/>
          <w:sz w:val="24"/>
          <w:szCs w:val="24"/>
          <w:highlight w:val="none"/>
        </w:rPr>
      </w:pPr>
    </w:p>
    <w:p w14:paraId="1DC89889">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D9F2E79">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559DB875">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369057EE">
      <w:pPr>
        <w:pStyle w:val="14"/>
        <w:spacing w:line="240" w:lineRule="atLeast"/>
        <w:rPr>
          <w:rFonts w:hint="eastAsia" w:ascii="宋体" w:hAnsi="宋体" w:eastAsia="宋体" w:cs="宋体"/>
          <w:b/>
          <w:bCs/>
          <w:color w:val="auto"/>
          <w:sz w:val="22"/>
          <w:szCs w:val="22"/>
          <w:highlight w:val="none"/>
        </w:rPr>
      </w:pPr>
    </w:p>
    <w:p w14:paraId="5B4F23E9">
      <w:pPr>
        <w:pStyle w:val="14"/>
        <w:spacing w:line="240" w:lineRule="atLeast"/>
        <w:rPr>
          <w:rFonts w:hint="eastAsia" w:ascii="宋体" w:hAnsi="宋体" w:eastAsia="宋体" w:cs="宋体"/>
          <w:b/>
          <w:bCs/>
          <w:color w:val="auto"/>
          <w:sz w:val="22"/>
          <w:szCs w:val="22"/>
          <w:highlight w:val="none"/>
        </w:rPr>
      </w:pPr>
    </w:p>
    <w:p w14:paraId="0566E00D">
      <w:pPr>
        <w:pStyle w:val="14"/>
        <w:spacing w:line="240" w:lineRule="atLeast"/>
        <w:rPr>
          <w:rFonts w:hint="eastAsia" w:ascii="宋体" w:hAnsi="宋体" w:eastAsia="宋体" w:cs="宋体"/>
          <w:b/>
          <w:bCs/>
          <w:color w:val="auto"/>
          <w:sz w:val="22"/>
          <w:szCs w:val="22"/>
          <w:highlight w:val="none"/>
        </w:rPr>
      </w:pPr>
    </w:p>
    <w:p w14:paraId="0090800E">
      <w:pPr>
        <w:pStyle w:val="14"/>
        <w:spacing w:line="240" w:lineRule="atLeast"/>
        <w:rPr>
          <w:rFonts w:hint="eastAsia" w:ascii="宋体" w:hAnsi="宋体" w:eastAsia="宋体" w:cs="宋体"/>
          <w:b/>
          <w:bCs/>
          <w:color w:val="auto"/>
          <w:sz w:val="22"/>
          <w:szCs w:val="22"/>
          <w:highlight w:val="none"/>
        </w:rPr>
      </w:pPr>
    </w:p>
    <w:p w14:paraId="57B14F58">
      <w:pPr>
        <w:pStyle w:val="14"/>
        <w:spacing w:line="240" w:lineRule="atLeast"/>
        <w:rPr>
          <w:rFonts w:hint="eastAsia" w:ascii="宋体" w:hAnsi="宋体" w:eastAsia="宋体" w:cs="宋体"/>
          <w:b/>
          <w:bCs/>
          <w:color w:val="auto"/>
          <w:sz w:val="22"/>
          <w:szCs w:val="22"/>
          <w:highlight w:val="none"/>
        </w:rPr>
      </w:pPr>
    </w:p>
    <w:p w14:paraId="2F5B3092">
      <w:pPr>
        <w:pStyle w:val="14"/>
        <w:spacing w:line="240" w:lineRule="atLeast"/>
        <w:rPr>
          <w:rFonts w:hint="eastAsia" w:ascii="宋体" w:hAnsi="宋体" w:eastAsia="宋体" w:cs="宋体"/>
          <w:b/>
          <w:bCs/>
          <w:color w:val="auto"/>
          <w:sz w:val="22"/>
          <w:szCs w:val="22"/>
          <w:highlight w:val="none"/>
        </w:rPr>
      </w:pPr>
    </w:p>
    <w:p w14:paraId="0926DB9B">
      <w:pPr>
        <w:pStyle w:val="14"/>
        <w:spacing w:line="240" w:lineRule="atLeast"/>
        <w:rPr>
          <w:rFonts w:hint="eastAsia" w:ascii="宋体" w:hAnsi="宋体" w:eastAsia="宋体" w:cs="宋体"/>
          <w:b/>
          <w:bCs/>
          <w:color w:val="auto"/>
          <w:sz w:val="22"/>
          <w:szCs w:val="22"/>
          <w:highlight w:val="none"/>
        </w:rPr>
      </w:pPr>
    </w:p>
    <w:p w14:paraId="39EFB452">
      <w:pPr>
        <w:pStyle w:val="14"/>
        <w:spacing w:line="240" w:lineRule="atLeast"/>
        <w:rPr>
          <w:rFonts w:hint="eastAsia" w:ascii="宋体" w:hAnsi="宋体" w:eastAsia="宋体" w:cs="宋体"/>
          <w:b/>
          <w:bCs/>
          <w:color w:val="auto"/>
          <w:sz w:val="22"/>
          <w:szCs w:val="22"/>
          <w:highlight w:val="none"/>
        </w:rPr>
      </w:pPr>
    </w:p>
    <w:p w14:paraId="62882976">
      <w:pPr>
        <w:pStyle w:val="14"/>
        <w:spacing w:line="240" w:lineRule="atLeast"/>
        <w:rPr>
          <w:rFonts w:hint="eastAsia" w:ascii="宋体" w:hAnsi="宋体" w:eastAsia="宋体" w:cs="宋体"/>
          <w:b/>
          <w:bCs/>
          <w:color w:val="auto"/>
          <w:sz w:val="22"/>
          <w:szCs w:val="22"/>
          <w:highlight w:val="none"/>
        </w:rPr>
      </w:pPr>
    </w:p>
    <w:p w14:paraId="3AD48271">
      <w:pPr>
        <w:pStyle w:val="14"/>
        <w:spacing w:line="240" w:lineRule="atLeast"/>
        <w:rPr>
          <w:rFonts w:hint="eastAsia" w:ascii="宋体" w:hAnsi="宋体" w:eastAsia="宋体" w:cs="宋体"/>
          <w:b/>
          <w:bCs/>
          <w:color w:val="auto"/>
          <w:sz w:val="22"/>
          <w:szCs w:val="22"/>
          <w:highlight w:val="none"/>
        </w:rPr>
      </w:pPr>
    </w:p>
    <w:p w14:paraId="2F1BD190">
      <w:pPr>
        <w:pStyle w:val="14"/>
        <w:spacing w:line="240" w:lineRule="atLeast"/>
        <w:rPr>
          <w:rFonts w:hint="eastAsia" w:ascii="宋体" w:hAnsi="宋体" w:eastAsia="宋体" w:cs="宋体"/>
          <w:b/>
          <w:bCs/>
          <w:color w:val="auto"/>
          <w:sz w:val="22"/>
          <w:szCs w:val="22"/>
          <w:highlight w:val="none"/>
        </w:rPr>
      </w:pPr>
    </w:p>
    <w:p w14:paraId="51AAD67F">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065C40DE">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370" w:name="_Toc21982"/>
      <w:bookmarkStart w:id="2371" w:name="_Toc16668"/>
      <w:bookmarkStart w:id="2372" w:name="_Toc17385"/>
      <w:r>
        <w:rPr>
          <w:rFonts w:hint="eastAsia" w:ascii="宋体" w:hAnsi="宋体" w:eastAsia="宋体" w:cs="宋体"/>
          <w:b/>
          <w:bCs/>
          <w:color w:val="auto"/>
          <w:sz w:val="28"/>
          <w:szCs w:val="28"/>
          <w:highlight w:val="none"/>
          <w:u w:val="none"/>
          <w:lang w:val="en-US" w:eastAsia="zh-CN"/>
        </w:rPr>
        <w:t>4.</w:t>
      </w:r>
      <w:bookmarkEnd w:id="2370"/>
      <w:bookmarkEnd w:id="2371"/>
      <w:r>
        <w:rPr>
          <w:rFonts w:hint="eastAsia" w:hAnsi="宋体" w:cs="宋体"/>
          <w:b/>
          <w:bCs/>
          <w:color w:val="auto"/>
          <w:sz w:val="28"/>
          <w:szCs w:val="28"/>
          <w:highlight w:val="none"/>
          <w:u w:val="none"/>
          <w:lang w:val="en-US" w:eastAsia="zh-CN"/>
        </w:rPr>
        <w:t>服务要求偏离表</w:t>
      </w:r>
      <w:bookmarkEnd w:id="2372"/>
    </w:p>
    <w:p w14:paraId="0107C445">
      <w:pPr>
        <w:pStyle w:val="14"/>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p>
    <w:tbl>
      <w:tblPr>
        <w:tblStyle w:val="2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1282"/>
        <w:gridCol w:w="2363"/>
        <w:gridCol w:w="1282"/>
        <w:gridCol w:w="1282"/>
        <w:gridCol w:w="760"/>
        <w:gridCol w:w="760"/>
      </w:tblGrid>
      <w:tr w14:paraId="7B40E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382AED76">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282" w:type="dxa"/>
            <w:vAlign w:val="center"/>
          </w:tcPr>
          <w:p w14:paraId="3958F3D5">
            <w:pPr>
              <w:pStyle w:val="14"/>
              <w:spacing w:line="400" w:lineRule="exact"/>
              <w:jc w:val="center"/>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名称</w:t>
            </w:r>
          </w:p>
        </w:tc>
        <w:tc>
          <w:tcPr>
            <w:tcW w:w="2363" w:type="dxa"/>
            <w:vAlign w:val="center"/>
          </w:tcPr>
          <w:p w14:paraId="68D10CA3">
            <w:pPr>
              <w:pStyle w:val="14"/>
              <w:spacing w:line="400" w:lineRule="exact"/>
              <w:ind w:left="269" w:leftChars="1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1282" w:type="dxa"/>
            <w:vAlign w:val="center"/>
          </w:tcPr>
          <w:p w14:paraId="09AAC26F">
            <w:pPr>
              <w:pStyle w:val="14"/>
              <w:spacing w:line="40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w:t>
            </w:r>
            <w:r>
              <w:rPr>
                <w:rFonts w:hint="eastAsia" w:hAnsi="宋体" w:cs="宋体"/>
                <w:color w:val="auto"/>
                <w:sz w:val="24"/>
                <w:szCs w:val="24"/>
                <w:highlight w:val="none"/>
                <w:lang w:val="en-US" w:eastAsia="zh-CN"/>
              </w:rPr>
              <w:t>内容</w:t>
            </w:r>
          </w:p>
        </w:tc>
        <w:tc>
          <w:tcPr>
            <w:tcW w:w="1282" w:type="dxa"/>
            <w:vAlign w:val="center"/>
          </w:tcPr>
          <w:p w14:paraId="41E20449">
            <w:pPr>
              <w:pStyle w:val="14"/>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w:t>
            </w:r>
            <w:r>
              <w:rPr>
                <w:rFonts w:hint="eastAsia" w:hAnsi="宋体" w:cs="宋体"/>
                <w:color w:val="auto"/>
                <w:sz w:val="24"/>
                <w:szCs w:val="24"/>
                <w:highlight w:val="none"/>
                <w:lang w:val="en-US" w:eastAsia="zh-CN"/>
              </w:rPr>
              <w:t>内容</w:t>
            </w:r>
          </w:p>
        </w:tc>
        <w:tc>
          <w:tcPr>
            <w:tcW w:w="760" w:type="dxa"/>
            <w:vAlign w:val="center"/>
          </w:tcPr>
          <w:p w14:paraId="682659E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760" w:type="dxa"/>
            <w:vAlign w:val="center"/>
          </w:tcPr>
          <w:p w14:paraId="09BE1445">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71C91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7759791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p>
        </w:tc>
        <w:tc>
          <w:tcPr>
            <w:tcW w:w="1282" w:type="dxa"/>
          </w:tcPr>
          <w:p w14:paraId="339588F1">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5E7652DE">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0656BCA8">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23576CC1">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2E29C232">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15A7F642">
            <w:pPr>
              <w:pStyle w:val="14"/>
              <w:spacing w:line="400" w:lineRule="exact"/>
              <w:ind w:left="1080" w:leftChars="257" w:hanging="540"/>
              <w:rPr>
                <w:rFonts w:hint="eastAsia" w:ascii="宋体" w:hAnsi="宋体" w:eastAsia="宋体" w:cs="宋体"/>
                <w:color w:val="auto"/>
                <w:sz w:val="24"/>
                <w:szCs w:val="24"/>
                <w:highlight w:val="none"/>
              </w:rPr>
            </w:pPr>
          </w:p>
        </w:tc>
      </w:tr>
      <w:tr w14:paraId="49C91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2EF3D96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p>
        </w:tc>
        <w:tc>
          <w:tcPr>
            <w:tcW w:w="1282" w:type="dxa"/>
          </w:tcPr>
          <w:p w14:paraId="464A6615">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433645E9">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3F9C01A5">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40A096BB">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22944233">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2AE1AECD">
            <w:pPr>
              <w:pStyle w:val="14"/>
              <w:spacing w:line="400" w:lineRule="exact"/>
              <w:ind w:left="1080" w:leftChars="257" w:hanging="540"/>
              <w:rPr>
                <w:rFonts w:hint="eastAsia" w:ascii="宋体" w:hAnsi="宋体" w:eastAsia="宋体" w:cs="宋体"/>
                <w:color w:val="auto"/>
                <w:sz w:val="24"/>
                <w:szCs w:val="24"/>
                <w:highlight w:val="none"/>
              </w:rPr>
            </w:pPr>
          </w:p>
        </w:tc>
      </w:tr>
      <w:tr w14:paraId="5F006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4BE54AB0">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c>
          <w:tcPr>
            <w:tcW w:w="1282" w:type="dxa"/>
          </w:tcPr>
          <w:p w14:paraId="7E2984CF">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168DF2BE">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2EA69166">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267C65CA">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35DBFDB9">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1EDF72A1">
            <w:pPr>
              <w:pStyle w:val="14"/>
              <w:spacing w:line="400" w:lineRule="exact"/>
              <w:ind w:left="1080" w:leftChars="257" w:hanging="540"/>
              <w:rPr>
                <w:rFonts w:hint="eastAsia" w:ascii="宋体" w:hAnsi="宋体" w:eastAsia="宋体" w:cs="宋体"/>
                <w:color w:val="auto"/>
                <w:sz w:val="24"/>
                <w:szCs w:val="24"/>
                <w:highlight w:val="none"/>
              </w:rPr>
            </w:pPr>
          </w:p>
        </w:tc>
      </w:tr>
      <w:tr w14:paraId="7A905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7EF2599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p>
        </w:tc>
        <w:tc>
          <w:tcPr>
            <w:tcW w:w="1282" w:type="dxa"/>
          </w:tcPr>
          <w:p w14:paraId="4B73BC85">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15022A02">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6D6C6661">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66112707">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24EE2B3B">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4ACC7C76">
            <w:pPr>
              <w:pStyle w:val="14"/>
              <w:spacing w:line="400" w:lineRule="exact"/>
              <w:ind w:left="1080" w:leftChars="257" w:hanging="540"/>
              <w:rPr>
                <w:rFonts w:hint="eastAsia" w:ascii="宋体" w:hAnsi="宋体" w:eastAsia="宋体" w:cs="宋体"/>
                <w:color w:val="auto"/>
                <w:sz w:val="24"/>
                <w:szCs w:val="24"/>
                <w:highlight w:val="none"/>
              </w:rPr>
            </w:pPr>
          </w:p>
        </w:tc>
      </w:tr>
      <w:tr w14:paraId="5432C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2340961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p>
        </w:tc>
        <w:tc>
          <w:tcPr>
            <w:tcW w:w="1282" w:type="dxa"/>
          </w:tcPr>
          <w:p w14:paraId="6697E4D4">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71C51F54">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444E78CC">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298C7CE4">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626A18CD">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442BA1F8">
            <w:pPr>
              <w:pStyle w:val="14"/>
              <w:spacing w:line="400" w:lineRule="exact"/>
              <w:ind w:left="1080" w:leftChars="257" w:hanging="540"/>
              <w:rPr>
                <w:rFonts w:hint="eastAsia" w:ascii="宋体" w:hAnsi="宋体" w:eastAsia="宋体" w:cs="宋体"/>
                <w:color w:val="auto"/>
                <w:sz w:val="24"/>
                <w:szCs w:val="24"/>
                <w:highlight w:val="none"/>
              </w:rPr>
            </w:pPr>
          </w:p>
        </w:tc>
      </w:tr>
      <w:tr w14:paraId="5050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59" w:type="dxa"/>
            <w:vAlign w:val="center"/>
          </w:tcPr>
          <w:p w14:paraId="697CB01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p>
        </w:tc>
        <w:tc>
          <w:tcPr>
            <w:tcW w:w="1282" w:type="dxa"/>
          </w:tcPr>
          <w:p w14:paraId="542C117A">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22A0D016">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5C3605B0">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661C73AC">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76B15C28">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2E5C0CD5">
            <w:pPr>
              <w:pStyle w:val="14"/>
              <w:spacing w:line="400" w:lineRule="exact"/>
              <w:ind w:left="1080" w:leftChars="257" w:hanging="540"/>
              <w:rPr>
                <w:rFonts w:hint="eastAsia" w:ascii="宋体" w:hAnsi="宋体" w:eastAsia="宋体" w:cs="宋体"/>
                <w:color w:val="auto"/>
                <w:sz w:val="24"/>
                <w:szCs w:val="24"/>
                <w:highlight w:val="none"/>
              </w:rPr>
            </w:pPr>
          </w:p>
        </w:tc>
      </w:tr>
      <w:tr w14:paraId="31E2A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59" w:type="dxa"/>
            <w:vAlign w:val="center"/>
          </w:tcPr>
          <w:p w14:paraId="5C304556">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p>
        </w:tc>
        <w:tc>
          <w:tcPr>
            <w:tcW w:w="1282" w:type="dxa"/>
          </w:tcPr>
          <w:p w14:paraId="29210B7B">
            <w:pPr>
              <w:pStyle w:val="14"/>
              <w:spacing w:line="400" w:lineRule="exact"/>
              <w:ind w:left="1080" w:leftChars="257" w:hanging="540"/>
              <w:rPr>
                <w:rFonts w:hint="eastAsia" w:ascii="宋体" w:hAnsi="宋体" w:eastAsia="宋体" w:cs="宋体"/>
                <w:color w:val="auto"/>
                <w:sz w:val="24"/>
                <w:szCs w:val="24"/>
                <w:highlight w:val="none"/>
              </w:rPr>
            </w:pPr>
          </w:p>
        </w:tc>
        <w:tc>
          <w:tcPr>
            <w:tcW w:w="2363" w:type="dxa"/>
          </w:tcPr>
          <w:p w14:paraId="1E255D4C">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69B885AE">
            <w:pPr>
              <w:pStyle w:val="14"/>
              <w:spacing w:line="400" w:lineRule="exact"/>
              <w:ind w:left="1080" w:leftChars="257" w:hanging="540"/>
              <w:rPr>
                <w:rFonts w:hint="eastAsia" w:ascii="宋体" w:hAnsi="宋体" w:eastAsia="宋体" w:cs="宋体"/>
                <w:color w:val="auto"/>
                <w:sz w:val="24"/>
                <w:szCs w:val="24"/>
                <w:highlight w:val="none"/>
              </w:rPr>
            </w:pPr>
          </w:p>
        </w:tc>
        <w:tc>
          <w:tcPr>
            <w:tcW w:w="1282" w:type="dxa"/>
          </w:tcPr>
          <w:p w14:paraId="30F0991F">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39EAE5A6">
            <w:pPr>
              <w:pStyle w:val="14"/>
              <w:spacing w:line="400" w:lineRule="exact"/>
              <w:ind w:left="1080" w:leftChars="257" w:hanging="540"/>
              <w:rPr>
                <w:rFonts w:hint="eastAsia" w:ascii="宋体" w:hAnsi="宋体" w:eastAsia="宋体" w:cs="宋体"/>
                <w:color w:val="auto"/>
                <w:sz w:val="24"/>
                <w:szCs w:val="24"/>
                <w:highlight w:val="none"/>
              </w:rPr>
            </w:pPr>
          </w:p>
        </w:tc>
        <w:tc>
          <w:tcPr>
            <w:tcW w:w="760" w:type="dxa"/>
          </w:tcPr>
          <w:p w14:paraId="3B4289D7">
            <w:pPr>
              <w:pStyle w:val="14"/>
              <w:spacing w:line="400" w:lineRule="exact"/>
              <w:ind w:left="1080" w:leftChars="257" w:hanging="540"/>
              <w:rPr>
                <w:rFonts w:hint="eastAsia" w:ascii="宋体" w:hAnsi="宋体" w:eastAsia="宋体" w:cs="宋体"/>
                <w:color w:val="auto"/>
                <w:sz w:val="24"/>
                <w:szCs w:val="24"/>
                <w:highlight w:val="none"/>
              </w:rPr>
            </w:pPr>
          </w:p>
        </w:tc>
      </w:tr>
    </w:tbl>
    <w:p w14:paraId="5BABFC8C">
      <w:pPr>
        <w:pStyle w:val="14"/>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备注：以上表格内容中除“偏离”一列，其余表格填写不得出现“空白、无、/”等情形，否则视为实质性条款不响应，按无效投标处理。</w:t>
      </w:r>
    </w:p>
    <w:p w14:paraId="41D81026">
      <w:pPr>
        <w:pStyle w:val="14"/>
        <w:spacing w:line="400" w:lineRule="exact"/>
        <w:ind w:left="1080" w:leftChars="257" w:hanging="540"/>
        <w:rPr>
          <w:rFonts w:hint="eastAsia" w:ascii="宋体" w:hAnsi="宋体" w:eastAsia="宋体" w:cs="宋体"/>
          <w:color w:val="auto"/>
          <w:sz w:val="24"/>
          <w:szCs w:val="24"/>
          <w:highlight w:val="none"/>
        </w:rPr>
      </w:pPr>
    </w:p>
    <w:p w14:paraId="60D12F71">
      <w:pPr>
        <w:pStyle w:val="14"/>
        <w:spacing w:line="400" w:lineRule="exact"/>
        <w:ind w:left="1080" w:leftChars="257" w:hanging="540"/>
        <w:rPr>
          <w:rFonts w:hint="eastAsia" w:ascii="宋体" w:hAnsi="宋体" w:eastAsia="宋体" w:cs="宋体"/>
          <w:color w:val="auto"/>
          <w:sz w:val="24"/>
          <w:szCs w:val="24"/>
          <w:highlight w:val="none"/>
        </w:rPr>
      </w:pPr>
    </w:p>
    <w:bookmarkEnd w:id="2351"/>
    <w:bookmarkEnd w:id="2352"/>
    <w:bookmarkEnd w:id="2353"/>
    <w:bookmarkEnd w:id="2354"/>
    <w:p w14:paraId="45A14B59">
      <w:pPr>
        <w:pStyle w:val="6"/>
        <w:spacing w:line="360" w:lineRule="exact"/>
        <w:ind w:firstLine="0"/>
        <w:rPr>
          <w:rFonts w:hint="eastAsia" w:ascii="宋体" w:hAnsi="宋体" w:eastAsia="宋体" w:cs="宋体"/>
          <w:color w:val="auto"/>
          <w:kern w:val="2"/>
          <w:sz w:val="24"/>
          <w:szCs w:val="24"/>
          <w:highlight w:val="none"/>
          <w:u w:val="single"/>
        </w:rPr>
      </w:pPr>
      <w:bookmarkStart w:id="2373" w:name="_Toc515647821"/>
      <w:bookmarkStart w:id="2374" w:name="_Toc23"/>
      <w:bookmarkStart w:id="2375" w:name="_Toc216582818"/>
      <w:bookmarkStart w:id="2376" w:name="_Toc31439"/>
      <w:bookmarkStart w:id="2377" w:name="_Toc1980"/>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646FE86">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7CFB9F0A">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2A514885">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556B6496">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008897EE">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4E3E5EED">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B227C8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A80FA90">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DDA968D">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483DC8B7">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16270C5">
      <w:pPr>
        <w:rPr>
          <w:rFonts w:hint="eastAsia" w:ascii="宋体" w:hAnsi="宋体" w:eastAsia="宋体" w:cs="宋体"/>
          <w:color w:val="auto"/>
          <w:sz w:val="28"/>
          <w:szCs w:val="28"/>
          <w:highlight w:val="none"/>
        </w:rPr>
      </w:pPr>
      <w:bookmarkStart w:id="2378" w:name="_Toc14887"/>
      <w:bookmarkStart w:id="2379" w:name="_Toc22109"/>
      <w:bookmarkStart w:id="2380" w:name="_Toc12914"/>
      <w:r>
        <w:rPr>
          <w:rFonts w:hint="eastAsia" w:ascii="宋体" w:hAnsi="宋体" w:eastAsia="宋体" w:cs="宋体"/>
          <w:color w:val="auto"/>
          <w:sz w:val="28"/>
          <w:szCs w:val="28"/>
          <w:highlight w:val="none"/>
        </w:rPr>
        <w:br w:type="page"/>
      </w:r>
    </w:p>
    <w:bookmarkEnd w:id="2373"/>
    <w:bookmarkEnd w:id="2374"/>
    <w:bookmarkEnd w:id="2375"/>
    <w:bookmarkEnd w:id="2376"/>
    <w:bookmarkEnd w:id="2377"/>
    <w:bookmarkEnd w:id="2378"/>
    <w:bookmarkEnd w:id="2379"/>
    <w:bookmarkEnd w:id="2380"/>
    <w:p w14:paraId="71B35781">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381" w:name="_Toc26961"/>
      <w:bookmarkStart w:id="2382" w:name="_Toc3475"/>
      <w:bookmarkStart w:id="2383" w:name="_Toc19645"/>
      <w:r>
        <w:rPr>
          <w:rFonts w:hint="eastAsia" w:ascii="宋体" w:hAnsi="宋体" w:eastAsia="宋体" w:cs="宋体"/>
          <w:b/>
          <w:bCs/>
          <w:color w:val="auto"/>
          <w:sz w:val="28"/>
          <w:szCs w:val="28"/>
          <w:highlight w:val="none"/>
          <w:u w:val="none"/>
          <w:lang w:val="en-US" w:eastAsia="zh-CN"/>
        </w:rPr>
        <w:t>5.商务条款偏离表</w:t>
      </w:r>
      <w:bookmarkEnd w:id="2381"/>
      <w:bookmarkEnd w:id="2382"/>
      <w:bookmarkEnd w:id="2383"/>
    </w:p>
    <w:p w14:paraId="20D2C98A">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838"/>
        <w:gridCol w:w="2300"/>
        <w:gridCol w:w="2300"/>
        <w:gridCol w:w="685"/>
        <w:gridCol w:w="687"/>
      </w:tblGrid>
      <w:tr w14:paraId="47185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389AB329">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838" w:type="dxa"/>
            <w:vAlign w:val="top"/>
          </w:tcPr>
          <w:p w14:paraId="62016FB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2300" w:type="dxa"/>
            <w:vAlign w:val="top"/>
          </w:tcPr>
          <w:p w14:paraId="7AE10DDD">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招标文件的商务条款</w:t>
            </w:r>
          </w:p>
        </w:tc>
        <w:tc>
          <w:tcPr>
            <w:tcW w:w="2300" w:type="dxa"/>
            <w:vAlign w:val="top"/>
          </w:tcPr>
          <w:p w14:paraId="2614205C">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投标文件的商务条款</w:t>
            </w:r>
          </w:p>
        </w:tc>
        <w:tc>
          <w:tcPr>
            <w:tcW w:w="685" w:type="dxa"/>
            <w:vAlign w:val="top"/>
          </w:tcPr>
          <w:p w14:paraId="1B847305">
            <w:pPr>
              <w:pStyle w:val="14"/>
              <w:spacing w:line="4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偏离</w:t>
            </w:r>
          </w:p>
        </w:tc>
        <w:tc>
          <w:tcPr>
            <w:tcW w:w="687" w:type="dxa"/>
            <w:vAlign w:val="top"/>
          </w:tcPr>
          <w:p w14:paraId="19195606">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60AE0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2E2BFA03">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6F2A8F31">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56FB7761">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2300" w:type="dxa"/>
            <w:vAlign w:val="top"/>
          </w:tcPr>
          <w:p w14:paraId="43E25D2A">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685" w:type="dxa"/>
            <w:vAlign w:val="top"/>
          </w:tcPr>
          <w:p w14:paraId="10379794">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05A9FC66">
            <w:pPr>
              <w:pStyle w:val="14"/>
              <w:spacing w:line="400" w:lineRule="exact"/>
              <w:ind w:left="1080" w:leftChars="257" w:hanging="540"/>
              <w:rPr>
                <w:rFonts w:hint="eastAsia" w:ascii="宋体" w:hAnsi="宋体" w:eastAsia="宋体" w:cs="宋体"/>
                <w:color w:val="auto"/>
                <w:sz w:val="24"/>
                <w:szCs w:val="24"/>
                <w:highlight w:val="none"/>
              </w:rPr>
            </w:pPr>
          </w:p>
        </w:tc>
      </w:tr>
      <w:tr w14:paraId="128A5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0F786228">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22E6233F">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F0916D7">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35F4DF50">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10545610">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19AB0A9C">
            <w:pPr>
              <w:pStyle w:val="14"/>
              <w:spacing w:line="400" w:lineRule="exact"/>
              <w:ind w:left="1080" w:leftChars="257" w:hanging="540"/>
              <w:rPr>
                <w:rFonts w:hint="eastAsia" w:ascii="宋体" w:hAnsi="宋体" w:eastAsia="宋体" w:cs="宋体"/>
                <w:color w:val="auto"/>
                <w:sz w:val="24"/>
                <w:szCs w:val="24"/>
                <w:highlight w:val="none"/>
              </w:rPr>
            </w:pPr>
          </w:p>
        </w:tc>
      </w:tr>
      <w:tr w14:paraId="53FE1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14D11DCE">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1C446A0C">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3DC73DD8">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2EEFA4C0">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67329A71">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0446E98E">
            <w:pPr>
              <w:pStyle w:val="14"/>
              <w:spacing w:line="400" w:lineRule="exact"/>
              <w:ind w:left="1080" w:leftChars="257" w:hanging="540"/>
              <w:rPr>
                <w:rFonts w:hint="eastAsia" w:ascii="宋体" w:hAnsi="宋体" w:eastAsia="宋体" w:cs="宋体"/>
                <w:color w:val="auto"/>
                <w:sz w:val="24"/>
                <w:szCs w:val="24"/>
                <w:highlight w:val="none"/>
              </w:rPr>
            </w:pPr>
          </w:p>
        </w:tc>
      </w:tr>
      <w:tr w14:paraId="20A99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323D2C21">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4E83FF7A">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661BB0F">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7B892DA">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53F6E8ED">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1417E518">
            <w:pPr>
              <w:pStyle w:val="14"/>
              <w:spacing w:line="400" w:lineRule="exact"/>
              <w:ind w:left="1080" w:leftChars="257" w:hanging="540"/>
              <w:rPr>
                <w:rFonts w:hint="eastAsia" w:ascii="宋体" w:hAnsi="宋体" w:eastAsia="宋体" w:cs="宋体"/>
                <w:color w:val="auto"/>
                <w:sz w:val="24"/>
                <w:szCs w:val="24"/>
                <w:highlight w:val="none"/>
              </w:rPr>
            </w:pPr>
          </w:p>
        </w:tc>
      </w:tr>
      <w:tr w14:paraId="3895A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1007015A">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4D224C22">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6903C1D3">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6EDA336F">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4638BC7D">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7C83B00E">
            <w:pPr>
              <w:pStyle w:val="14"/>
              <w:spacing w:line="400" w:lineRule="exact"/>
              <w:ind w:left="1080" w:leftChars="257" w:hanging="540"/>
              <w:rPr>
                <w:rFonts w:hint="eastAsia" w:ascii="宋体" w:hAnsi="宋体" w:eastAsia="宋体" w:cs="宋体"/>
                <w:color w:val="auto"/>
                <w:sz w:val="24"/>
                <w:szCs w:val="24"/>
                <w:highlight w:val="none"/>
              </w:rPr>
            </w:pPr>
          </w:p>
        </w:tc>
      </w:tr>
      <w:tr w14:paraId="67E2A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1C5E39C7">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45BBBDFA">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05184CE6">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670BB5CE">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46601061">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669B34F6">
            <w:pPr>
              <w:pStyle w:val="14"/>
              <w:spacing w:line="400" w:lineRule="exact"/>
              <w:ind w:left="1080" w:leftChars="257" w:hanging="540"/>
              <w:rPr>
                <w:rFonts w:hint="eastAsia" w:ascii="宋体" w:hAnsi="宋体" w:eastAsia="宋体" w:cs="宋体"/>
                <w:color w:val="auto"/>
                <w:sz w:val="24"/>
                <w:szCs w:val="24"/>
                <w:highlight w:val="none"/>
              </w:rPr>
            </w:pPr>
          </w:p>
        </w:tc>
      </w:tr>
      <w:tr w14:paraId="28222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020309F5">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4A764905">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32B10BD7">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E1BFBFE">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0F65B280">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7F106DEB">
            <w:pPr>
              <w:pStyle w:val="14"/>
              <w:spacing w:line="400" w:lineRule="exact"/>
              <w:ind w:left="1080" w:leftChars="257" w:hanging="540"/>
              <w:rPr>
                <w:rFonts w:hint="eastAsia" w:ascii="宋体" w:hAnsi="宋体" w:eastAsia="宋体" w:cs="宋体"/>
                <w:color w:val="auto"/>
                <w:sz w:val="24"/>
                <w:szCs w:val="24"/>
                <w:highlight w:val="none"/>
              </w:rPr>
            </w:pPr>
          </w:p>
        </w:tc>
      </w:tr>
      <w:tr w14:paraId="59C96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556C4F25">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3F77EB52">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55960E9E">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37763FAD">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528BD788">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3FD53B13">
            <w:pPr>
              <w:pStyle w:val="14"/>
              <w:spacing w:line="400" w:lineRule="exact"/>
              <w:ind w:left="1080" w:leftChars="257" w:hanging="540"/>
              <w:rPr>
                <w:rFonts w:hint="eastAsia" w:ascii="宋体" w:hAnsi="宋体" w:eastAsia="宋体" w:cs="宋体"/>
                <w:color w:val="auto"/>
                <w:sz w:val="24"/>
                <w:szCs w:val="24"/>
                <w:highlight w:val="none"/>
              </w:rPr>
            </w:pPr>
          </w:p>
        </w:tc>
      </w:tr>
      <w:tr w14:paraId="7C38A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458DCE91">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12B12D82">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2A234C50">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1189FC69">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71539E8C">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42118F94">
            <w:pPr>
              <w:pStyle w:val="14"/>
              <w:spacing w:line="400" w:lineRule="exact"/>
              <w:ind w:left="1080" w:leftChars="257" w:hanging="540"/>
              <w:rPr>
                <w:rFonts w:hint="eastAsia" w:ascii="宋体" w:hAnsi="宋体" w:eastAsia="宋体" w:cs="宋体"/>
                <w:color w:val="auto"/>
                <w:sz w:val="24"/>
                <w:szCs w:val="24"/>
                <w:highlight w:val="none"/>
              </w:rPr>
            </w:pPr>
          </w:p>
        </w:tc>
      </w:tr>
      <w:tr w14:paraId="71E7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450215B4">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1792A309">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2ACD23D5">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15FD9F9">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396643C2">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66762713">
            <w:pPr>
              <w:pStyle w:val="14"/>
              <w:spacing w:line="400" w:lineRule="exact"/>
              <w:ind w:left="1080" w:leftChars="257" w:hanging="540"/>
              <w:rPr>
                <w:rFonts w:hint="eastAsia" w:ascii="宋体" w:hAnsi="宋体" w:eastAsia="宋体" w:cs="宋体"/>
                <w:color w:val="auto"/>
                <w:sz w:val="24"/>
                <w:szCs w:val="24"/>
                <w:highlight w:val="none"/>
              </w:rPr>
            </w:pPr>
          </w:p>
        </w:tc>
      </w:tr>
      <w:tr w14:paraId="5E58C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4A01C4F5">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48568FE4">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02177BF">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7DCBD92">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29092147">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6C49A55D">
            <w:pPr>
              <w:pStyle w:val="14"/>
              <w:spacing w:line="400" w:lineRule="exact"/>
              <w:ind w:left="1080" w:leftChars="257" w:hanging="540"/>
              <w:rPr>
                <w:rFonts w:hint="eastAsia" w:ascii="宋体" w:hAnsi="宋体" w:eastAsia="宋体" w:cs="宋体"/>
                <w:color w:val="auto"/>
                <w:sz w:val="24"/>
                <w:szCs w:val="24"/>
                <w:highlight w:val="none"/>
              </w:rPr>
            </w:pPr>
          </w:p>
        </w:tc>
      </w:tr>
      <w:tr w14:paraId="0C29F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27D091AB">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271C5F23">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7033ABD0">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2509063A">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5BB1FFF7">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2D5EC259">
            <w:pPr>
              <w:pStyle w:val="14"/>
              <w:spacing w:line="400" w:lineRule="exact"/>
              <w:ind w:left="1080" w:leftChars="257" w:hanging="540"/>
              <w:rPr>
                <w:rFonts w:hint="eastAsia" w:ascii="宋体" w:hAnsi="宋体" w:eastAsia="宋体" w:cs="宋体"/>
                <w:color w:val="auto"/>
                <w:sz w:val="24"/>
                <w:szCs w:val="24"/>
                <w:highlight w:val="none"/>
              </w:rPr>
            </w:pPr>
          </w:p>
        </w:tc>
      </w:tr>
      <w:tr w14:paraId="13B00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85" w:type="dxa"/>
            <w:vAlign w:val="top"/>
          </w:tcPr>
          <w:p w14:paraId="175299BA">
            <w:pPr>
              <w:pStyle w:val="14"/>
              <w:spacing w:line="400" w:lineRule="exact"/>
              <w:ind w:left="1080" w:leftChars="257" w:hanging="540"/>
              <w:rPr>
                <w:rFonts w:hint="eastAsia" w:ascii="宋体" w:hAnsi="宋体" w:eastAsia="宋体" w:cs="宋体"/>
                <w:color w:val="auto"/>
                <w:sz w:val="24"/>
                <w:szCs w:val="24"/>
                <w:highlight w:val="none"/>
              </w:rPr>
            </w:pPr>
          </w:p>
        </w:tc>
        <w:tc>
          <w:tcPr>
            <w:tcW w:w="1838" w:type="dxa"/>
            <w:vAlign w:val="top"/>
          </w:tcPr>
          <w:p w14:paraId="66045E3C">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2F367E86">
            <w:pPr>
              <w:pStyle w:val="14"/>
              <w:spacing w:line="400" w:lineRule="exact"/>
              <w:ind w:left="1080" w:leftChars="257" w:hanging="540"/>
              <w:rPr>
                <w:rFonts w:hint="eastAsia" w:ascii="宋体" w:hAnsi="宋体" w:eastAsia="宋体" w:cs="宋体"/>
                <w:color w:val="auto"/>
                <w:sz w:val="24"/>
                <w:szCs w:val="24"/>
                <w:highlight w:val="none"/>
              </w:rPr>
            </w:pPr>
          </w:p>
        </w:tc>
        <w:tc>
          <w:tcPr>
            <w:tcW w:w="2300" w:type="dxa"/>
            <w:vAlign w:val="top"/>
          </w:tcPr>
          <w:p w14:paraId="61AD405F">
            <w:pPr>
              <w:pStyle w:val="14"/>
              <w:spacing w:line="400" w:lineRule="exact"/>
              <w:ind w:left="1080" w:leftChars="257" w:hanging="540"/>
              <w:rPr>
                <w:rFonts w:hint="eastAsia" w:ascii="宋体" w:hAnsi="宋体" w:eastAsia="宋体" w:cs="宋体"/>
                <w:color w:val="auto"/>
                <w:sz w:val="24"/>
                <w:szCs w:val="24"/>
                <w:highlight w:val="none"/>
              </w:rPr>
            </w:pPr>
          </w:p>
        </w:tc>
        <w:tc>
          <w:tcPr>
            <w:tcW w:w="685" w:type="dxa"/>
            <w:vAlign w:val="top"/>
          </w:tcPr>
          <w:p w14:paraId="7ADD4B79">
            <w:pPr>
              <w:pStyle w:val="14"/>
              <w:spacing w:line="400" w:lineRule="exact"/>
              <w:ind w:left="1080" w:leftChars="257" w:hanging="540"/>
              <w:rPr>
                <w:rFonts w:hint="eastAsia" w:ascii="宋体" w:hAnsi="宋体" w:eastAsia="宋体" w:cs="宋体"/>
                <w:color w:val="auto"/>
                <w:sz w:val="24"/>
                <w:szCs w:val="24"/>
                <w:highlight w:val="none"/>
              </w:rPr>
            </w:pPr>
          </w:p>
        </w:tc>
        <w:tc>
          <w:tcPr>
            <w:tcW w:w="687" w:type="dxa"/>
            <w:vAlign w:val="top"/>
          </w:tcPr>
          <w:p w14:paraId="5B994720">
            <w:pPr>
              <w:pStyle w:val="14"/>
              <w:spacing w:line="400" w:lineRule="exact"/>
              <w:ind w:left="1080" w:leftChars="257" w:hanging="540"/>
              <w:rPr>
                <w:rFonts w:hint="eastAsia" w:ascii="宋体" w:hAnsi="宋体" w:eastAsia="宋体" w:cs="宋体"/>
                <w:color w:val="auto"/>
                <w:sz w:val="24"/>
                <w:szCs w:val="24"/>
                <w:highlight w:val="none"/>
              </w:rPr>
            </w:pPr>
          </w:p>
        </w:tc>
      </w:tr>
    </w:tbl>
    <w:p w14:paraId="4B92076C">
      <w:pPr>
        <w:widowControl w:val="0"/>
        <w:spacing w:line="400" w:lineRule="exact"/>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备注：以上表格内容中除“偏离”一列，其余表格填写不得出现“空白、无、/”等情形，否则视为实质性条款不响应，按无效投标处理。</w:t>
      </w:r>
    </w:p>
    <w:p w14:paraId="4600BE1E">
      <w:pPr>
        <w:pStyle w:val="14"/>
        <w:spacing w:line="400" w:lineRule="exact"/>
        <w:ind w:left="1080" w:leftChars="257" w:hanging="540"/>
        <w:rPr>
          <w:rFonts w:hint="eastAsia" w:ascii="宋体" w:hAnsi="宋体" w:eastAsia="宋体" w:cs="宋体"/>
          <w:color w:val="auto"/>
          <w:sz w:val="24"/>
          <w:szCs w:val="24"/>
          <w:highlight w:val="none"/>
        </w:rPr>
      </w:pPr>
    </w:p>
    <w:p w14:paraId="341F45D5">
      <w:pPr>
        <w:pStyle w:val="14"/>
        <w:spacing w:line="400" w:lineRule="exact"/>
        <w:ind w:left="1080" w:leftChars="257" w:hanging="540"/>
        <w:rPr>
          <w:rFonts w:hint="eastAsia" w:ascii="宋体" w:hAnsi="宋体" w:eastAsia="宋体" w:cs="宋体"/>
          <w:color w:val="auto"/>
          <w:sz w:val="24"/>
          <w:szCs w:val="24"/>
          <w:highlight w:val="none"/>
        </w:rPr>
      </w:pPr>
    </w:p>
    <w:p w14:paraId="13E23636">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670791E0">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4DEE3969">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2F55BB24">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BFAC4EA">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4E0B6F4">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3DBDA7B2">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2278A0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3E37533">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yellow"/>
          <w:u w:val="none"/>
          <w:lang w:val="en-US" w:eastAsia="zh-CN"/>
        </w:rPr>
      </w:pPr>
      <w:bookmarkStart w:id="2384" w:name="_Toc515647823"/>
      <w:bookmarkStart w:id="2385" w:name="_Toc31694"/>
      <w:bookmarkStart w:id="2386" w:name="_Toc21312"/>
      <w:bookmarkStart w:id="2387" w:name="_Toc27043"/>
      <w:bookmarkStart w:id="2388" w:name="_Toc17820"/>
      <w:bookmarkStart w:id="2389" w:name="_Toc10725"/>
      <w:bookmarkStart w:id="2390" w:name="_Toc25797"/>
      <w:r>
        <w:rPr>
          <w:rFonts w:hint="eastAsia" w:ascii="宋体" w:hAnsi="宋体" w:eastAsia="宋体" w:cs="宋体"/>
          <w:color w:val="auto"/>
          <w:sz w:val="24"/>
          <w:szCs w:val="24"/>
          <w:highlight w:val="none"/>
        </w:rPr>
        <w:br w:type="page"/>
      </w:r>
      <w:bookmarkEnd w:id="2384"/>
      <w:bookmarkEnd w:id="2385"/>
      <w:bookmarkEnd w:id="2386"/>
      <w:bookmarkEnd w:id="2387"/>
      <w:bookmarkEnd w:id="2388"/>
      <w:bookmarkEnd w:id="2389"/>
      <w:bookmarkEnd w:id="2390"/>
      <w:bookmarkStart w:id="2391" w:name="_Toc26391"/>
      <w:bookmarkStart w:id="2392" w:name="_Toc32351"/>
      <w:bookmarkStart w:id="2393" w:name="_Toc12886"/>
      <w:bookmarkStart w:id="2394" w:name="_Toc21610"/>
      <w:bookmarkStart w:id="2395" w:name="_Toc2709"/>
      <w:bookmarkStart w:id="2396" w:name="_Toc11343"/>
      <w:bookmarkStart w:id="2397" w:name="_Toc11803"/>
      <w:bookmarkStart w:id="2398" w:name="_Toc515647824"/>
      <w:bookmarkStart w:id="2399" w:name="_Toc10977"/>
      <w:bookmarkStart w:id="2400" w:name="_Toc9687"/>
      <w:r>
        <w:rPr>
          <w:rFonts w:hint="eastAsia" w:ascii="宋体" w:hAnsi="宋体" w:eastAsia="宋体" w:cs="宋体"/>
          <w:b/>
          <w:bCs/>
          <w:color w:val="auto"/>
          <w:sz w:val="28"/>
          <w:szCs w:val="28"/>
          <w:highlight w:val="none"/>
          <w:u w:val="none"/>
          <w:lang w:val="en-US" w:eastAsia="zh-CN"/>
        </w:rPr>
        <w:t>6-1 中小企业声明函</w:t>
      </w:r>
      <w:bookmarkEnd w:id="2391"/>
      <w:bookmarkEnd w:id="2392"/>
      <w:r>
        <w:rPr>
          <w:rFonts w:hint="eastAsia" w:ascii="宋体" w:hAnsi="宋体" w:eastAsia="宋体" w:cs="宋体"/>
          <w:b/>
          <w:bCs/>
          <w:color w:val="auto"/>
          <w:sz w:val="28"/>
          <w:szCs w:val="28"/>
          <w:highlight w:val="none"/>
          <w:u w:val="none"/>
          <w:lang w:val="en-US" w:eastAsia="zh-CN"/>
        </w:rPr>
        <w:t>（</w:t>
      </w:r>
      <w:r>
        <w:rPr>
          <w:rFonts w:hint="eastAsia" w:hAnsi="宋体" w:cs="宋体"/>
          <w:b/>
          <w:bCs/>
          <w:color w:val="auto"/>
          <w:sz w:val="28"/>
          <w:szCs w:val="28"/>
          <w:highlight w:val="none"/>
          <w:u w:val="none"/>
          <w:lang w:val="en-US" w:eastAsia="zh-CN"/>
        </w:rPr>
        <w:t>服务</w:t>
      </w:r>
      <w:r>
        <w:rPr>
          <w:rFonts w:hint="eastAsia" w:ascii="宋体" w:hAnsi="宋体" w:eastAsia="宋体" w:cs="宋体"/>
          <w:b/>
          <w:bCs/>
          <w:color w:val="auto"/>
          <w:sz w:val="28"/>
          <w:szCs w:val="28"/>
          <w:highlight w:val="none"/>
          <w:u w:val="none"/>
          <w:lang w:val="en-US" w:eastAsia="zh-CN"/>
        </w:rPr>
        <w:t>）</w:t>
      </w:r>
      <w:bookmarkEnd w:id="2393"/>
    </w:p>
    <w:p w14:paraId="005F4521">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本公司（联合体）郑重声明，根据《政府采购促进中小企业发展管理办法》（财库﹝2020﹞46号）的规定，本公司（联合体）参加</w:t>
      </w:r>
      <w:r>
        <w:rPr>
          <w:rFonts w:hint="eastAsia" w:ascii="宋体" w:hAnsi="宋体" w:eastAsia="宋体" w:cs="宋体"/>
          <w:color w:val="auto"/>
          <w:spacing w:val="5"/>
          <w:w w:val="95"/>
          <w:kern w:val="2"/>
          <w:sz w:val="24"/>
          <w:szCs w:val="24"/>
          <w:highlight w:val="none"/>
          <w:u w:val="single"/>
          <w:lang w:val="zh-CN" w:eastAsia="zh-CN" w:bidi="zh-CN"/>
        </w:rPr>
        <w:t>（单位名称）</w:t>
      </w:r>
      <w:r>
        <w:rPr>
          <w:rFonts w:hint="eastAsia" w:ascii="宋体" w:hAnsi="宋体" w:eastAsia="宋体" w:cs="宋体"/>
          <w:color w:val="auto"/>
          <w:spacing w:val="5"/>
          <w:w w:val="95"/>
          <w:kern w:val="2"/>
          <w:sz w:val="24"/>
          <w:szCs w:val="24"/>
          <w:highlight w:val="none"/>
          <w:u w:val="none"/>
          <w:lang w:val="en-US" w:eastAsia="zh-CN" w:bidi="zh-CN"/>
        </w:rPr>
        <w:t>的</w:t>
      </w:r>
      <w:r>
        <w:rPr>
          <w:rFonts w:hint="eastAsia" w:ascii="宋体" w:hAnsi="宋体" w:eastAsia="宋体" w:cs="宋体"/>
          <w:color w:val="auto"/>
          <w:spacing w:val="5"/>
          <w:w w:val="95"/>
          <w:kern w:val="2"/>
          <w:sz w:val="24"/>
          <w:szCs w:val="24"/>
          <w:highlight w:val="none"/>
          <w:u w:val="single"/>
          <w:lang w:val="zh-CN" w:eastAsia="zh-CN" w:bidi="zh-CN"/>
        </w:rPr>
        <w:t>（项目名称）</w:t>
      </w:r>
      <w:r>
        <w:rPr>
          <w:rFonts w:hint="eastAsia" w:ascii="宋体" w:hAnsi="宋体" w:eastAsia="宋体" w:cs="宋体"/>
          <w:color w:val="auto"/>
          <w:spacing w:val="5"/>
          <w:w w:val="95"/>
          <w:kern w:val="2"/>
          <w:sz w:val="24"/>
          <w:szCs w:val="24"/>
          <w:highlight w:val="none"/>
          <w:u w:val="none"/>
          <w:lang w:val="en-US" w:eastAsia="zh-CN" w:bidi="zh-CN"/>
        </w:rPr>
        <w:t>采购活动，服务全部由符合政策要求的中小企业承接。相关企业（含联合体中的中小企业、签订分包意向协议的中小企业）的具体情况如下：</w:t>
      </w:r>
    </w:p>
    <w:p w14:paraId="65CF2EEF">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spacing w:val="5"/>
          <w:w w:val="95"/>
          <w:kern w:val="2"/>
          <w:sz w:val="24"/>
          <w:szCs w:val="24"/>
          <w:highlight w:val="none"/>
          <w:u w:val="none"/>
          <w:lang w:val="en-US" w:eastAsia="zh-CN" w:bidi="zh-CN"/>
        </w:rPr>
        <w:t>1.</w:t>
      </w:r>
      <w:r>
        <w:rPr>
          <w:rFonts w:hint="eastAsia" w:ascii="宋体" w:hAnsi="宋体" w:eastAsia="宋体" w:cs="宋体"/>
          <w:color w:val="auto"/>
          <w:spacing w:val="5"/>
          <w:w w:val="95"/>
          <w:kern w:val="2"/>
          <w:sz w:val="24"/>
          <w:szCs w:val="24"/>
          <w:highlight w:val="none"/>
          <w:u w:val="single"/>
          <w:lang w:val="zh-CN" w:eastAsia="zh-CN" w:bidi="zh-CN"/>
        </w:rPr>
        <w:t>（标的名称）</w:t>
      </w:r>
      <w:r>
        <w:rPr>
          <w:rFonts w:hint="eastAsia" w:ascii="宋体" w:hAnsi="宋体" w:eastAsia="宋体" w:cs="宋体"/>
          <w:i/>
          <w:color w:val="auto"/>
          <w:kern w:val="2"/>
          <w:sz w:val="24"/>
          <w:szCs w:val="24"/>
          <w:highlight w:val="none"/>
          <w:u w:val="none"/>
          <w:lang w:val="en-US" w:eastAsia="zh-CN" w:bidi="ar-SA"/>
        </w:rPr>
        <w:t xml:space="preserve"> </w:t>
      </w:r>
      <w:r>
        <w:rPr>
          <w:rFonts w:hint="eastAsia" w:ascii="宋体" w:hAnsi="宋体" w:eastAsia="宋体" w:cs="宋体"/>
          <w:color w:val="auto"/>
          <w:spacing w:val="-43"/>
          <w:kern w:val="2"/>
          <w:sz w:val="24"/>
          <w:szCs w:val="24"/>
          <w:highlight w:val="none"/>
          <w:u w:val="none"/>
          <w:lang w:val="en-US" w:eastAsia="zh-CN" w:bidi="ar-SA"/>
        </w:rPr>
        <w:t xml:space="preserve">， </w:t>
      </w:r>
      <w:r>
        <w:rPr>
          <w:rFonts w:hint="eastAsia" w:ascii="宋体" w:hAnsi="宋体" w:eastAsia="宋体" w:cs="宋体"/>
          <w:color w:val="auto"/>
          <w:spacing w:val="7"/>
          <w:w w:val="99"/>
          <w:kern w:val="2"/>
          <w:sz w:val="24"/>
          <w:szCs w:val="24"/>
          <w:highlight w:val="none"/>
          <w:u w:val="none"/>
          <w:lang w:val="zh-CN" w:eastAsia="zh-CN" w:bidi="ar-SA"/>
        </w:rPr>
        <w:t>属于</w:t>
      </w:r>
      <w:r>
        <w:rPr>
          <w:rFonts w:hint="eastAsia" w:ascii="宋体" w:hAnsi="宋体" w:eastAsia="宋体" w:cs="宋体"/>
          <w:color w:val="auto"/>
          <w:spacing w:val="5"/>
          <w:w w:val="95"/>
          <w:kern w:val="2"/>
          <w:sz w:val="24"/>
          <w:szCs w:val="24"/>
          <w:highlight w:val="none"/>
          <w:u w:val="single"/>
          <w:lang w:val="zh-CN" w:eastAsia="zh-CN" w:bidi="zh-CN"/>
        </w:rPr>
        <w:t>（采购文件中明确的所属行业）行业</w:t>
      </w:r>
      <w:r>
        <w:rPr>
          <w:rFonts w:hint="eastAsia" w:ascii="宋体" w:hAnsi="宋体" w:eastAsia="宋体" w:cs="宋体"/>
          <w:color w:val="auto"/>
          <w:spacing w:val="7"/>
          <w:w w:val="99"/>
          <w:kern w:val="2"/>
          <w:sz w:val="24"/>
          <w:szCs w:val="24"/>
          <w:highlight w:val="none"/>
          <w:u w:val="none"/>
          <w:lang w:val="en-US" w:eastAsia="zh-CN" w:bidi="ar-SA"/>
        </w:rPr>
        <w:t>；</w:t>
      </w:r>
      <w:r>
        <w:rPr>
          <w:rFonts w:hint="eastAsia" w:ascii="宋体" w:hAnsi="宋体" w:eastAsia="宋体" w:cs="宋体"/>
          <w:color w:val="auto"/>
          <w:spacing w:val="5"/>
          <w:w w:val="99"/>
          <w:kern w:val="2"/>
          <w:sz w:val="24"/>
          <w:szCs w:val="24"/>
          <w:highlight w:val="none"/>
          <w:u w:val="none"/>
          <w:lang w:val="en-US" w:eastAsia="zh-CN" w:bidi="ar-SA"/>
        </w:rPr>
        <w:t>承接企业</w:t>
      </w:r>
      <w:r>
        <w:rPr>
          <w:rFonts w:hint="eastAsia" w:ascii="宋体" w:hAnsi="宋体" w:eastAsia="宋体" w:cs="宋体"/>
          <w:color w:val="auto"/>
          <w:spacing w:val="-10"/>
          <w:w w:val="99"/>
          <w:kern w:val="2"/>
          <w:sz w:val="24"/>
          <w:szCs w:val="24"/>
          <w:highlight w:val="none"/>
          <w:u w:val="none"/>
          <w:lang w:val="en-US" w:eastAsia="zh-CN" w:bidi="ar-SA"/>
        </w:rPr>
        <w:t>为</w:t>
      </w:r>
      <w:r>
        <w:rPr>
          <w:rFonts w:hint="eastAsia" w:ascii="宋体" w:hAnsi="宋体" w:eastAsia="宋体" w:cs="宋体"/>
          <w:color w:val="auto"/>
          <w:spacing w:val="5"/>
          <w:w w:val="95"/>
          <w:kern w:val="2"/>
          <w:sz w:val="24"/>
          <w:szCs w:val="24"/>
          <w:highlight w:val="none"/>
          <w:u w:val="single"/>
          <w:lang w:val="zh-CN" w:eastAsia="zh-CN" w:bidi="zh-CN"/>
        </w:rPr>
        <w:t>（企业名称）</w:t>
      </w:r>
      <w:r>
        <w:rPr>
          <w:rFonts w:hint="eastAsia" w:ascii="宋体" w:hAnsi="宋体" w:eastAsia="宋体" w:cs="宋体"/>
          <w:color w:val="auto"/>
          <w:spacing w:val="5"/>
          <w:w w:val="95"/>
          <w:kern w:val="2"/>
          <w:sz w:val="24"/>
          <w:szCs w:val="24"/>
          <w:highlight w:val="none"/>
          <w:u w:val="none" w:color="auto"/>
          <w:lang w:val="zh-CN" w:eastAsia="zh-CN" w:bidi="zh-CN"/>
        </w:rPr>
        <w:t>，</w:t>
      </w:r>
      <w:r>
        <w:rPr>
          <w:rFonts w:hint="eastAsia" w:ascii="宋体" w:hAnsi="宋体" w:eastAsia="宋体" w:cs="宋体"/>
          <w:color w:val="auto"/>
          <w:spacing w:val="5"/>
          <w:w w:val="99"/>
          <w:kern w:val="2"/>
          <w:sz w:val="24"/>
          <w:szCs w:val="24"/>
          <w:highlight w:val="none"/>
          <w:u w:val="none"/>
          <w:lang w:val="en-US" w:eastAsia="zh-CN" w:bidi="ar-SA"/>
        </w:rPr>
        <w:t>从</w:t>
      </w:r>
      <w:r>
        <w:rPr>
          <w:rFonts w:hint="eastAsia" w:ascii="宋体" w:hAnsi="宋体" w:eastAsia="宋体" w:cs="宋体"/>
          <w:color w:val="auto"/>
          <w:spacing w:val="7"/>
          <w:w w:val="99"/>
          <w:kern w:val="2"/>
          <w:sz w:val="24"/>
          <w:szCs w:val="24"/>
          <w:highlight w:val="none"/>
          <w:u w:val="none"/>
          <w:lang w:val="en-US" w:eastAsia="zh-CN" w:bidi="ar-SA"/>
        </w:rPr>
        <w:t>业</w:t>
      </w:r>
      <w:r>
        <w:rPr>
          <w:rFonts w:hint="eastAsia" w:ascii="宋体" w:hAnsi="宋体" w:eastAsia="宋体" w:cs="宋体"/>
          <w:color w:val="auto"/>
          <w:spacing w:val="5"/>
          <w:w w:val="99"/>
          <w:kern w:val="2"/>
          <w:sz w:val="24"/>
          <w:szCs w:val="24"/>
          <w:highlight w:val="none"/>
          <w:u w:val="none"/>
          <w:lang w:val="en-US" w:eastAsia="zh-CN" w:bidi="ar-SA"/>
        </w:rPr>
        <w:t>人</w:t>
      </w:r>
      <w:r>
        <w:rPr>
          <w:rFonts w:hint="eastAsia" w:ascii="宋体" w:hAnsi="宋体" w:eastAsia="宋体" w:cs="宋体"/>
          <w:color w:val="auto"/>
          <w:spacing w:val="4"/>
          <w:w w:val="99"/>
          <w:kern w:val="2"/>
          <w:sz w:val="24"/>
          <w:szCs w:val="24"/>
          <w:highlight w:val="none"/>
          <w:u w:val="none"/>
          <w:lang w:val="en-US" w:eastAsia="zh-CN" w:bidi="ar-SA"/>
        </w:rPr>
        <w:t>员</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spacing w:val="7"/>
          <w:w w:val="99"/>
          <w:kern w:val="2"/>
          <w:sz w:val="24"/>
          <w:szCs w:val="24"/>
          <w:highlight w:val="none"/>
          <w:u w:val="none"/>
          <w:lang w:val="en-US" w:eastAsia="zh-CN" w:bidi="ar-SA"/>
        </w:rPr>
        <w:t>人</w:t>
      </w:r>
      <w:r>
        <w:rPr>
          <w:rFonts w:hint="eastAsia" w:ascii="宋体" w:hAnsi="宋体" w:eastAsia="宋体" w:cs="宋体"/>
          <w:color w:val="auto"/>
          <w:spacing w:val="5"/>
          <w:w w:val="99"/>
          <w:kern w:val="2"/>
          <w:sz w:val="24"/>
          <w:szCs w:val="24"/>
          <w:highlight w:val="none"/>
          <w:u w:val="none"/>
          <w:lang w:val="en-US" w:eastAsia="zh-CN" w:bidi="ar-SA"/>
        </w:rPr>
        <w:t>，</w:t>
      </w:r>
      <w:r>
        <w:rPr>
          <w:rFonts w:hint="eastAsia" w:ascii="宋体" w:hAnsi="宋体" w:eastAsia="宋体" w:cs="宋体"/>
          <w:color w:val="auto"/>
          <w:spacing w:val="7"/>
          <w:w w:val="99"/>
          <w:kern w:val="2"/>
          <w:sz w:val="24"/>
          <w:szCs w:val="24"/>
          <w:highlight w:val="none"/>
          <w:u w:val="none"/>
          <w:lang w:val="en-US" w:eastAsia="zh-CN" w:bidi="ar-SA"/>
        </w:rPr>
        <w:t>营</w:t>
      </w:r>
      <w:r>
        <w:rPr>
          <w:rFonts w:hint="eastAsia" w:ascii="宋体" w:hAnsi="宋体" w:eastAsia="宋体" w:cs="宋体"/>
          <w:color w:val="auto"/>
          <w:spacing w:val="5"/>
          <w:w w:val="99"/>
          <w:kern w:val="2"/>
          <w:sz w:val="24"/>
          <w:szCs w:val="24"/>
          <w:highlight w:val="none"/>
          <w:u w:val="none"/>
          <w:lang w:val="en-US" w:eastAsia="zh-CN" w:bidi="ar-SA"/>
        </w:rPr>
        <w:t>业</w:t>
      </w:r>
      <w:r>
        <w:rPr>
          <w:rFonts w:hint="eastAsia" w:ascii="宋体" w:hAnsi="宋体" w:eastAsia="宋体" w:cs="宋体"/>
          <w:color w:val="auto"/>
          <w:spacing w:val="7"/>
          <w:w w:val="99"/>
          <w:kern w:val="2"/>
          <w:sz w:val="24"/>
          <w:szCs w:val="24"/>
          <w:highlight w:val="none"/>
          <w:u w:val="none"/>
          <w:lang w:val="en-US" w:eastAsia="zh-CN" w:bidi="ar-SA"/>
        </w:rPr>
        <w:t>收入为</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u w:val="none"/>
          <w:lang w:val="en-US" w:eastAsia="zh-CN" w:bidi="ar-SA"/>
        </w:rPr>
        <w:t>万元</w:t>
      </w:r>
      <w:r>
        <w:rPr>
          <w:rFonts w:hint="eastAsia" w:ascii="宋体" w:hAnsi="宋体" w:eastAsia="宋体" w:cs="宋体"/>
          <w:color w:val="auto"/>
          <w:spacing w:val="-22"/>
          <w:kern w:val="2"/>
          <w:sz w:val="24"/>
          <w:szCs w:val="24"/>
          <w:highlight w:val="none"/>
          <w:u w:val="none"/>
          <w:lang w:val="en-US" w:eastAsia="zh-CN" w:bidi="ar-SA"/>
        </w:rPr>
        <w:t>，</w:t>
      </w:r>
      <w:r>
        <w:rPr>
          <w:rFonts w:hint="eastAsia" w:ascii="宋体" w:hAnsi="宋体" w:eastAsia="宋体" w:cs="宋体"/>
          <w:color w:val="auto"/>
          <w:kern w:val="2"/>
          <w:sz w:val="24"/>
          <w:szCs w:val="24"/>
          <w:highlight w:val="none"/>
          <w:u w:val="none"/>
          <w:lang w:val="en-US" w:eastAsia="zh-CN" w:bidi="ar-SA"/>
        </w:rPr>
        <w:t>资产总额为</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w w:val="95"/>
          <w:kern w:val="2"/>
          <w:sz w:val="24"/>
          <w:szCs w:val="24"/>
          <w:highlight w:val="none"/>
          <w:u w:val="none"/>
          <w:lang w:val="en-US" w:eastAsia="zh-CN" w:bidi="ar-SA"/>
        </w:rPr>
        <w:t>万元</w:t>
      </w:r>
      <w:r>
        <w:rPr>
          <w:rFonts w:hint="eastAsia" w:ascii="宋体" w:hAnsi="宋体" w:eastAsia="宋体" w:cs="宋体"/>
          <w:color w:val="auto"/>
          <w:spacing w:val="-12"/>
          <w:w w:val="95"/>
          <w:kern w:val="2"/>
          <w:sz w:val="24"/>
          <w:szCs w:val="24"/>
          <w:highlight w:val="none"/>
          <w:u w:val="none"/>
          <w:lang w:val="en-US" w:eastAsia="zh-CN" w:bidi="ar-SA"/>
        </w:rPr>
        <w:t>，</w:t>
      </w:r>
      <w:r>
        <w:rPr>
          <w:rFonts w:hint="eastAsia" w:ascii="宋体" w:hAnsi="宋体" w:eastAsia="宋体" w:cs="宋体"/>
          <w:color w:val="auto"/>
          <w:spacing w:val="5"/>
          <w:w w:val="95"/>
          <w:kern w:val="2"/>
          <w:sz w:val="24"/>
          <w:szCs w:val="24"/>
          <w:highlight w:val="none"/>
          <w:u w:val="none"/>
          <w:lang w:val="zh-CN" w:eastAsia="zh-CN" w:bidi="zh-CN"/>
        </w:rPr>
        <w:t>属于</w:t>
      </w:r>
      <w:r>
        <w:rPr>
          <w:rFonts w:hint="eastAsia" w:ascii="宋体" w:hAnsi="宋体" w:eastAsia="宋体" w:cs="宋体"/>
          <w:color w:val="auto"/>
          <w:spacing w:val="5"/>
          <w:w w:val="95"/>
          <w:kern w:val="2"/>
          <w:sz w:val="24"/>
          <w:szCs w:val="24"/>
          <w:highlight w:val="none"/>
          <w:u w:val="single"/>
          <w:lang w:val="zh-CN" w:eastAsia="zh-CN" w:bidi="zh-CN"/>
        </w:rPr>
        <w:t>（中型企业、小型企业、微型企业）</w:t>
      </w:r>
      <w:r>
        <w:rPr>
          <w:rFonts w:hint="eastAsia" w:ascii="宋体" w:hAnsi="宋体" w:eastAsia="宋体" w:cs="宋体"/>
          <w:color w:val="auto"/>
          <w:spacing w:val="5"/>
          <w:w w:val="95"/>
          <w:kern w:val="2"/>
          <w:sz w:val="24"/>
          <w:szCs w:val="24"/>
          <w:highlight w:val="none"/>
          <w:u w:val="none" w:color="auto"/>
          <w:lang w:val="zh-CN" w:eastAsia="zh-CN" w:bidi="zh-CN"/>
        </w:rPr>
        <w:t>；</w:t>
      </w:r>
    </w:p>
    <w:p w14:paraId="3A78D676">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2.</w:t>
      </w:r>
      <w:r>
        <w:rPr>
          <w:rFonts w:hint="eastAsia" w:ascii="宋体" w:hAnsi="宋体" w:eastAsia="宋体" w:cs="宋体"/>
          <w:color w:val="auto"/>
          <w:spacing w:val="5"/>
          <w:w w:val="95"/>
          <w:kern w:val="2"/>
          <w:sz w:val="24"/>
          <w:szCs w:val="24"/>
          <w:highlight w:val="none"/>
          <w:u w:val="none"/>
          <w:lang w:val="zh-CN" w:eastAsia="zh-CN" w:bidi="zh-CN"/>
        </w:rPr>
        <w:t xml:space="preserve"> </w:t>
      </w:r>
      <w:r>
        <w:rPr>
          <w:rFonts w:hint="eastAsia" w:ascii="宋体" w:hAnsi="宋体" w:eastAsia="宋体" w:cs="宋体"/>
          <w:color w:val="auto"/>
          <w:spacing w:val="5"/>
          <w:w w:val="95"/>
          <w:kern w:val="2"/>
          <w:sz w:val="24"/>
          <w:szCs w:val="24"/>
          <w:highlight w:val="none"/>
          <w:u w:val="single"/>
          <w:lang w:val="zh-CN" w:eastAsia="zh-CN" w:bidi="zh-CN"/>
        </w:rPr>
        <w:t>（标的名称）</w:t>
      </w:r>
      <w:r>
        <w:rPr>
          <w:rFonts w:hint="eastAsia" w:ascii="宋体" w:hAnsi="宋体" w:eastAsia="宋体" w:cs="宋体"/>
          <w:i/>
          <w:color w:val="auto"/>
          <w:kern w:val="2"/>
          <w:sz w:val="24"/>
          <w:szCs w:val="24"/>
          <w:highlight w:val="none"/>
          <w:u w:val="none"/>
          <w:lang w:val="en-US" w:eastAsia="zh-CN" w:bidi="ar-SA"/>
        </w:rPr>
        <w:t xml:space="preserve"> </w:t>
      </w:r>
      <w:r>
        <w:rPr>
          <w:rFonts w:hint="eastAsia" w:ascii="宋体" w:hAnsi="宋体" w:eastAsia="宋体" w:cs="宋体"/>
          <w:color w:val="auto"/>
          <w:spacing w:val="-43"/>
          <w:kern w:val="2"/>
          <w:sz w:val="24"/>
          <w:szCs w:val="24"/>
          <w:highlight w:val="none"/>
          <w:u w:val="none"/>
          <w:lang w:val="en-US" w:eastAsia="zh-CN" w:bidi="ar-SA"/>
        </w:rPr>
        <w:t xml:space="preserve">， </w:t>
      </w:r>
      <w:r>
        <w:rPr>
          <w:rFonts w:hint="eastAsia" w:ascii="宋体" w:hAnsi="宋体" w:eastAsia="宋体" w:cs="宋体"/>
          <w:color w:val="auto"/>
          <w:spacing w:val="7"/>
          <w:w w:val="99"/>
          <w:kern w:val="2"/>
          <w:sz w:val="24"/>
          <w:szCs w:val="24"/>
          <w:highlight w:val="none"/>
          <w:u w:val="none"/>
          <w:lang w:val="zh-CN" w:eastAsia="zh-CN" w:bidi="ar-SA"/>
        </w:rPr>
        <w:t>属于</w:t>
      </w:r>
      <w:r>
        <w:rPr>
          <w:rFonts w:hint="eastAsia" w:ascii="宋体" w:hAnsi="宋体" w:eastAsia="宋体" w:cs="宋体"/>
          <w:color w:val="auto"/>
          <w:spacing w:val="5"/>
          <w:w w:val="95"/>
          <w:kern w:val="2"/>
          <w:sz w:val="24"/>
          <w:szCs w:val="24"/>
          <w:highlight w:val="none"/>
          <w:u w:val="single"/>
          <w:lang w:val="zh-CN" w:eastAsia="zh-CN" w:bidi="zh-CN"/>
        </w:rPr>
        <w:t>（采购文件中明确的所属行业）行业</w:t>
      </w:r>
      <w:r>
        <w:rPr>
          <w:rFonts w:hint="eastAsia" w:ascii="宋体" w:hAnsi="宋体" w:eastAsia="宋体" w:cs="宋体"/>
          <w:color w:val="auto"/>
          <w:spacing w:val="7"/>
          <w:w w:val="99"/>
          <w:kern w:val="2"/>
          <w:sz w:val="24"/>
          <w:szCs w:val="24"/>
          <w:highlight w:val="none"/>
          <w:u w:val="none"/>
          <w:lang w:val="en-US" w:eastAsia="zh-CN" w:bidi="ar-SA"/>
        </w:rPr>
        <w:t>；</w:t>
      </w:r>
      <w:r>
        <w:rPr>
          <w:rFonts w:hint="eastAsia" w:ascii="宋体" w:hAnsi="宋体" w:eastAsia="宋体" w:cs="宋体"/>
          <w:color w:val="auto"/>
          <w:spacing w:val="5"/>
          <w:w w:val="99"/>
          <w:kern w:val="2"/>
          <w:sz w:val="24"/>
          <w:szCs w:val="24"/>
          <w:highlight w:val="none"/>
          <w:u w:val="none"/>
          <w:lang w:val="en-US" w:eastAsia="zh-CN" w:bidi="ar-SA"/>
        </w:rPr>
        <w:t>承接企业</w:t>
      </w:r>
      <w:r>
        <w:rPr>
          <w:rFonts w:hint="eastAsia" w:ascii="宋体" w:hAnsi="宋体" w:eastAsia="宋体" w:cs="宋体"/>
          <w:color w:val="auto"/>
          <w:spacing w:val="-10"/>
          <w:w w:val="99"/>
          <w:kern w:val="2"/>
          <w:sz w:val="24"/>
          <w:szCs w:val="24"/>
          <w:highlight w:val="none"/>
          <w:u w:val="none"/>
          <w:lang w:val="en-US" w:eastAsia="zh-CN" w:bidi="ar-SA"/>
        </w:rPr>
        <w:t>为</w:t>
      </w:r>
      <w:r>
        <w:rPr>
          <w:rFonts w:hint="eastAsia" w:ascii="宋体" w:hAnsi="宋体" w:eastAsia="宋体" w:cs="宋体"/>
          <w:color w:val="auto"/>
          <w:spacing w:val="5"/>
          <w:w w:val="95"/>
          <w:kern w:val="2"/>
          <w:sz w:val="24"/>
          <w:szCs w:val="24"/>
          <w:highlight w:val="none"/>
          <w:u w:val="single"/>
          <w:lang w:val="zh-CN" w:eastAsia="zh-CN" w:bidi="zh-CN"/>
        </w:rPr>
        <w:t>（企业名称）</w:t>
      </w:r>
      <w:r>
        <w:rPr>
          <w:rFonts w:hint="eastAsia" w:ascii="宋体" w:hAnsi="宋体" w:eastAsia="宋体" w:cs="宋体"/>
          <w:color w:val="auto"/>
          <w:spacing w:val="5"/>
          <w:w w:val="95"/>
          <w:kern w:val="2"/>
          <w:sz w:val="24"/>
          <w:szCs w:val="24"/>
          <w:highlight w:val="none"/>
          <w:u w:val="none" w:color="auto"/>
          <w:lang w:val="zh-CN" w:eastAsia="zh-CN" w:bidi="zh-CN"/>
        </w:rPr>
        <w:t>，</w:t>
      </w:r>
      <w:r>
        <w:rPr>
          <w:rFonts w:hint="eastAsia" w:ascii="宋体" w:hAnsi="宋体" w:eastAsia="宋体" w:cs="宋体"/>
          <w:color w:val="auto"/>
          <w:spacing w:val="5"/>
          <w:w w:val="99"/>
          <w:kern w:val="2"/>
          <w:sz w:val="24"/>
          <w:szCs w:val="24"/>
          <w:highlight w:val="none"/>
          <w:u w:val="none"/>
          <w:lang w:val="en-US" w:eastAsia="zh-CN" w:bidi="ar-SA"/>
        </w:rPr>
        <w:t>从</w:t>
      </w:r>
      <w:r>
        <w:rPr>
          <w:rFonts w:hint="eastAsia" w:ascii="宋体" w:hAnsi="宋体" w:eastAsia="宋体" w:cs="宋体"/>
          <w:color w:val="auto"/>
          <w:spacing w:val="7"/>
          <w:w w:val="99"/>
          <w:kern w:val="2"/>
          <w:sz w:val="24"/>
          <w:szCs w:val="24"/>
          <w:highlight w:val="none"/>
          <w:u w:val="none"/>
          <w:lang w:val="en-US" w:eastAsia="zh-CN" w:bidi="ar-SA"/>
        </w:rPr>
        <w:t>业</w:t>
      </w:r>
      <w:r>
        <w:rPr>
          <w:rFonts w:hint="eastAsia" w:ascii="宋体" w:hAnsi="宋体" w:eastAsia="宋体" w:cs="宋体"/>
          <w:color w:val="auto"/>
          <w:spacing w:val="5"/>
          <w:w w:val="99"/>
          <w:kern w:val="2"/>
          <w:sz w:val="24"/>
          <w:szCs w:val="24"/>
          <w:highlight w:val="none"/>
          <w:u w:val="none"/>
          <w:lang w:val="en-US" w:eastAsia="zh-CN" w:bidi="ar-SA"/>
        </w:rPr>
        <w:t>人</w:t>
      </w:r>
      <w:r>
        <w:rPr>
          <w:rFonts w:hint="eastAsia" w:ascii="宋体" w:hAnsi="宋体" w:eastAsia="宋体" w:cs="宋体"/>
          <w:color w:val="auto"/>
          <w:spacing w:val="4"/>
          <w:w w:val="99"/>
          <w:kern w:val="2"/>
          <w:sz w:val="24"/>
          <w:szCs w:val="24"/>
          <w:highlight w:val="none"/>
          <w:u w:val="none"/>
          <w:lang w:val="en-US" w:eastAsia="zh-CN" w:bidi="ar-SA"/>
        </w:rPr>
        <w:t>员</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spacing w:val="7"/>
          <w:w w:val="99"/>
          <w:kern w:val="2"/>
          <w:sz w:val="24"/>
          <w:szCs w:val="24"/>
          <w:highlight w:val="none"/>
          <w:u w:val="none"/>
          <w:lang w:val="en-US" w:eastAsia="zh-CN" w:bidi="ar-SA"/>
        </w:rPr>
        <w:t>人</w:t>
      </w:r>
      <w:r>
        <w:rPr>
          <w:rFonts w:hint="eastAsia" w:ascii="宋体" w:hAnsi="宋体" w:eastAsia="宋体" w:cs="宋体"/>
          <w:color w:val="auto"/>
          <w:spacing w:val="5"/>
          <w:w w:val="99"/>
          <w:kern w:val="2"/>
          <w:sz w:val="24"/>
          <w:szCs w:val="24"/>
          <w:highlight w:val="none"/>
          <w:u w:val="none"/>
          <w:lang w:val="en-US" w:eastAsia="zh-CN" w:bidi="ar-SA"/>
        </w:rPr>
        <w:t>，</w:t>
      </w:r>
      <w:r>
        <w:rPr>
          <w:rFonts w:hint="eastAsia" w:ascii="宋体" w:hAnsi="宋体" w:eastAsia="宋体" w:cs="宋体"/>
          <w:color w:val="auto"/>
          <w:spacing w:val="7"/>
          <w:w w:val="99"/>
          <w:kern w:val="2"/>
          <w:sz w:val="24"/>
          <w:szCs w:val="24"/>
          <w:highlight w:val="none"/>
          <w:u w:val="none"/>
          <w:lang w:val="en-US" w:eastAsia="zh-CN" w:bidi="ar-SA"/>
        </w:rPr>
        <w:t>营</w:t>
      </w:r>
      <w:r>
        <w:rPr>
          <w:rFonts w:hint="eastAsia" w:ascii="宋体" w:hAnsi="宋体" w:eastAsia="宋体" w:cs="宋体"/>
          <w:color w:val="auto"/>
          <w:spacing w:val="5"/>
          <w:w w:val="99"/>
          <w:kern w:val="2"/>
          <w:sz w:val="24"/>
          <w:szCs w:val="24"/>
          <w:highlight w:val="none"/>
          <w:u w:val="none"/>
          <w:lang w:val="en-US" w:eastAsia="zh-CN" w:bidi="ar-SA"/>
        </w:rPr>
        <w:t>业</w:t>
      </w:r>
      <w:r>
        <w:rPr>
          <w:rFonts w:hint="eastAsia" w:ascii="宋体" w:hAnsi="宋体" w:eastAsia="宋体" w:cs="宋体"/>
          <w:color w:val="auto"/>
          <w:spacing w:val="7"/>
          <w:w w:val="99"/>
          <w:kern w:val="2"/>
          <w:sz w:val="24"/>
          <w:szCs w:val="24"/>
          <w:highlight w:val="none"/>
          <w:u w:val="none"/>
          <w:lang w:val="en-US" w:eastAsia="zh-CN" w:bidi="ar-SA"/>
        </w:rPr>
        <w:t>收入为</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u w:val="none"/>
          <w:lang w:val="en-US" w:eastAsia="zh-CN" w:bidi="ar-SA"/>
        </w:rPr>
        <w:t>万元</w:t>
      </w:r>
      <w:r>
        <w:rPr>
          <w:rFonts w:hint="eastAsia" w:ascii="宋体" w:hAnsi="宋体" w:eastAsia="宋体" w:cs="宋体"/>
          <w:color w:val="auto"/>
          <w:spacing w:val="-22"/>
          <w:kern w:val="2"/>
          <w:sz w:val="24"/>
          <w:szCs w:val="24"/>
          <w:highlight w:val="none"/>
          <w:u w:val="none"/>
          <w:lang w:val="en-US" w:eastAsia="zh-CN" w:bidi="ar-SA"/>
        </w:rPr>
        <w:t>，</w:t>
      </w:r>
      <w:r>
        <w:rPr>
          <w:rFonts w:hint="eastAsia" w:ascii="宋体" w:hAnsi="宋体" w:eastAsia="宋体" w:cs="宋体"/>
          <w:color w:val="auto"/>
          <w:kern w:val="2"/>
          <w:sz w:val="24"/>
          <w:szCs w:val="24"/>
          <w:highlight w:val="none"/>
          <w:u w:val="none"/>
          <w:lang w:val="en-US" w:eastAsia="zh-CN" w:bidi="ar-SA"/>
        </w:rPr>
        <w:t>资产总额为</w:t>
      </w:r>
      <w:r>
        <w:rPr>
          <w:rFonts w:hint="eastAsia" w:ascii="宋体" w:hAnsi="宋体" w:eastAsia="宋体" w:cs="宋体"/>
          <w:color w:val="auto"/>
          <w:spacing w:val="4"/>
          <w:w w:val="99"/>
          <w:kern w:val="2"/>
          <w:sz w:val="24"/>
          <w:szCs w:val="24"/>
          <w:highlight w:val="none"/>
          <w:u w:val="single"/>
          <w:lang w:val="en-US" w:eastAsia="zh-CN" w:bidi="ar-SA"/>
        </w:rPr>
        <w:t xml:space="preserve">      </w:t>
      </w:r>
      <w:r>
        <w:rPr>
          <w:rFonts w:hint="eastAsia" w:ascii="宋体" w:hAnsi="宋体" w:eastAsia="宋体" w:cs="宋体"/>
          <w:color w:val="auto"/>
          <w:w w:val="95"/>
          <w:kern w:val="2"/>
          <w:sz w:val="24"/>
          <w:szCs w:val="24"/>
          <w:highlight w:val="none"/>
          <w:u w:val="none"/>
          <w:lang w:val="en-US" w:eastAsia="zh-CN" w:bidi="ar-SA"/>
        </w:rPr>
        <w:t>万元</w:t>
      </w:r>
      <w:r>
        <w:rPr>
          <w:rFonts w:hint="eastAsia" w:ascii="宋体" w:hAnsi="宋体" w:eastAsia="宋体" w:cs="宋体"/>
          <w:color w:val="auto"/>
          <w:spacing w:val="-12"/>
          <w:w w:val="95"/>
          <w:kern w:val="2"/>
          <w:sz w:val="24"/>
          <w:szCs w:val="24"/>
          <w:highlight w:val="none"/>
          <w:u w:val="none"/>
          <w:lang w:val="en-US" w:eastAsia="zh-CN" w:bidi="ar-SA"/>
        </w:rPr>
        <w:t>，</w:t>
      </w:r>
      <w:r>
        <w:rPr>
          <w:rFonts w:hint="eastAsia" w:ascii="宋体" w:hAnsi="宋体" w:eastAsia="宋体" w:cs="宋体"/>
          <w:color w:val="auto"/>
          <w:spacing w:val="5"/>
          <w:w w:val="95"/>
          <w:kern w:val="2"/>
          <w:sz w:val="24"/>
          <w:szCs w:val="24"/>
          <w:highlight w:val="none"/>
          <w:u w:val="none"/>
          <w:lang w:val="zh-CN" w:eastAsia="zh-CN" w:bidi="zh-CN"/>
        </w:rPr>
        <w:t>属于</w:t>
      </w:r>
      <w:r>
        <w:rPr>
          <w:rFonts w:hint="eastAsia" w:ascii="宋体" w:hAnsi="宋体" w:eastAsia="宋体" w:cs="宋体"/>
          <w:color w:val="auto"/>
          <w:spacing w:val="5"/>
          <w:w w:val="95"/>
          <w:kern w:val="2"/>
          <w:sz w:val="24"/>
          <w:szCs w:val="24"/>
          <w:highlight w:val="none"/>
          <w:u w:val="single"/>
          <w:lang w:val="zh-CN" w:eastAsia="zh-CN" w:bidi="zh-CN"/>
        </w:rPr>
        <w:t>（中型企业、小型企业、微型企业）</w:t>
      </w:r>
      <w:r>
        <w:rPr>
          <w:rFonts w:hint="eastAsia" w:ascii="宋体" w:hAnsi="宋体" w:eastAsia="宋体" w:cs="宋体"/>
          <w:color w:val="auto"/>
          <w:spacing w:val="5"/>
          <w:w w:val="95"/>
          <w:kern w:val="2"/>
          <w:sz w:val="24"/>
          <w:szCs w:val="24"/>
          <w:highlight w:val="none"/>
          <w:u w:val="none"/>
          <w:lang w:val="zh-CN" w:eastAsia="zh-CN" w:bidi="zh-CN"/>
        </w:rPr>
        <w:t>；</w:t>
      </w:r>
    </w:p>
    <w:p w14:paraId="661B73F1">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w:t>
      </w:r>
    </w:p>
    <w:p w14:paraId="2F3B0D6A">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以上企业，不属于大企业的分支机构，不存在控股股东为大企业的情形，也不存在与大企业的负责人为同一人的情形。</w:t>
      </w:r>
    </w:p>
    <w:p w14:paraId="1EA4DC0F">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本企业对上述声明内容的真实性负责。如有虚假，将依法承担相应责任。</w:t>
      </w:r>
    </w:p>
    <w:p w14:paraId="7C9FB62A">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p>
    <w:p w14:paraId="73517FF6">
      <w:pPr>
        <w:keepNext w:val="0"/>
        <w:keepLines w:val="0"/>
        <w:pageBreakBefore w:val="0"/>
        <w:widowControl w:val="0"/>
        <w:numPr>
          <w:ilvl w:val="0"/>
          <w:numId w:val="0"/>
        </w:numPr>
        <w:tabs>
          <w:tab w:val="left" w:pos="1183"/>
          <w:tab w:val="left" w:pos="1484"/>
          <w:tab w:val="left" w:pos="4662"/>
          <w:tab w:val="left" w:pos="6903"/>
        </w:tabs>
        <w:kinsoku/>
        <w:wordWrap/>
        <w:overflowPunct/>
        <w:topLinePunct w:val="0"/>
        <w:autoSpaceDE/>
        <w:autoSpaceDN/>
        <w:bidi w:val="0"/>
        <w:adjustRightInd/>
        <w:snapToGrid/>
        <w:spacing w:before="0" w:after="0" w:line="480" w:lineRule="exact"/>
        <w:ind w:leftChars="0" w:right="0" w:rightChars="0" w:firstLine="476" w:firstLineChars="200"/>
        <w:jc w:val="left"/>
        <w:textAlignment w:val="auto"/>
        <w:rPr>
          <w:rFonts w:hint="eastAsia" w:ascii="宋体" w:hAnsi="宋体" w:eastAsia="宋体" w:cs="宋体"/>
          <w:color w:val="auto"/>
          <w:spacing w:val="5"/>
          <w:w w:val="95"/>
          <w:kern w:val="2"/>
          <w:sz w:val="24"/>
          <w:szCs w:val="24"/>
          <w:highlight w:val="none"/>
          <w:u w:val="none"/>
          <w:lang w:val="en-US" w:eastAsia="zh-CN" w:bidi="zh-CN"/>
        </w:rPr>
      </w:pPr>
    </w:p>
    <w:p w14:paraId="10C9DC22">
      <w:pPr>
        <w:keepNext w:val="0"/>
        <w:keepLines w:val="0"/>
        <w:pageBreakBefore w:val="0"/>
        <w:widowControl w:val="0"/>
        <w:numPr>
          <w:ilvl w:val="0"/>
          <w:numId w:val="0"/>
        </w:numPr>
        <w:tabs>
          <w:tab w:val="left" w:pos="1183"/>
          <w:tab w:val="left" w:pos="1484"/>
          <w:tab w:val="left" w:pos="4662"/>
          <w:tab w:val="left" w:pos="6903"/>
        </w:tabs>
        <w:kinsoku/>
        <w:wordWrap w:val="0"/>
        <w:overflowPunct/>
        <w:topLinePunct w:val="0"/>
        <w:autoSpaceDE/>
        <w:autoSpaceDN/>
        <w:bidi w:val="0"/>
        <w:adjustRightInd/>
        <w:snapToGrid/>
        <w:spacing w:before="0" w:after="0" w:line="480" w:lineRule="exact"/>
        <w:ind w:leftChars="0" w:right="0" w:rightChars="0" w:firstLine="476" w:firstLineChars="200"/>
        <w:jc w:val="right"/>
        <w:textAlignment w:val="auto"/>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 xml:space="preserve">企业名称（盖章）：        </w:t>
      </w:r>
    </w:p>
    <w:p w14:paraId="22E43C17">
      <w:pPr>
        <w:widowControl w:val="0"/>
        <w:snapToGrid w:val="0"/>
        <w:spacing w:line="500" w:lineRule="exact"/>
        <w:jc w:val="center"/>
        <w:rPr>
          <w:rFonts w:hint="eastAsia" w:ascii="宋体" w:hAnsi="宋体" w:eastAsia="宋体" w:cs="宋体"/>
          <w:color w:val="auto"/>
          <w:spacing w:val="5"/>
          <w:w w:val="95"/>
          <w:kern w:val="2"/>
          <w:sz w:val="24"/>
          <w:szCs w:val="24"/>
          <w:highlight w:val="none"/>
          <w:u w:val="none"/>
          <w:lang w:val="en-US" w:eastAsia="zh-CN" w:bidi="zh-CN"/>
        </w:rPr>
      </w:pPr>
      <w:r>
        <w:rPr>
          <w:rFonts w:hint="eastAsia" w:ascii="宋体" w:hAnsi="宋体" w:eastAsia="宋体" w:cs="宋体"/>
          <w:color w:val="auto"/>
          <w:spacing w:val="5"/>
          <w:w w:val="95"/>
          <w:kern w:val="2"/>
          <w:sz w:val="24"/>
          <w:szCs w:val="24"/>
          <w:highlight w:val="none"/>
          <w:u w:val="none"/>
          <w:lang w:val="en-US" w:eastAsia="zh-CN" w:bidi="zh-CN"/>
        </w:rPr>
        <w:t xml:space="preserve">                      日期：      </w:t>
      </w:r>
    </w:p>
    <w:p w14:paraId="17392786">
      <w:pPr>
        <w:rPr>
          <w:rFonts w:hint="eastAsia" w:ascii="宋体" w:hAnsi="宋体" w:eastAsia="宋体" w:cs="宋体"/>
          <w:b/>
          <w:bCs/>
          <w:color w:val="auto"/>
          <w:kern w:val="0"/>
          <w:sz w:val="32"/>
          <w:szCs w:val="32"/>
          <w:highlight w:val="none"/>
          <w:lang w:eastAsia="zh-CN"/>
        </w:rPr>
      </w:pPr>
      <w:r>
        <w:rPr>
          <w:rFonts w:hint="eastAsia" w:ascii="宋体" w:hAnsi="宋体" w:eastAsia="宋体" w:cs="宋体"/>
          <w:b/>
          <w:bCs/>
          <w:color w:val="auto"/>
          <w:kern w:val="0"/>
          <w:sz w:val="32"/>
          <w:szCs w:val="32"/>
          <w:highlight w:val="none"/>
          <w:lang w:val="en-US" w:eastAsia="zh-CN"/>
        </w:rPr>
        <w:t>本项目所属行业为</w:t>
      </w:r>
      <w:r>
        <w:rPr>
          <w:rFonts w:hint="eastAsia" w:ascii="宋体" w:hAnsi="宋体" w:cs="宋体"/>
          <w:b/>
          <w:bCs/>
          <w:color w:val="auto"/>
          <w:kern w:val="0"/>
          <w:sz w:val="32"/>
          <w:szCs w:val="32"/>
          <w:highlight w:val="none"/>
          <w:lang w:val="en-US" w:eastAsia="zh-CN"/>
        </w:rPr>
        <w:t>“</w:t>
      </w:r>
      <w:r>
        <w:rPr>
          <w:rFonts w:hint="eastAsia" w:ascii="宋体" w:hAnsi="宋体" w:eastAsia="宋体" w:cs="宋体"/>
          <w:b/>
          <w:bCs/>
          <w:color w:val="FF0000"/>
          <w:kern w:val="0"/>
          <w:sz w:val="32"/>
          <w:szCs w:val="32"/>
          <w:highlight w:val="none"/>
          <w:lang w:val="en-US" w:eastAsia="zh-CN"/>
        </w:rPr>
        <w:t>其他未列明行业</w:t>
      </w:r>
      <w:r>
        <w:rPr>
          <w:rFonts w:hint="eastAsia" w:ascii="宋体" w:hAnsi="宋体" w:cs="宋体"/>
          <w:b/>
          <w:bCs/>
          <w:color w:val="auto"/>
          <w:kern w:val="0"/>
          <w:sz w:val="32"/>
          <w:szCs w:val="32"/>
          <w:highlight w:val="none"/>
          <w:lang w:val="en-US" w:eastAsia="zh-CN"/>
        </w:rPr>
        <w:t>”</w:t>
      </w:r>
      <w:r>
        <w:rPr>
          <w:rFonts w:hint="eastAsia" w:ascii="宋体" w:hAnsi="宋体" w:eastAsia="宋体" w:cs="宋体"/>
          <w:b/>
          <w:bCs/>
          <w:color w:val="auto"/>
          <w:kern w:val="0"/>
          <w:sz w:val="32"/>
          <w:szCs w:val="32"/>
          <w:highlight w:val="none"/>
          <w:lang w:val="en-US" w:eastAsia="zh-CN"/>
        </w:rPr>
        <w:t>。</w:t>
      </w:r>
    </w:p>
    <w:p w14:paraId="528AB19A">
      <w:pP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sz w:val="24"/>
          <w:szCs w:val="24"/>
          <w:highlight w:val="none"/>
          <w:lang w:val="en-US" w:eastAsia="zh-CN"/>
        </w:rPr>
        <w:t>注：潜在投标企业属于中小微企业的，请在投标文件中提供“中小企业声明函”，如果未提供或提供虚假的“中小企业声明函”，投标企业将承担由此造成的一切不利后果。</w:t>
      </w:r>
    </w:p>
    <w:p w14:paraId="68FF193C">
      <w:pPr>
        <w:pStyle w:val="20"/>
        <w:rPr>
          <w:rFonts w:hint="eastAsia" w:ascii="宋体" w:hAnsi="宋体" w:eastAsia="宋体" w:cs="宋体"/>
          <w:b/>
          <w:bCs/>
          <w:color w:val="auto"/>
          <w:kern w:val="0"/>
          <w:sz w:val="21"/>
          <w:szCs w:val="21"/>
          <w:highlight w:val="none"/>
          <w:lang w:val="en-US" w:eastAsia="zh-CN"/>
        </w:rPr>
      </w:pPr>
    </w:p>
    <w:p w14:paraId="0355021C">
      <w:pPr>
        <w:rPr>
          <w:rFonts w:hint="eastAsia" w:ascii="宋体" w:hAnsi="宋体" w:eastAsia="宋体" w:cs="宋体"/>
          <w:b/>
          <w:bCs/>
          <w:color w:val="000000"/>
          <w:kern w:val="0"/>
          <w:sz w:val="24"/>
          <w:szCs w:val="24"/>
          <w:highlight w:val="none"/>
        </w:rPr>
      </w:pPr>
      <w:r>
        <w:rPr>
          <w:rFonts w:hint="eastAsia" w:ascii="宋体" w:hAnsi="宋体" w:eastAsia="宋体" w:cs="宋体"/>
          <w:b/>
          <w:bCs/>
          <w:color w:val="000000"/>
          <w:kern w:val="0"/>
          <w:sz w:val="24"/>
          <w:szCs w:val="24"/>
          <w:highlight w:val="none"/>
        </w:rPr>
        <w:br w:type="page"/>
      </w:r>
    </w:p>
    <w:p w14:paraId="33761862">
      <w:pPr>
        <w:jc w:val="left"/>
        <w:rPr>
          <w:rFonts w:hint="eastAsia" w:ascii="宋体" w:hAnsi="宋体" w:eastAsia="宋体" w:cs="宋体"/>
          <w:b/>
          <w:bCs/>
          <w:color w:val="000000"/>
          <w:kern w:val="0"/>
          <w:sz w:val="24"/>
          <w:szCs w:val="24"/>
          <w:highlight w:val="none"/>
        </w:rPr>
      </w:pPr>
      <w:r>
        <w:rPr>
          <w:rFonts w:hint="eastAsia" w:ascii="宋体" w:hAnsi="宋体" w:eastAsia="宋体" w:cs="宋体"/>
          <w:b/>
          <w:bCs/>
          <w:color w:val="000000"/>
          <w:kern w:val="0"/>
          <w:sz w:val="24"/>
          <w:szCs w:val="24"/>
          <w:highlight w:val="none"/>
        </w:rPr>
        <w:t>附：</w:t>
      </w:r>
    </w:p>
    <w:p w14:paraId="46428561">
      <w:pPr>
        <w:jc w:val="center"/>
        <w:rPr>
          <w:rFonts w:hint="eastAsia" w:ascii="宋体" w:hAnsi="宋体" w:eastAsia="宋体" w:cs="宋体"/>
          <w:b/>
          <w:bCs/>
          <w:color w:val="000000"/>
          <w:kern w:val="0"/>
          <w:sz w:val="24"/>
          <w:szCs w:val="24"/>
          <w:highlight w:val="none"/>
        </w:rPr>
      </w:pPr>
      <w:r>
        <w:rPr>
          <w:rFonts w:hint="eastAsia" w:ascii="宋体" w:hAnsi="宋体" w:eastAsia="宋体" w:cs="宋体"/>
          <w:b/>
          <w:bCs/>
          <w:color w:val="000000"/>
          <w:kern w:val="0"/>
          <w:sz w:val="24"/>
          <w:szCs w:val="24"/>
          <w:highlight w:val="none"/>
        </w:rPr>
        <w:t>中小微企业划型标准</w:t>
      </w:r>
    </w:p>
    <w:tbl>
      <w:tblPr>
        <w:tblStyle w:val="27"/>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0EF0463F">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0075977B">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行业名称</w:t>
            </w:r>
          </w:p>
        </w:tc>
        <w:tc>
          <w:tcPr>
            <w:tcW w:w="1660" w:type="dxa"/>
            <w:tcBorders>
              <w:top w:val="single" w:color="auto" w:sz="4" w:space="0"/>
              <w:left w:val="nil"/>
              <w:bottom w:val="single" w:color="auto" w:sz="4" w:space="0"/>
              <w:right w:val="single" w:color="auto" w:sz="4" w:space="0"/>
            </w:tcBorders>
            <w:vAlign w:val="center"/>
          </w:tcPr>
          <w:p w14:paraId="4504202B">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指标名称</w:t>
            </w:r>
          </w:p>
        </w:tc>
        <w:tc>
          <w:tcPr>
            <w:tcW w:w="1466" w:type="dxa"/>
            <w:tcBorders>
              <w:top w:val="single" w:color="auto" w:sz="4" w:space="0"/>
              <w:left w:val="nil"/>
              <w:bottom w:val="single" w:color="auto" w:sz="4" w:space="0"/>
              <w:right w:val="single" w:color="auto" w:sz="4" w:space="0"/>
            </w:tcBorders>
            <w:vAlign w:val="center"/>
          </w:tcPr>
          <w:p w14:paraId="28A5FC77">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计量单位</w:t>
            </w:r>
          </w:p>
        </w:tc>
        <w:tc>
          <w:tcPr>
            <w:tcW w:w="1903" w:type="dxa"/>
            <w:tcBorders>
              <w:top w:val="single" w:color="auto" w:sz="4" w:space="0"/>
              <w:left w:val="nil"/>
              <w:bottom w:val="single" w:color="auto" w:sz="4" w:space="0"/>
              <w:right w:val="single" w:color="auto" w:sz="4" w:space="0"/>
            </w:tcBorders>
            <w:vAlign w:val="center"/>
          </w:tcPr>
          <w:p w14:paraId="3BA17CA5">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中型</w:t>
            </w:r>
          </w:p>
        </w:tc>
        <w:tc>
          <w:tcPr>
            <w:tcW w:w="1692" w:type="dxa"/>
            <w:tcBorders>
              <w:top w:val="single" w:color="auto" w:sz="4" w:space="0"/>
              <w:left w:val="nil"/>
              <w:bottom w:val="single" w:color="auto" w:sz="4" w:space="0"/>
              <w:right w:val="single" w:color="auto" w:sz="4" w:space="0"/>
            </w:tcBorders>
            <w:vAlign w:val="center"/>
          </w:tcPr>
          <w:p w14:paraId="652FAD85">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小型</w:t>
            </w:r>
          </w:p>
        </w:tc>
        <w:tc>
          <w:tcPr>
            <w:tcW w:w="1087" w:type="dxa"/>
            <w:tcBorders>
              <w:top w:val="single" w:color="auto" w:sz="4" w:space="0"/>
              <w:left w:val="nil"/>
              <w:bottom w:val="single" w:color="auto" w:sz="4" w:space="0"/>
              <w:right w:val="single" w:color="auto" w:sz="4" w:space="0"/>
            </w:tcBorders>
            <w:vAlign w:val="center"/>
          </w:tcPr>
          <w:p w14:paraId="22583176">
            <w:pPr>
              <w:widowControl/>
              <w:snapToGrid w:val="0"/>
              <w:contextualSpacing/>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微型</w:t>
            </w:r>
          </w:p>
        </w:tc>
      </w:tr>
      <w:tr w14:paraId="6184DA32">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4957689A">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农、林、牧、渔</w:t>
            </w:r>
          </w:p>
        </w:tc>
        <w:tc>
          <w:tcPr>
            <w:tcW w:w="1660" w:type="dxa"/>
            <w:tcBorders>
              <w:top w:val="nil"/>
              <w:left w:val="nil"/>
              <w:bottom w:val="single" w:color="auto" w:sz="4" w:space="0"/>
              <w:right w:val="single" w:color="auto" w:sz="4" w:space="0"/>
            </w:tcBorders>
            <w:vAlign w:val="center"/>
          </w:tcPr>
          <w:p w14:paraId="323B813D">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3BBC383D">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0BC95120">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500≤Y＜20000</w:t>
            </w:r>
          </w:p>
        </w:tc>
        <w:tc>
          <w:tcPr>
            <w:tcW w:w="1692" w:type="dxa"/>
            <w:tcBorders>
              <w:top w:val="nil"/>
              <w:left w:val="nil"/>
              <w:bottom w:val="single" w:color="auto" w:sz="4" w:space="0"/>
              <w:right w:val="single" w:color="auto" w:sz="4" w:space="0"/>
            </w:tcBorders>
            <w:vAlign w:val="center"/>
          </w:tcPr>
          <w:p w14:paraId="4B0B0931">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50≤Y＜500</w:t>
            </w:r>
          </w:p>
        </w:tc>
        <w:tc>
          <w:tcPr>
            <w:tcW w:w="1087" w:type="dxa"/>
            <w:tcBorders>
              <w:top w:val="nil"/>
              <w:left w:val="nil"/>
              <w:bottom w:val="single" w:color="auto" w:sz="4" w:space="0"/>
              <w:right w:val="single" w:color="auto" w:sz="4" w:space="0"/>
            </w:tcBorders>
            <w:vAlign w:val="center"/>
          </w:tcPr>
          <w:p w14:paraId="05702550">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Y＜50</w:t>
            </w:r>
          </w:p>
        </w:tc>
      </w:tr>
      <w:tr w14:paraId="655E4D9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49D91F8">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工业</w:t>
            </w:r>
          </w:p>
          <w:p w14:paraId="2F4C7758">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val="0"/>
                <w:bCs w:val="0"/>
                <w:color w:val="auto"/>
                <w:kern w:val="0"/>
                <w:sz w:val="22"/>
                <w:szCs w:val="22"/>
                <w:highlight w:val="none"/>
              </w:rPr>
              <w:t>（包括采矿业，制造业，电力、热力、燃气及水生产和供应业）</w:t>
            </w:r>
          </w:p>
        </w:tc>
        <w:tc>
          <w:tcPr>
            <w:tcW w:w="1660" w:type="dxa"/>
            <w:tcBorders>
              <w:top w:val="nil"/>
              <w:left w:val="nil"/>
              <w:bottom w:val="single" w:color="auto" w:sz="4" w:space="0"/>
              <w:right w:val="single" w:color="auto" w:sz="4" w:space="0"/>
            </w:tcBorders>
            <w:vAlign w:val="center"/>
          </w:tcPr>
          <w:p w14:paraId="5D24D800">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0CD31FB4">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591ED003">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300≤X＜1000</w:t>
            </w:r>
          </w:p>
        </w:tc>
        <w:tc>
          <w:tcPr>
            <w:tcW w:w="1692" w:type="dxa"/>
            <w:tcBorders>
              <w:top w:val="nil"/>
              <w:left w:val="nil"/>
              <w:bottom w:val="single" w:color="auto" w:sz="4" w:space="0"/>
              <w:right w:val="single" w:color="auto" w:sz="4" w:space="0"/>
            </w:tcBorders>
            <w:vAlign w:val="center"/>
          </w:tcPr>
          <w:p w14:paraId="518BA57C">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20≤X＜300</w:t>
            </w:r>
          </w:p>
        </w:tc>
        <w:tc>
          <w:tcPr>
            <w:tcW w:w="1087" w:type="dxa"/>
            <w:tcBorders>
              <w:top w:val="nil"/>
              <w:left w:val="nil"/>
              <w:bottom w:val="single" w:color="auto" w:sz="4" w:space="0"/>
              <w:right w:val="single" w:color="auto" w:sz="4" w:space="0"/>
            </w:tcBorders>
            <w:vAlign w:val="center"/>
          </w:tcPr>
          <w:p w14:paraId="58B5665E">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X＜20</w:t>
            </w:r>
          </w:p>
        </w:tc>
      </w:tr>
      <w:tr w14:paraId="63555F4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1C7F8E2">
            <w:pPr>
              <w:widowControl/>
              <w:snapToGrid w:val="0"/>
              <w:contextualSpacing/>
              <w:jc w:val="center"/>
              <w:rPr>
                <w:rFonts w:hint="eastAsia" w:ascii="宋体" w:hAnsi="宋体" w:eastAsia="宋体" w:cs="宋体"/>
                <w:b/>
                <w:bCs/>
                <w:color w:val="auto"/>
                <w:kern w:val="0"/>
                <w:sz w:val="22"/>
                <w:szCs w:val="22"/>
                <w:highlight w:val="none"/>
              </w:rPr>
            </w:pPr>
          </w:p>
        </w:tc>
        <w:tc>
          <w:tcPr>
            <w:tcW w:w="1660" w:type="dxa"/>
            <w:tcBorders>
              <w:top w:val="nil"/>
              <w:left w:val="nil"/>
              <w:bottom w:val="single" w:color="auto" w:sz="4" w:space="0"/>
              <w:right w:val="single" w:color="auto" w:sz="4" w:space="0"/>
            </w:tcBorders>
            <w:vAlign w:val="center"/>
          </w:tcPr>
          <w:p w14:paraId="43F69F5B">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6F6F9A52">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7B4E6E2C">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2000≤Y＜40000</w:t>
            </w:r>
          </w:p>
        </w:tc>
        <w:tc>
          <w:tcPr>
            <w:tcW w:w="1692" w:type="dxa"/>
            <w:tcBorders>
              <w:top w:val="nil"/>
              <w:left w:val="nil"/>
              <w:bottom w:val="single" w:color="auto" w:sz="4" w:space="0"/>
              <w:right w:val="single" w:color="auto" w:sz="4" w:space="0"/>
            </w:tcBorders>
            <w:vAlign w:val="center"/>
          </w:tcPr>
          <w:p w14:paraId="7A5442F3">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300≤Y＜2000</w:t>
            </w:r>
          </w:p>
        </w:tc>
        <w:tc>
          <w:tcPr>
            <w:tcW w:w="1087" w:type="dxa"/>
            <w:tcBorders>
              <w:top w:val="nil"/>
              <w:left w:val="nil"/>
              <w:bottom w:val="single" w:color="auto" w:sz="4" w:space="0"/>
              <w:right w:val="single" w:color="auto" w:sz="4" w:space="0"/>
            </w:tcBorders>
            <w:vAlign w:val="center"/>
          </w:tcPr>
          <w:p w14:paraId="56C2FFB5">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Y＜300</w:t>
            </w:r>
          </w:p>
        </w:tc>
      </w:tr>
      <w:tr w14:paraId="01B3D31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A9D7531">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建筑业</w:t>
            </w:r>
          </w:p>
        </w:tc>
        <w:tc>
          <w:tcPr>
            <w:tcW w:w="1660" w:type="dxa"/>
            <w:tcBorders>
              <w:top w:val="nil"/>
              <w:left w:val="nil"/>
              <w:bottom w:val="single" w:color="auto" w:sz="4" w:space="0"/>
              <w:right w:val="single" w:color="auto" w:sz="4" w:space="0"/>
            </w:tcBorders>
            <w:vAlign w:val="center"/>
          </w:tcPr>
          <w:p w14:paraId="77F6403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32F8FA3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6FFC25F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6000≤Y＜80000</w:t>
            </w:r>
          </w:p>
        </w:tc>
        <w:tc>
          <w:tcPr>
            <w:tcW w:w="1692" w:type="dxa"/>
            <w:tcBorders>
              <w:top w:val="nil"/>
              <w:left w:val="nil"/>
              <w:bottom w:val="single" w:color="auto" w:sz="4" w:space="0"/>
              <w:right w:val="single" w:color="auto" w:sz="4" w:space="0"/>
            </w:tcBorders>
            <w:vAlign w:val="center"/>
          </w:tcPr>
          <w:p w14:paraId="23EEC8E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300≤Y＜6000</w:t>
            </w:r>
          </w:p>
        </w:tc>
        <w:tc>
          <w:tcPr>
            <w:tcW w:w="1087" w:type="dxa"/>
            <w:tcBorders>
              <w:top w:val="nil"/>
              <w:left w:val="nil"/>
              <w:bottom w:val="single" w:color="auto" w:sz="4" w:space="0"/>
              <w:right w:val="single" w:color="auto" w:sz="4" w:space="0"/>
            </w:tcBorders>
            <w:vAlign w:val="center"/>
          </w:tcPr>
          <w:p w14:paraId="12E3833A">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Y＜300</w:t>
            </w:r>
          </w:p>
        </w:tc>
      </w:tr>
      <w:tr w14:paraId="7204A72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0006555">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6B36228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资产总额（Z）</w:t>
            </w:r>
          </w:p>
        </w:tc>
        <w:tc>
          <w:tcPr>
            <w:tcW w:w="1466" w:type="dxa"/>
            <w:tcBorders>
              <w:top w:val="nil"/>
              <w:left w:val="nil"/>
              <w:bottom w:val="single" w:color="auto" w:sz="4" w:space="0"/>
              <w:right w:val="single" w:color="auto" w:sz="4" w:space="0"/>
            </w:tcBorders>
            <w:vAlign w:val="center"/>
          </w:tcPr>
          <w:p w14:paraId="7F20473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14569383">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5000≤Z＜80000</w:t>
            </w:r>
          </w:p>
        </w:tc>
        <w:tc>
          <w:tcPr>
            <w:tcW w:w="1692" w:type="dxa"/>
            <w:tcBorders>
              <w:top w:val="nil"/>
              <w:left w:val="nil"/>
              <w:bottom w:val="single" w:color="auto" w:sz="4" w:space="0"/>
              <w:right w:val="single" w:color="auto" w:sz="4" w:space="0"/>
            </w:tcBorders>
            <w:vAlign w:val="center"/>
          </w:tcPr>
          <w:p w14:paraId="01608993">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300≤Z＜5000</w:t>
            </w:r>
          </w:p>
        </w:tc>
        <w:tc>
          <w:tcPr>
            <w:tcW w:w="1087" w:type="dxa"/>
            <w:tcBorders>
              <w:top w:val="nil"/>
              <w:left w:val="nil"/>
              <w:bottom w:val="single" w:color="auto" w:sz="4" w:space="0"/>
              <w:right w:val="single" w:color="auto" w:sz="4" w:space="0"/>
            </w:tcBorders>
            <w:vAlign w:val="center"/>
          </w:tcPr>
          <w:p w14:paraId="03FC28F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Z＜300</w:t>
            </w:r>
          </w:p>
        </w:tc>
      </w:tr>
      <w:tr w14:paraId="7F0F6BA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3ADB7D0">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批发业</w:t>
            </w:r>
          </w:p>
        </w:tc>
        <w:tc>
          <w:tcPr>
            <w:tcW w:w="1660" w:type="dxa"/>
            <w:tcBorders>
              <w:top w:val="nil"/>
              <w:left w:val="nil"/>
              <w:bottom w:val="single" w:color="auto" w:sz="4" w:space="0"/>
              <w:right w:val="single" w:color="auto" w:sz="4" w:space="0"/>
            </w:tcBorders>
            <w:vAlign w:val="center"/>
          </w:tcPr>
          <w:p w14:paraId="1319713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67462ED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581230AE">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20≤X＜200</w:t>
            </w:r>
          </w:p>
        </w:tc>
        <w:tc>
          <w:tcPr>
            <w:tcW w:w="1692" w:type="dxa"/>
            <w:tcBorders>
              <w:top w:val="nil"/>
              <w:left w:val="nil"/>
              <w:bottom w:val="single" w:color="auto" w:sz="4" w:space="0"/>
              <w:right w:val="single" w:color="auto" w:sz="4" w:space="0"/>
            </w:tcBorders>
            <w:vAlign w:val="center"/>
          </w:tcPr>
          <w:p w14:paraId="495524FF">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5≤X＜20</w:t>
            </w:r>
          </w:p>
        </w:tc>
        <w:tc>
          <w:tcPr>
            <w:tcW w:w="1087" w:type="dxa"/>
            <w:tcBorders>
              <w:top w:val="nil"/>
              <w:left w:val="nil"/>
              <w:bottom w:val="single" w:color="auto" w:sz="4" w:space="0"/>
              <w:right w:val="single" w:color="auto" w:sz="4" w:space="0"/>
            </w:tcBorders>
            <w:vAlign w:val="center"/>
          </w:tcPr>
          <w:p w14:paraId="6406801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X＜5</w:t>
            </w:r>
          </w:p>
        </w:tc>
      </w:tr>
      <w:tr w14:paraId="4C348D2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AF1B268">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6680386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580E589A">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67681E7F">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5000≤Y＜40000</w:t>
            </w:r>
          </w:p>
        </w:tc>
        <w:tc>
          <w:tcPr>
            <w:tcW w:w="1692" w:type="dxa"/>
            <w:tcBorders>
              <w:top w:val="nil"/>
              <w:left w:val="nil"/>
              <w:bottom w:val="single" w:color="auto" w:sz="4" w:space="0"/>
              <w:right w:val="single" w:color="auto" w:sz="4" w:space="0"/>
            </w:tcBorders>
            <w:vAlign w:val="center"/>
          </w:tcPr>
          <w:p w14:paraId="46E95B6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1000≤Y＜5000</w:t>
            </w:r>
          </w:p>
        </w:tc>
        <w:tc>
          <w:tcPr>
            <w:tcW w:w="1087" w:type="dxa"/>
            <w:tcBorders>
              <w:top w:val="nil"/>
              <w:left w:val="nil"/>
              <w:bottom w:val="single" w:color="auto" w:sz="4" w:space="0"/>
              <w:right w:val="single" w:color="auto" w:sz="4" w:space="0"/>
            </w:tcBorders>
            <w:vAlign w:val="center"/>
          </w:tcPr>
          <w:p w14:paraId="06E6CC7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Y＜1000</w:t>
            </w:r>
          </w:p>
        </w:tc>
      </w:tr>
      <w:tr w14:paraId="2F360E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5B4DF42">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零售业</w:t>
            </w:r>
          </w:p>
        </w:tc>
        <w:tc>
          <w:tcPr>
            <w:tcW w:w="1660" w:type="dxa"/>
            <w:tcBorders>
              <w:top w:val="nil"/>
              <w:left w:val="nil"/>
              <w:bottom w:val="single" w:color="auto" w:sz="4" w:space="0"/>
              <w:right w:val="single" w:color="auto" w:sz="4" w:space="0"/>
            </w:tcBorders>
            <w:vAlign w:val="center"/>
          </w:tcPr>
          <w:p w14:paraId="334B1D9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2A10B4B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1A43EDD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50≤X＜300</w:t>
            </w:r>
          </w:p>
        </w:tc>
        <w:tc>
          <w:tcPr>
            <w:tcW w:w="1692" w:type="dxa"/>
            <w:tcBorders>
              <w:top w:val="nil"/>
              <w:left w:val="nil"/>
              <w:bottom w:val="single" w:color="auto" w:sz="4" w:space="0"/>
              <w:right w:val="single" w:color="auto" w:sz="4" w:space="0"/>
            </w:tcBorders>
            <w:vAlign w:val="center"/>
          </w:tcPr>
          <w:p w14:paraId="7D04097F">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10≤X＜50</w:t>
            </w:r>
          </w:p>
        </w:tc>
        <w:tc>
          <w:tcPr>
            <w:tcW w:w="1087" w:type="dxa"/>
            <w:tcBorders>
              <w:top w:val="nil"/>
              <w:left w:val="nil"/>
              <w:bottom w:val="single" w:color="auto" w:sz="4" w:space="0"/>
              <w:right w:val="single" w:color="auto" w:sz="4" w:space="0"/>
            </w:tcBorders>
            <w:vAlign w:val="center"/>
          </w:tcPr>
          <w:p w14:paraId="1CC480A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X＜10</w:t>
            </w:r>
          </w:p>
        </w:tc>
      </w:tr>
      <w:tr w14:paraId="5B6835E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C02D83F">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20ED2B1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73A97BD9">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10A67DF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500≤Y＜20000</w:t>
            </w:r>
          </w:p>
        </w:tc>
        <w:tc>
          <w:tcPr>
            <w:tcW w:w="1692" w:type="dxa"/>
            <w:tcBorders>
              <w:top w:val="nil"/>
              <w:left w:val="nil"/>
              <w:bottom w:val="single" w:color="auto" w:sz="4" w:space="0"/>
              <w:right w:val="single" w:color="auto" w:sz="4" w:space="0"/>
            </w:tcBorders>
            <w:vAlign w:val="center"/>
          </w:tcPr>
          <w:p w14:paraId="7E8E34A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100≤Y＜500</w:t>
            </w:r>
          </w:p>
        </w:tc>
        <w:tc>
          <w:tcPr>
            <w:tcW w:w="1087" w:type="dxa"/>
            <w:tcBorders>
              <w:top w:val="nil"/>
              <w:left w:val="nil"/>
              <w:bottom w:val="single" w:color="auto" w:sz="4" w:space="0"/>
              <w:right w:val="single" w:color="auto" w:sz="4" w:space="0"/>
            </w:tcBorders>
            <w:vAlign w:val="center"/>
          </w:tcPr>
          <w:p w14:paraId="1B03523F">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w:t>
            </w:r>
          </w:p>
        </w:tc>
      </w:tr>
      <w:tr w14:paraId="1D3EA40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C853D98">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交通运输业</w:t>
            </w:r>
            <w:r>
              <w:rPr>
                <w:rFonts w:hint="eastAsia" w:ascii="宋体" w:hAnsi="宋体" w:eastAsia="宋体" w:cs="宋体"/>
                <w:b w:val="0"/>
                <w:bCs w:val="0"/>
                <w:kern w:val="0"/>
                <w:sz w:val="22"/>
                <w:szCs w:val="22"/>
                <w:highlight w:val="none"/>
              </w:rPr>
              <w:t>（不含铁路运输业）</w:t>
            </w:r>
          </w:p>
        </w:tc>
        <w:tc>
          <w:tcPr>
            <w:tcW w:w="1660" w:type="dxa"/>
            <w:tcBorders>
              <w:top w:val="nil"/>
              <w:left w:val="nil"/>
              <w:bottom w:val="single" w:color="auto" w:sz="4" w:space="0"/>
              <w:right w:val="single" w:color="auto" w:sz="4" w:space="0"/>
            </w:tcBorders>
            <w:vAlign w:val="center"/>
          </w:tcPr>
          <w:p w14:paraId="02022B6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7FC3393E">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5655DDD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300≤X＜1000</w:t>
            </w:r>
          </w:p>
        </w:tc>
        <w:tc>
          <w:tcPr>
            <w:tcW w:w="1692" w:type="dxa"/>
            <w:tcBorders>
              <w:top w:val="nil"/>
              <w:left w:val="nil"/>
              <w:bottom w:val="single" w:color="auto" w:sz="4" w:space="0"/>
              <w:right w:val="single" w:color="auto" w:sz="4" w:space="0"/>
            </w:tcBorders>
            <w:vAlign w:val="center"/>
          </w:tcPr>
          <w:p w14:paraId="2656D3E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20≤X＜300</w:t>
            </w:r>
          </w:p>
        </w:tc>
        <w:tc>
          <w:tcPr>
            <w:tcW w:w="1087" w:type="dxa"/>
            <w:tcBorders>
              <w:top w:val="nil"/>
              <w:left w:val="nil"/>
              <w:bottom w:val="single" w:color="auto" w:sz="4" w:space="0"/>
              <w:right w:val="single" w:color="auto" w:sz="4" w:space="0"/>
            </w:tcBorders>
            <w:vAlign w:val="center"/>
          </w:tcPr>
          <w:p w14:paraId="719FAD3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X＜20</w:t>
            </w:r>
          </w:p>
        </w:tc>
      </w:tr>
      <w:tr w14:paraId="70B7BA3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AAF679D">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02BFA05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13EC7F8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037329F0">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3000≤Y＜30000</w:t>
            </w:r>
          </w:p>
        </w:tc>
        <w:tc>
          <w:tcPr>
            <w:tcW w:w="1692" w:type="dxa"/>
            <w:tcBorders>
              <w:top w:val="nil"/>
              <w:left w:val="nil"/>
              <w:bottom w:val="single" w:color="auto" w:sz="4" w:space="0"/>
              <w:right w:val="single" w:color="auto" w:sz="4" w:space="0"/>
            </w:tcBorders>
            <w:vAlign w:val="center"/>
          </w:tcPr>
          <w:p w14:paraId="0B0F73C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200≤Y＜3000</w:t>
            </w:r>
          </w:p>
        </w:tc>
        <w:tc>
          <w:tcPr>
            <w:tcW w:w="1087" w:type="dxa"/>
            <w:tcBorders>
              <w:top w:val="nil"/>
              <w:left w:val="nil"/>
              <w:bottom w:val="single" w:color="auto" w:sz="4" w:space="0"/>
              <w:right w:val="single" w:color="auto" w:sz="4" w:space="0"/>
            </w:tcBorders>
            <w:vAlign w:val="center"/>
          </w:tcPr>
          <w:p w14:paraId="0E1E699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Y＜200</w:t>
            </w:r>
          </w:p>
        </w:tc>
      </w:tr>
      <w:tr w14:paraId="1F85BB5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2523720">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仓储业</w:t>
            </w:r>
          </w:p>
        </w:tc>
        <w:tc>
          <w:tcPr>
            <w:tcW w:w="1660" w:type="dxa"/>
            <w:tcBorders>
              <w:top w:val="nil"/>
              <w:left w:val="nil"/>
              <w:bottom w:val="single" w:color="auto" w:sz="4" w:space="0"/>
              <w:right w:val="single" w:color="auto" w:sz="4" w:space="0"/>
            </w:tcBorders>
            <w:vAlign w:val="center"/>
          </w:tcPr>
          <w:p w14:paraId="2D84232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3E98AE8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0675B86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100≤X＜200</w:t>
            </w:r>
          </w:p>
        </w:tc>
        <w:tc>
          <w:tcPr>
            <w:tcW w:w="1692" w:type="dxa"/>
            <w:tcBorders>
              <w:top w:val="nil"/>
              <w:left w:val="nil"/>
              <w:bottom w:val="single" w:color="auto" w:sz="4" w:space="0"/>
              <w:right w:val="single" w:color="auto" w:sz="4" w:space="0"/>
            </w:tcBorders>
            <w:vAlign w:val="center"/>
          </w:tcPr>
          <w:p w14:paraId="6F7645AA">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20≤X＜100</w:t>
            </w:r>
          </w:p>
        </w:tc>
        <w:tc>
          <w:tcPr>
            <w:tcW w:w="1087" w:type="dxa"/>
            <w:tcBorders>
              <w:top w:val="nil"/>
              <w:left w:val="nil"/>
              <w:bottom w:val="single" w:color="auto" w:sz="4" w:space="0"/>
              <w:right w:val="single" w:color="auto" w:sz="4" w:space="0"/>
            </w:tcBorders>
            <w:vAlign w:val="center"/>
          </w:tcPr>
          <w:p w14:paraId="5FFD869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X＜20</w:t>
            </w:r>
          </w:p>
        </w:tc>
      </w:tr>
      <w:tr w14:paraId="2BC0056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3AF91F0">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08AE96A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16A5DB7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74BCAB7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1000≤Y＜30000</w:t>
            </w:r>
          </w:p>
        </w:tc>
        <w:tc>
          <w:tcPr>
            <w:tcW w:w="1692" w:type="dxa"/>
            <w:tcBorders>
              <w:top w:val="nil"/>
              <w:left w:val="nil"/>
              <w:bottom w:val="single" w:color="auto" w:sz="4" w:space="0"/>
              <w:right w:val="single" w:color="auto" w:sz="4" w:space="0"/>
            </w:tcBorders>
            <w:vAlign w:val="center"/>
          </w:tcPr>
          <w:p w14:paraId="37E4C51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100≤Y＜1000</w:t>
            </w:r>
          </w:p>
        </w:tc>
        <w:tc>
          <w:tcPr>
            <w:tcW w:w="1087" w:type="dxa"/>
            <w:tcBorders>
              <w:top w:val="nil"/>
              <w:left w:val="nil"/>
              <w:bottom w:val="single" w:color="auto" w:sz="4" w:space="0"/>
              <w:right w:val="single" w:color="auto" w:sz="4" w:space="0"/>
            </w:tcBorders>
            <w:vAlign w:val="center"/>
          </w:tcPr>
          <w:p w14:paraId="432E370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w:t>
            </w:r>
          </w:p>
        </w:tc>
      </w:tr>
      <w:tr w14:paraId="5303489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EA16959">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邮政业</w:t>
            </w:r>
          </w:p>
        </w:tc>
        <w:tc>
          <w:tcPr>
            <w:tcW w:w="1660" w:type="dxa"/>
            <w:tcBorders>
              <w:top w:val="nil"/>
              <w:left w:val="nil"/>
              <w:bottom w:val="single" w:color="auto" w:sz="4" w:space="0"/>
              <w:right w:val="single" w:color="auto" w:sz="4" w:space="0"/>
            </w:tcBorders>
            <w:vAlign w:val="center"/>
          </w:tcPr>
          <w:p w14:paraId="54590DA9">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2A2E555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2CAE92B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300≤X＜1000</w:t>
            </w:r>
          </w:p>
        </w:tc>
        <w:tc>
          <w:tcPr>
            <w:tcW w:w="1692" w:type="dxa"/>
            <w:tcBorders>
              <w:top w:val="nil"/>
              <w:left w:val="nil"/>
              <w:bottom w:val="single" w:color="auto" w:sz="4" w:space="0"/>
              <w:right w:val="single" w:color="auto" w:sz="4" w:space="0"/>
            </w:tcBorders>
            <w:vAlign w:val="center"/>
          </w:tcPr>
          <w:p w14:paraId="1D0898D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20≤X＜300</w:t>
            </w:r>
          </w:p>
        </w:tc>
        <w:tc>
          <w:tcPr>
            <w:tcW w:w="1087" w:type="dxa"/>
            <w:tcBorders>
              <w:top w:val="nil"/>
              <w:left w:val="nil"/>
              <w:bottom w:val="single" w:color="auto" w:sz="4" w:space="0"/>
              <w:right w:val="single" w:color="auto" w:sz="4" w:space="0"/>
            </w:tcBorders>
            <w:vAlign w:val="center"/>
          </w:tcPr>
          <w:p w14:paraId="2E9E5CB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X＜20</w:t>
            </w:r>
          </w:p>
        </w:tc>
      </w:tr>
      <w:tr w14:paraId="1D7BF68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D125CB5">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2AFF866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4ABB2C8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6D158AB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2000≤Y＜30000</w:t>
            </w:r>
          </w:p>
        </w:tc>
        <w:tc>
          <w:tcPr>
            <w:tcW w:w="1692" w:type="dxa"/>
            <w:tcBorders>
              <w:top w:val="nil"/>
              <w:left w:val="nil"/>
              <w:bottom w:val="single" w:color="auto" w:sz="4" w:space="0"/>
              <w:right w:val="single" w:color="auto" w:sz="4" w:space="0"/>
            </w:tcBorders>
            <w:vAlign w:val="center"/>
          </w:tcPr>
          <w:p w14:paraId="2061DE7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100≤Y＜2000</w:t>
            </w:r>
          </w:p>
        </w:tc>
        <w:tc>
          <w:tcPr>
            <w:tcW w:w="1087" w:type="dxa"/>
            <w:tcBorders>
              <w:top w:val="nil"/>
              <w:left w:val="nil"/>
              <w:bottom w:val="single" w:color="auto" w:sz="4" w:space="0"/>
              <w:right w:val="single" w:color="auto" w:sz="4" w:space="0"/>
            </w:tcBorders>
            <w:vAlign w:val="center"/>
          </w:tcPr>
          <w:p w14:paraId="3A3A091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w:t>
            </w:r>
          </w:p>
        </w:tc>
      </w:tr>
      <w:tr w14:paraId="72EFAD6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0944F48">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住宿业</w:t>
            </w:r>
          </w:p>
        </w:tc>
        <w:tc>
          <w:tcPr>
            <w:tcW w:w="1660" w:type="dxa"/>
            <w:tcBorders>
              <w:top w:val="nil"/>
              <w:left w:val="nil"/>
              <w:bottom w:val="single" w:color="auto" w:sz="4" w:space="0"/>
              <w:right w:val="single" w:color="auto" w:sz="4" w:space="0"/>
            </w:tcBorders>
            <w:vAlign w:val="center"/>
          </w:tcPr>
          <w:p w14:paraId="6AC40CE0">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1A1FE45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6311001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100≤X＜300</w:t>
            </w:r>
          </w:p>
        </w:tc>
        <w:tc>
          <w:tcPr>
            <w:tcW w:w="1692" w:type="dxa"/>
            <w:tcBorders>
              <w:top w:val="nil"/>
              <w:left w:val="nil"/>
              <w:bottom w:val="single" w:color="auto" w:sz="4" w:space="0"/>
              <w:right w:val="single" w:color="auto" w:sz="4" w:space="0"/>
            </w:tcBorders>
            <w:vAlign w:val="center"/>
          </w:tcPr>
          <w:p w14:paraId="60DCB03A">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1ADAE053">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X＜10</w:t>
            </w:r>
          </w:p>
        </w:tc>
      </w:tr>
      <w:tr w14:paraId="66D42EE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B46B32">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1CA6E13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0999F92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6CB3897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2000≤Y＜10000</w:t>
            </w:r>
          </w:p>
        </w:tc>
        <w:tc>
          <w:tcPr>
            <w:tcW w:w="1692" w:type="dxa"/>
            <w:tcBorders>
              <w:top w:val="nil"/>
              <w:left w:val="nil"/>
              <w:bottom w:val="single" w:color="auto" w:sz="4" w:space="0"/>
              <w:right w:val="single" w:color="auto" w:sz="4" w:space="0"/>
            </w:tcBorders>
            <w:vAlign w:val="center"/>
          </w:tcPr>
          <w:p w14:paraId="5ABF548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100≤Y＜2000</w:t>
            </w:r>
          </w:p>
        </w:tc>
        <w:tc>
          <w:tcPr>
            <w:tcW w:w="1087" w:type="dxa"/>
            <w:tcBorders>
              <w:top w:val="nil"/>
              <w:left w:val="nil"/>
              <w:bottom w:val="single" w:color="auto" w:sz="4" w:space="0"/>
              <w:right w:val="single" w:color="auto" w:sz="4" w:space="0"/>
            </w:tcBorders>
            <w:vAlign w:val="center"/>
          </w:tcPr>
          <w:p w14:paraId="1DADF4EE">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w:t>
            </w:r>
          </w:p>
        </w:tc>
      </w:tr>
      <w:tr w14:paraId="28BD200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DB634B2">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餐饮业</w:t>
            </w:r>
          </w:p>
        </w:tc>
        <w:tc>
          <w:tcPr>
            <w:tcW w:w="1660" w:type="dxa"/>
            <w:tcBorders>
              <w:top w:val="nil"/>
              <w:left w:val="nil"/>
              <w:bottom w:val="single" w:color="auto" w:sz="4" w:space="0"/>
              <w:right w:val="single" w:color="auto" w:sz="4" w:space="0"/>
            </w:tcBorders>
            <w:vAlign w:val="center"/>
          </w:tcPr>
          <w:p w14:paraId="5392C5F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54A7A38F">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548382A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100≤X＜300</w:t>
            </w:r>
          </w:p>
        </w:tc>
        <w:tc>
          <w:tcPr>
            <w:tcW w:w="1692" w:type="dxa"/>
            <w:tcBorders>
              <w:top w:val="nil"/>
              <w:left w:val="nil"/>
              <w:bottom w:val="single" w:color="auto" w:sz="4" w:space="0"/>
              <w:right w:val="single" w:color="auto" w:sz="4" w:space="0"/>
            </w:tcBorders>
            <w:vAlign w:val="center"/>
          </w:tcPr>
          <w:p w14:paraId="3255B70E">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5F27DEBC">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X＜10</w:t>
            </w:r>
          </w:p>
        </w:tc>
      </w:tr>
      <w:tr w14:paraId="6AA6ECB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CAAFA83">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71DB2E40">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26B40731">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04F1DB4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2000≤Y＜10000</w:t>
            </w:r>
          </w:p>
        </w:tc>
        <w:tc>
          <w:tcPr>
            <w:tcW w:w="1692" w:type="dxa"/>
            <w:tcBorders>
              <w:top w:val="nil"/>
              <w:left w:val="nil"/>
              <w:bottom w:val="single" w:color="auto" w:sz="4" w:space="0"/>
              <w:right w:val="single" w:color="auto" w:sz="4" w:space="0"/>
            </w:tcBorders>
            <w:vAlign w:val="center"/>
          </w:tcPr>
          <w:p w14:paraId="0C0A875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100≤Y＜2000</w:t>
            </w:r>
          </w:p>
        </w:tc>
        <w:tc>
          <w:tcPr>
            <w:tcW w:w="1087" w:type="dxa"/>
            <w:tcBorders>
              <w:top w:val="nil"/>
              <w:left w:val="nil"/>
              <w:bottom w:val="single" w:color="auto" w:sz="4" w:space="0"/>
              <w:right w:val="single" w:color="auto" w:sz="4" w:space="0"/>
            </w:tcBorders>
            <w:vAlign w:val="center"/>
          </w:tcPr>
          <w:p w14:paraId="14589BD9">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Y＜100</w:t>
            </w:r>
          </w:p>
        </w:tc>
      </w:tr>
      <w:tr w14:paraId="7D9D0F7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E8B3543">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信息传输业</w:t>
            </w:r>
            <w:r>
              <w:rPr>
                <w:rFonts w:hint="eastAsia" w:ascii="宋体" w:hAnsi="宋体" w:eastAsia="宋体" w:cs="宋体"/>
                <w:b w:val="0"/>
                <w:bCs w:val="0"/>
                <w:color w:val="auto"/>
                <w:kern w:val="0"/>
                <w:sz w:val="22"/>
                <w:szCs w:val="22"/>
                <w:highlight w:val="none"/>
              </w:rPr>
              <w:t>（包括电信、互联网和相关服务）</w:t>
            </w:r>
          </w:p>
        </w:tc>
        <w:tc>
          <w:tcPr>
            <w:tcW w:w="1660" w:type="dxa"/>
            <w:tcBorders>
              <w:top w:val="nil"/>
              <w:left w:val="nil"/>
              <w:bottom w:val="single" w:color="auto" w:sz="4" w:space="0"/>
              <w:right w:val="single" w:color="auto" w:sz="4" w:space="0"/>
            </w:tcBorders>
            <w:vAlign w:val="center"/>
          </w:tcPr>
          <w:p w14:paraId="534BECA5">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795126A3">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2B1D3D3C">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100≤X＜2000</w:t>
            </w:r>
          </w:p>
        </w:tc>
        <w:tc>
          <w:tcPr>
            <w:tcW w:w="1692" w:type="dxa"/>
            <w:tcBorders>
              <w:top w:val="nil"/>
              <w:left w:val="nil"/>
              <w:bottom w:val="single" w:color="auto" w:sz="4" w:space="0"/>
              <w:right w:val="single" w:color="auto" w:sz="4" w:space="0"/>
            </w:tcBorders>
            <w:vAlign w:val="center"/>
          </w:tcPr>
          <w:p w14:paraId="2DC9E14A">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3DE8C4D6">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X＜10</w:t>
            </w:r>
          </w:p>
        </w:tc>
      </w:tr>
      <w:tr w14:paraId="01FC479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D45550C">
            <w:pPr>
              <w:widowControl/>
              <w:snapToGrid w:val="0"/>
              <w:contextualSpacing/>
              <w:jc w:val="center"/>
              <w:rPr>
                <w:rFonts w:hint="eastAsia" w:ascii="宋体" w:hAnsi="宋体" w:eastAsia="宋体" w:cs="宋体"/>
                <w:b/>
                <w:bCs/>
                <w:color w:val="auto"/>
                <w:kern w:val="0"/>
                <w:sz w:val="22"/>
                <w:szCs w:val="22"/>
                <w:highlight w:val="none"/>
              </w:rPr>
            </w:pPr>
          </w:p>
        </w:tc>
        <w:tc>
          <w:tcPr>
            <w:tcW w:w="1660" w:type="dxa"/>
            <w:tcBorders>
              <w:top w:val="nil"/>
              <w:left w:val="nil"/>
              <w:bottom w:val="single" w:color="auto" w:sz="4" w:space="0"/>
              <w:right w:val="single" w:color="auto" w:sz="4" w:space="0"/>
            </w:tcBorders>
            <w:vAlign w:val="center"/>
          </w:tcPr>
          <w:p w14:paraId="5C3B4C38">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73F2F59A">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345EDB78">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1000≤Y＜100000</w:t>
            </w:r>
          </w:p>
        </w:tc>
        <w:tc>
          <w:tcPr>
            <w:tcW w:w="1692" w:type="dxa"/>
            <w:tcBorders>
              <w:top w:val="nil"/>
              <w:left w:val="nil"/>
              <w:bottom w:val="single" w:color="auto" w:sz="4" w:space="0"/>
              <w:right w:val="single" w:color="auto" w:sz="4" w:space="0"/>
            </w:tcBorders>
            <w:vAlign w:val="center"/>
          </w:tcPr>
          <w:p w14:paraId="30BAAB3E">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100≤Y＜1000</w:t>
            </w:r>
          </w:p>
        </w:tc>
        <w:tc>
          <w:tcPr>
            <w:tcW w:w="1087" w:type="dxa"/>
            <w:tcBorders>
              <w:top w:val="nil"/>
              <w:left w:val="nil"/>
              <w:bottom w:val="single" w:color="auto" w:sz="4" w:space="0"/>
              <w:right w:val="single" w:color="auto" w:sz="4" w:space="0"/>
            </w:tcBorders>
            <w:vAlign w:val="center"/>
          </w:tcPr>
          <w:p w14:paraId="63C7B785">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Y＜100</w:t>
            </w:r>
          </w:p>
        </w:tc>
      </w:tr>
      <w:tr w14:paraId="1DF63B28">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BB1411E">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软件和信息技术服务业</w:t>
            </w:r>
          </w:p>
        </w:tc>
        <w:tc>
          <w:tcPr>
            <w:tcW w:w="1660" w:type="dxa"/>
            <w:tcBorders>
              <w:top w:val="nil"/>
              <w:left w:val="nil"/>
              <w:bottom w:val="single" w:color="auto" w:sz="4" w:space="0"/>
              <w:right w:val="single" w:color="auto" w:sz="4" w:space="0"/>
            </w:tcBorders>
            <w:vAlign w:val="center"/>
          </w:tcPr>
          <w:p w14:paraId="1466CEE3">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03B581EA">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29E64F92">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100≤X＜300</w:t>
            </w:r>
          </w:p>
        </w:tc>
        <w:tc>
          <w:tcPr>
            <w:tcW w:w="1692" w:type="dxa"/>
            <w:tcBorders>
              <w:top w:val="nil"/>
              <w:left w:val="nil"/>
              <w:bottom w:val="single" w:color="auto" w:sz="4" w:space="0"/>
              <w:right w:val="single" w:color="auto" w:sz="4" w:space="0"/>
            </w:tcBorders>
            <w:vAlign w:val="center"/>
          </w:tcPr>
          <w:p w14:paraId="4DA2DDB7">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5F8D9DC5">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X＜10</w:t>
            </w:r>
          </w:p>
        </w:tc>
      </w:tr>
      <w:tr w14:paraId="6D9C03B9">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BB2F188">
            <w:pPr>
              <w:widowControl/>
              <w:snapToGrid w:val="0"/>
              <w:contextualSpacing/>
              <w:jc w:val="center"/>
              <w:rPr>
                <w:rFonts w:hint="eastAsia" w:ascii="宋体" w:hAnsi="宋体" w:eastAsia="宋体" w:cs="宋体"/>
                <w:b/>
                <w:bCs/>
                <w:color w:val="auto"/>
                <w:kern w:val="0"/>
                <w:sz w:val="22"/>
                <w:szCs w:val="22"/>
                <w:highlight w:val="none"/>
              </w:rPr>
            </w:pPr>
          </w:p>
        </w:tc>
        <w:tc>
          <w:tcPr>
            <w:tcW w:w="1660" w:type="dxa"/>
            <w:tcBorders>
              <w:top w:val="nil"/>
              <w:left w:val="nil"/>
              <w:bottom w:val="single" w:color="auto" w:sz="4" w:space="0"/>
              <w:right w:val="single" w:color="auto" w:sz="4" w:space="0"/>
            </w:tcBorders>
            <w:vAlign w:val="center"/>
          </w:tcPr>
          <w:p w14:paraId="08FFB32A">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236325C0">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4BC81A33">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1000≤Y＜10000</w:t>
            </w:r>
          </w:p>
        </w:tc>
        <w:tc>
          <w:tcPr>
            <w:tcW w:w="1692" w:type="dxa"/>
            <w:tcBorders>
              <w:top w:val="nil"/>
              <w:left w:val="nil"/>
              <w:bottom w:val="single" w:color="auto" w:sz="4" w:space="0"/>
              <w:right w:val="single" w:color="auto" w:sz="4" w:space="0"/>
            </w:tcBorders>
            <w:vAlign w:val="center"/>
          </w:tcPr>
          <w:p w14:paraId="70463545">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50≤Y＜1000</w:t>
            </w:r>
          </w:p>
        </w:tc>
        <w:tc>
          <w:tcPr>
            <w:tcW w:w="1087" w:type="dxa"/>
            <w:tcBorders>
              <w:top w:val="nil"/>
              <w:left w:val="nil"/>
              <w:bottom w:val="single" w:color="auto" w:sz="4" w:space="0"/>
              <w:right w:val="single" w:color="auto" w:sz="4" w:space="0"/>
            </w:tcBorders>
            <w:vAlign w:val="center"/>
          </w:tcPr>
          <w:p w14:paraId="57D92A80">
            <w:pPr>
              <w:widowControl/>
              <w:snapToGrid w:val="0"/>
              <w:contextualSpacing/>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Y＜50</w:t>
            </w:r>
          </w:p>
        </w:tc>
      </w:tr>
      <w:tr w14:paraId="3D3D32B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2ECB5E7">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房地产开发经营</w:t>
            </w:r>
          </w:p>
        </w:tc>
        <w:tc>
          <w:tcPr>
            <w:tcW w:w="1660" w:type="dxa"/>
            <w:tcBorders>
              <w:top w:val="nil"/>
              <w:left w:val="nil"/>
              <w:bottom w:val="single" w:color="auto" w:sz="4" w:space="0"/>
              <w:right w:val="single" w:color="auto" w:sz="4" w:space="0"/>
            </w:tcBorders>
            <w:vAlign w:val="center"/>
          </w:tcPr>
          <w:p w14:paraId="3637AB5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1932D8B6">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271D1182">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1000≤Y＜200000</w:t>
            </w:r>
          </w:p>
        </w:tc>
        <w:tc>
          <w:tcPr>
            <w:tcW w:w="1692" w:type="dxa"/>
            <w:tcBorders>
              <w:top w:val="nil"/>
              <w:left w:val="nil"/>
              <w:bottom w:val="single" w:color="auto" w:sz="4" w:space="0"/>
              <w:right w:val="single" w:color="auto" w:sz="4" w:space="0"/>
            </w:tcBorders>
            <w:vAlign w:val="center"/>
          </w:tcPr>
          <w:p w14:paraId="3D5E0610">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100≤X＜1000</w:t>
            </w:r>
          </w:p>
        </w:tc>
        <w:tc>
          <w:tcPr>
            <w:tcW w:w="1087" w:type="dxa"/>
            <w:tcBorders>
              <w:top w:val="nil"/>
              <w:left w:val="nil"/>
              <w:bottom w:val="single" w:color="auto" w:sz="4" w:space="0"/>
              <w:right w:val="single" w:color="auto" w:sz="4" w:space="0"/>
            </w:tcBorders>
            <w:vAlign w:val="center"/>
          </w:tcPr>
          <w:p w14:paraId="73771909">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X＜100</w:t>
            </w:r>
          </w:p>
        </w:tc>
      </w:tr>
      <w:tr w14:paraId="78166DB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A39FEE0">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01186E2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资产总额（Z）</w:t>
            </w:r>
          </w:p>
        </w:tc>
        <w:tc>
          <w:tcPr>
            <w:tcW w:w="1466" w:type="dxa"/>
            <w:tcBorders>
              <w:top w:val="nil"/>
              <w:left w:val="nil"/>
              <w:bottom w:val="single" w:color="auto" w:sz="4" w:space="0"/>
              <w:right w:val="single" w:color="auto" w:sz="4" w:space="0"/>
            </w:tcBorders>
            <w:vAlign w:val="center"/>
          </w:tcPr>
          <w:p w14:paraId="15D925E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2A508F84">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5000≤Z＜10000</w:t>
            </w:r>
          </w:p>
        </w:tc>
        <w:tc>
          <w:tcPr>
            <w:tcW w:w="1692" w:type="dxa"/>
            <w:tcBorders>
              <w:top w:val="nil"/>
              <w:left w:val="nil"/>
              <w:bottom w:val="single" w:color="auto" w:sz="4" w:space="0"/>
              <w:right w:val="single" w:color="auto" w:sz="4" w:space="0"/>
            </w:tcBorders>
            <w:vAlign w:val="center"/>
          </w:tcPr>
          <w:p w14:paraId="7AD8F67D">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2000≤Y＜5000</w:t>
            </w:r>
          </w:p>
        </w:tc>
        <w:tc>
          <w:tcPr>
            <w:tcW w:w="1087" w:type="dxa"/>
            <w:tcBorders>
              <w:top w:val="nil"/>
              <w:left w:val="nil"/>
              <w:bottom w:val="single" w:color="auto" w:sz="4" w:space="0"/>
              <w:right w:val="single" w:color="auto" w:sz="4" w:space="0"/>
            </w:tcBorders>
            <w:vAlign w:val="center"/>
          </w:tcPr>
          <w:p w14:paraId="3D529B72">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Y＜2000</w:t>
            </w:r>
          </w:p>
        </w:tc>
      </w:tr>
      <w:tr w14:paraId="29FD9CE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E6247AB">
            <w:pPr>
              <w:widowControl/>
              <w:snapToGrid w:val="0"/>
              <w:contextualSpacing/>
              <w:jc w:val="center"/>
              <w:rPr>
                <w:rFonts w:hint="eastAsia" w:ascii="宋体" w:hAnsi="宋体" w:eastAsia="宋体" w:cs="宋体"/>
                <w:b/>
                <w:bCs/>
                <w:kern w:val="0"/>
                <w:sz w:val="22"/>
                <w:szCs w:val="22"/>
                <w:highlight w:val="none"/>
              </w:rPr>
            </w:pPr>
            <w:r>
              <w:rPr>
                <w:rFonts w:hint="eastAsia" w:ascii="宋体" w:hAnsi="宋体" w:eastAsia="宋体" w:cs="宋体"/>
                <w:b/>
                <w:bCs/>
                <w:kern w:val="0"/>
                <w:sz w:val="22"/>
                <w:szCs w:val="22"/>
                <w:highlight w:val="none"/>
              </w:rPr>
              <w:t>物业管理</w:t>
            </w:r>
          </w:p>
        </w:tc>
        <w:tc>
          <w:tcPr>
            <w:tcW w:w="1660" w:type="dxa"/>
            <w:tcBorders>
              <w:top w:val="nil"/>
              <w:left w:val="nil"/>
              <w:bottom w:val="single" w:color="auto" w:sz="4" w:space="0"/>
              <w:right w:val="single" w:color="auto" w:sz="4" w:space="0"/>
            </w:tcBorders>
            <w:vAlign w:val="center"/>
          </w:tcPr>
          <w:p w14:paraId="325327C5">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5B88C273">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3425EC3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300≤X＜1000</w:t>
            </w:r>
          </w:p>
        </w:tc>
        <w:tc>
          <w:tcPr>
            <w:tcW w:w="1692" w:type="dxa"/>
            <w:tcBorders>
              <w:top w:val="nil"/>
              <w:left w:val="nil"/>
              <w:bottom w:val="single" w:color="auto" w:sz="4" w:space="0"/>
              <w:right w:val="single" w:color="auto" w:sz="4" w:space="0"/>
            </w:tcBorders>
            <w:vAlign w:val="center"/>
          </w:tcPr>
          <w:p w14:paraId="45B1DBA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100≤X＜300</w:t>
            </w:r>
          </w:p>
        </w:tc>
        <w:tc>
          <w:tcPr>
            <w:tcW w:w="1087" w:type="dxa"/>
            <w:tcBorders>
              <w:top w:val="nil"/>
              <w:left w:val="nil"/>
              <w:bottom w:val="single" w:color="auto" w:sz="4" w:space="0"/>
              <w:right w:val="single" w:color="auto" w:sz="4" w:space="0"/>
            </w:tcBorders>
            <w:vAlign w:val="center"/>
          </w:tcPr>
          <w:p w14:paraId="7F1D8217">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X＜100</w:t>
            </w:r>
          </w:p>
        </w:tc>
      </w:tr>
      <w:tr w14:paraId="28EE5976">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B97EC59">
            <w:pPr>
              <w:widowControl/>
              <w:snapToGrid w:val="0"/>
              <w:contextualSpacing/>
              <w:jc w:val="center"/>
              <w:rPr>
                <w:rFonts w:hint="eastAsia" w:ascii="宋体" w:hAnsi="宋体" w:eastAsia="宋体" w:cs="宋体"/>
                <w:b/>
                <w:bCs/>
                <w:kern w:val="0"/>
                <w:sz w:val="22"/>
                <w:szCs w:val="22"/>
                <w:highlight w:val="none"/>
              </w:rPr>
            </w:pPr>
          </w:p>
        </w:tc>
        <w:tc>
          <w:tcPr>
            <w:tcW w:w="1660" w:type="dxa"/>
            <w:tcBorders>
              <w:top w:val="nil"/>
              <w:left w:val="nil"/>
              <w:bottom w:val="single" w:color="auto" w:sz="4" w:space="0"/>
              <w:right w:val="single" w:color="auto" w:sz="4" w:space="0"/>
            </w:tcBorders>
            <w:vAlign w:val="center"/>
          </w:tcPr>
          <w:p w14:paraId="4887592B">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营业收入（Y）</w:t>
            </w:r>
          </w:p>
        </w:tc>
        <w:tc>
          <w:tcPr>
            <w:tcW w:w="1466" w:type="dxa"/>
            <w:tcBorders>
              <w:top w:val="nil"/>
              <w:left w:val="nil"/>
              <w:bottom w:val="single" w:color="auto" w:sz="4" w:space="0"/>
              <w:right w:val="single" w:color="auto" w:sz="4" w:space="0"/>
            </w:tcBorders>
            <w:vAlign w:val="center"/>
          </w:tcPr>
          <w:p w14:paraId="42945D4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5B3D13F0">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1000≤Y＜5000</w:t>
            </w:r>
          </w:p>
        </w:tc>
        <w:tc>
          <w:tcPr>
            <w:tcW w:w="1692" w:type="dxa"/>
            <w:tcBorders>
              <w:top w:val="nil"/>
              <w:left w:val="nil"/>
              <w:bottom w:val="single" w:color="auto" w:sz="4" w:space="0"/>
              <w:right w:val="single" w:color="auto" w:sz="4" w:space="0"/>
            </w:tcBorders>
            <w:vAlign w:val="center"/>
          </w:tcPr>
          <w:p w14:paraId="4FDDE658">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500≤Y＜1000</w:t>
            </w:r>
          </w:p>
        </w:tc>
        <w:tc>
          <w:tcPr>
            <w:tcW w:w="1087" w:type="dxa"/>
            <w:tcBorders>
              <w:top w:val="nil"/>
              <w:left w:val="nil"/>
              <w:bottom w:val="single" w:color="auto" w:sz="4" w:space="0"/>
              <w:right w:val="single" w:color="auto" w:sz="4" w:space="0"/>
            </w:tcBorders>
            <w:vAlign w:val="center"/>
          </w:tcPr>
          <w:p w14:paraId="5B404029">
            <w:pPr>
              <w:widowControl/>
              <w:snapToGrid w:val="0"/>
              <w:contextualSpacing/>
              <w:jc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Y＜500</w:t>
            </w:r>
          </w:p>
        </w:tc>
      </w:tr>
      <w:tr w14:paraId="758A2981">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F5E9B90">
            <w:pPr>
              <w:widowControl/>
              <w:snapToGrid w:val="0"/>
              <w:contextualSpacing/>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租赁和商务服务业</w:t>
            </w:r>
          </w:p>
        </w:tc>
        <w:tc>
          <w:tcPr>
            <w:tcW w:w="1660" w:type="dxa"/>
            <w:tcBorders>
              <w:top w:val="nil"/>
              <w:left w:val="nil"/>
              <w:bottom w:val="single" w:color="auto" w:sz="4" w:space="0"/>
              <w:right w:val="single" w:color="auto" w:sz="4" w:space="0"/>
            </w:tcBorders>
            <w:vAlign w:val="center"/>
          </w:tcPr>
          <w:p w14:paraId="45747934">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284CC19D">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15541955">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100≤X＜300</w:t>
            </w:r>
          </w:p>
        </w:tc>
        <w:tc>
          <w:tcPr>
            <w:tcW w:w="1692" w:type="dxa"/>
            <w:tcBorders>
              <w:top w:val="nil"/>
              <w:left w:val="nil"/>
              <w:bottom w:val="single" w:color="auto" w:sz="4" w:space="0"/>
              <w:right w:val="single" w:color="auto" w:sz="4" w:space="0"/>
            </w:tcBorders>
            <w:vAlign w:val="center"/>
          </w:tcPr>
          <w:p w14:paraId="2164534E">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77D87BAD">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X＜10</w:t>
            </w:r>
          </w:p>
        </w:tc>
      </w:tr>
      <w:tr w14:paraId="24EA099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01CD8D7">
            <w:pPr>
              <w:widowControl/>
              <w:snapToGrid w:val="0"/>
              <w:contextualSpacing/>
              <w:jc w:val="center"/>
              <w:rPr>
                <w:rFonts w:hint="eastAsia" w:ascii="宋体" w:hAnsi="宋体" w:eastAsia="宋体" w:cs="宋体"/>
                <w:b/>
                <w:bCs/>
                <w:color w:val="auto"/>
                <w:kern w:val="0"/>
                <w:sz w:val="22"/>
                <w:szCs w:val="22"/>
                <w:highlight w:val="none"/>
              </w:rPr>
            </w:pPr>
          </w:p>
        </w:tc>
        <w:tc>
          <w:tcPr>
            <w:tcW w:w="1660" w:type="dxa"/>
            <w:tcBorders>
              <w:top w:val="nil"/>
              <w:left w:val="nil"/>
              <w:bottom w:val="single" w:color="auto" w:sz="4" w:space="0"/>
              <w:right w:val="single" w:color="auto" w:sz="4" w:space="0"/>
            </w:tcBorders>
            <w:vAlign w:val="center"/>
          </w:tcPr>
          <w:p w14:paraId="6D15E601">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资产总额（Z）</w:t>
            </w:r>
          </w:p>
        </w:tc>
        <w:tc>
          <w:tcPr>
            <w:tcW w:w="1466" w:type="dxa"/>
            <w:tcBorders>
              <w:top w:val="nil"/>
              <w:left w:val="nil"/>
              <w:bottom w:val="single" w:color="auto" w:sz="4" w:space="0"/>
              <w:right w:val="single" w:color="auto" w:sz="4" w:space="0"/>
            </w:tcBorders>
            <w:vAlign w:val="center"/>
          </w:tcPr>
          <w:p w14:paraId="419F8A73">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万元</w:t>
            </w:r>
          </w:p>
        </w:tc>
        <w:tc>
          <w:tcPr>
            <w:tcW w:w="1903" w:type="dxa"/>
            <w:tcBorders>
              <w:top w:val="nil"/>
              <w:left w:val="nil"/>
              <w:bottom w:val="single" w:color="auto" w:sz="4" w:space="0"/>
              <w:right w:val="single" w:color="auto" w:sz="4" w:space="0"/>
            </w:tcBorders>
            <w:vAlign w:val="center"/>
          </w:tcPr>
          <w:p w14:paraId="3C396525">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8000≤Z＜120000</w:t>
            </w:r>
          </w:p>
        </w:tc>
        <w:tc>
          <w:tcPr>
            <w:tcW w:w="1692" w:type="dxa"/>
            <w:tcBorders>
              <w:top w:val="nil"/>
              <w:left w:val="nil"/>
              <w:bottom w:val="single" w:color="auto" w:sz="4" w:space="0"/>
              <w:right w:val="single" w:color="auto" w:sz="4" w:space="0"/>
            </w:tcBorders>
            <w:vAlign w:val="center"/>
          </w:tcPr>
          <w:p w14:paraId="7AB78CF5">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100≤Z＜8000</w:t>
            </w:r>
          </w:p>
        </w:tc>
        <w:tc>
          <w:tcPr>
            <w:tcW w:w="1087" w:type="dxa"/>
            <w:tcBorders>
              <w:top w:val="nil"/>
              <w:left w:val="nil"/>
              <w:bottom w:val="single" w:color="auto" w:sz="4" w:space="0"/>
              <w:right w:val="single" w:color="auto" w:sz="4" w:space="0"/>
            </w:tcBorders>
            <w:vAlign w:val="center"/>
          </w:tcPr>
          <w:p w14:paraId="6271F1BB">
            <w:pPr>
              <w:widowControl/>
              <w:snapToGrid w:val="0"/>
              <w:contextualSpacing/>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Y＜100</w:t>
            </w:r>
          </w:p>
        </w:tc>
      </w:tr>
      <w:tr w14:paraId="44CC8A51">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37A73C8">
            <w:pPr>
              <w:widowControl/>
              <w:snapToGrid w:val="0"/>
              <w:contextualSpacing/>
              <w:jc w:val="center"/>
              <w:rPr>
                <w:rFonts w:hint="eastAsia" w:ascii="宋体" w:hAnsi="宋体" w:eastAsia="宋体" w:cs="宋体"/>
                <w:b/>
                <w:bCs/>
                <w:color w:val="FF0000"/>
                <w:kern w:val="0"/>
                <w:sz w:val="22"/>
                <w:szCs w:val="22"/>
                <w:highlight w:val="none"/>
              </w:rPr>
            </w:pPr>
            <w:r>
              <w:rPr>
                <w:rFonts w:hint="eastAsia" w:ascii="宋体" w:hAnsi="宋体" w:eastAsia="宋体" w:cs="宋体"/>
                <w:b/>
                <w:bCs/>
                <w:color w:val="FF0000"/>
                <w:kern w:val="0"/>
                <w:sz w:val="22"/>
                <w:szCs w:val="22"/>
                <w:highlight w:val="none"/>
              </w:rPr>
              <w:t>其他未列明行业</w:t>
            </w:r>
          </w:p>
          <w:p w14:paraId="0E3A7582">
            <w:pPr>
              <w:widowControl/>
              <w:snapToGrid w:val="0"/>
              <w:contextualSpacing/>
              <w:jc w:val="center"/>
              <w:rPr>
                <w:rFonts w:hint="eastAsia" w:ascii="宋体" w:hAnsi="宋体" w:eastAsia="宋体" w:cs="宋体"/>
                <w:b w:val="0"/>
                <w:bCs w:val="0"/>
                <w:color w:val="FF0000"/>
                <w:kern w:val="0"/>
                <w:sz w:val="22"/>
                <w:szCs w:val="22"/>
                <w:highlight w:val="none"/>
              </w:rPr>
            </w:pPr>
            <w:r>
              <w:rPr>
                <w:rFonts w:hint="eastAsia" w:ascii="宋体" w:hAnsi="宋体" w:eastAsia="宋体" w:cs="宋体"/>
                <w:b w:val="0"/>
                <w:bCs w:val="0"/>
                <w:color w:val="FF0000"/>
                <w:kern w:val="0"/>
                <w:sz w:val="22"/>
                <w:szCs w:val="22"/>
                <w:highlight w:val="none"/>
              </w:rPr>
              <w:t>（包括科学研究和技术服务业，水利、环境和公共设施管理业，居民服务、修理和其他服务业，社会工作，文化、体育和娱乐业等）</w:t>
            </w:r>
          </w:p>
        </w:tc>
        <w:tc>
          <w:tcPr>
            <w:tcW w:w="1660" w:type="dxa"/>
            <w:tcBorders>
              <w:top w:val="nil"/>
              <w:left w:val="nil"/>
              <w:bottom w:val="single" w:color="auto" w:sz="4" w:space="0"/>
              <w:right w:val="single" w:color="auto" w:sz="4" w:space="0"/>
            </w:tcBorders>
            <w:vAlign w:val="center"/>
          </w:tcPr>
          <w:p w14:paraId="244C5BE4">
            <w:pPr>
              <w:widowControl/>
              <w:snapToGrid w:val="0"/>
              <w:contextualSpacing/>
              <w:jc w:val="center"/>
              <w:rPr>
                <w:rFonts w:hint="eastAsia" w:ascii="宋体" w:hAnsi="宋体" w:eastAsia="宋体" w:cs="宋体"/>
                <w:color w:val="FF0000"/>
                <w:kern w:val="0"/>
                <w:sz w:val="22"/>
                <w:szCs w:val="22"/>
                <w:highlight w:val="none"/>
              </w:rPr>
            </w:pPr>
            <w:r>
              <w:rPr>
                <w:rFonts w:hint="eastAsia" w:ascii="宋体" w:hAnsi="宋体" w:eastAsia="宋体" w:cs="宋体"/>
                <w:color w:val="FF0000"/>
                <w:kern w:val="0"/>
                <w:sz w:val="22"/>
                <w:szCs w:val="22"/>
                <w:highlight w:val="none"/>
              </w:rPr>
              <w:t>从业人员（X）</w:t>
            </w:r>
          </w:p>
        </w:tc>
        <w:tc>
          <w:tcPr>
            <w:tcW w:w="1466" w:type="dxa"/>
            <w:tcBorders>
              <w:top w:val="nil"/>
              <w:left w:val="nil"/>
              <w:bottom w:val="single" w:color="auto" w:sz="4" w:space="0"/>
              <w:right w:val="single" w:color="auto" w:sz="4" w:space="0"/>
            </w:tcBorders>
            <w:vAlign w:val="center"/>
          </w:tcPr>
          <w:p w14:paraId="6A1B57EB">
            <w:pPr>
              <w:widowControl/>
              <w:snapToGrid w:val="0"/>
              <w:contextualSpacing/>
              <w:jc w:val="center"/>
              <w:rPr>
                <w:rFonts w:hint="eastAsia" w:ascii="宋体" w:hAnsi="宋体" w:eastAsia="宋体" w:cs="宋体"/>
                <w:color w:val="FF0000"/>
                <w:kern w:val="0"/>
                <w:sz w:val="22"/>
                <w:szCs w:val="22"/>
                <w:highlight w:val="none"/>
              </w:rPr>
            </w:pPr>
            <w:r>
              <w:rPr>
                <w:rFonts w:hint="eastAsia" w:ascii="宋体" w:hAnsi="宋体" w:eastAsia="宋体" w:cs="宋体"/>
                <w:color w:val="FF0000"/>
                <w:kern w:val="0"/>
                <w:sz w:val="22"/>
                <w:szCs w:val="22"/>
                <w:highlight w:val="none"/>
              </w:rPr>
              <w:t>人</w:t>
            </w:r>
          </w:p>
        </w:tc>
        <w:tc>
          <w:tcPr>
            <w:tcW w:w="1903" w:type="dxa"/>
            <w:tcBorders>
              <w:top w:val="nil"/>
              <w:left w:val="nil"/>
              <w:bottom w:val="single" w:color="auto" w:sz="4" w:space="0"/>
              <w:right w:val="single" w:color="auto" w:sz="4" w:space="0"/>
            </w:tcBorders>
            <w:vAlign w:val="center"/>
          </w:tcPr>
          <w:p w14:paraId="38E72A2E">
            <w:pPr>
              <w:widowControl/>
              <w:snapToGrid w:val="0"/>
              <w:contextualSpacing/>
              <w:jc w:val="center"/>
              <w:rPr>
                <w:rFonts w:hint="eastAsia" w:ascii="宋体" w:hAnsi="宋体" w:eastAsia="宋体" w:cs="宋体"/>
                <w:color w:val="FF0000"/>
                <w:kern w:val="0"/>
                <w:sz w:val="22"/>
                <w:szCs w:val="22"/>
                <w:highlight w:val="none"/>
              </w:rPr>
            </w:pPr>
            <w:r>
              <w:rPr>
                <w:rFonts w:hint="eastAsia" w:ascii="宋体" w:hAnsi="宋体" w:eastAsia="宋体" w:cs="宋体"/>
                <w:color w:val="FF0000"/>
                <w:kern w:val="0"/>
                <w:sz w:val="22"/>
                <w:szCs w:val="22"/>
                <w:highlight w:val="none"/>
              </w:rPr>
              <w:t>100≤X＜300</w:t>
            </w:r>
          </w:p>
        </w:tc>
        <w:tc>
          <w:tcPr>
            <w:tcW w:w="1692" w:type="dxa"/>
            <w:tcBorders>
              <w:top w:val="nil"/>
              <w:left w:val="nil"/>
              <w:bottom w:val="single" w:color="auto" w:sz="4" w:space="0"/>
              <w:right w:val="single" w:color="auto" w:sz="4" w:space="0"/>
            </w:tcBorders>
            <w:vAlign w:val="center"/>
          </w:tcPr>
          <w:p w14:paraId="03ACEF25">
            <w:pPr>
              <w:widowControl/>
              <w:snapToGrid w:val="0"/>
              <w:contextualSpacing/>
              <w:jc w:val="center"/>
              <w:rPr>
                <w:rFonts w:hint="eastAsia" w:ascii="宋体" w:hAnsi="宋体" w:eastAsia="宋体" w:cs="宋体"/>
                <w:color w:val="FF0000"/>
                <w:kern w:val="0"/>
                <w:sz w:val="22"/>
                <w:szCs w:val="22"/>
                <w:highlight w:val="none"/>
              </w:rPr>
            </w:pPr>
            <w:r>
              <w:rPr>
                <w:rFonts w:hint="eastAsia" w:ascii="宋体" w:hAnsi="宋体" w:eastAsia="宋体" w:cs="宋体"/>
                <w:color w:val="FF0000"/>
                <w:kern w:val="0"/>
                <w:sz w:val="22"/>
                <w:szCs w:val="22"/>
                <w:highlight w:val="none"/>
              </w:rPr>
              <w:t>10≤X＜100</w:t>
            </w:r>
          </w:p>
        </w:tc>
        <w:tc>
          <w:tcPr>
            <w:tcW w:w="1087" w:type="dxa"/>
            <w:tcBorders>
              <w:top w:val="nil"/>
              <w:left w:val="nil"/>
              <w:bottom w:val="single" w:color="auto" w:sz="4" w:space="0"/>
              <w:right w:val="single" w:color="auto" w:sz="4" w:space="0"/>
            </w:tcBorders>
            <w:vAlign w:val="center"/>
          </w:tcPr>
          <w:p w14:paraId="3420C22D">
            <w:pPr>
              <w:widowControl/>
              <w:snapToGrid w:val="0"/>
              <w:contextualSpacing/>
              <w:jc w:val="center"/>
              <w:rPr>
                <w:rFonts w:hint="eastAsia" w:ascii="宋体" w:hAnsi="宋体" w:eastAsia="宋体" w:cs="宋体"/>
                <w:color w:val="FF0000"/>
                <w:kern w:val="0"/>
                <w:sz w:val="22"/>
                <w:szCs w:val="22"/>
                <w:highlight w:val="none"/>
              </w:rPr>
            </w:pPr>
            <w:r>
              <w:rPr>
                <w:rFonts w:hint="eastAsia" w:ascii="宋体" w:hAnsi="宋体" w:eastAsia="宋体" w:cs="宋体"/>
                <w:color w:val="FF0000"/>
                <w:kern w:val="0"/>
                <w:sz w:val="22"/>
                <w:szCs w:val="22"/>
                <w:highlight w:val="none"/>
              </w:rPr>
              <w:t>X＜10</w:t>
            </w:r>
          </w:p>
        </w:tc>
      </w:tr>
    </w:tbl>
    <w:p w14:paraId="27EFC15A">
      <w:pPr>
        <w:spacing w:line="360" w:lineRule="auto"/>
        <w:rPr>
          <w:rFonts w:hint="eastAsia" w:ascii="宋体" w:hAnsi="宋体" w:eastAsia="宋体" w:cs="宋体"/>
          <w:sz w:val="24"/>
          <w:szCs w:val="24"/>
          <w:highlight w:val="none"/>
        </w:rPr>
      </w:pPr>
    </w:p>
    <w:p w14:paraId="3E41D3C8">
      <w:pPr>
        <w:snapToGrid w:val="0"/>
        <w:spacing w:line="336" w:lineRule="auto"/>
        <w:ind w:firstLine="482" w:firstLineChars="200"/>
        <w:contextualSpacing/>
        <w:jc w:val="left"/>
        <w:rPr>
          <w:rFonts w:hint="eastAsia" w:ascii="宋体" w:hAnsi="宋体" w:eastAsia="宋体" w:cs="宋体"/>
          <w:sz w:val="24"/>
          <w:szCs w:val="24"/>
          <w:highlight w:val="none"/>
        </w:rPr>
      </w:pPr>
      <w:r>
        <w:rPr>
          <w:rFonts w:hint="eastAsia" w:ascii="宋体" w:hAnsi="宋体" w:eastAsia="宋体" w:cs="宋体"/>
          <w:b/>
          <w:sz w:val="24"/>
          <w:szCs w:val="24"/>
          <w:highlight w:val="none"/>
        </w:rPr>
        <w:t>说明：</w:t>
      </w:r>
      <w:r>
        <w:rPr>
          <w:rFonts w:hint="eastAsia" w:ascii="宋体" w:hAnsi="宋体" w:eastAsia="宋体" w:cs="宋体"/>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4888B7E1">
      <w:pPr>
        <w:snapToGrid w:val="0"/>
        <w:spacing w:line="336" w:lineRule="auto"/>
        <w:ind w:firstLine="480" w:firstLineChars="200"/>
        <w:contextualSpacing/>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本</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所称中小企业，是指在中华人民共和国境内依法设立，依据国务院批准的</w:t>
      </w:r>
    </w:p>
    <w:p w14:paraId="5E78CFC4">
      <w:pPr>
        <w:snapToGrid w:val="0"/>
        <w:spacing w:line="336" w:lineRule="auto"/>
        <w:ind w:firstLine="480" w:firstLineChars="200"/>
        <w:contextualSpacing/>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规定的中小企业扶持政策：</w:t>
      </w:r>
    </w:p>
    <w:p w14:paraId="44456FDC">
      <w:pPr>
        <w:snapToGrid w:val="0"/>
        <w:spacing w:line="336" w:lineRule="auto"/>
        <w:ind w:firstLine="480" w:firstLineChars="200"/>
        <w:contextualSpacing/>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689E9A41">
      <w:pPr>
        <w:snapToGrid w:val="0"/>
        <w:spacing w:line="336" w:lineRule="auto"/>
        <w:ind w:firstLine="480" w:firstLineChars="200"/>
        <w:contextualSpacing/>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（2）在工程采购项目中，工程由中小企业承建，即工程施工单位为中小企业，不对其中涉及的货物的制造商和服务的承接商作出要求；</w:t>
      </w:r>
    </w:p>
    <w:p w14:paraId="1F3782B3">
      <w:pPr>
        <w:snapToGrid w:val="0"/>
        <w:spacing w:line="336" w:lineRule="auto"/>
        <w:ind w:firstLine="480" w:firstLineChars="200"/>
        <w:contextualSpacing/>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（3）在服务采购项目中，服务由中小企业承接，即提供服务的人员为中小企业依照《中华人民共和国</w:t>
      </w:r>
      <w:r>
        <w:rPr>
          <w:rFonts w:hint="eastAsia" w:ascii="宋体" w:hAnsi="宋体" w:eastAsia="宋体" w:cs="宋体"/>
          <w:kern w:val="0"/>
          <w:sz w:val="24"/>
          <w:szCs w:val="24"/>
          <w:highlight w:val="none"/>
          <w:lang w:eastAsia="zh-CN"/>
        </w:rPr>
        <w:t>民法典</w:t>
      </w:r>
      <w:r>
        <w:rPr>
          <w:rFonts w:hint="eastAsia" w:ascii="宋体" w:hAnsi="宋体" w:eastAsia="宋体" w:cs="宋体"/>
          <w:kern w:val="0"/>
          <w:sz w:val="24"/>
          <w:szCs w:val="24"/>
          <w:highlight w:val="none"/>
        </w:rPr>
        <w:t>》订立合同的从业人员，不对其中涉及的货物的制造商和工程承建商作出要求。</w:t>
      </w:r>
    </w:p>
    <w:p w14:paraId="1368F8BD">
      <w:pPr>
        <w:snapToGrid w:val="0"/>
        <w:spacing w:line="336" w:lineRule="auto"/>
        <w:ind w:firstLine="480" w:firstLineChars="200"/>
        <w:contextualSpacing/>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在货物采购项目中，供应商提供的货物既有中小企业制造货物，也有大型企业制造货物的，不享受本</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11646A9D">
      <w:pPr>
        <w:snapToGrid w:val="0"/>
        <w:spacing w:line="336" w:lineRule="auto"/>
        <w:ind w:firstLine="480" w:firstLineChars="200"/>
        <w:contextualSpacing/>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依据本</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规定享受扶持政策获得政府采购合同的，小微企业不得将合同分包给大中型企业，中型企业不得将合同分包给大型企业。</w:t>
      </w:r>
    </w:p>
    <w:bookmarkEnd w:id="2394"/>
    <w:bookmarkEnd w:id="2395"/>
    <w:bookmarkEnd w:id="2396"/>
    <w:bookmarkEnd w:id="2397"/>
    <w:bookmarkEnd w:id="2398"/>
    <w:bookmarkEnd w:id="2399"/>
    <w:bookmarkEnd w:id="2400"/>
    <w:p w14:paraId="4DC7F664">
      <w:pP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br w:type="page"/>
      </w:r>
    </w:p>
    <w:p w14:paraId="74D4C483">
      <w:pPr>
        <w:pStyle w:val="5"/>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2"/>
        <w:rPr>
          <w:rFonts w:hint="eastAsia" w:ascii="宋体" w:hAnsi="宋体" w:eastAsia="宋体" w:cs="宋体"/>
          <w:b/>
          <w:bCs/>
          <w:color w:val="auto"/>
          <w:sz w:val="28"/>
          <w:szCs w:val="28"/>
          <w:highlight w:val="none"/>
          <w:u w:val="none"/>
          <w:lang w:val="en-US" w:eastAsia="zh-CN"/>
        </w:rPr>
      </w:pPr>
      <w:bookmarkStart w:id="2401" w:name="_Toc2805"/>
      <w:bookmarkStart w:id="2402" w:name="_Toc31232"/>
      <w:bookmarkStart w:id="2403" w:name="_Toc8124"/>
      <w:r>
        <w:rPr>
          <w:rFonts w:hint="eastAsia" w:ascii="宋体" w:hAnsi="宋体" w:eastAsia="宋体" w:cs="宋体"/>
          <w:b/>
          <w:bCs/>
          <w:color w:val="auto"/>
          <w:sz w:val="28"/>
          <w:szCs w:val="28"/>
          <w:highlight w:val="none"/>
          <w:u w:val="none"/>
          <w:lang w:val="en-US" w:eastAsia="zh-CN"/>
        </w:rPr>
        <w:t>6-</w:t>
      </w:r>
      <w:r>
        <w:rPr>
          <w:rFonts w:hint="eastAsia" w:hAnsi="宋体" w:cs="宋体"/>
          <w:b/>
          <w:bCs/>
          <w:color w:val="auto"/>
          <w:sz w:val="28"/>
          <w:szCs w:val="28"/>
          <w:highlight w:val="none"/>
          <w:u w:val="none"/>
          <w:lang w:val="en-US" w:eastAsia="zh-CN"/>
        </w:rPr>
        <w:t>2</w:t>
      </w:r>
      <w:r>
        <w:rPr>
          <w:rFonts w:hint="eastAsia" w:ascii="宋体" w:hAnsi="宋体" w:eastAsia="宋体" w:cs="宋体"/>
          <w:b/>
          <w:bCs/>
          <w:color w:val="auto"/>
          <w:sz w:val="28"/>
          <w:szCs w:val="28"/>
          <w:highlight w:val="none"/>
          <w:u w:val="none"/>
          <w:lang w:val="en-US" w:eastAsia="zh-CN"/>
        </w:rPr>
        <w:t xml:space="preserve"> 残疾人福利性单位声明函</w:t>
      </w:r>
      <w:bookmarkEnd w:id="2401"/>
      <w:bookmarkEnd w:id="2402"/>
      <w:bookmarkEnd w:id="2403"/>
    </w:p>
    <w:p w14:paraId="760925C5">
      <w:pPr>
        <w:spacing w:line="400" w:lineRule="exact"/>
        <w:ind w:left="1080" w:leftChars="257" w:hanging="540"/>
        <w:jc w:val="center"/>
        <w:rPr>
          <w:rFonts w:hint="eastAsia" w:ascii="宋体" w:hAnsi="宋体" w:eastAsia="宋体" w:cs="宋体"/>
          <w:color w:val="auto"/>
          <w:kern w:val="0"/>
          <w:sz w:val="24"/>
          <w:highlight w:val="none"/>
        </w:rPr>
      </w:pPr>
    </w:p>
    <w:p w14:paraId="0192CC52">
      <w:pPr>
        <w:pageBreakBefore w:val="0"/>
        <w:kinsoku/>
        <w:overflowPunct/>
        <w:topLinePunct w:val="0"/>
        <w:bidi w:val="0"/>
        <w:spacing w:line="380" w:lineRule="exact"/>
        <w:ind w:left="0" w:leftChars="0" w:right="0" w:rightChars="0"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，或者提供其他残疾人福利性单位</w:t>
      </w:r>
      <w:r>
        <w:rPr>
          <w:rFonts w:hint="eastAsia" w:ascii="宋体" w:hAnsi="宋体" w:eastAsia="宋体" w:cs="宋体"/>
          <w:color w:val="auto"/>
          <w:kern w:val="0"/>
          <w:sz w:val="24"/>
          <w:highlight w:val="none"/>
          <w:lang w:val="en-US" w:eastAsia="zh-CN"/>
        </w:rPr>
        <w:t>的服务</w:t>
      </w:r>
      <w:r>
        <w:rPr>
          <w:rFonts w:hint="eastAsia" w:ascii="宋体" w:hAnsi="宋体" w:eastAsia="宋体" w:cs="宋体"/>
          <w:color w:val="auto"/>
          <w:kern w:val="0"/>
          <w:sz w:val="24"/>
          <w:highlight w:val="none"/>
        </w:rPr>
        <w:t>（不包括使用非残疾人福利性单位注册商标的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w:t>
      </w:r>
    </w:p>
    <w:p w14:paraId="096839AC">
      <w:pPr>
        <w:pageBreakBefore w:val="0"/>
        <w:kinsoku/>
        <w:overflowPunct/>
        <w:topLinePunct w:val="0"/>
        <w:bidi w:val="0"/>
        <w:spacing w:line="380" w:lineRule="exact"/>
        <w:ind w:left="0" w:leftChars="0" w:right="0" w:rightChars="0"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本单位对上述声明的真实性负责。如有虚假，将依法承担相应责任。</w:t>
      </w:r>
    </w:p>
    <w:p w14:paraId="51020866">
      <w:pPr>
        <w:pageBreakBefore w:val="0"/>
        <w:kinsoku/>
        <w:overflowPunct/>
        <w:topLinePunct w:val="0"/>
        <w:bidi w:val="0"/>
        <w:spacing w:line="380" w:lineRule="exact"/>
        <w:ind w:left="0" w:leftChars="0" w:right="0" w:rightChars="0" w:firstLine="480" w:firstLineChars="20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残疾人福利性单位名称（公章）：______________</w:t>
      </w:r>
    </w:p>
    <w:p w14:paraId="14DB41DD">
      <w:pPr>
        <w:pageBreakBefore w:val="0"/>
        <w:widowControl w:val="0"/>
        <w:kinsoku/>
        <w:overflowPunct/>
        <w:topLinePunct w:val="0"/>
        <w:bidi w:val="0"/>
        <w:spacing w:line="380" w:lineRule="exact"/>
        <w:ind w:left="0" w:leftChars="0" w:right="0" w:rightChars="0"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 xml:space="preserve">  </w:t>
      </w:r>
      <w:r>
        <w:rPr>
          <w:rFonts w:hint="eastAsia" w:ascii="宋体" w:hAnsi="宋体" w:eastAsia="宋体" w:cs="宋体"/>
          <w:color w:val="auto"/>
          <w:kern w:val="0"/>
          <w:sz w:val="24"/>
          <w:szCs w:val="24"/>
          <w:highlight w:val="none"/>
          <w:u w:val="single" w:color="FFFFFF"/>
          <w:lang w:val="en-US" w:eastAsia="zh-CN" w:bidi="ar-SA"/>
        </w:rPr>
        <w:t xml:space="preserve">       </w:t>
      </w:r>
      <w:r>
        <w:rPr>
          <w:rFonts w:hint="eastAsia" w:ascii="宋体" w:hAnsi="宋体" w:eastAsia="宋体" w:cs="宋体"/>
          <w:color w:val="auto"/>
          <w:kern w:val="0"/>
          <w:sz w:val="24"/>
          <w:szCs w:val="24"/>
          <w:highlight w:val="none"/>
          <w:lang w:val="en-US" w:eastAsia="zh-CN" w:bidi="ar-SA"/>
        </w:rPr>
        <w:t>日  期：_____________________________________________</w:t>
      </w:r>
    </w:p>
    <w:p w14:paraId="26E16BA8">
      <w:pPr>
        <w:pStyle w:val="11"/>
        <w:spacing w:line="400" w:lineRule="exact"/>
        <w:ind w:firstLine="480"/>
        <w:rPr>
          <w:rFonts w:hint="eastAsia" w:ascii="宋体" w:hAnsi="宋体" w:eastAsia="宋体" w:cs="宋体"/>
          <w:color w:val="auto"/>
          <w:highlight w:val="none"/>
        </w:rPr>
      </w:pPr>
    </w:p>
    <w:p w14:paraId="311EC754">
      <w:pPr>
        <w:pStyle w:val="11"/>
        <w:spacing w:line="400" w:lineRule="exact"/>
        <w:ind w:firstLine="480"/>
        <w:rPr>
          <w:rFonts w:hint="eastAsia" w:ascii="宋体" w:hAnsi="宋体" w:eastAsia="宋体" w:cs="宋体"/>
          <w:color w:val="auto"/>
          <w:highlight w:val="none"/>
        </w:rPr>
      </w:pPr>
    </w:p>
    <w:p w14:paraId="0943C152">
      <w:pPr>
        <w:rPr>
          <w:rFonts w:hint="eastAsia" w:ascii="宋体" w:hAnsi="宋体" w:eastAsia="宋体" w:cs="宋体"/>
          <w:highlight w:val="none"/>
        </w:rPr>
      </w:pPr>
    </w:p>
    <w:p w14:paraId="39622F33">
      <w:pPr>
        <w:pStyle w:val="7"/>
        <w:rPr>
          <w:rFonts w:hint="eastAsia" w:ascii="宋体" w:hAnsi="宋体" w:eastAsia="宋体" w:cs="宋体"/>
          <w:color w:val="auto"/>
          <w:highlight w:val="none"/>
        </w:rPr>
      </w:pPr>
    </w:p>
    <w:p w14:paraId="33871420">
      <w:pPr>
        <w:rPr>
          <w:rFonts w:hint="eastAsia" w:ascii="宋体" w:hAnsi="宋体" w:eastAsia="宋体" w:cs="宋体"/>
          <w:highlight w:val="none"/>
        </w:rPr>
      </w:pPr>
    </w:p>
    <w:p w14:paraId="41E93FA9">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404" w:name="_Toc5157"/>
      <w:bookmarkStart w:id="2405" w:name="_Toc3673"/>
      <w:bookmarkStart w:id="2406" w:name="_Toc24998"/>
      <w:r>
        <w:rPr>
          <w:rFonts w:hint="eastAsia" w:ascii="宋体" w:hAnsi="宋体" w:eastAsia="宋体" w:cs="宋体"/>
          <w:b/>
          <w:bCs/>
          <w:color w:val="auto"/>
          <w:sz w:val="28"/>
          <w:szCs w:val="28"/>
          <w:highlight w:val="none"/>
          <w:u w:val="none"/>
          <w:lang w:val="en-US" w:eastAsia="zh-CN"/>
        </w:rPr>
        <w:t>7.供应商关联单位的说明（格式自拟）</w:t>
      </w:r>
      <w:bookmarkEnd w:id="2404"/>
      <w:bookmarkEnd w:id="2405"/>
      <w:bookmarkEnd w:id="2406"/>
    </w:p>
    <w:p w14:paraId="1434E0CB">
      <w:pPr>
        <w:pStyle w:val="6"/>
        <w:spacing w:line="400" w:lineRule="exact"/>
        <w:jc w:val="center"/>
        <w:rPr>
          <w:rFonts w:hint="eastAsia" w:ascii="宋体" w:hAnsi="宋体" w:eastAsia="宋体" w:cs="宋体"/>
          <w:color w:val="auto"/>
          <w:szCs w:val="24"/>
          <w:highlight w:val="none"/>
        </w:rPr>
      </w:pPr>
    </w:p>
    <w:p w14:paraId="04D604B9">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说明：供应商应当如实披露与本单位存在下列关联关系的单位名称：</w:t>
      </w:r>
    </w:p>
    <w:p w14:paraId="4D88BC7D">
      <w:pPr>
        <w:pStyle w:val="6"/>
        <w:spacing w:line="400" w:lineRule="exact"/>
        <w:ind w:firstLine="960" w:firstLineChars="40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（1）与供应商单位负责人为同一人的其他单位；</w:t>
      </w:r>
    </w:p>
    <w:p w14:paraId="0BC4EC9A">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（2）与供应商存在直接控股、管理关系的其他单位。</w:t>
      </w:r>
    </w:p>
    <w:p w14:paraId="48BE4D8A">
      <w:pPr>
        <w:pStyle w:val="7"/>
        <w:rPr>
          <w:rFonts w:hint="eastAsia" w:ascii="宋体" w:hAnsi="宋体" w:eastAsia="宋体" w:cs="宋体"/>
          <w:color w:val="auto"/>
          <w:highlight w:val="none"/>
        </w:rPr>
      </w:pPr>
    </w:p>
    <w:p w14:paraId="365FE717">
      <w:pPr>
        <w:pStyle w:val="20"/>
        <w:rPr>
          <w:rFonts w:hint="eastAsia" w:ascii="宋体" w:hAnsi="宋体" w:eastAsia="宋体" w:cs="宋体"/>
          <w:b/>
          <w:color w:val="auto"/>
          <w:kern w:val="0"/>
          <w:sz w:val="24"/>
          <w:highlight w:val="none"/>
        </w:rPr>
      </w:pPr>
    </w:p>
    <w:p w14:paraId="115BAE0C">
      <w:pPr>
        <w:pStyle w:val="20"/>
        <w:rPr>
          <w:rFonts w:hint="eastAsia" w:ascii="宋体" w:hAnsi="宋体" w:eastAsia="宋体" w:cs="宋体"/>
          <w:b/>
          <w:color w:val="auto"/>
          <w:kern w:val="0"/>
          <w:sz w:val="24"/>
          <w:highlight w:val="none"/>
        </w:rPr>
      </w:pPr>
    </w:p>
    <w:p w14:paraId="318DC961">
      <w:pPr>
        <w:pStyle w:val="20"/>
        <w:rPr>
          <w:rFonts w:hint="eastAsia" w:ascii="宋体" w:hAnsi="宋体" w:eastAsia="宋体" w:cs="宋体"/>
          <w:b/>
          <w:color w:val="auto"/>
          <w:kern w:val="0"/>
          <w:sz w:val="24"/>
          <w:highlight w:val="none"/>
        </w:rPr>
      </w:pPr>
    </w:p>
    <w:p w14:paraId="66820670">
      <w:pPr>
        <w:pStyle w:val="20"/>
        <w:rPr>
          <w:rFonts w:hint="eastAsia" w:ascii="宋体" w:hAnsi="宋体" w:eastAsia="宋体" w:cs="宋体"/>
          <w:b/>
          <w:color w:val="auto"/>
          <w:kern w:val="0"/>
          <w:sz w:val="24"/>
          <w:highlight w:val="none"/>
        </w:rPr>
      </w:pPr>
    </w:p>
    <w:p w14:paraId="2AC954F1">
      <w:pPr>
        <w:pStyle w:val="20"/>
        <w:rPr>
          <w:rFonts w:hint="eastAsia" w:ascii="宋体" w:hAnsi="宋体" w:eastAsia="宋体" w:cs="宋体"/>
          <w:b/>
          <w:color w:val="auto"/>
          <w:kern w:val="0"/>
          <w:sz w:val="24"/>
          <w:highlight w:val="none"/>
        </w:rPr>
      </w:pPr>
    </w:p>
    <w:p w14:paraId="793D48FA">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407" w:name="_Toc29994"/>
      <w:bookmarkStart w:id="2408" w:name="_Toc10179"/>
      <w:bookmarkStart w:id="2409" w:name="_Toc3973"/>
      <w:r>
        <w:rPr>
          <w:rFonts w:hint="eastAsia" w:ascii="宋体" w:hAnsi="宋体" w:eastAsia="宋体" w:cs="宋体"/>
          <w:b/>
          <w:bCs/>
          <w:color w:val="auto"/>
          <w:sz w:val="28"/>
          <w:szCs w:val="28"/>
          <w:highlight w:val="none"/>
          <w:u w:val="none"/>
          <w:lang w:val="en-US" w:eastAsia="zh-CN"/>
        </w:rPr>
        <w:t>8.供应商可提供有利于投标的其他证明材料</w:t>
      </w:r>
      <w:bookmarkEnd w:id="2407"/>
      <w:bookmarkEnd w:id="2408"/>
      <w:bookmarkEnd w:id="2409"/>
    </w:p>
    <w:p w14:paraId="674F4716">
      <w:pPr>
        <w:pStyle w:val="6"/>
        <w:ind w:left="0" w:leftChars="0" w:firstLine="0" w:firstLineChars="0"/>
        <w:rPr>
          <w:rFonts w:hint="eastAsia" w:ascii="宋体" w:hAnsi="宋体" w:eastAsia="宋体" w:cs="宋体"/>
          <w:color w:val="auto"/>
          <w:sz w:val="24"/>
          <w:highlight w:val="none"/>
        </w:rPr>
      </w:pPr>
    </w:p>
    <w:p w14:paraId="5D3A0A4E">
      <w:pPr>
        <w:pStyle w:val="7"/>
        <w:rPr>
          <w:rFonts w:hint="eastAsia" w:ascii="宋体" w:hAnsi="宋体" w:eastAsia="宋体" w:cs="宋体"/>
          <w:color w:val="auto"/>
          <w:sz w:val="24"/>
          <w:highlight w:val="none"/>
        </w:rPr>
      </w:pPr>
    </w:p>
    <w:p w14:paraId="0DE69F4E">
      <w:pPr>
        <w:rPr>
          <w:rFonts w:hint="eastAsia" w:ascii="宋体" w:hAnsi="宋体" w:eastAsia="宋体" w:cs="宋体"/>
          <w:color w:val="auto"/>
          <w:sz w:val="24"/>
          <w:highlight w:val="none"/>
        </w:rPr>
      </w:pPr>
    </w:p>
    <w:p w14:paraId="0CC42634">
      <w:pPr>
        <w:rPr>
          <w:rFonts w:hint="eastAsia" w:ascii="宋体" w:hAnsi="宋体" w:eastAsia="宋体" w:cs="宋体"/>
          <w:color w:val="auto"/>
          <w:sz w:val="28"/>
          <w:szCs w:val="28"/>
          <w:highlight w:val="none"/>
          <w:lang w:val="en-US" w:eastAsia="zh-CN"/>
        </w:rPr>
      </w:pPr>
      <w:bookmarkStart w:id="2410" w:name="_Toc11"/>
      <w:bookmarkStart w:id="2411" w:name="_Toc24340"/>
      <w:r>
        <w:rPr>
          <w:rFonts w:hint="eastAsia" w:ascii="宋体" w:hAnsi="宋体" w:eastAsia="宋体" w:cs="宋体"/>
          <w:color w:val="auto"/>
          <w:sz w:val="28"/>
          <w:szCs w:val="28"/>
          <w:highlight w:val="none"/>
          <w:lang w:val="en-US" w:eastAsia="zh-CN"/>
        </w:rPr>
        <w:br w:type="page"/>
      </w:r>
    </w:p>
    <w:p w14:paraId="022E9B33">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2"/>
        <w:rPr>
          <w:rFonts w:hint="eastAsia" w:ascii="宋体" w:hAnsi="宋体" w:eastAsia="宋体" w:cs="宋体"/>
          <w:b/>
          <w:bCs/>
          <w:color w:val="auto"/>
          <w:sz w:val="28"/>
          <w:szCs w:val="28"/>
          <w:highlight w:val="none"/>
          <w:u w:val="none"/>
          <w:lang w:val="en-US" w:eastAsia="zh-CN"/>
        </w:rPr>
      </w:pPr>
      <w:bookmarkStart w:id="2412" w:name="_Toc13633"/>
      <w:r>
        <w:rPr>
          <w:rFonts w:hint="eastAsia" w:ascii="宋体" w:hAnsi="宋体" w:eastAsia="宋体" w:cs="宋体"/>
          <w:b/>
          <w:bCs/>
          <w:color w:val="auto"/>
          <w:sz w:val="28"/>
          <w:szCs w:val="28"/>
          <w:highlight w:val="none"/>
          <w:u w:val="none"/>
          <w:lang w:val="en-US" w:eastAsia="zh-CN"/>
        </w:rPr>
        <w:t>9.投标文件格式范本</w:t>
      </w:r>
      <w:bookmarkEnd w:id="2410"/>
      <w:bookmarkEnd w:id="2411"/>
      <w:bookmarkEnd w:id="2412"/>
    </w:p>
    <w:tbl>
      <w:tblPr>
        <w:tblStyle w:val="27"/>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00FDC9CC">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0BC19497">
            <w:pPr>
              <w:pStyle w:val="9"/>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p>
          <w:p w14:paraId="5CA34E21">
            <w:pPr>
              <w:pStyle w:val="9"/>
              <w:ind w:firstLine="4216" w:firstLineChars="1500"/>
              <w:rPr>
                <w:rFonts w:hint="eastAsia" w:ascii="宋体" w:hAnsi="宋体" w:eastAsia="宋体" w:cs="宋体"/>
                <w:b/>
                <w:bCs/>
                <w:color w:val="auto"/>
                <w:sz w:val="28"/>
                <w:szCs w:val="28"/>
                <w:highlight w:val="none"/>
              </w:rPr>
            </w:pPr>
          </w:p>
          <w:p w14:paraId="10592458">
            <w:pPr>
              <w:pStyle w:val="9"/>
              <w:ind w:firstLine="4216" w:firstLineChars="1500"/>
              <w:rPr>
                <w:rFonts w:hint="eastAsia" w:ascii="宋体" w:hAnsi="宋体" w:eastAsia="宋体" w:cs="宋体"/>
                <w:b/>
                <w:bCs/>
                <w:color w:val="auto"/>
                <w:sz w:val="28"/>
                <w:szCs w:val="28"/>
                <w:highlight w:val="none"/>
              </w:rPr>
            </w:pPr>
          </w:p>
          <w:p w14:paraId="2E69DB54">
            <w:pPr>
              <w:pStyle w:val="9"/>
              <w:rPr>
                <w:rFonts w:hint="eastAsia" w:ascii="宋体" w:hAnsi="宋体" w:eastAsia="宋体" w:cs="宋体"/>
                <w:b/>
                <w:bCs/>
                <w:color w:val="auto"/>
                <w:sz w:val="28"/>
                <w:szCs w:val="28"/>
                <w:highlight w:val="none"/>
              </w:rPr>
            </w:pPr>
          </w:p>
          <w:p w14:paraId="7D9D91B8">
            <w:pPr>
              <w:pStyle w:val="9"/>
              <w:ind w:firstLine="1897" w:firstLineChars="900"/>
              <w:rPr>
                <w:rFonts w:hint="eastAsia" w:ascii="宋体" w:hAnsi="宋体" w:eastAsia="宋体" w:cs="宋体"/>
                <w:b/>
                <w:bCs/>
                <w:color w:val="auto"/>
                <w:sz w:val="28"/>
                <w:szCs w:val="28"/>
                <w:highlight w:val="none"/>
              </w:rPr>
            </w:pP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8"/>
                <w:szCs w:val="28"/>
                <w:highlight w:val="none"/>
              </w:rPr>
              <w:t>项目</w:t>
            </w:r>
          </w:p>
          <w:p w14:paraId="28303BE9">
            <w:pPr>
              <w:pStyle w:val="9"/>
              <w:jc w:val="center"/>
              <w:rPr>
                <w:rFonts w:hint="eastAsia" w:ascii="宋体" w:hAnsi="宋体" w:eastAsia="宋体" w:cs="宋体"/>
                <w:b/>
                <w:bCs/>
                <w:color w:val="auto"/>
                <w:sz w:val="21"/>
                <w:szCs w:val="21"/>
                <w:highlight w:val="none"/>
              </w:rPr>
            </w:pPr>
          </w:p>
          <w:p w14:paraId="649C8FB0">
            <w:pPr>
              <w:rPr>
                <w:rFonts w:hint="eastAsia" w:ascii="宋体" w:hAnsi="宋体" w:eastAsia="宋体" w:cs="宋体"/>
                <w:highlight w:val="none"/>
              </w:rPr>
            </w:pPr>
          </w:p>
          <w:p w14:paraId="0AF2C603">
            <w:pPr>
              <w:pStyle w:val="9"/>
              <w:ind w:firstLine="2741" w:firstLineChars="13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项目</w:t>
            </w:r>
            <w:r>
              <w:rPr>
                <w:rFonts w:hint="eastAsia" w:ascii="宋体" w:hAnsi="宋体" w:eastAsia="宋体" w:cs="宋体"/>
                <w:b/>
                <w:bCs/>
                <w:color w:val="auto"/>
                <w:sz w:val="21"/>
                <w:szCs w:val="21"/>
                <w:highlight w:val="none"/>
              </w:rPr>
              <w:t xml:space="preserve">编号 ＊＊＊      </w:t>
            </w:r>
            <w:r>
              <w:rPr>
                <w:rFonts w:hint="eastAsia" w:cs="宋体"/>
                <w:b/>
                <w:bCs/>
                <w:color w:val="auto"/>
                <w:sz w:val="21"/>
                <w:szCs w:val="21"/>
                <w:highlight w:val="none"/>
                <w:lang w:eastAsia="zh-CN"/>
              </w:rPr>
              <w:t>标项</w:t>
            </w:r>
            <w:r>
              <w:rPr>
                <w:rFonts w:hint="eastAsia" w:ascii="宋体" w:hAnsi="宋体" w:eastAsia="宋体" w:cs="宋体"/>
                <w:b/>
                <w:bCs/>
                <w:color w:val="auto"/>
                <w:sz w:val="21"/>
                <w:szCs w:val="21"/>
                <w:highlight w:val="none"/>
              </w:rPr>
              <w:t>：＊＊＊（如有）</w:t>
            </w:r>
          </w:p>
          <w:p w14:paraId="62103143">
            <w:pPr>
              <w:pStyle w:val="9"/>
              <w:jc w:val="center"/>
              <w:rPr>
                <w:rFonts w:hint="eastAsia" w:ascii="宋体" w:hAnsi="宋体" w:eastAsia="宋体" w:cs="宋体"/>
                <w:b/>
                <w:bCs/>
                <w:color w:val="auto"/>
                <w:sz w:val="48"/>
                <w:highlight w:val="none"/>
              </w:rPr>
            </w:pPr>
          </w:p>
          <w:p w14:paraId="1AB9ECEB">
            <w:pPr>
              <w:pStyle w:val="9"/>
              <w:jc w:val="center"/>
              <w:rPr>
                <w:rFonts w:hint="eastAsia" w:ascii="宋体" w:hAnsi="宋体" w:eastAsia="宋体" w:cs="宋体"/>
                <w:b/>
                <w:bCs/>
                <w:color w:val="auto"/>
                <w:sz w:val="48"/>
                <w:highlight w:val="none"/>
              </w:rPr>
            </w:pPr>
            <w:r>
              <w:rPr>
                <w:rFonts w:hint="eastAsia" w:ascii="宋体" w:hAnsi="宋体" w:eastAsia="宋体" w:cs="宋体"/>
                <w:b/>
                <w:bCs/>
                <w:color w:val="auto"/>
                <w:sz w:val="48"/>
                <w:highlight w:val="none"/>
              </w:rPr>
              <w:t>投 标 文 件</w:t>
            </w:r>
          </w:p>
          <w:p w14:paraId="2B164F0B">
            <w:pPr>
              <w:pStyle w:val="6"/>
              <w:ind w:firstLine="0"/>
              <w:rPr>
                <w:rFonts w:hint="eastAsia" w:ascii="宋体" w:hAnsi="宋体" w:eastAsia="宋体" w:cs="宋体"/>
                <w:b/>
                <w:color w:val="auto"/>
                <w:sz w:val="32"/>
                <w:highlight w:val="none"/>
              </w:rPr>
            </w:pPr>
          </w:p>
          <w:p w14:paraId="455CF29C">
            <w:pPr>
              <w:pStyle w:val="6"/>
              <w:rPr>
                <w:rFonts w:hint="eastAsia" w:ascii="宋体" w:hAnsi="宋体" w:eastAsia="宋体" w:cs="宋体"/>
                <w:b/>
                <w:color w:val="auto"/>
                <w:sz w:val="32"/>
                <w:highlight w:val="none"/>
              </w:rPr>
            </w:pPr>
          </w:p>
          <w:p w14:paraId="78E53677">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应</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商：</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（公章）</w:t>
            </w:r>
          </w:p>
          <w:p w14:paraId="5B8DB5CD">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p>
          <w:p w14:paraId="1F38D125">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r>
              <w:rPr>
                <w:rFonts w:hint="eastAsia" w:ascii="宋体" w:hAnsi="宋体" w:eastAsia="宋体" w:cs="宋体"/>
                <w:color w:val="auto"/>
                <w:szCs w:val="21"/>
                <w:highlight w:val="none"/>
                <w:u w:val="single"/>
              </w:rPr>
              <w:t xml:space="preserve">                                       </w:t>
            </w:r>
          </w:p>
          <w:p w14:paraId="4111DB7F">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联 系 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3130C691">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r>
              <w:rPr>
                <w:rFonts w:hint="eastAsia" w:ascii="宋体" w:hAnsi="宋体" w:eastAsia="宋体" w:cs="宋体"/>
                <w:color w:val="auto"/>
                <w:szCs w:val="21"/>
                <w:highlight w:val="none"/>
                <w:u w:val="single"/>
              </w:rPr>
              <w:t xml:space="preserve">                                       </w:t>
            </w:r>
          </w:p>
          <w:p w14:paraId="69A86D2A">
            <w:pPr>
              <w:spacing w:line="360" w:lineRule="auto"/>
              <w:ind w:left="176" w:leftChars="84" w:firstLine="1260" w:firstLineChars="600"/>
              <w:rPr>
                <w:rFonts w:hint="eastAsia" w:ascii="宋体" w:hAnsi="宋体" w:eastAsia="宋体" w:cs="宋体"/>
                <w:b/>
                <w:bCs/>
                <w:color w:val="auto"/>
                <w:highlight w:val="non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5572FA45">
            <w:pPr>
              <w:jc w:val="center"/>
              <w:rPr>
                <w:rFonts w:hint="eastAsia" w:ascii="宋体" w:hAnsi="宋体" w:eastAsia="宋体" w:cs="宋体"/>
                <w:b/>
                <w:bCs/>
                <w:color w:val="auto"/>
                <w:highlight w:val="none"/>
              </w:rPr>
            </w:pPr>
          </w:p>
          <w:p w14:paraId="5B1DDE70">
            <w:pPr>
              <w:pStyle w:val="6"/>
              <w:rPr>
                <w:rFonts w:hint="eastAsia" w:ascii="宋体" w:hAnsi="宋体" w:eastAsia="宋体" w:cs="宋体"/>
                <w:color w:val="auto"/>
                <w:highlight w:val="none"/>
              </w:rPr>
            </w:pPr>
          </w:p>
          <w:p w14:paraId="600ED744">
            <w:pPr>
              <w:jc w:val="center"/>
              <w:rPr>
                <w:rFonts w:hint="eastAsia" w:ascii="宋体" w:hAnsi="宋体" w:eastAsia="宋体" w:cs="宋体"/>
                <w:b/>
                <w:bCs/>
                <w:color w:val="auto"/>
                <w:highlight w:val="none"/>
              </w:rPr>
            </w:pPr>
          </w:p>
          <w:p w14:paraId="2C427344">
            <w:pPr>
              <w:jc w:val="center"/>
              <w:rPr>
                <w:rFonts w:hint="eastAsia" w:ascii="宋体" w:hAnsi="宋体" w:eastAsia="宋体" w:cs="宋体"/>
                <w:b/>
                <w:bCs/>
                <w:color w:val="auto"/>
                <w:highlight w:val="none"/>
              </w:rPr>
            </w:pPr>
          </w:p>
        </w:tc>
      </w:tr>
    </w:tbl>
    <w:p w14:paraId="6D76460E">
      <w:pPr>
        <w:spacing w:line="240" w:lineRule="atLeast"/>
        <w:jc w:val="center"/>
        <w:rPr>
          <w:rFonts w:hint="eastAsia" w:ascii="宋体" w:hAnsi="宋体" w:eastAsia="宋体" w:cs="宋体"/>
          <w:b/>
          <w:color w:val="auto"/>
          <w:sz w:val="32"/>
          <w:highlight w:val="none"/>
        </w:rPr>
      </w:pPr>
    </w:p>
    <w:p w14:paraId="579BD2C9">
      <w:pP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br w:type="page"/>
      </w:r>
    </w:p>
    <w:p w14:paraId="6E9BC3B4">
      <w:pPr>
        <w:pStyle w:val="9"/>
        <w:rPr>
          <w:rFonts w:hint="eastAsia" w:ascii="宋体" w:hAnsi="宋体" w:eastAsia="宋体" w:cs="宋体"/>
          <w:highlight w:val="none"/>
        </w:rPr>
      </w:pPr>
    </w:p>
    <w:p w14:paraId="4D069E28">
      <w:pPr>
        <w:spacing w:line="240" w:lineRule="atLeast"/>
        <w:jc w:val="center"/>
        <w:outlineLvl w:val="9"/>
        <w:rPr>
          <w:rFonts w:hint="eastAsia" w:ascii="宋体" w:hAnsi="宋体" w:eastAsia="宋体" w:cs="宋体"/>
          <w:b/>
          <w:color w:val="auto"/>
          <w:sz w:val="44"/>
          <w:szCs w:val="44"/>
          <w:highlight w:val="none"/>
        </w:rPr>
      </w:pPr>
    </w:p>
    <w:p w14:paraId="4FCC9F96">
      <w:pPr>
        <w:pStyle w:val="7"/>
        <w:outlineLvl w:val="9"/>
        <w:rPr>
          <w:rFonts w:hint="eastAsia" w:ascii="宋体" w:hAnsi="宋体" w:eastAsia="宋体" w:cs="宋体"/>
          <w:b/>
          <w:color w:val="auto"/>
          <w:sz w:val="44"/>
          <w:szCs w:val="44"/>
          <w:highlight w:val="none"/>
        </w:rPr>
      </w:pPr>
    </w:p>
    <w:p w14:paraId="00CE976E">
      <w:pPr>
        <w:outlineLvl w:val="9"/>
        <w:rPr>
          <w:rFonts w:hint="eastAsia" w:ascii="宋体" w:hAnsi="宋体" w:eastAsia="宋体" w:cs="宋体"/>
          <w:b/>
          <w:color w:val="auto"/>
          <w:sz w:val="44"/>
          <w:szCs w:val="44"/>
          <w:highlight w:val="none"/>
        </w:rPr>
      </w:pPr>
    </w:p>
    <w:p w14:paraId="355D173E">
      <w:pPr>
        <w:pStyle w:val="20"/>
        <w:rPr>
          <w:rFonts w:hint="eastAsia" w:ascii="宋体" w:hAnsi="宋体" w:eastAsia="宋体" w:cs="宋体"/>
          <w:b/>
          <w:color w:val="auto"/>
          <w:sz w:val="44"/>
          <w:szCs w:val="44"/>
          <w:highlight w:val="none"/>
        </w:rPr>
      </w:pPr>
    </w:p>
    <w:p w14:paraId="76235938">
      <w:pPr>
        <w:pStyle w:val="9"/>
        <w:rPr>
          <w:rFonts w:hint="eastAsia" w:ascii="宋体" w:hAnsi="宋体" w:eastAsia="宋体" w:cs="宋体"/>
          <w:b/>
          <w:color w:val="auto"/>
          <w:sz w:val="44"/>
          <w:szCs w:val="44"/>
          <w:highlight w:val="none"/>
        </w:rPr>
      </w:pPr>
    </w:p>
    <w:p w14:paraId="55E564AF">
      <w:pPr>
        <w:pStyle w:val="26"/>
        <w:rPr>
          <w:rFonts w:hint="eastAsia" w:ascii="宋体" w:hAnsi="宋体" w:eastAsia="宋体" w:cs="宋体"/>
          <w:b/>
          <w:color w:val="auto"/>
          <w:sz w:val="44"/>
          <w:szCs w:val="44"/>
          <w:highlight w:val="none"/>
        </w:rPr>
      </w:pPr>
    </w:p>
    <w:p w14:paraId="7048B62A">
      <w:pPr>
        <w:rPr>
          <w:rFonts w:hint="eastAsia" w:ascii="宋体" w:hAnsi="宋体" w:eastAsia="宋体" w:cs="宋体"/>
          <w:highlight w:val="none"/>
        </w:rPr>
      </w:pPr>
    </w:p>
    <w:p w14:paraId="3EEFBBB1">
      <w:pPr>
        <w:outlineLvl w:val="9"/>
        <w:rPr>
          <w:rFonts w:hint="eastAsia" w:ascii="宋体" w:hAnsi="宋体" w:eastAsia="宋体" w:cs="宋体"/>
          <w:highlight w:val="none"/>
        </w:rPr>
      </w:pPr>
    </w:p>
    <w:p w14:paraId="638EBC1A">
      <w:pPr>
        <w:pStyle w:val="20"/>
        <w:rPr>
          <w:rFonts w:hint="eastAsia" w:ascii="宋体" w:hAnsi="宋体" w:eastAsia="宋体" w:cs="宋体"/>
          <w:color w:val="auto"/>
          <w:highlight w:val="none"/>
        </w:rPr>
      </w:pPr>
    </w:p>
    <w:p w14:paraId="30A6CBAE">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72E4068C">
      <w:pPr>
        <w:spacing w:line="240" w:lineRule="auto"/>
        <w:rPr>
          <w:rFonts w:hint="eastAsia" w:ascii="宋体" w:hAnsi="宋体" w:eastAsia="宋体" w:cs="宋体"/>
          <w:b/>
          <w:color w:val="auto"/>
          <w:sz w:val="44"/>
          <w:szCs w:val="44"/>
          <w:highlight w:val="none"/>
        </w:rPr>
      </w:pPr>
      <w:bookmarkStart w:id="2413" w:name="_Toc24900_WPSOffice_Level2"/>
    </w:p>
    <w:p w14:paraId="202219D4">
      <w:pPr>
        <w:spacing w:line="240" w:lineRule="auto"/>
        <w:jc w:val="center"/>
        <w:outlineLvl w:val="9"/>
        <w:rPr>
          <w:rFonts w:hint="default" w:ascii="宋体" w:hAnsi="宋体" w:eastAsia="宋体" w:cs="宋体"/>
          <w:b/>
          <w:color w:val="auto"/>
          <w:sz w:val="44"/>
          <w:szCs w:val="44"/>
          <w:highlight w:val="yellow"/>
          <w:lang w:eastAsia="zh-CN"/>
        </w:rPr>
      </w:pPr>
      <w:r>
        <w:rPr>
          <w:rFonts w:hint="eastAsia" w:ascii="宋体" w:hAnsi="宋体" w:eastAsia="宋体" w:cs="宋体"/>
          <w:b/>
          <w:color w:val="auto"/>
          <w:sz w:val="44"/>
          <w:szCs w:val="44"/>
          <w:highlight w:val="none"/>
        </w:rPr>
        <w:t>项目编号：</w:t>
      </w:r>
      <w:bookmarkEnd w:id="2413"/>
      <w:r>
        <w:rPr>
          <w:rFonts w:hint="default" w:ascii="宋体" w:hAnsi="宋体" w:cs="宋体"/>
          <w:b/>
          <w:color w:val="auto"/>
          <w:sz w:val="44"/>
          <w:szCs w:val="44"/>
          <w:highlight w:val="none"/>
          <w:lang w:eastAsia="zh-CN"/>
        </w:rPr>
        <w:t>XS2025(GK)-010</w:t>
      </w:r>
    </w:p>
    <w:p w14:paraId="6A06C43B">
      <w:pPr>
        <w:spacing w:line="240" w:lineRule="auto"/>
        <w:rPr>
          <w:rFonts w:hint="eastAsia" w:ascii="宋体" w:hAnsi="宋体" w:eastAsia="宋体" w:cs="宋体"/>
          <w:b/>
          <w:color w:val="auto"/>
          <w:sz w:val="44"/>
          <w:szCs w:val="44"/>
          <w:highlight w:val="none"/>
        </w:rPr>
      </w:pPr>
    </w:p>
    <w:p w14:paraId="13A4AC79">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第 二 册</w:t>
      </w:r>
    </w:p>
    <w:p w14:paraId="4AB9EA07">
      <w:pPr>
        <w:rPr>
          <w:rFonts w:hint="eastAsia" w:ascii="宋体" w:hAnsi="宋体" w:eastAsia="宋体" w:cs="宋体"/>
          <w:color w:val="auto"/>
          <w:sz w:val="44"/>
          <w:szCs w:val="36"/>
          <w:highlight w:val="none"/>
        </w:rPr>
      </w:pPr>
    </w:p>
    <w:bookmarkEnd w:id="2271"/>
    <w:bookmarkEnd w:id="2272"/>
    <w:bookmarkEnd w:id="2273"/>
    <w:bookmarkEnd w:id="2274"/>
    <w:bookmarkEnd w:id="2320"/>
    <w:bookmarkEnd w:id="2321"/>
    <w:bookmarkEnd w:id="2322"/>
    <w:bookmarkEnd w:id="2323"/>
    <w:bookmarkEnd w:id="2324"/>
    <w:bookmarkEnd w:id="2325"/>
    <w:p w14:paraId="45F2E1AF">
      <w:pPr>
        <w:rPr>
          <w:rFonts w:hint="eastAsia" w:ascii="宋体" w:hAnsi="宋体" w:eastAsia="宋体" w:cs="宋体"/>
          <w:color w:val="auto"/>
          <w:highlight w:val="none"/>
        </w:rPr>
      </w:pPr>
    </w:p>
    <w:p w14:paraId="0C92E04B">
      <w:pPr>
        <w:rPr>
          <w:rStyle w:val="42"/>
          <w:rFonts w:hint="eastAsia" w:ascii="宋体" w:hAnsi="宋体" w:eastAsia="宋体" w:cs="宋体"/>
          <w:color w:val="auto"/>
          <w:highlight w:val="none"/>
        </w:rPr>
      </w:pPr>
      <w:bookmarkStart w:id="2414" w:name="_Toc29715"/>
      <w:bookmarkStart w:id="2415" w:name="_Toc515647829"/>
      <w:bookmarkStart w:id="2416" w:name="_Toc16370"/>
      <w:bookmarkStart w:id="2417" w:name="_Toc218935350"/>
      <w:bookmarkStart w:id="2418" w:name="_Toc219175634"/>
      <w:bookmarkStart w:id="2419" w:name="_Toc216582822"/>
      <w:bookmarkStart w:id="2420" w:name="_Toc507399902"/>
      <w:bookmarkStart w:id="2421" w:name="_Toc22081"/>
      <w:bookmarkStart w:id="2422" w:name="_Toc28765"/>
      <w:r>
        <w:rPr>
          <w:rStyle w:val="42"/>
          <w:rFonts w:hint="eastAsia" w:ascii="宋体" w:hAnsi="宋体" w:eastAsia="宋体" w:cs="宋体"/>
          <w:color w:val="auto"/>
          <w:highlight w:val="none"/>
        </w:rPr>
        <w:br w:type="page"/>
      </w:r>
    </w:p>
    <w:p w14:paraId="30007D7E">
      <w:pPr>
        <w:pStyle w:val="6"/>
        <w:ind w:firstLine="0"/>
        <w:jc w:val="center"/>
        <w:outlineLvl w:val="0"/>
        <w:rPr>
          <w:rFonts w:hint="eastAsia" w:ascii="宋体" w:hAnsi="宋体" w:eastAsia="宋体" w:cs="宋体"/>
          <w:b/>
          <w:bCs/>
          <w:color w:val="auto"/>
          <w:sz w:val="32"/>
          <w:szCs w:val="32"/>
          <w:highlight w:val="none"/>
          <w:lang w:val="en-US" w:eastAsia="zh-CN"/>
        </w:rPr>
      </w:pPr>
      <w:bookmarkStart w:id="2423" w:name="_Toc22943"/>
      <w:bookmarkStart w:id="2424" w:name="_Toc10889"/>
      <w:bookmarkStart w:id="2425" w:name="_Toc22386"/>
      <w:r>
        <w:rPr>
          <w:rFonts w:hint="eastAsia" w:ascii="宋体" w:hAnsi="宋体" w:eastAsia="宋体" w:cs="宋体"/>
          <w:b/>
          <w:bCs/>
          <w:color w:val="auto"/>
          <w:sz w:val="32"/>
          <w:szCs w:val="32"/>
          <w:highlight w:val="none"/>
          <w:lang w:val="en-US" w:eastAsia="zh-CN"/>
        </w:rPr>
        <w:t>第3章  投标邀请</w:t>
      </w:r>
      <w:bookmarkEnd w:id="2414"/>
      <w:bookmarkEnd w:id="2415"/>
      <w:bookmarkEnd w:id="2416"/>
      <w:bookmarkEnd w:id="2417"/>
      <w:bookmarkEnd w:id="2418"/>
      <w:bookmarkEnd w:id="2419"/>
      <w:bookmarkEnd w:id="2420"/>
      <w:bookmarkEnd w:id="2421"/>
      <w:bookmarkEnd w:id="2422"/>
      <w:bookmarkEnd w:id="2423"/>
      <w:bookmarkEnd w:id="2424"/>
      <w:bookmarkEnd w:id="2425"/>
      <w:bookmarkStart w:id="2426" w:name="_Toc5272"/>
      <w:bookmarkStart w:id="2427" w:name="_Toc515647830"/>
      <w:bookmarkStart w:id="2428" w:name="_Toc216582823"/>
      <w:bookmarkStart w:id="2429" w:name="_Toc507399903"/>
      <w:bookmarkStart w:id="2430" w:name="_Toc31583"/>
      <w:bookmarkStart w:id="2431" w:name="_Toc512937850"/>
      <w:bookmarkStart w:id="2432" w:name="_Toc10488"/>
    </w:p>
    <w:p w14:paraId="284EF180">
      <w:pPr>
        <w:tabs>
          <w:tab w:val="left" w:pos="0"/>
          <w:tab w:val="left" w:pos="3165"/>
          <w:tab w:val="center" w:pos="4153"/>
        </w:tabs>
        <w:spacing w:before="0" w:after="0" w:line="480" w:lineRule="exact"/>
        <w:jc w:val="center"/>
        <w:outlineLvl w:val="9"/>
        <w:rPr>
          <w:rFonts w:hint="eastAsia" w:ascii="宋体" w:hAnsi="宋体" w:eastAsia="宋体" w:cs="宋体"/>
          <w:b/>
          <w:bCs/>
          <w:color w:val="auto"/>
          <w:sz w:val="28"/>
          <w:szCs w:val="28"/>
          <w:highlight w:val="none"/>
          <w:lang w:eastAsia="zh-CN"/>
        </w:rPr>
      </w:pPr>
      <w:bookmarkStart w:id="2433" w:name="_Toc29132"/>
      <w:r>
        <w:rPr>
          <w:rFonts w:hint="eastAsia" w:ascii="宋体" w:hAnsi="宋体" w:eastAsia="宋体" w:cs="宋体"/>
          <w:b/>
          <w:bCs/>
          <w:color w:val="auto"/>
          <w:kern w:val="2"/>
          <w:sz w:val="28"/>
          <w:szCs w:val="28"/>
          <w:highlight w:val="none"/>
          <w:lang w:val="en-US" w:eastAsia="zh-CN" w:bidi="ar-SA"/>
        </w:rPr>
        <w:t>新疆信实工程招标咨询服务有限公司关于</w:t>
      </w:r>
      <w:r>
        <w:rPr>
          <w:rFonts w:hint="eastAsia" w:ascii="宋体" w:hAnsi="宋体" w:cs="宋体"/>
          <w:b/>
          <w:bCs/>
          <w:color w:val="auto"/>
          <w:kern w:val="2"/>
          <w:sz w:val="28"/>
          <w:szCs w:val="28"/>
          <w:highlight w:val="none"/>
          <w:lang w:val="en-US" w:eastAsia="zh-CN" w:bidi="ar-SA"/>
        </w:rPr>
        <w:t>叶城县教育质量提升项目（强基计划）</w:t>
      </w:r>
      <w:r>
        <w:rPr>
          <w:rFonts w:hint="eastAsia" w:ascii="宋体" w:hAnsi="宋体" w:eastAsia="宋体" w:cs="宋体"/>
          <w:b/>
          <w:bCs/>
          <w:color w:val="auto"/>
          <w:sz w:val="28"/>
          <w:szCs w:val="28"/>
          <w:highlight w:val="none"/>
          <w:lang w:eastAsia="zh-CN"/>
        </w:rPr>
        <w:t>公开招标公告</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5"/>
      </w:tblGrid>
      <w:tr w14:paraId="59AD7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jc w:val="center"/>
        </w:trPr>
        <w:tc>
          <w:tcPr>
            <w:tcW w:w="8495" w:type="dxa"/>
            <w:vAlign w:val="top"/>
          </w:tcPr>
          <w:p w14:paraId="6E48B0D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4"/>
                <w:szCs w:val="24"/>
                <w:highlight w:val="none"/>
                <w:lang w:val="en-US" w:eastAsia="zh-CN"/>
              </w:rPr>
            </w:pPr>
            <w:bookmarkStart w:id="2434" w:name="_Toc35393791"/>
            <w:bookmarkStart w:id="2435" w:name="_Toc28359003"/>
            <w:bookmarkStart w:id="2436" w:name="_Toc1145"/>
            <w:bookmarkStart w:id="2437" w:name="_Toc35393622"/>
            <w:bookmarkStart w:id="2438" w:name="_Toc28359080"/>
            <w:bookmarkStart w:id="2439" w:name="_Toc19260"/>
            <w:bookmarkStart w:id="2440" w:name="_Toc13688"/>
            <w:bookmarkStart w:id="2441" w:name="_Toc29506"/>
            <w:r>
              <w:rPr>
                <w:rFonts w:hint="eastAsia" w:ascii="宋体" w:hAnsi="宋体" w:eastAsia="宋体" w:cs="宋体"/>
                <w:b/>
                <w:bCs/>
                <w:sz w:val="24"/>
                <w:szCs w:val="24"/>
                <w:highlight w:val="none"/>
                <w:lang w:val="en-US" w:eastAsia="zh-CN"/>
              </w:rPr>
              <w:t>项目概况</w:t>
            </w:r>
          </w:p>
          <w:p w14:paraId="7982218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b w:val="0"/>
                <w:bCs/>
                <w:sz w:val="24"/>
                <w:szCs w:val="24"/>
                <w:highlight w:val="none"/>
                <w:u w:val="single"/>
                <w:lang w:val="en-US" w:eastAsia="zh-CN"/>
              </w:rPr>
              <w:t>叶城县教育质量提升项目（强基计划）</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kern w:val="2"/>
                <w:sz w:val="24"/>
                <w:szCs w:val="24"/>
                <w:highlight w:val="none"/>
                <w:u w:val="single"/>
                <w:lang w:val="en-US" w:eastAsia="zh-CN" w:bidi="ar-SA"/>
              </w:rPr>
              <w:t>2025年04月08日11:00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069BBB21">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bookmarkStart w:id="2442" w:name="_Toc28359002"/>
      <w:bookmarkStart w:id="2443" w:name="_Toc35393790"/>
      <w:bookmarkStart w:id="2444" w:name="_Toc35393621"/>
      <w:bookmarkStart w:id="2445" w:name="_Toc28359079"/>
      <w:bookmarkStart w:id="2446" w:name="_Toc28217"/>
      <w:bookmarkStart w:id="2447" w:name="_Toc20970"/>
      <w:bookmarkStart w:id="2448" w:name="_Toc28253"/>
      <w:bookmarkStart w:id="2449" w:name="_Hlk24379207"/>
      <w:r>
        <w:rPr>
          <w:rFonts w:hint="eastAsia" w:ascii="宋体" w:hAnsi="宋体" w:eastAsia="宋体" w:cs="宋体"/>
          <w:b/>
          <w:bCs w:val="0"/>
          <w:color w:val="auto"/>
          <w:sz w:val="24"/>
          <w:szCs w:val="24"/>
          <w:highlight w:val="none"/>
        </w:rPr>
        <w:t>一、</w:t>
      </w:r>
      <w:bookmarkEnd w:id="2442"/>
      <w:bookmarkEnd w:id="2443"/>
      <w:bookmarkEnd w:id="2444"/>
      <w:bookmarkEnd w:id="2445"/>
      <w:bookmarkEnd w:id="2446"/>
      <w:r>
        <w:rPr>
          <w:rFonts w:hint="eastAsia" w:ascii="宋体" w:hAnsi="宋体" w:eastAsia="宋体" w:cs="宋体"/>
          <w:b/>
          <w:bCs w:val="0"/>
          <w:color w:val="auto"/>
          <w:sz w:val="24"/>
          <w:szCs w:val="24"/>
          <w:highlight w:val="none"/>
        </w:rPr>
        <w:t>项目基本情况</w:t>
      </w:r>
      <w:bookmarkEnd w:id="2447"/>
      <w:bookmarkEnd w:id="2448"/>
    </w:p>
    <w:p w14:paraId="6A23DC6C">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1.项目编号：XS2025(GK)-010</w:t>
      </w:r>
    </w:p>
    <w:p w14:paraId="1606E792">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2.项目名称：</w:t>
      </w:r>
      <w:bookmarkEnd w:id="2449"/>
      <w:r>
        <w:rPr>
          <w:rFonts w:hint="eastAsia" w:ascii="宋体" w:hAnsi="宋体" w:eastAsia="宋体" w:cs="宋体"/>
          <w:color w:val="auto"/>
          <w:sz w:val="24"/>
          <w:szCs w:val="24"/>
          <w:highlight w:val="none"/>
          <w:lang w:val="en-US" w:eastAsia="zh-CN"/>
        </w:rPr>
        <w:t>叶城县教育质量提升项目（强基计划）</w:t>
      </w:r>
    </w:p>
    <w:p w14:paraId="5BDD8681">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3.采购方式：公开招标</w:t>
      </w:r>
    </w:p>
    <w:p w14:paraId="24790BA4">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4.预算金额（元）：3000000</w:t>
      </w:r>
    </w:p>
    <w:p w14:paraId="34E704F4">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5.最高限价（元）：2920000</w:t>
      </w:r>
    </w:p>
    <w:p w14:paraId="2CF82D0E">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6.采购需求：</w:t>
      </w:r>
    </w:p>
    <w:p w14:paraId="3AC5A0E8">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标项一:</w:t>
      </w:r>
    </w:p>
    <w:p w14:paraId="2C3F6761">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标项名称:叶城县教育质量提升项目（强基计划）</w:t>
      </w:r>
    </w:p>
    <w:p w14:paraId="5DDCC978">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数量:1项</w:t>
      </w:r>
    </w:p>
    <w:p w14:paraId="629026BB">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预算金额（元）:3000000</w:t>
      </w:r>
    </w:p>
    <w:p w14:paraId="78D530D8">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最高限价（元）：2920000 </w:t>
      </w:r>
    </w:p>
    <w:p w14:paraId="383F343A">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简要规格描述或项目基本概况介绍、用途：拔尖创新学生培养交流活动</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zh-CN"/>
        </w:rPr>
        <w:t>。（详见招标文件）</w:t>
      </w:r>
    </w:p>
    <w:p w14:paraId="30FA98D5">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备注：本项目预算金额为3000000元，投标最高限价为2920000元，供应商的投标报价超出最高限价的视为投标无效。</w:t>
      </w:r>
    </w:p>
    <w:p w14:paraId="03D8EBAF">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合同履约期限：详见招标文件</w:t>
      </w:r>
    </w:p>
    <w:p w14:paraId="71D0EE36">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7.本项目不接受联合体投标。</w:t>
      </w:r>
    </w:p>
    <w:p w14:paraId="66EF4096">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jc w:val="both"/>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val="en-US" w:eastAsia="zh-CN"/>
        </w:rPr>
        <w:t>申请人的</w:t>
      </w:r>
      <w:r>
        <w:rPr>
          <w:rFonts w:hint="eastAsia" w:ascii="宋体" w:hAnsi="宋体" w:eastAsia="宋体" w:cs="宋体"/>
          <w:b/>
          <w:color w:val="auto"/>
          <w:sz w:val="24"/>
          <w:szCs w:val="24"/>
          <w:highlight w:val="none"/>
        </w:rPr>
        <w:t>资格要求：</w:t>
      </w:r>
      <w:bookmarkEnd w:id="2434"/>
      <w:bookmarkEnd w:id="2435"/>
      <w:bookmarkEnd w:id="2436"/>
      <w:bookmarkEnd w:id="2437"/>
      <w:bookmarkEnd w:id="2438"/>
      <w:bookmarkEnd w:id="2439"/>
      <w:bookmarkEnd w:id="2440"/>
      <w:bookmarkEnd w:id="2441"/>
    </w:p>
    <w:p w14:paraId="33639A13">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2ACADF46">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bookmarkStart w:id="2450" w:name="_Toc28359004"/>
      <w:bookmarkStart w:id="2451" w:name="_Toc27678"/>
      <w:bookmarkStart w:id="2452" w:name="_Toc35393623"/>
      <w:bookmarkStart w:id="2453" w:name="_Toc28359081"/>
      <w:bookmarkStart w:id="2454" w:name="_Toc32226"/>
      <w:bookmarkStart w:id="2455" w:name="_Toc35393792"/>
      <w:r>
        <w:rPr>
          <w:rFonts w:hint="eastAsia" w:ascii="宋体" w:hAnsi="宋体" w:eastAsia="宋体" w:cs="宋体"/>
          <w:color w:val="auto"/>
          <w:sz w:val="24"/>
          <w:szCs w:val="24"/>
          <w:highlight w:val="none"/>
          <w:lang w:val="en-US" w:eastAsia="zh-CN"/>
        </w:rPr>
        <w:t>2.落实政府采购政策需满足的资格要求：专门面向中小企业。</w:t>
      </w:r>
    </w:p>
    <w:p w14:paraId="771B3E3D">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3.本项目的特定资格要求：无。 </w:t>
      </w:r>
    </w:p>
    <w:bookmarkEnd w:id="2450"/>
    <w:bookmarkEnd w:id="2451"/>
    <w:bookmarkEnd w:id="2452"/>
    <w:bookmarkEnd w:id="2453"/>
    <w:bookmarkEnd w:id="2454"/>
    <w:bookmarkEnd w:id="2455"/>
    <w:p w14:paraId="4308D3E1">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bookmarkStart w:id="2456" w:name="_Toc18169"/>
      <w:bookmarkStart w:id="2457" w:name="_Toc2787"/>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bCs w:val="0"/>
          <w:color w:val="auto"/>
          <w:sz w:val="24"/>
          <w:szCs w:val="24"/>
          <w:highlight w:val="none"/>
        </w:rPr>
        <w:t>三、获取</w:t>
      </w:r>
      <w:r>
        <w:rPr>
          <w:rFonts w:hint="eastAsia" w:ascii="宋体" w:hAnsi="宋体" w:cs="宋体"/>
          <w:b/>
          <w:bCs w:val="0"/>
          <w:color w:val="auto"/>
          <w:sz w:val="24"/>
          <w:szCs w:val="24"/>
          <w:highlight w:val="none"/>
          <w:lang w:val="en-US" w:eastAsia="zh-CN"/>
        </w:rPr>
        <w:t>招标</w:t>
      </w:r>
      <w:r>
        <w:rPr>
          <w:rFonts w:hint="eastAsia" w:ascii="宋体" w:hAnsi="宋体" w:eastAsia="宋体" w:cs="宋体"/>
          <w:b/>
          <w:bCs w:val="0"/>
          <w:color w:val="auto"/>
          <w:sz w:val="24"/>
          <w:szCs w:val="24"/>
          <w:highlight w:val="none"/>
        </w:rPr>
        <w:t>文件</w:t>
      </w:r>
    </w:p>
    <w:p w14:paraId="0BC8D7F6">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时间：2025年3月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日至2025年</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日，每天上午10:00至14:00，下午1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0至</w:t>
      </w: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（北京时间，法定节假日除外）</w:t>
      </w:r>
    </w:p>
    <w:p w14:paraId="5EA9AD33">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地点：政采云平台（https://login.zcygov.cn/user-login/#/login）</w:t>
      </w:r>
    </w:p>
    <w:p w14:paraId="0D04859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83EBFE0">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售价（元）：0元</w:t>
      </w:r>
    </w:p>
    <w:p w14:paraId="76C4FBE8">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bookmarkStart w:id="2458" w:name="_Toc9047"/>
      <w:bookmarkStart w:id="2459" w:name="_Toc35393624"/>
      <w:bookmarkStart w:id="2460" w:name="_Toc952"/>
      <w:bookmarkStart w:id="2461" w:name="_Toc28359005"/>
      <w:bookmarkStart w:id="2462" w:name="_Toc35393793"/>
      <w:bookmarkStart w:id="2463" w:name="_Toc2422"/>
      <w:bookmarkStart w:id="2464" w:name="_Toc28359082"/>
      <w:bookmarkStart w:id="2465" w:name="_Toc2532"/>
      <w:r>
        <w:rPr>
          <w:rFonts w:hint="eastAsia" w:ascii="宋体" w:hAnsi="宋体" w:eastAsia="宋体" w:cs="宋体"/>
          <w:b/>
          <w:bCs w:val="0"/>
          <w:color w:val="auto"/>
          <w:sz w:val="24"/>
          <w:szCs w:val="24"/>
          <w:highlight w:val="none"/>
        </w:rPr>
        <w:t>四、提交投标文件截止时间、开标时间和地点</w:t>
      </w:r>
    </w:p>
    <w:p w14:paraId="0B2C55B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提交投标文件截止时间：2025年4月</w:t>
      </w:r>
      <w:r>
        <w:rPr>
          <w:rFonts w:hint="eastAsia" w:ascii="宋体" w:hAnsi="宋体" w:cs="宋体"/>
          <w:color w:val="auto"/>
          <w:sz w:val="24"/>
          <w:szCs w:val="24"/>
          <w:highlight w:val="none"/>
          <w:lang w:val="en-US" w:eastAsia="zh-CN"/>
        </w:rPr>
        <w:t>08</w:t>
      </w:r>
      <w:r>
        <w:rPr>
          <w:rFonts w:hint="eastAsia" w:ascii="宋体" w:hAnsi="宋体" w:eastAsia="宋体" w:cs="宋体"/>
          <w:color w:val="auto"/>
          <w:sz w:val="24"/>
          <w:szCs w:val="24"/>
          <w:highlight w:val="none"/>
          <w:lang w:val="en-US" w:eastAsia="zh-CN"/>
        </w:rPr>
        <w:t>日11:00（北京时间）</w:t>
      </w:r>
    </w:p>
    <w:p w14:paraId="192A8A61">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投标地点：请登录政采云投标客户端投标</w:t>
      </w:r>
    </w:p>
    <w:p w14:paraId="3267028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开标时间：2025年4月</w:t>
      </w:r>
      <w:r>
        <w:rPr>
          <w:rFonts w:hint="eastAsia" w:ascii="宋体" w:hAnsi="宋体" w:cs="宋体"/>
          <w:color w:val="auto"/>
          <w:sz w:val="24"/>
          <w:szCs w:val="24"/>
          <w:highlight w:val="none"/>
          <w:lang w:val="en-US" w:eastAsia="zh-CN"/>
        </w:rPr>
        <w:t>08</w:t>
      </w:r>
      <w:r>
        <w:rPr>
          <w:rFonts w:hint="eastAsia" w:ascii="宋体" w:hAnsi="宋体" w:eastAsia="宋体" w:cs="宋体"/>
          <w:color w:val="auto"/>
          <w:sz w:val="24"/>
          <w:szCs w:val="24"/>
          <w:highlight w:val="none"/>
          <w:lang w:val="en-US" w:eastAsia="zh-CN"/>
        </w:rPr>
        <w:t>日11:00（北京时间）</w:t>
      </w:r>
    </w:p>
    <w:p w14:paraId="45C4A5BA">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开标地点：投标人登录政采云平台https://www.zcygov.cn/，进入“项目采购-开标评标-右边选择对应项目点击“进入项目”进入开标大厅。</w:t>
      </w:r>
    </w:p>
    <w:bookmarkEnd w:id="2458"/>
    <w:bookmarkEnd w:id="2459"/>
    <w:bookmarkEnd w:id="2460"/>
    <w:bookmarkEnd w:id="2461"/>
    <w:bookmarkEnd w:id="2462"/>
    <w:bookmarkEnd w:id="2463"/>
    <w:bookmarkEnd w:id="2464"/>
    <w:bookmarkEnd w:id="2465"/>
    <w:p w14:paraId="3721B57C">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bookmarkStart w:id="2466" w:name="_Toc32108"/>
      <w:bookmarkStart w:id="2467" w:name="_Toc28359007"/>
      <w:bookmarkStart w:id="2468" w:name="_Toc30400"/>
      <w:bookmarkStart w:id="2469" w:name="_Toc35393794"/>
      <w:bookmarkStart w:id="2470" w:name="_Toc20863"/>
      <w:bookmarkStart w:id="2471" w:name="_Toc23672"/>
      <w:bookmarkStart w:id="2472" w:name="_Toc28359084"/>
      <w:bookmarkStart w:id="2473" w:name="_Toc35393625"/>
      <w:r>
        <w:rPr>
          <w:rFonts w:hint="eastAsia" w:ascii="宋体" w:hAnsi="宋体" w:cs="宋体"/>
          <w:b/>
          <w:bCs w:val="0"/>
          <w:color w:val="auto"/>
          <w:sz w:val="24"/>
          <w:szCs w:val="24"/>
          <w:highlight w:val="none"/>
          <w:lang w:val="en-US" w:eastAsia="zh-CN"/>
        </w:rPr>
        <w:t>五</w:t>
      </w:r>
      <w:r>
        <w:rPr>
          <w:rFonts w:hint="eastAsia" w:ascii="宋体" w:hAnsi="宋体" w:eastAsia="宋体" w:cs="宋体"/>
          <w:b/>
          <w:bCs w:val="0"/>
          <w:color w:val="auto"/>
          <w:sz w:val="24"/>
          <w:szCs w:val="24"/>
          <w:highlight w:val="none"/>
        </w:rPr>
        <w:t>、公告期限</w:t>
      </w:r>
      <w:bookmarkEnd w:id="2466"/>
      <w:bookmarkEnd w:id="2467"/>
      <w:bookmarkEnd w:id="2468"/>
      <w:bookmarkEnd w:id="2469"/>
      <w:bookmarkEnd w:id="2470"/>
      <w:bookmarkEnd w:id="2471"/>
      <w:bookmarkEnd w:id="2472"/>
      <w:bookmarkEnd w:id="2473"/>
    </w:p>
    <w:p w14:paraId="33EF72B8">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1884ADE9">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r>
        <w:rPr>
          <w:rFonts w:hint="eastAsia" w:ascii="宋体" w:hAnsi="宋体" w:cs="宋体"/>
          <w:b/>
          <w:bCs w:val="0"/>
          <w:color w:val="auto"/>
          <w:sz w:val="24"/>
          <w:szCs w:val="24"/>
          <w:highlight w:val="none"/>
          <w:lang w:val="en-US" w:eastAsia="zh-CN"/>
        </w:rPr>
        <w:t>六</w:t>
      </w:r>
      <w:r>
        <w:rPr>
          <w:rFonts w:hint="eastAsia" w:ascii="宋体" w:hAnsi="宋体" w:eastAsia="宋体" w:cs="宋体"/>
          <w:b/>
          <w:bCs w:val="0"/>
          <w:color w:val="auto"/>
          <w:sz w:val="24"/>
          <w:szCs w:val="24"/>
          <w:highlight w:val="none"/>
        </w:rPr>
        <w:t>、其它补充事宜</w:t>
      </w:r>
    </w:p>
    <w:p w14:paraId="1305ECF7">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bookmarkStart w:id="2474" w:name="_Toc647"/>
      <w:bookmarkStart w:id="2475" w:name="_Toc999"/>
      <w:bookmarkStart w:id="2476" w:name="_Toc18258"/>
      <w:bookmarkStart w:id="2477" w:name="_Toc35393795"/>
      <w:bookmarkStart w:id="2478" w:name="_Toc13675"/>
      <w:bookmarkStart w:id="2479" w:name="_Toc35393626"/>
      <w:r>
        <w:rPr>
          <w:rFonts w:hint="eastAsia" w:ascii="宋体" w:hAnsi="宋体" w:eastAsia="宋体" w:cs="宋体"/>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6F2D7AEC">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3AC8497B">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2D48227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25984F1F">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5.供应商在开标时须使用制作加密电子投标文件所使用的CA锁及电脑，电脑须提前配置好浏览器（建议使用360浏览器或谷歌浏览器），以便开标时解锁。</w:t>
      </w:r>
    </w:p>
    <w:p w14:paraId="3F4F770C">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6.投标保证金缴纳及确认时间：凡拟参加本次招标项目的供应商，必须在开标前将投标保证金汇入指定账户。否则，届时其投标将被拒绝。</w:t>
      </w:r>
    </w:p>
    <w:p w14:paraId="45BA582C">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C679896">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eastAsia" w:ascii="宋体" w:hAnsi="宋体" w:eastAsia="宋体" w:cs="宋体"/>
          <w:b/>
          <w:bCs w:val="0"/>
          <w:color w:val="auto"/>
          <w:sz w:val="24"/>
          <w:szCs w:val="24"/>
          <w:highlight w:val="none"/>
        </w:rPr>
      </w:pPr>
      <w:r>
        <w:rPr>
          <w:rFonts w:hint="eastAsia" w:ascii="宋体" w:hAnsi="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w:t>
      </w:r>
      <w:bookmarkEnd w:id="2474"/>
      <w:bookmarkEnd w:id="2475"/>
      <w:bookmarkEnd w:id="2476"/>
      <w:bookmarkEnd w:id="2477"/>
      <w:bookmarkEnd w:id="2478"/>
      <w:bookmarkEnd w:id="2479"/>
      <w:r>
        <w:rPr>
          <w:rFonts w:hint="eastAsia" w:ascii="宋体" w:hAnsi="宋体" w:eastAsia="宋体" w:cs="宋体"/>
          <w:b/>
          <w:bCs w:val="0"/>
          <w:color w:val="auto"/>
          <w:sz w:val="24"/>
          <w:szCs w:val="24"/>
          <w:highlight w:val="none"/>
        </w:rPr>
        <w:t>凡对本次招标提出询问，请按以下方式联系</w:t>
      </w:r>
    </w:p>
    <w:p w14:paraId="0821C6B3">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02281F74">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称：叶城县教育局</w:t>
      </w:r>
    </w:p>
    <w:p w14:paraId="393354A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址：叶城县教育局</w:t>
      </w:r>
    </w:p>
    <w:p w14:paraId="38E1838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bookmarkStart w:id="2480" w:name="_Toc28359009"/>
      <w:bookmarkStart w:id="2481" w:name="_Toc28359086"/>
      <w:r>
        <w:rPr>
          <w:rFonts w:hint="eastAsia" w:ascii="宋体" w:hAnsi="宋体" w:eastAsia="宋体" w:cs="宋体"/>
          <w:color w:val="auto"/>
          <w:sz w:val="24"/>
          <w:szCs w:val="24"/>
          <w:highlight w:val="none"/>
          <w:lang w:val="en-US" w:eastAsia="zh-CN"/>
        </w:rPr>
        <w:t>王老师</w:t>
      </w:r>
    </w:p>
    <w:p w14:paraId="2B61D512">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联系电话：19399271631</w:t>
      </w:r>
    </w:p>
    <w:p w14:paraId="5A0A7EA5">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2.代理机构信息</w:t>
      </w:r>
      <w:bookmarkEnd w:id="2480"/>
      <w:bookmarkEnd w:id="2481"/>
    </w:p>
    <w:p w14:paraId="70E9E9D0">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称：新疆信实工程招标咨询服务有限公司</w:t>
      </w:r>
    </w:p>
    <w:p w14:paraId="1626C742">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bookmarkStart w:id="2482" w:name="_Toc28359087"/>
      <w:bookmarkStart w:id="2483" w:name="_Toc28359010"/>
      <w:r>
        <w:rPr>
          <w:rFonts w:hint="eastAsia" w:ascii="宋体" w:hAnsi="宋体" w:eastAsia="宋体" w:cs="宋体"/>
          <w:color w:val="auto"/>
          <w:sz w:val="24"/>
          <w:szCs w:val="24"/>
          <w:highlight w:val="none"/>
          <w:lang w:val="en-US" w:eastAsia="zh-CN"/>
        </w:rPr>
        <w:t>喀什经济开发区深喀大道陕西大厦12楼1202室</w:t>
      </w:r>
    </w:p>
    <w:p w14:paraId="1EC75034">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人：刘晓宁</w:t>
      </w:r>
    </w:p>
    <w:p w14:paraId="20B7D05A">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bookmarkEnd w:id="2482"/>
      <w:bookmarkEnd w:id="2483"/>
      <w:r>
        <w:rPr>
          <w:rFonts w:hint="eastAsia" w:ascii="宋体" w:hAnsi="宋体" w:eastAsia="宋体" w:cs="宋体"/>
          <w:color w:val="auto"/>
          <w:sz w:val="24"/>
          <w:szCs w:val="24"/>
          <w:highlight w:val="none"/>
          <w:lang w:val="en-US" w:eastAsia="zh-CN"/>
        </w:rPr>
        <w:t xml:space="preserve">17881381986 </w:t>
      </w:r>
    </w:p>
    <w:p w14:paraId="6D369761">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4F35022D">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人：刘晓宁</w:t>
      </w:r>
    </w:p>
    <w:p w14:paraId="5A103667">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联系电话：17881381986 </w:t>
      </w:r>
    </w:p>
    <w:p w14:paraId="734F5979">
      <w:pPr>
        <w:keepNext w:val="0"/>
        <w:keepLines w:val="0"/>
        <w:pageBreakBefore w:val="0"/>
        <w:widowControl w:val="0"/>
        <w:kinsoku/>
        <w:wordWrap/>
        <w:overflowPunct/>
        <w:topLinePunct w:val="0"/>
        <w:autoSpaceDE/>
        <w:autoSpaceDN/>
        <w:bidi w:val="0"/>
        <w:adjustRightInd/>
        <w:snapToGrid/>
        <w:spacing w:beforeAutospacing="0" w:afterAutospacing="0" w:line="480" w:lineRule="exact"/>
        <w:ind w:left="0" w:leftChars="0" w:firstLine="480" w:firstLineChars="200"/>
        <w:jc w:val="left"/>
        <w:textAlignment w:val="auto"/>
        <w:outlineLvl w:val="9"/>
        <w:rPr>
          <w:rFonts w:hint="eastAsia" w:ascii="宋体" w:hAnsi="宋体" w:eastAsia="宋体" w:cs="宋体"/>
          <w:color w:val="auto"/>
          <w:sz w:val="24"/>
          <w:szCs w:val="24"/>
          <w:highlight w:val="none"/>
          <w:lang w:val="en-US" w:eastAsia="zh-CN"/>
        </w:rPr>
      </w:pPr>
    </w:p>
    <w:p w14:paraId="2BCC85C3">
      <w:pPr>
        <w:pStyle w:val="6"/>
        <w:keepNext w:val="0"/>
        <w:keepLines w:val="0"/>
        <w:pageBreakBefore w:val="0"/>
        <w:widowControl w:val="0"/>
        <w:kinsoku/>
        <w:wordWrap/>
        <w:overflowPunct/>
        <w:topLinePunct w:val="0"/>
        <w:bidi w:val="0"/>
        <w:snapToGrid/>
        <w:spacing w:line="360" w:lineRule="exact"/>
        <w:jc w:val="right"/>
        <w:textAlignment w:val="auto"/>
        <w:rPr>
          <w:rFonts w:hint="eastAsia" w:ascii="宋体" w:hAnsi="宋体" w:eastAsia="宋体" w:cs="宋体"/>
          <w:kern w:val="2"/>
          <w:sz w:val="24"/>
          <w:szCs w:val="24"/>
          <w:highlight w:val="none"/>
          <w:lang w:eastAsia="zh-CN"/>
        </w:rPr>
      </w:pPr>
    </w:p>
    <w:p w14:paraId="20F872E8">
      <w:pPr>
        <w:pStyle w:val="6"/>
        <w:keepNext w:val="0"/>
        <w:keepLines w:val="0"/>
        <w:pageBreakBefore w:val="0"/>
        <w:widowControl w:val="0"/>
        <w:kinsoku/>
        <w:wordWrap/>
        <w:overflowPunct/>
        <w:topLinePunct w:val="0"/>
        <w:bidi w:val="0"/>
        <w:snapToGrid/>
        <w:spacing w:line="360" w:lineRule="exact"/>
        <w:jc w:val="right"/>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eastAsia="zh-CN"/>
        </w:rPr>
        <w:t>新疆信实工程招标咨询服务有限公司</w:t>
      </w:r>
    </w:p>
    <w:p w14:paraId="787CD282">
      <w:pPr>
        <w:ind w:firstLine="5760" w:firstLineChars="2400"/>
        <w:rPr>
          <w:rFonts w:hint="eastAsia" w:hAnsi="宋体" w:cs="宋体"/>
          <w:color w:val="auto"/>
          <w:sz w:val="24"/>
          <w:szCs w:val="24"/>
          <w:highlight w:val="none"/>
          <w:lang w:val="en-US" w:eastAsia="zh-CN"/>
        </w:rPr>
      </w:pPr>
    </w:p>
    <w:p w14:paraId="080B08A3">
      <w:pPr>
        <w:ind w:firstLine="5760" w:firstLineChars="2400"/>
        <w:rPr>
          <w:highlight w:val="none"/>
        </w:rPr>
      </w:pPr>
      <w:r>
        <w:rPr>
          <w:rFonts w:hint="eastAsia" w:hAnsi="宋体" w:cs="宋体"/>
          <w:color w:val="auto"/>
          <w:sz w:val="24"/>
          <w:szCs w:val="24"/>
          <w:highlight w:val="none"/>
          <w:lang w:val="en-US" w:eastAsia="zh-CN"/>
        </w:rPr>
        <w:t>2025</w:t>
      </w:r>
      <w:r>
        <w:rPr>
          <w:rFonts w:hint="eastAsia" w:ascii="宋体" w:hAnsi="宋体" w:eastAsia="宋体" w:cs="宋体"/>
          <w:color w:val="auto"/>
          <w:sz w:val="24"/>
          <w:szCs w:val="24"/>
          <w:highlight w:val="none"/>
          <w:lang w:val="en-US" w:eastAsia="zh-CN"/>
        </w:rPr>
        <w:t>年</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lang w:val="en-US" w:eastAsia="zh-CN"/>
        </w:rPr>
        <w:t>日</w:t>
      </w:r>
    </w:p>
    <w:p w14:paraId="1E9553EB">
      <w:pPr>
        <w:rPr>
          <w:rFonts w:hint="eastAsia" w:ascii="宋体" w:hAnsi="宋体" w:eastAsia="宋体" w:cs="宋体"/>
          <w:b/>
          <w:bCs/>
          <w:color w:val="auto"/>
          <w:kern w:val="0"/>
          <w:sz w:val="32"/>
          <w:szCs w:val="32"/>
          <w:highlight w:val="none"/>
          <w:lang w:val="en-US" w:eastAsia="zh-CN" w:bidi="ar-SA"/>
        </w:rPr>
      </w:pPr>
      <w:r>
        <w:rPr>
          <w:rFonts w:hint="eastAsia" w:ascii="宋体" w:hAnsi="宋体" w:eastAsia="宋体" w:cs="宋体"/>
          <w:b/>
          <w:bCs/>
          <w:color w:val="auto"/>
          <w:kern w:val="0"/>
          <w:sz w:val="32"/>
          <w:szCs w:val="32"/>
          <w:highlight w:val="none"/>
          <w:lang w:val="en-US" w:eastAsia="zh-CN" w:bidi="ar-SA"/>
        </w:rPr>
        <w:br w:type="page"/>
      </w:r>
    </w:p>
    <w:p w14:paraId="4F15F548">
      <w:pPr>
        <w:tabs>
          <w:tab w:val="left" w:pos="0"/>
          <w:tab w:val="left" w:pos="3165"/>
          <w:tab w:val="center" w:pos="4153"/>
        </w:tabs>
        <w:spacing w:before="0" w:after="0" w:line="480" w:lineRule="exact"/>
        <w:jc w:val="center"/>
        <w:outlineLvl w:val="9"/>
        <w:rPr>
          <w:rStyle w:val="30"/>
          <w:rFonts w:hint="eastAsia" w:ascii="宋体" w:hAnsi="宋体" w:eastAsia="宋体" w:cs="宋体"/>
          <w:i w:val="0"/>
          <w:iCs w:val="0"/>
          <w:caps w:val="0"/>
          <w:color w:val="000000"/>
          <w:spacing w:val="0"/>
          <w:sz w:val="24"/>
          <w:szCs w:val="24"/>
        </w:rPr>
      </w:pPr>
      <w:r>
        <w:rPr>
          <w:rFonts w:hint="eastAsia" w:ascii="宋体" w:hAnsi="宋体" w:eastAsia="宋体" w:cs="宋体"/>
          <w:b/>
          <w:bCs/>
          <w:color w:val="auto"/>
          <w:kern w:val="2"/>
          <w:sz w:val="28"/>
          <w:szCs w:val="28"/>
          <w:highlight w:val="none"/>
          <w:lang w:val="en-US" w:eastAsia="zh-CN" w:bidi="ar-SA"/>
        </w:rPr>
        <w:t>新疆信实工程招标咨询服务有限公司关于叶城县教育质量提升项目（强基计划）更正公告</w:t>
      </w:r>
    </w:p>
    <w:p w14:paraId="1226FCC8">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rPr>
          <w:rFonts w:hint="eastAsia" w:ascii="宋体" w:hAnsi="宋体" w:eastAsia="宋体" w:cs="宋体"/>
          <w:sz w:val="24"/>
          <w:szCs w:val="24"/>
        </w:rPr>
      </w:pPr>
      <w:r>
        <w:rPr>
          <w:rStyle w:val="30"/>
          <w:rFonts w:hint="eastAsia" w:ascii="宋体" w:hAnsi="宋体" w:eastAsia="宋体" w:cs="宋体"/>
          <w:i w:val="0"/>
          <w:iCs w:val="0"/>
          <w:caps w:val="0"/>
          <w:color w:val="000000"/>
          <w:spacing w:val="0"/>
          <w:sz w:val="24"/>
          <w:szCs w:val="24"/>
        </w:rPr>
        <w:t>一、项目基本情况</w:t>
      </w:r>
    </w:p>
    <w:p w14:paraId="660A4D25">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rPr>
        <w:t>原公告的采购项目编号：XS2025(GK)-010</w:t>
      </w:r>
    </w:p>
    <w:p w14:paraId="7B91AE89">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rPr>
        <w:t xml:space="preserve">原公告的采购项目名称：叶城县教育质量提升项目（强基计划） </w:t>
      </w:r>
    </w:p>
    <w:p w14:paraId="2AFDE0C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Style w:val="30"/>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首次公告日期：202</w:t>
      </w:r>
      <w:r>
        <w:rPr>
          <w:rFonts w:hint="eastAsia" w:ascii="宋体" w:hAnsi="宋体" w:eastAsia="宋体" w:cs="宋体"/>
          <w:i w:val="0"/>
          <w:iCs w:val="0"/>
          <w:caps w:val="0"/>
          <w:color w:val="000000"/>
          <w:spacing w:val="0"/>
          <w:sz w:val="24"/>
          <w:szCs w:val="24"/>
          <w:lang w:val="en-US" w:eastAsia="zh-CN"/>
        </w:rPr>
        <w:t>5</w:t>
      </w:r>
      <w:r>
        <w:rPr>
          <w:rFonts w:hint="eastAsia" w:ascii="宋体" w:hAnsi="宋体" w:eastAsia="宋体" w:cs="宋体"/>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3</w:t>
      </w:r>
      <w:r>
        <w:rPr>
          <w:rFonts w:hint="eastAsia" w:ascii="宋体" w:hAnsi="宋体" w:eastAsia="宋体" w:cs="宋体"/>
          <w:i w:val="0"/>
          <w:iCs w:val="0"/>
          <w:caps w:val="0"/>
          <w:color w:val="000000"/>
          <w:spacing w:val="0"/>
          <w:sz w:val="24"/>
          <w:szCs w:val="24"/>
        </w:rPr>
        <w:t>月</w:t>
      </w:r>
      <w:r>
        <w:rPr>
          <w:rFonts w:hint="eastAsia" w:ascii="宋体" w:hAnsi="宋体" w:eastAsia="宋体" w:cs="宋体"/>
          <w:i w:val="0"/>
          <w:iCs w:val="0"/>
          <w:caps w:val="0"/>
          <w:color w:val="000000"/>
          <w:spacing w:val="0"/>
          <w:sz w:val="24"/>
          <w:szCs w:val="24"/>
          <w:lang w:val="en-US" w:eastAsia="zh-CN"/>
        </w:rPr>
        <w:t>17</w:t>
      </w:r>
      <w:r>
        <w:rPr>
          <w:rFonts w:hint="eastAsia" w:ascii="宋体" w:hAnsi="宋体" w:eastAsia="宋体" w:cs="宋体"/>
          <w:i w:val="0"/>
          <w:iCs w:val="0"/>
          <w:caps w:val="0"/>
          <w:color w:val="000000"/>
          <w:spacing w:val="0"/>
          <w:sz w:val="24"/>
          <w:szCs w:val="24"/>
        </w:rPr>
        <w:t>日</w:t>
      </w:r>
    </w:p>
    <w:p w14:paraId="405AC8C2">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rPr>
          <w:rFonts w:hint="eastAsia" w:ascii="宋体" w:hAnsi="宋体" w:eastAsia="宋体" w:cs="宋体"/>
          <w:sz w:val="24"/>
          <w:szCs w:val="24"/>
        </w:rPr>
      </w:pPr>
      <w:r>
        <w:rPr>
          <w:rStyle w:val="30"/>
          <w:rFonts w:hint="eastAsia" w:ascii="宋体" w:hAnsi="宋体" w:eastAsia="宋体" w:cs="宋体"/>
          <w:i w:val="0"/>
          <w:iCs w:val="0"/>
          <w:caps w:val="0"/>
          <w:color w:val="000000"/>
          <w:spacing w:val="0"/>
          <w:sz w:val="24"/>
          <w:szCs w:val="24"/>
        </w:rPr>
        <w:t>二、更正信息</w:t>
      </w:r>
    </w:p>
    <w:p w14:paraId="49B41FE3">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更正事项：采购公告、采购文件</w:t>
      </w:r>
    </w:p>
    <w:p w14:paraId="003F7460">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rPr>
        <w:t>更正内容：      </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15" w:type="dxa"/>
          <w:bottom w:w="15" w:type="dxa"/>
          <w:right w:w="15" w:type="dxa"/>
        </w:tblCellMar>
      </w:tblPr>
      <w:tblGrid>
        <w:gridCol w:w="506"/>
        <w:gridCol w:w="2671"/>
        <w:gridCol w:w="2671"/>
        <w:gridCol w:w="2671"/>
      </w:tblGrid>
      <w:tr w14:paraId="4D0C1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297" w:type="pct"/>
            <w:shd w:val="clear" w:color="auto" w:fill="auto"/>
            <w:tcMar>
              <w:top w:w="60" w:type="dxa"/>
              <w:left w:w="120" w:type="dxa"/>
              <w:bottom w:w="60" w:type="dxa"/>
              <w:right w:w="120" w:type="dxa"/>
            </w:tcMar>
            <w:vAlign w:val="center"/>
          </w:tcPr>
          <w:p w14:paraId="11F9A986">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序号</w:t>
            </w:r>
          </w:p>
        </w:tc>
        <w:tc>
          <w:tcPr>
            <w:tcW w:w="1567" w:type="pct"/>
            <w:shd w:val="clear" w:color="auto" w:fill="auto"/>
            <w:tcMar>
              <w:top w:w="60" w:type="dxa"/>
              <w:left w:w="120" w:type="dxa"/>
              <w:bottom w:w="60" w:type="dxa"/>
              <w:right w:w="120" w:type="dxa"/>
            </w:tcMar>
            <w:vAlign w:val="center"/>
          </w:tcPr>
          <w:p w14:paraId="08C4767C">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更正项</w:t>
            </w:r>
          </w:p>
        </w:tc>
        <w:tc>
          <w:tcPr>
            <w:tcW w:w="1567" w:type="pct"/>
            <w:shd w:val="clear" w:color="auto" w:fill="auto"/>
            <w:tcMar>
              <w:top w:w="60" w:type="dxa"/>
              <w:left w:w="120" w:type="dxa"/>
              <w:bottom w:w="60" w:type="dxa"/>
              <w:right w:w="120" w:type="dxa"/>
            </w:tcMar>
            <w:vAlign w:val="center"/>
          </w:tcPr>
          <w:p w14:paraId="75F5AE3C">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更正前内容</w:t>
            </w:r>
          </w:p>
        </w:tc>
        <w:tc>
          <w:tcPr>
            <w:tcW w:w="1567" w:type="pct"/>
            <w:shd w:val="clear" w:color="auto" w:fill="auto"/>
            <w:tcMar>
              <w:top w:w="60" w:type="dxa"/>
              <w:left w:w="120" w:type="dxa"/>
              <w:bottom w:w="60" w:type="dxa"/>
              <w:right w:w="120" w:type="dxa"/>
            </w:tcMar>
            <w:vAlign w:val="center"/>
          </w:tcPr>
          <w:p w14:paraId="2DF56F24">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highlight w:val="none"/>
                <w:lang w:val="en-US" w:eastAsia="zh-CN" w:bidi="ar"/>
              </w:rPr>
            </w:pPr>
            <w:r>
              <w:rPr>
                <w:rFonts w:hint="eastAsia" w:ascii="宋体" w:hAnsi="宋体" w:eastAsia="宋体" w:cs="宋体"/>
                <w:kern w:val="0"/>
                <w:sz w:val="22"/>
                <w:szCs w:val="22"/>
                <w:highlight w:val="none"/>
                <w:lang w:val="en-US" w:eastAsia="zh-CN" w:bidi="ar"/>
              </w:rPr>
              <w:t>更正后内容</w:t>
            </w:r>
          </w:p>
        </w:tc>
      </w:tr>
      <w:tr w14:paraId="780B6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2" w:hRule="atLeast"/>
        </w:trPr>
        <w:tc>
          <w:tcPr>
            <w:tcW w:w="297" w:type="pct"/>
            <w:shd w:val="clear" w:color="auto" w:fill="auto"/>
            <w:tcMar>
              <w:top w:w="60" w:type="dxa"/>
              <w:left w:w="120" w:type="dxa"/>
              <w:bottom w:w="60" w:type="dxa"/>
              <w:right w:w="120" w:type="dxa"/>
            </w:tcMar>
            <w:vAlign w:val="center"/>
          </w:tcPr>
          <w:p w14:paraId="396837B1">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1</w:t>
            </w:r>
          </w:p>
        </w:tc>
        <w:tc>
          <w:tcPr>
            <w:tcW w:w="1567" w:type="pct"/>
            <w:shd w:val="clear" w:color="auto" w:fill="auto"/>
            <w:tcMar>
              <w:top w:w="60" w:type="dxa"/>
              <w:left w:w="120" w:type="dxa"/>
              <w:bottom w:w="60" w:type="dxa"/>
              <w:right w:w="120" w:type="dxa"/>
            </w:tcMar>
            <w:vAlign w:val="center"/>
          </w:tcPr>
          <w:p w14:paraId="1E50C60C">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第5章 服务需求</w:t>
            </w:r>
          </w:p>
        </w:tc>
        <w:tc>
          <w:tcPr>
            <w:tcW w:w="1567" w:type="pct"/>
            <w:shd w:val="clear" w:color="auto" w:fill="auto"/>
            <w:tcMar>
              <w:top w:w="60" w:type="dxa"/>
              <w:left w:w="120" w:type="dxa"/>
              <w:bottom w:w="60" w:type="dxa"/>
              <w:right w:w="120" w:type="dxa"/>
            </w:tcMar>
            <w:vAlign w:val="center"/>
          </w:tcPr>
          <w:p w14:paraId="01BBD5D8">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详见招标文件</w:t>
            </w:r>
          </w:p>
        </w:tc>
        <w:tc>
          <w:tcPr>
            <w:tcW w:w="1567" w:type="pct"/>
            <w:shd w:val="clear" w:color="auto" w:fill="auto"/>
            <w:tcMar>
              <w:top w:w="60" w:type="dxa"/>
              <w:left w:w="120" w:type="dxa"/>
              <w:bottom w:w="60" w:type="dxa"/>
              <w:right w:w="120" w:type="dxa"/>
            </w:tcMar>
            <w:vAlign w:val="center"/>
          </w:tcPr>
          <w:p w14:paraId="2312CBF7">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default" w:ascii="宋体" w:hAnsi="宋体" w:eastAsia="宋体" w:cs="宋体"/>
                <w:kern w:val="0"/>
                <w:sz w:val="22"/>
                <w:szCs w:val="22"/>
                <w:highlight w:val="none"/>
                <w:lang w:val="en-US" w:eastAsia="zh-CN" w:bidi="ar"/>
              </w:rPr>
            </w:pPr>
            <w:r>
              <w:rPr>
                <w:rFonts w:hint="eastAsia" w:ascii="宋体" w:hAnsi="宋体" w:eastAsia="宋体" w:cs="宋体"/>
                <w:kern w:val="0"/>
                <w:sz w:val="22"/>
                <w:szCs w:val="22"/>
                <w:highlight w:val="none"/>
                <w:lang w:val="en-US" w:eastAsia="zh-CN" w:bidi="ar"/>
              </w:rPr>
              <w:t>详见招标文件</w:t>
            </w:r>
          </w:p>
        </w:tc>
      </w:tr>
      <w:tr w14:paraId="7ED29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2" w:hRule="atLeast"/>
        </w:trPr>
        <w:tc>
          <w:tcPr>
            <w:tcW w:w="297" w:type="pct"/>
            <w:shd w:val="clear" w:color="auto" w:fill="auto"/>
            <w:tcMar>
              <w:top w:w="60" w:type="dxa"/>
              <w:left w:w="120" w:type="dxa"/>
              <w:bottom w:w="60" w:type="dxa"/>
              <w:right w:w="120" w:type="dxa"/>
            </w:tcMar>
            <w:vAlign w:val="center"/>
          </w:tcPr>
          <w:p w14:paraId="1F3BFB97">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default"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2</w:t>
            </w:r>
          </w:p>
        </w:tc>
        <w:tc>
          <w:tcPr>
            <w:tcW w:w="1567" w:type="pct"/>
            <w:shd w:val="clear" w:color="auto" w:fill="auto"/>
            <w:tcMar>
              <w:top w:w="60" w:type="dxa"/>
              <w:left w:w="120" w:type="dxa"/>
              <w:bottom w:w="60" w:type="dxa"/>
              <w:right w:w="120" w:type="dxa"/>
            </w:tcMar>
            <w:vAlign w:val="center"/>
          </w:tcPr>
          <w:p w14:paraId="3C80E2FA">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获取采购文件时间</w:t>
            </w:r>
          </w:p>
        </w:tc>
        <w:tc>
          <w:tcPr>
            <w:tcW w:w="1567" w:type="pct"/>
            <w:shd w:val="clear" w:color="auto" w:fill="auto"/>
            <w:tcMar>
              <w:top w:w="60" w:type="dxa"/>
              <w:left w:w="120" w:type="dxa"/>
              <w:bottom w:w="60" w:type="dxa"/>
              <w:right w:w="120" w:type="dxa"/>
            </w:tcMar>
            <w:vAlign w:val="center"/>
          </w:tcPr>
          <w:p w14:paraId="63389E7D">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2025年3月18日至2025年3月25日，每天上午10:00至14:00，下午15:30至19:30（北京时间，法定节假日除外）</w:t>
            </w:r>
          </w:p>
        </w:tc>
        <w:tc>
          <w:tcPr>
            <w:tcW w:w="1567" w:type="pct"/>
            <w:shd w:val="clear" w:color="auto" w:fill="auto"/>
            <w:tcMar>
              <w:top w:w="60" w:type="dxa"/>
              <w:left w:w="120" w:type="dxa"/>
              <w:bottom w:w="60" w:type="dxa"/>
              <w:right w:w="120" w:type="dxa"/>
            </w:tcMar>
            <w:vAlign w:val="center"/>
          </w:tcPr>
          <w:p w14:paraId="7659E930">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highlight w:val="none"/>
                <w:lang w:val="en-US" w:eastAsia="zh-CN" w:bidi="ar"/>
              </w:rPr>
            </w:pPr>
            <w:r>
              <w:rPr>
                <w:rFonts w:hint="eastAsia" w:ascii="宋体" w:hAnsi="宋体" w:eastAsia="宋体" w:cs="宋体"/>
                <w:kern w:val="0"/>
                <w:sz w:val="22"/>
                <w:szCs w:val="22"/>
                <w:highlight w:val="none"/>
                <w:lang w:val="en-US" w:eastAsia="zh-CN" w:bidi="ar"/>
              </w:rPr>
              <w:t>2025年3月18日至2025年4月10日，每天上午10:00至14:00，下午15:30至19:30（北京时间，法定节假日除外）</w:t>
            </w:r>
          </w:p>
        </w:tc>
      </w:tr>
      <w:tr w14:paraId="24988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2" w:hRule="atLeast"/>
        </w:trPr>
        <w:tc>
          <w:tcPr>
            <w:tcW w:w="297" w:type="pct"/>
            <w:shd w:val="clear" w:color="auto" w:fill="auto"/>
            <w:tcMar>
              <w:top w:w="60" w:type="dxa"/>
              <w:left w:w="120" w:type="dxa"/>
              <w:bottom w:w="60" w:type="dxa"/>
              <w:right w:w="120" w:type="dxa"/>
            </w:tcMar>
            <w:vAlign w:val="center"/>
          </w:tcPr>
          <w:p w14:paraId="5FFED632">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default"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3</w:t>
            </w:r>
          </w:p>
        </w:tc>
        <w:tc>
          <w:tcPr>
            <w:tcW w:w="1567" w:type="pct"/>
            <w:shd w:val="clear" w:color="auto" w:fill="auto"/>
            <w:tcMar>
              <w:top w:w="60" w:type="dxa"/>
              <w:left w:w="120" w:type="dxa"/>
              <w:bottom w:w="60" w:type="dxa"/>
              <w:right w:w="120" w:type="dxa"/>
            </w:tcMar>
            <w:vAlign w:val="center"/>
          </w:tcPr>
          <w:p w14:paraId="10851521">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提交投标文件截止时间及开标时间</w:t>
            </w:r>
          </w:p>
        </w:tc>
        <w:tc>
          <w:tcPr>
            <w:tcW w:w="1567" w:type="pct"/>
            <w:shd w:val="clear" w:color="auto" w:fill="auto"/>
            <w:tcMar>
              <w:top w:w="60" w:type="dxa"/>
              <w:left w:w="120" w:type="dxa"/>
              <w:bottom w:w="60" w:type="dxa"/>
              <w:right w:w="120" w:type="dxa"/>
            </w:tcMar>
            <w:vAlign w:val="center"/>
          </w:tcPr>
          <w:p w14:paraId="518574B8">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2025年4月08日11:00（北京时间）</w:t>
            </w:r>
          </w:p>
        </w:tc>
        <w:tc>
          <w:tcPr>
            <w:tcW w:w="1567" w:type="pct"/>
            <w:shd w:val="clear" w:color="auto" w:fill="auto"/>
            <w:tcMar>
              <w:top w:w="60" w:type="dxa"/>
              <w:left w:w="120" w:type="dxa"/>
              <w:bottom w:w="60" w:type="dxa"/>
              <w:right w:w="120" w:type="dxa"/>
            </w:tcMar>
            <w:vAlign w:val="center"/>
          </w:tcPr>
          <w:p w14:paraId="65218983">
            <w:pPr>
              <w:keepNext w:val="0"/>
              <w:keepLines w:val="0"/>
              <w:pageBreakBefore w:val="0"/>
              <w:widowControl/>
              <w:suppressLineNumbers w:val="0"/>
              <w:kinsoku/>
              <w:wordWrap w:val="0"/>
              <w:overflowPunct/>
              <w:topLinePunct w:val="0"/>
              <w:autoSpaceDE/>
              <w:autoSpaceDN/>
              <w:bidi w:val="0"/>
              <w:adjustRightInd/>
              <w:snapToGrid/>
              <w:spacing w:line="360" w:lineRule="auto"/>
              <w:ind w:firstLine="0"/>
              <w:jc w:val="center"/>
              <w:textAlignment w:val="auto"/>
              <w:rPr>
                <w:rFonts w:hint="eastAsia" w:ascii="宋体" w:hAnsi="宋体" w:eastAsia="宋体" w:cs="宋体"/>
                <w:kern w:val="0"/>
                <w:sz w:val="22"/>
                <w:szCs w:val="22"/>
                <w:highlight w:val="none"/>
                <w:lang w:val="en-US" w:eastAsia="zh-CN" w:bidi="ar"/>
              </w:rPr>
            </w:pPr>
            <w:r>
              <w:rPr>
                <w:rFonts w:hint="eastAsia" w:ascii="宋体" w:hAnsi="宋体" w:eastAsia="宋体" w:cs="宋体"/>
                <w:kern w:val="0"/>
                <w:sz w:val="22"/>
                <w:szCs w:val="22"/>
                <w:highlight w:val="none"/>
                <w:lang w:val="en-US" w:eastAsia="zh-CN" w:bidi="ar"/>
              </w:rPr>
              <w:t>2025年4月16日11:00（北京时间）</w:t>
            </w:r>
          </w:p>
        </w:tc>
      </w:tr>
    </w:tbl>
    <w:p w14:paraId="02E2AD18">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Style w:val="30"/>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更正日期：20</w:t>
      </w:r>
      <w:r>
        <w:rPr>
          <w:rFonts w:hint="eastAsia" w:ascii="宋体" w:hAnsi="宋体" w:eastAsia="宋体" w:cs="宋体"/>
          <w:i w:val="0"/>
          <w:iCs w:val="0"/>
          <w:caps w:val="0"/>
          <w:color w:val="000000"/>
          <w:spacing w:val="0"/>
          <w:sz w:val="24"/>
          <w:szCs w:val="24"/>
          <w:lang w:val="en-US" w:eastAsia="zh-CN"/>
        </w:rPr>
        <w:t>25</w:t>
      </w:r>
      <w:r>
        <w:rPr>
          <w:rFonts w:hint="eastAsia" w:ascii="宋体" w:hAnsi="宋体" w:eastAsia="宋体" w:cs="宋体"/>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eastAsia="宋体" w:cs="宋体"/>
          <w:i w:val="0"/>
          <w:iCs w:val="0"/>
          <w:caps w:val="0"/>
          <w:color w:val="000000"/>
          <w:spacing w:val="0"/>
          <w:sz w:val="24"/>
          <w:szCs w:val="24"/>
          <w:lang w:val="en-US" w:eastAsia="zh-CN"/>
        </w:rPr>
        <w:t>1</w:t>
      </w:r>
      <w:r>
        <w:rPr>
          <w:rFonts w:hint="eastAsia" w:ascii="宋体" w:hAnsi="宋体" w:eastAsia="宋体" w:cs="宋体"/>
          <w:i w:val="0"/>
          <w:iCs w:val="0"/>
          <w:caps w:val="0"/>
          <w:color w:val="000000"/>
          <w:spacing w:val="0"/>
          <w:sz w:val="24"/>
          <w:szCs w:val="24"/>
        </w:rPr>
        <w:t>日</w:t>
      </w:r>
    </w:p>
    <w:p w14:paraId="530A3718">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rPr>
          <w:rFonts w:hint="eastAsia" w:ascii="宋体" w:hAnsi="宋体" w:eastAsia="宋体" w:cs="宋体"/>
          <w:sz w:val="24"/>
          <w:szCs w:val="24"/>
        </w:rPr>
      </w:pPr>
      <w:r>
        <w:rPr>
          <w:rStyle w:val="30"/>
          <w:rFonts w:hint="eastAsia" w:ascii="宋体" w:hAnsi="宋体" w:eastAsia="宋体" w:cs="宋体"/>
          <w:i w:val="0"/>
          <w:iCs w:val="0"/>
          <w:caps w:val="0"/>
          <w:color w:val="000000"/>
          <w:spacing w:val="0"/>
          <w:sz w:val="24"/>
          <w:szCs w:val="24"/>
        </w:rPr>
        <w:t>三、其他补充事宜</w:t>
      </w:r>
    </w:p>
    <w:p w14:paraId="03DBEDD9">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其余事项不变。</w:t>
      </w:r>
    </w:p>
    <w:p w14:paraId="3C30C973">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rPr>
          <w:rFonts w:hint="eastAsia" w:ascii="宋体" w:hAnsi="宋体" w:eastAsia="宋体" w:cs="宋体"/>
          <w:sz w:val="24"/>
          <w:szCs w:val="24"/>
        </w:rPr>
      </w:pPr>
      <w:r>
        <w:rPr>
          <w:rStyle w:val="30"/>
          <w:rFonts w:hint="eastAsia" w:ascii="宋体" w:hAnsi="宋体" w:eastAsia="宋体" w:cs="宋体"/>
          <w:i w:val="0"/>
          <w:iCs w:val="0"/>
          <w:caps w:val="0"/>
          <w:color w:val="000000"/>
          <w:spacing w:val="0"/>
          <w:sz w:val="24"/>
          <w:szCs w:val="24"/>
        </w:rPr>
        <w:t>四、对本次采购提出询问，请按以下方式联系。</w:t>
      </w:r>
    </w:p>
    <w:p w14:paraId="74DB2161">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1.采购人信息</w:t>
      </w:r>
    </w:p>
    <w:p w14:paraId="23DAD613">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名    称：叶城县教育局</w:t>
      </w:r>
    </w:p>
    <w:p w14:paraId="7FCD8DC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地    址：叶城县教育局</w:t>
      </w:r>
    </w:p>
    <w:p w14:paraId="0319A4D8">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联 系 人：王老师</w:t>
      </w:r>
    </w:p>
    <w:p w14:paraId="2B6756F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 xml:space="preserve">联系电话：19399271631 </w:t>
      </w:r>
    </w:p>
    <w:p w14:paraId="06BD995D">
      <w:pPr>
        <w:keepNext w:val="0"/>
        <w:keepLines w:val="0"/>
        <w:pageBreakBefore w:val="0"/>
        <w:kinsoku/>
        <w:wordWrap/>
        <w:overflowPunct/>
        <w:topLinePunct w:val="0"/>
        <w:autoSpaceDE/>
        <w:autoSpaceDN/>
        <w:bidi w:val="0"/>
        <w:adjustRightInd/>
        <w:snapToGrid/>
        <w:spacing w:line="360" w:lineRule="auto"/>
        <w:textAlignment w:val="auto"/>
        <w:rPr>
          <w:rFonts w:hint="default"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2.代理机构信息</w:t>
      </w:r>
    </w:p>
    <w:p w14:paraId="293EB99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名    称：新疆信实工程招标咨询服务有限公司</w:t>
      </w:r>
    </w:p>
    <w:p w14:paraId="71ADB54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地　  址：喀什经济开发区深喀大道陕西大厦12楼1202室</w:t>
      </w:r>
    </w:p>
    <w:p w14:paraId="0F98DE2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联 系 人：刘晓宁</w:t>
      </w:r>
    </w:p>
    <w:p w14:paraId="3647EDCB">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 xml:space="preserve">联系电话：17881381986 </w:t>
      </w:r>
    </w:p>
    <w:p w14:paraId="3D23850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3.项目联系方式</w:t>
      </w:r>
    </w:p>
    <w:p w14:paraId="53221B72">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联 系 人：刘晓宁</w:t>
      </w:r>
    </w:p>
    <w:p w14:paraId="047871F7">
      <w:pPr>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 xml:space="preserve">联系电话：17881381986        </w:t>
      </w:r>
    </w:p>
    <w:p w14:paraId="7CAA6AFE">
      <w:pPr>
        <w:pStyle w:val="2"/>
        <w:rPr>
          <w:rFonts w:hint="eastAsia" w:ascii="宋体" w:hAnsi="宋体" w:eastAsia="宋体" w:cs="宋体"/>
          <w:i w:val="0"/>
          <w:iCs w:val="0"/>
          <w:caps w:val="0"/>
          <w:color w:val="000000"/>
          <w:spacing w:val="0"/>
          <w:sz w:val="24"/>
          <w:szCs w:val="24"/>
          <w:lang w:val="en-US" w:eastAsia="zh-CN"/>
        </w:rPr>
      </w:pPr>
    </w:p>
    <w:p w14:paraId="65CAB35F">
      <w:pPr>
        <w:rPr>
          <w:rFonts w:hint="eastAsia" w:ascii="宋体" w:hAnsi="宋体" w:eastAsia="宋体" w:cs="宋体"/>
          <w:i w:val="0"/>
          <w:iCs w:val="0"/>
          <w:caps w:val="0"/>
          <w:color w:val="000000"/>
          <w:spacing w:val="0"/>
          <w:sz w:val="24"/>
          <w:szCs w:val="24"/>
          <w:lang w:val="en-US" w:eastAsia="zh-CN"/>
        </w:rPr>
      </w:pPr>
    </w:p>
    <w:p w14:paraId="734099FF">
      <w:pPr>
        <w:pStyle w:val="2"/>
        <w:rPr>
          <w:rFonts w:hint="eastAsia" w:ascii="宋体" w:hAnsi="宋体" w:eastAsia="宋体" w:cs="宋体"/>
          <w:i w:val="0"/>
          <w:iCs w:val="0"/>
          <w:caps w:val="0"/>
          <w:color w:val="000000"/>
          <w:spacing w:val="0"/>
          <w:sz w:val="24"/>
          <w:szCs w:val="24"/>
          <w:lang w:val="en-US" w:eastAsia="zh-CN"/>
        </w:rPr>
      </w:pPr>
    </w:p>
    <w:p w14:paraId="20D74966">
      <w:pPr>
        <w:rPr>
          <w:rFonts w:hint="eastAsia" w:ascii="宋体" w:hAnsi="宋体" w:eastAsia="宋体" w:cs="宋体"/>
          <w:i w:val="0"/>
          <w:iCs w:val="0"/>
          <w:caps w:val="0"/>
          <w:color w:val="000000"/>
          <w:spacing w:val="0"/>
          <w:sz w:val="24"/>
          <w:szCs w:val="24"/>
          <w:lang w:val="en-US" w:eastAsia="zh-CN"/>
        </w:rPr>
      </w:pPr>
    </w:p>
    <w:p w14:paraId="35BE91B9">
      <w:pPr>
        <w:pStyle w:val="2"/>
        <w:rPr>
          <w:rFonts w:hint="eastAsia"/>
          <w:lang w:val="en-US" w:eastAsia="zh-CN"/>
        </w:rPr>
      </w:pPr>
    </w:p>
    <w:p w14:paraId="0A1E260B">
      <w:pPr>
        <w:rPr>
          <w:rFonts w:hint="eastAsia" w:ascii="宋体" w:hAnsi="宋体" w:eastAsia="宋体" w:cs="宋体"/>
          <w:i w:val="0"/>
          <w:iCs w:val="0"/>
          <w:caps w:val="0"/>
          <w:color w:val="000000"/>
          <w:spacing w:val="0"/>
          <w:sz w:val="24"/>
          <w:szCs w:val="24"/>
          <w:lang w:val="en-US" w:eastAsia="zh-CN"/>
        </w:rPr>
      </w:pPr>
    </w:p>
    <w:p w14:paraId="75A253B8">
      <w:pPr>
        <w:pStyle w:val="2"/>
        <w:rPr>
          <w:rFonts w:hint="eastAsia" w:ascii="宋体" w:hAnsi="宋体" w:eastAsia="宋体" w:cs="宋体"/>
          <w:i w:val="0"/>
          <w:iCs w:val="0"/>
          <w:caps w:val="0"/>
          <w:color w:val="000000"/>
          <w:spacing w:val="0"/>
          <w:sz w:val="24"/>
          <w:szCs w:val="24"/>
          <w:lang w:val="en-US" w:eastAsia="zh-CN"/>
        </w:rPr>
      </w:pPr>
    </w:p>
    <w:p w14:paraId="15DE9E88">
      <w:pPr>
        <w:rPr>
          <w:rFonts w:hint="eastAsia" w:ascii="宋体" w:hAnsi="宋体" w:eastAsia="宋体" w:cs="宋体"/>
          <w:i w:val="0"/>
          <w:iCs w:val="0"/>
          <w:caps w:val="0"/>
          <w:color w:val="000000"/>
          <w:spacing w:val="0"/>
          <w:sz w:val="24"/>
          <w:szCs w:val="24"/>
          <w:lang w:val="en-US" w:eastAsia="zh-CN"/>
        </w:rPr>
      </w:pPr>
    </w:p>
    <w:p w14:paraId="7171E4A5">
      <w:pPr>
        <w:pStyle w:val="2"/>
        <w:rPr>
          <w:rFonts w:hint="eastAsia" w:ascii="宋体" w:hAnsi="宋体" w:eastAsia="宋体" w:cs="宋体"/>
          <w:i w:val="0"/>
          <w:iCs w:val="0"/>
          <w:caps w:val="0"/>
          <w:color w:val="000000"/>
          <w:spacing w:val="0"/>
          <w:sz w:val="24"/>
          <w:szCs w:val="24"/>
          <w:lang w:val="en-US" w:eastAsia="zh-CN"/>
        </w:rPr>
      </w:pPr>
    </w:p>
    <w:p w14:paraId="01143C3E">
      <w:pPr>
        <w:rPr>
          <w:rFonts w:hint="eastAsia" w:ascii="宋体" w:hAnsi="宋体" w:eastAsia="宋体" w:cs="宋体"/>
          <w:i w:val="0"/>
          <w:iCs w:val="0"/>
          <w:caps w:val="0"/>
          <w:color w:val="000000"/>
          <w:spacing w:val="0"/>
          <w:sz w:val="24"/>
          <w:szCs w:val="24"/>
          <w:lang w:val="en-US" w:eastAsia="zh-CN"/>
        </w:rPr>
      </w:pPr>
    </w:p>
    <w:p w14:paraId="587BA274">
      <w:pPr>
        <w:pStyle w:val="2"/>
        <w:rPr>
          <w:rFonts w:hint="eastAsia" w:ascii="宋体" w:hAnsi="宋体" w:eastAsia="宋体" w:cs="宋体"/>
          <w:i w:val="0"/>
          <w:iCs w:val="0"/>
          <w:caps w:val="0"/>
          <w:color w:val="000000"/>
          <w:spacing w:val="0"/>
          <w:sz w:val="24"/>
          <w:szCs w:val="24"/>
          <w:lang w:val="en-US" w:eastAsia="zh-CN"/>
        </w:rPr>
      </w:pPr>
    </w:p>
    <w:p w14:paraId="2C0786AB">
      <w:pPr>
        <w:rPr>
          <w:rFonts w:hint="eastAsia" w:ascii="宋体" w:hAnsi="宋体" w:eastAsia="宋体" w:cs="宋体"/>
          <w:i w:val="0"/>
          <w:iCs w:val="0"/>
          <w:caps w:val="0"/>
          <w:color w:val="000000"/>
          <w:spacing w:val="0"/>
          <w:sz w:val="24"/>
          <w:szCs w:val="24"/>
          <w:lang w:val="en-US" w:eastAsia="zh-CN"/>
        </w:rPr>
      </w:pPr>
    </w:p>
    <w:p w14:paraId="7E49B005">
      <w:pPr>
        <w:pStyle w:val="2"/>
        <w:rPr>
          <w:rFonts w:hint="eastAsia" w:ascii="宋体" w:hAnsi="宋体" w:eastAsia="宋体" w:cs="宋体"/>
          <w:i w:val="0"/>
          <w:iCs w:val="0"/>
          <w:caps w:val="0"/>
          <w:color w:val="000000"/>
          <w:spacing w:val="0"/>
          <w:sz w:val="24"/>
          <w:szCs w:val="24"/>
          <w:lang w:val="en-US" w:eastAsia="zh-CN"/>
        </w:rPr>
      </w:pPr>
    </w:p>
    <w:p w14:paraId="787F5DAF">
      <w:pPr>
        <w:rPr>
          <w:rFonts w:hint="eastAsia"/>
          <w:lang w:val="en-US" w:eastAsia="zh-CN"/>
        </w:rPr>
      </w:pPr>
    </w:p>
    <w:p w14:paraId="06394119">
      <w:pPr>
        <w:rPr>
          <w:rFonts w:hint="eastAsia"/>
          <w:lang w:val="en-US" w:eastAsia="zh-CN"/>
        </w:rPr>
      </w:pPr>
    </w:p>
    <w:p w14:paraId="2CD5E249">
      <w:pPr>
        <w:rPr>
          <w:rFonts w:hint="eastAsia"/>
          <w:lang w:val="en-US" w:eastAsia="zh-CN"/>
        </w:rPr>
      </w:pPr>
    </w:p>
    <w:p w14:paraId="56A8C8D7">
      <w:pPr>
        <w:pStyle w:val="6"/>
        <w:ind w:firstLine="1928" w:firstLineChars="600"/>
        <w:jc w:val="both"/>
        <w:outlineLvl w:val="0"/>
        <w:rPr>
          <w:rFonts w:hint="eastAsia" w:ascii="宋体" w:hAnsi="宋体" w:eastAsia="宋体" w:cs="宋体"/>
          <w:b/>
          <w:bCs/>
          <w:color w:val="auto"/>
          <w:sz w:val="32"/>
          <w:szCs w:val="32"/>
          <w:highlight w:val="none"/>
        </w:rPr>
      </w:pPr>
      <w:bookmarkStart w:id="2484" w:name="_Toc4709"/>
      <w:r>
        <w:rPr>
          <w:rFonts w:hint="eastAsia" w:ascii="宋体" w:hAnsi="宋体" w:eastAsia="宋体" w:cs="宋体"/>
          <w:b/>
          <w:bCs/>
          <w:color w:val="auto"/>
          <w:sz w:val="32"/>
          <w:szCs w:val="32"/>
          <w:highlight w:val="none"/>
          <w:lang w:val="en-US" w:eastAsia="zh-CN"/>
        </w:rPr>
        <w:t>第4章  供应商须知资料表</w:t>
      </w:r>
      <w:bookmarkEnd w:id="2426"/>
      <w:bookmarkEnd w:id="2427"/>
      <w:bookmarkEnd w:id="2428"/>
      <w:bookmarkEnd w:id="2429"/>
      <w:bookmarkEnd w:id="2430"/>
      <w:bookmarkEnd w:id="2431"/>
      <w:bookmarkEnd w:id="2432"/>
      <w:bookmarkEnd w:id="2433"/>
      <w:bookmarkEnd w:id="2456"/>
      <w:bookmarkEnd w:id="2457"/>
      <w:bookmarkEnd w:id="2484"/>
    </w:p>
    <w:p w14:paraId="0485058F">
      <w:pPr>
        <w:spacing w:line="400" w:lineRule="exact"/>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本表是本招标项目的具体资料，是对供应商须知的具体补充和修改，如有矛盾，应以本资料表为准。</w:t>
      </w:r>
    </w:p>
    <w:tbl>
      <w:tblPr>
        <w:tblStyle w:val="27"/>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7"/>
        <w:gridCol w:w="7678"/>
      </w:tblGrid>
      <w:tr w14:paraId="03EC09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6" w:hRule="atLeast"/>
          <w:jc w:val="center"/>
        </w:trPr>
        <w:tc>
          <w:tcPr>
            <w:tcW w:w="657" w:type="dxa"/>
            <w:vAlign w:val="center"/>
          </w:tcPr>
          <w:p w14:paraId="6F9D92E8">
            <w:pPr>
              <w:keepNext w:val="0"/>
              <w:keepLines w:val="0"/>
              <w:pageBreakBefore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7678" w:type="dxa"/>
            <w:vAlign w:val="center"/>
          </w:tcPr>
          <w:p w14:paraId="28DE42BA">
            <w:pPr>
              <w:keepNext w:val="0"/>
              <w:keepLines w:val="0"/>
              <w:pageBreakBefore w:val="0"/>
              <w:kinsoku/>
              <w:wordWrap/>
              <w:overflowPunct/>
              <w:topLinePunct w:val="0"/>
              <w:autoSpaceDE/>
              <w:autoSpaceDN/>
              <w:bidi w:val="0"/>
              <w:adjustRightInd/>
              <w:snapToGrid/>
              <w:spacing w:line="340" w:lineRule="exact"/>
              <w:ind w:left="1080" w:leftChars="257" w:hanging="54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      容</w:t>
            </w:r>
          </w:p>
        </w:tc>
      </w:tr>
      <w:tr w14:paraId="2DB6BE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7" w:hRule="atLeast"/>
          <w:jc w:val="center"/>
        </w:trPr>
        <w:tc>
          <w:tcPr>
            <w:tcW w:w="657" w:type="dxa"/>
            <w:vAlign w:val="center"/>
          </w:tcPr>
          <w:p w14:paraId="6863A38D">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7678" w:type="dxa"/>
            <w:vAlign w:val="center"/>
          </w:tcPr>
          <w:p w14:paraId="7F76DFB6">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r>
              <w:rPr>
                <w:rFonts w:hint="eastAsia" w:ascii="宋体" w:hAnsi="宋体" w:cs="宋体"/>
                <w:color w:val="auto"/>
                <w:sz w:val="24"/>
                <w:szCs w:val="24"/>
                <w:highlight w:val="none"/>
                <w:u w:val="single"/>
                <w:lang w:eastAsia="zh-CN"/>
              </w:rPr>
              <w:t>叶城县教育局</w:t>
            </w:r>
          </w:p>
          <w:p w14:paraId="34DD2B69">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地址：</w:t>
            </w:r>
            <w:r>
              <w:rPr>
                <w:rFonts w:hint="eastAsia" w:ascii="宋体" w:hAnsi="宋体" w:cs="宋体"/>
                <w:color w:val="auto"/>
                <w:sz w:val="24"/>
                <w:szCs w:val="24"/>
                <w:highlight w:val="none"/>
                <w:u w:val="single"/>
                <w:lang w:eastAsia="zh-CN"/>
              </w:rPr>
              <w:t>叶城县教育局</w:t>
            </w:r>
          </w:p>
          <w:p w14:paraId="36A31797">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u w:val="single"/>
                <w:lang w:eastAsia="zh-CN"/>
              </w:rPr>
              <w:t>王老师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rPr>
              <w:t xml:space="preserve">     联系电话：</w:t>
            </w:r>
            <w:r>
              <w:rPr>
                <w:rFonts w:hint="eastAsia" w:ascii="宋体" w:hAnsi="宋体" w:cs="宋体"/>
                <w:color w:val="auto"/>
                <w:sz w:val="24"/>
                <w:szCs w:val="24"/>
                <w:highlight w:val="none"/>
                <w:u w:val="single"/>
                <w:lang w:eastAsia="zh-CN"/>
              </w:rPr>
              <w:t>19399271631</w:t>
            </w:r>
          </w:p>
        </w:tc>
      </w:tr>
      <w:tr w14:paraId="34C7CD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34" w:hRule="atLeast"/>
          <w:jc w:val="center"/>
        </w:trPr>
        <w:tc>
          <w:tcPr>
            <w:tcW w:w="657" w:type="dxa"/>
            <w:vAlign w:val="center"/>
          </w:tcPr>
          <w:p w14:paraId="14995459">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7678" w:type="dxa"/>
            <w:vAlign w:val="center"/>
          </w:tcPr>
          <w:p w14:paraId="11DD2BFA">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r>
              <w:rPr>
                <w:rFonts w:hint="eastAsia" w:ascii="宋体" w:hAnsi="宋体" w:eastAsia="宋体" w:cs="宋体"/>
                <w:color w:val="auto"/>
                <w:sz w:val="24"/>
                <w:szCs w:val="24"/>
                <w:highlight w:val="none"/>
                <w:u w:val="single"/>
                <w:lang w:eastAsia="zh-CN"/>
              </w:rPr>
              <w:t>新疆信实工程招标咨询服务有限公司</w:t>
            </w:r>
            <w:r>
              <w:rPr>
                <w:rFonts w:hint="eastAsia" w:ascii="宋体" w:hAnsi="宋体" w:eastAsia="宋体" w:cs="宋体"/>
                <w:color w:val="auto"/>
                <w:sz w:val="24"/>
                <w:szCs w:val="24"/>
                <w:highlight w:val="none"/>
                <w:u w:val="single"/>
              </w:rPr>
              <w:t xml:space="preserve">  </w:t>
            </w:r>
          </w:p>
          <w:p w14:paraId="19BD370C">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lang w:eastAsia="zh-CN"/>
              </w:rPr>
              <w:t>喀什经济开发区深喀大道陕西大厦12楼1202室</w:t>
            </w:r>
          </w:p>
          <w:p w14:paraId="04A5064B">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业务联系人：</w:t>
            </w:r>
            <w:r>
              <w:rPr>
                <w:rFonts w:hint="eastAsia" w:ascii="宋体" w:hAnsi="宋体" w:eastAsia="宋体" w:cs="宋体"/>
                <w:color w:val="auto"/>
                <w:sz w:val="24"/>
                <w:szCs w:val="24"/>
                <w:highlight w:val="none"/>
                <w:u w:val="single"/>
                <w:lang w:eastAsia="zh-CN"/>
              </w:rPr>
              <w:t>刘晓宁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联系电话：</w:t>
            </w:r>
            <w:r>
              <w:rPr>
                <w:rFonts w:hint="eastAsia" w:ascii="宋体" w:hAnsi="宋体" w:eastAsia="宋体" w:cs="宋体"/>
                <w:color w:val="auto"/>
                <w:sz w:val="24"/>
                <w:szCs w:val="24"/>
                <w:highlight w:val="none"/>
                <w:u w:val="single"/>
                <w:lang w:eastAsia="zh-CN"/>
              </w:rPr>
              <w:t>17881381986</w:t>
            </w:r>
          </w:p>
        </w:tc>
      </w:tr>
      <w:tr w14:paraId="580E7D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0" w:hRule="atLeast"/>
          <w:jc w:val="center"/>
        </w:trPr>
        <w:tc>
          <w:tcPr>
            <w:tcW w:w="657" w:type="dxa"/>
            <w:vAlign w:val="center"/>
          </w:tcPr>
          <w:p w14:paraId="460D89C7">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w:t>
            </w:r>
          </w:p>
        </w:tc>
        <w:tc>
          <w:tcPr>
            <w:tcW w:w="7678" w:type="dxa"/>
            <w:vAlign w:val="center"/>
          </w:tcPr>
          <w:p w14:paraId="6DAD4083">
            <w:pPr>
              <w:keepNext w:val="0"/>
              <w:keepLines w:val="0"/>
              <w:pageBreakBefore w:val="0"/>
              <w:widowControl/>
              <w:shd w:val="clear"/>
              <w:kinsoku/>
              <w:wordWrap/>
              <w:overflowPunct/>
              <w:topLinePunct w:val="0"/>
              <w:autoSpaceDE/>
              <w:autoSpaceDN/>
              <w:bidi w:val="0"/>
              <w:adjustRightInd/>
              <w:snapToGrid w:val="0"/>
              <w:spacing w:line="340" w:lineRule="exact"/>
              <w:jc w:val="left"/>
              <w:textAlignment w:val="baseline"/>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合格供应商的其他资</w:t>
            </w:r>
            <w:r>
              <w:rPr>
                <w:rFonts w:hint="eastAsia" w:ascii="宋体" w:hAnsi="宋体" w:eastAsia="宋体" w:cs="宋体"/>
                <w:b w:val="0"/>
                <w:bCs w:val="0"/>
                <w:color w:val="auto"/>
                <w:sz w:val="24"/>
                <w:szCs w:val="24"/>
                <w:highlight w:val="none"/>
              </w:rPr>
              <w:t>格要求：</w:t>
            </w:r>
            <w:r>
              <w:rPr>
                <w:rFonts w:hint="eastAsia" w:ascii="宋体" w:hAnsi="宋体" w:eastAsia="宋体" w:cs="宋体"/>
                <w:b w:val="0"/>
                <w:bCs w:val="0"/>
                <w:color w:val="auto"/>
                <w:sz w:val="24"/>
                <w:szCs w:val="24"/>
                <w:highlight w:val="none"/>
                <w:lang w:val="en-US" w:eastAsia="zh-CN"/>
              </w:rPr>
              <w:t>（须将以下资格证明材料附在投标文件中）</w:t>
            </w:r>
          </w:p>
          <w:p w14:paraId="6D18372A">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40" w:lineRule="exact"/>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（1）具有有效的营业执照；</w:t>
            </w:r>
          </w:p>
          <w:p w14:paraId="559F3F6B">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w:t>
            </w:r>
            <w:r>
              <w:rPr>
                <w:rFonts w:hint="eastAsia" w:ascii="宋体" w:hAnsi="宋体" w:eastAsia="宋体" w:cs="宋体"/>
                <w:b/>
                <w:bCs/>
                <w:color w:val="auto"/>
                <w:sz w:val="24"/>
                <w:szCs w:val="24"/>
                <w:highlight w:val="none"/>
                <w:lang w:val="en-US" w:eastAsia="zh-CN"/>
              </w:rPr>
              <w:t>法定代表人资格证明；</w:t>
            </w:r>
          </w:p>
          <w:p w14:paraId="665C517A">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（3）</w:t>
            </w:r>
            <w:r>
              <w:rPr>
                <w:rFonts w:hint="eastAsia" w:ascii="宋体" w:hAnsi="宋体" w:eastAsia="宋体" w:cs="宋体"/>
                <w:b/>
                <w:bCs/>
                <w:color w:val="auto"/>
                <w:sz w:val="24"/>
                <w:szCs w:val="24"/>
                <w:highlight w:val="none"/>
                <w:lang w:val="en-US" w:eastAsia="zh-CN"/>
              </w:rPr>
              <w:t>提供近两年内任意一年的财务审计报告（成立未满十二个月的新公司可提供近三个月内任意一个月的银行资信证明）；</w:t>
            </w:r>
          </w:p>
          <w:p w14:paraId="311A85EB">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kern w:val="2"/>
                <w:sz w:val="24"/>
                <w:szCs w:val="24"/>
                <w:highlight w:val="none"/>
                <w:lang w:val="en-US" w:eastAsia="zh-CN" w:bidi="ar-SA"/>
              </w:rPr>
              <w:t>（4）</w:t>
            </w:r>
            <w:r>
              <w:rPr>
                <w:rFonts w:hint="eastAsia" w:ascii="宋体" w:hAnsi="宋体" w:eastAsia="宋体" w:cs="宋体"/>
                <w:b/>
                <w:bCs/>
                <w:color w:val="auto"/>
                <w:sz w:val="24"/>
                <w:szCs w:val="24"/>
                <w:highlight w:val="none"/>
                <w:lang w:val="en-US" w:eastAsia="zh-CN"/>
              </w:rPr>
              <w:t>依法缴纳近六个月内任意一个月的社会保险证明</w:t>
            </w:r>
            <w:r>
              <w:rPr>
                <w:rFonts w:hint="eastAsia" w:ascii="宋体" w:hAnsi="宋体" w:eastAsia="宋体" w:cs="宋体"/>
                <w:b/>
                <w:bCs/>
                <w:i w:val="0"/>
                <w:caps w:val="0"/>
                <w:color w:val="auto"/>
                <w:spacing w:val="0"/>
                <w:w w:val="100"/>
                <w:sz w:val="24"/>
                <w:szCs w:val="24"/>
                <w:highlight w:val="none"/>
                <w:lang w:val="en-US" w:eastAsia="zh-CN"/>
              </w:rPr>
              <w:t>；</w:t>
            </w:r>
          </w:p>
          <w:p w14:paraId="283C8853">
            <w:pPr>
              <w:keepNext w:val="0"/>
              <w:keepLines w:val="0"/>
              <w:pageBreakBefore w:val="0"/>
              <w:widowControl/>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（5）依法缴纳近六个月内任意一个月的税收证明；</w:t>
            </w:r>
          </w:p>
          <w:p w14:paraId="6023FE1D">
            <w:pPr>
              <w:keepNext w:val="0"/>
              <w:keepLines w:val="0"/>
              <w:pageBreakBefore w:val="0"/>
              <w:widowControl/>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25F608BA">
            <w:pPr>
              <w:keepNext w:val="0"/>
              <w:keepLines w:val="0"/>
              <w:pageBreakBefore w:val="0"/>
              <w:widowControl/>
              <w:kinsoku/>
              <w:wordWrap/>
              <w:overflowPunct/>
              <w:topLinePunct w:val="0"/>
              <w:autoSpaceDE/>
              <w:autoSpaceDN/>
              <w:bidi w:val="0"/>
              <w:adjustRightInd/>
              <w:snapToGrid w:val="0"/>
              <w:spacing w:before="0" w:beforeAutospacing="0" w:after="0" w:afterAutospacing="0" w:line="34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（7）参加政府采购活动前三年内在经营活动中没有重大违法记录的书面声明；</w:t>
            </w:r>
          </w:p>
          <w:p w14:paraId="4EE82409">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（8）缴纳投标保证金的有效凭证。</w:t>
            </w:r>
          </w:p>
          <w:p w14:paraId="44E4D246">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ind w:left="0" w:leftChars="0"/>
              <w:jc w:val="left"/>
              <w:textAlignment w:val="auto"/>
              <w:rPr>
                <w:rFonts w:hint="eastAsia" w:ascii="宋体" w:hAnsi="宋体" w:eastAsia="宋体" w:cs="宋体"/>
                <w:b w:val="0"/>
                <w:bCs w:val="0"/>
                <w:i w:val="0"/>
                <w:caps w:val="0"/>
                <w:color w:val="auto"/>
                <w:spacing w:val="0"/>
                <w:w w:val="100"/>
                <w:sz w:val="24"/>
                <w:szCs w:val="24"/>
                <w:highlight w:val="none"/>
              </w:rPr>
            </w:pPr>
            <w:r>
              <w:rPr>
                <w:rFonts w:hint="eastAsia" w:ascii="宋体" w:hAnsi="宋体" w:eastAsia="宋体" w:cs="宋体"/>
                <w:b w:val="0"/>
                <w:bCs w:val="0"/>
                <w:i w:val="0"/>
                <w:caps w:val="0"/>
                <w:color w:val="auto"/>
                <w:spacing w:val="0"/>
                <w:w w:val="100"/>
                <w:sz w:val="24"/>
                <w:szCs w:val="24"/>
                <w:highlight w:val="none"/>
              </w:rPr>
              <w:t>各供应商应注意以下事项：</w:t>
            </w:r>
          </w:p>
          <w:p w14:paraId="64C0CF73">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ind w:left="0" w:leftChars="0"/>
              <w:jc w:val="left"/>
              <w:textAlignment w:val="auto"/>
              <w:rPr>
                <w:rFonts w:hint="eastAsia" w:ascii="宋体" w:hAnsi="宋体" w:eastAsia="宋体" w:cs="宋体"/>
                <w:b w:val="0"/>
                <w:bCs w:val="0"/>
                <w:i w:val="0"/>
                <w:caps w:val="0"/>
                <w:color w:val="auto"/>
                <w:spacing w:val="0"/>
                <w:w w:val="100"/>
                <w:sz w:val="24"/>
                <w:szCs w:val="24"/>
                <w:highlight w:val="none"/>
              </w:rPr>
            </w:pPr>
            <w:r>
              <w:rPr>
                <w:rFonts w:hint="eastAsia" w:ascii="宋体" w:hAnsi="宋体" w:eastAsia="宋体" w:cs="宋体"/>
                <w:b w:val="0"/>
                <w:bCs w:val="0"/>
                <w:i w:val="0"/>
                <w:caps w:val="0"/>
                <w:color w:val="auto"/>
                <w:spacing w:val="0"/>
                <w:w w:val="100"/>
                <w:sz w:val="24"/>
                <w:szCs w:val="24"/>
                <w:highlight w:val="none"/>
              </w:rPr>
              <w:t>①本项目要求各投标供应商提供“</w:t>
            </w:r>
            <w:r>
              <w:rPr>
                <w:rFonts w:hint="eastAsia" w:ascii="宋体" w:hAnsi="宋体" w:eastAsia="宋体" w:cs="宋体"/>
                <w:b w:val="0"/>
                <w:bCs w:val="0"/>
                <w:i w:val="0"/>
                <w:caps w:val="0"/>
                <w:color w:val="auto"/>
                <w:spacing w:val="0"/>
                <w:w w:val="100"/>
                <w:sz w:val="24"/>
                <w:szCs w:val="24"/>
                <w:highlight w:val="none"/>
                <w:lang w:eastAsia="zh-CN"/>
              </w:rPr>
              <w:t>依法缴纳近六个月内任意一个月的税收证明</w:t>
            </w:r>
            <w:r>
              <w:rPr>
                <w:rFonts w:hint="eastAsia" w:ascii="宋体" w:hAnsi="宋体" w:eastAsia="宋体" w:cs="宋体"/>
                <w:b w:val="0"/>
                <w:bCs w:val="0"/>
                <w:i w:val="0"/>
                <w:caps w:val="0"/>
                <w:color w:val="auto"/>
                <w:spacing w:val="0"/>
                <w:w w:val="100"/>
                <w:sz w:val="24"/>
                <w:szCs w:val="24"/>
                <w:highlight w:val="none"/>
              </w:rPr>
              <w:t>”，若供应商某月税收为零申报，须提供加盖税务局公章的无欠税证明或申报成功网页截图（供应商可自主登录“国家税务总局电子税务局”12366.chinatax.gov.cn/bsfw/onlinetaxation/main——税费申报及缴纳——申报结果查询）。</w:t>
            </w:r>
          </w:p>
          <w:p w14:paraId="3A9FD107">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ind w:left="0"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i w:val="0"/>
                <w:caps w:val="0"/>
                <w:color w:val="auto"/>
                <w:spacing w:val="0"/>
                <w:w w:val="100"/>
                <w:sz w:val="24"/>
                <w:szCs w:val="24"/>
                <w:highlight w:val="none"/>
              </w:rPr>
              <w:t>②税务局代收的社保缴费证明不可作为本项目的完税证明（“税种”不可为养老保险、医疗保险、失业保险、工伤保险和生育保险）。</w:t>
            </w:r>
          </w:p>
        </w:tc>
      </w:tr>
      <w:tr w14:paraId="10DFD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57" w:type="dxa"/>
            <w:vAlign w:val="center"/>
          </w:tcPr>
          <w:p w14:paraId="04F7F8B7">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1.3.5   </w:t>
            </w:r>
          </w:p>
        </w:tc>
        <w:tc>
          <w:tcPr>
            <w:tcW w:w="7678" w:type="dxa"/>
            <w:vAlign w:val="center"/>
          </w:tcPr>
          <w:p w14:paraId="0EDD64F4">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是否允许采购进口产品</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u w:val="single"/>
                <w:lang w:val="en-US" w:eastAsia="zh-CN"/>
              </w:rPr>
              <w:t xml:space="preserve">  否  </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是、否）</w:t>
            </w:r>
          </w:p>
        </w:tc>
      </w:tr>
      <w:tr w14:paraId="2D6247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jc w:val="center"/>
        </w:trPr>
        <w:tc>
          <w:tcPr>
            <w:tcW w:w="657" w:type="dxa"/>
            <w:vAlign w:val="center"/>
          </w:tcPr>
          <w:p w14:paraId="69B1E37C">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7678" w:type="dxa"/>
            <w:vAlign w:val="center"/>
          </w:tcPr>
          <w:p w14:paraId="44391AD1">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是否为专门面向中小企业采购：</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是</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（是、否）</w:t>
            </w:r>
          </w:p>
          <w:p w14:paraId="27D959F9">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（注：潜在供应商属于中小微企业的，请在</w:t>
            </w:r>
            <w:r>
              <w:rPr>
                <w:rFonts w:hint="eastAsia" w:ascii="宋体" w:hAnsi="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lang w:eastAsia="zh-CN"/>
              </w:rPr>
              <w:t>中提供“中小企业声明函”，如果未提供或提供虚假的“中小企业声明函”，供应商将承担由此造成的一切不利后果。）</w:t>
            </w:r>
          </w:p>
        </w:tc>
      </w:tr>
      <w:tr w14:paraId="73442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57" w:type="dxa"/>
            <w:vAlign w:val="center"/>
          </w:tcPr>
          <w:p w14:paraId="52CF577A">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7678" w:type="dxa"/>
            <w:vAlign w:val="center"/>
          </w:tcPr>
          <w:p w14:paraId="42469371">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是否允许联合体投标：</w:t>
            </w:r>
            <w:r>
              <w:rPr>
                <w:rFonts w:hint="eastAsia" w:ascii="宋体" w:hAnsi="宋体" w:eastAsia="宋体" w:cs="宋体"/>
                <w:color w:val="auto"/>
                <w:sz w:val="24"/>
                <w:szCs w:val="24"/>
                <w:highlight w:val="none"/>
                <w:u w:val="single"/>
              </w:rPr>
              <w:t xml:space="preserve">  否  </w:t>
            </w:r>
            <w:r>
              <w:rPr>
                <w:rFonts w:hint="eastAsia" w:ascii="宋体" w:hAnsi="宋体" w:eastAsia="宋体" w:cs="宋体"/>
                <w:i w:val="0"/>
                <w:iCs/>
                <w:color w:val="auto"/>
                <w:sz w:val="24"/>
                <w:szCs w:val="24"/>
                <w:highlight w:val="none"/>
              </w:rPr>
              <w:t>（是、否）</w:t>
            </w:r>
          </w:p>
        </w:tc>
      </w:tr>
      <w:tr w14:paraId="20081D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jc w:val="center"/>
        </w:trPr>
        <w:tc>
          <w:tcPr>
            <w:tcW w:w="657" w:type="dxa"/>
            <w:vAlign w:val="center"/>
          </w:tcPr>
          <w:p w14:paraId="27562DE5">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w:t>
            </w:r>
          </w:p>
        </w:tc>
        <w:tc>
          <w:tcPr>
            <w:tcW w:w="7678" w:type="dxa"/>
            <w:vAlign w:val="center"/>
          </w:tcPr>
          <w:p w14:paraId="70249B71">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联合体的其他资格要求：无</w:t>
            </w:r>
          </w:p>
        </w:tc>
      </w:tr>
      <w:tr w14:paraId="5450C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jc w:val="center"/>
        </w:trPr>
        <w:tc>
          <w:tcPr>
            <w:tcW w:w="657" w:type="dxa"/>
            <w:vAlign w:val="center"/>
          </w:tcPr>
          <w:p w14:paraId="73C34552">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7678" w:type="dxa"/>
            <w:vAlign w:val="center"/>
          </w:tcPr>
          <w:p w14:paraId="4AC2987A">
            <w:pPr>
              <w:keepNext w:val="0"/>
              <w:keepLines w:val="0"/>
              <w:pageBreakBefore w:val="0"/>
              <w:kinsoku/>
              <w:wordWrap/>
              <w:overflowPunct/>
              <w:topLinePunct w:val="0"/>
              <w:autoSpaceDE/>
              <w:autoSpaceDN/>
              <w:bidi w:val="0"/>
              <w:adjustRightInd/>
              <w:snapToGrid/>
              <w:spacing w:line="340" w:lineRule="exact"/>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资金来源：</w:t>
            </w:r>
            <w:r>
              <w:rPr>
                <w:rFonts w:hint="eastAsia" w:ascii="宋体" w:hAnsi="宋体" w:cs="宋体"/>
                <w:b/>
                <w:bCs/>
                <w:color w:val="auto"/>
                <w:sz w:val="24"/>
                <w:szCs w:val="24"/>
                <w:highlight w:val="none"/>
                <w:lang w:val="en-US" w:eastAsia="zh-CN"/>
              </w:rPr>
              <w:t>2025年上海援疆资金</w:t>
            </w:r>
          </w:p>
        </w:tc>
      </w:tr>
      <w:tr w14:paraId="1743C8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jc w:val="center"/>
        </w:trPr>
        <w:tc>
          <w:tcPr>
            <w:tcW w:w="657" w:type="dxa"/>
            <w:vAlign w:val="center"/>
          </w:tcPr>
          <w:p w14:paraId="47760BDE">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7678" w:type="dxa"/>
            <w:vAlign w:val="center"/>
          </w:tcPr>
          <w:p w14:paraId="35DBFF17">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本项目的</w:t>
            </w:r>
            <w:r>
              <w:rPr>
                <w:rFonts w:hint="eastAsia" w:ascii="宋体" w:hAnsi="宋体" w:eastAsia="宋体" w:cs="宋体"/>
                <w:b/>
                <w:bCs/>
                <w:color w:val="auto"/>
                <w:kern w:val="2"/>
                <w:sz w:val="24"/>
                <w:szCs w:val="24"/>
                <w:highlight w:val="none"/>
                <w:lang w:val="en-US" w:eastAsia="zh-CN" w:bidi="ar-SA"/>
              </w:rPr>
              <w:t>预算金额</w:t>
            </w:r>
            <w:r>
              <w:rPr>
                <w:rFonts w:hint="eastAsia" w:ascii="宋体" w:hAnsi="宋体" w:cs="宋体"/>
                <w:b/>
                <w:bCs/>
                <w:color w:val="auto"/>
                <w:kern w:val="2"/>
                <w:sz w:val="24"/>
                <w:szCs w:val="24"/>
                <w:highlight w:val="none"/>
                <w:lang w:val="en-US" w:eastAsia="zh-CN" w:bidi="ar-SA"/>
              </w:rPr>
              <w:t>为</w:t>
            </w:r>
            <w:r>
              <w:rPr>
                <w:rFonts w:hint="eastAsia" w:ascii="宋体" w:hAnsi="宋体" w:eastAsia="宋体" w:cs="宋体"/>
                <w:b/>
                <w:bCs/>
                <w:color w:val="auto"/>
                <w:kern w:val="2"/>
                <w:sz w:val="24"/>
                <w:szCs w:val="24"/>
                <w:highlight w:val="none"/>
                <w:lang w:val="en-US" w:eastAsia="zh-CN" w:bidi="ar-SA"/>
              </w:rPr>
              <w:t>3000000元</w:t>
            </w:r>
            <w:r>
              <w:rPr>
                <w:rFonts w:hint="eastAsia" w:ascii="宋体" w:hAnsi="宋体" w:cs="宋体"/>
                <w:b/>
                <w:bCs/>
                <w:color w:val="auto"/>
                <w:kern w:val="2"/>
                <w:sz w:val="24"/>
                <w:szCs w:val="24"/>
                <w:highlight w:val="none"/>
                <w:lang w:val="en-US" w:eastAsia="zh-CN" w:bidi="ar-SA"/>
              </w:rPr>
              <w:t>；最高限价为2920000元（</w:t>
            </w:r>
            <w:r>
              <w:rPr>
                <w:rFonts w:hint="eastAsia" w:ascii="宋体" w:hAnsi="宋体" w:eastAsia="宋体" w:cs="宋体"/>
                <w:b/>
                <w:bCs/>
                <w:color w:val="auto"/>
                <w:kern w:val="2"/>
                <w:sz w:val="24"/>
                <w:szCs w:val="24"/>
                <w:highlight w:val="none"/>
                <w:lang w:val="en-US" w:eastAsia="zh-CN" w:bidi="ar-SA"/>
              </w:rPr>
              <w:t>供应商的报价超出最高限价的视为投标无效）。</w:t>
            </w:r>
          </w:p>
          <w:p w14:paraId="30B7FBFC">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b/>
                <w:bCs/>
                <w:color w:val="auto"/>
                <w:kern w:val="2"/>
                <w:sz w:val="24"/>
                <w:szCs w:val="24"/>
                <w:highlight w:val="none"/>
                <w:lang w:val="en-US" w:eastAsia="zh-CN" w:bidi="ar-SA"/>
              </w:rPr>
              <w:t>采购需求</w:t>
            </w:r>
            <w:r>
              <w:rPr>
                <w:rFonts w:hint="eastAsia" w:ascii="宋体" w:hAnsi="宋体" w:eastAsia="宋体" w:cs="宋体"/>
                <w:b/>
                <w:bCs/>
                <w:color w:val="auto"/>
                <w:kern w:val="2"/>
                <w:sz w:val="24"/>
                <w:szCs w:val="24"/>
                <w:highlight w:val="none"/>
                <w:lang w:val="en-US" w:eastAsia="zh-CN" w:bidi="ar-SA"/>
              </w:rPr>
              <w:t>：拔尖创新学生培养交流活动</w:t>
            </w:r>
            <w:r>
              <w:rPr>
                <w:rFonts w:hint="eastAsia" w:ascii="宋体" w:hAnsi="宋体" w:cs="宋体"/>
                <w:b/>
                <w:bCs/>
                <w:color w:val="auto"/>
                <w:kern w:val="2"/>
                <w:sz w:val="24"/>
                <w:szCs w:val="24"/>
                <w:highlight w:val="none"/>
                <w:lang w:val="en-US" w:eastAsia="zh-CN" w:bidi="ar-SA"/>
              </w:rPr>
              <w:t>等。</w:t>
            </w:r>
          </w:p>
        </w:tc>
      </w:tr>
      <w:tr w14:paraId="6A5D89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2" w:hRule="atLeast"/>
          <w:jc w:val="center"/>
        </w:trPr>
        <w:tc>
          <w:tcPr>
            <w:tcW w:w="657" w:type="dxa"/>
            <w:vAlign w:val="center"/>
          </w:tcPr>
          <w:p w14:paraId="2500D97D">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w:t>
            </w:r>
          </w:p>
        </w:tc>
        <w:tc>
          <w:tcPr>
            <w:tcW w:w="7678" w:type="dxa"/>
            <w:vAlign w:val="center"/>
          </w:tcPr>
          <w:p w14:paraId="73492651">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投标保证金形式： ☑银行转账  ☑保函  ☑支票  ☑汇票  ☑本票  </w:t>
            </w:r>
          </w:p>
          <w:p w14:paraId="516F2B78">
            <w:pPr>
              <w:keepNext w:val="0"/>
              <w:keepLines w:val="0"/>
              <w:pageBreakBefore w:val="0"/>
              <w:widowControl/>
              <w:kinsoku/>
              <w:wordWrap/>
              <w:overflowPunct/>
              <w:topLinePunct w:val="0"/>
              <w:autoSpaceDE/>
              <w:autoSpaceDN/>
              <w:bidi w:val="0"/>
              <w:adjustRightInd/>
              <w:snapToGrid/>
              <w:spacing w:before="0" w:beforeAutospacing="0" w:after="0" w:afterAutospacing="0" w:line="340" w:lineRule="exact"/>
              <w:jc w:val="lef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保证金金额：</w:t>
            </w:r>
            <w:r>
              <w:rPr>
                <w:rFonts w:hint="eastAsia" w:ascii="宋体" w:hAnsi="宋体" w:eastAsia="宋体" w:cs="宋体"/>
                <w:b/>
                <w:bCs/>
                <w:color w:val="auto"/>
                <w:sz w:val="24"/>
                <w:szCs w:val="24"/>
                <w:highlight w:val="none"/>
              </w:rPr>
              <w:t>小写：</w:t>
            </w:r>
            <w:r>
              <w:rPr>
                <w:rFonts w:hint="eastAsia" w:ascii="宋体" w:hAnsi="宋体" w:cs="宋体"/>
                <w:b/>
                <w:bCs/>
                <w:color w:val="auto"/>
                <w:sz w:val="24"/>
                <w:szCs w:val="24"/>
                <w:highlight w:val="none"/>
                <w:lang w:val="en-US" w:eastAsia="zh-CN"/>
              </w:rPr>
              <w:t>¥60000</w:t>
            </w:r>
            <w:r>
              <w:rPr>
                <w:rFonts w:hint="eastAsia" w:ascii="宋体" w:hAnsi="宋体" w:eastAsia="宋体" w:cs="宋体"/>
                <w:b/>
                <w:bCs/>
                <w:color w:val="auto"/>
                <w:kern w:val="2"/>
                <w:sz w:val="24"/>
                <w:szCs w:val="24"/>
                <w:highlight w:val="none"/>
                <w:lang w:val="en-US" w:eastAsia="zh-CN" w:bidi="ar-SA"/>
              </w:rPr>
              <w:t>元</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大写：</w:t>
            </w:r>
            <w:r>
              <w:rPr>
                <w:rFonts w:hint="eastAsia" w:ascii="宋体" w:hAnsi="宋体" w:cs="宋体"/>
                <w:b/>
                <w:bCs/>
                <w:color w:val="auto"/>
                <w:sz w:val="24"/>
                <w:szCs w:val="24"/>
                <w:highlight w:val="none"/>
                <w:lang w:val="en-US" w:eastAsia="zh-CN"/>
              </w:rPr>
              <w:t>人民币陆万元整</w:t>
            </w:r>
            <w:r>
              <w:rPr>
                <w:rFonts w:hint="eastAsia" w:ascii="宋体" w:hAnsi="宋体" w:eastAsia="宋体" w:cs="宋体"/>
                <w:b/>
                <w:bCs/>
                <w:color w:val="auto"/>
                <w:sz w:val="24"/>
                <w:szCs w:val="24"/>
                <w:highlight w:val="none"/>
                <w:lang w:val="en-US" w:eastAsia="zh-CN"/>
              </w:rPr>
              <w:t>）</w:t>
            </w:r>
          </w:p>
          <w:p w14:paraId="11D158BB">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val="en-US" w:eastAsia="zh-CN"/>
              </w:rPr>
              <w:t>预算</w:t>
            </w:r>
            <w:r>
              <w:rPr>
                <w:rFonts w:hint="eastAsia" w:ascii="宋体" w:hAnsi="宋体" w:eastAsia="宋体" w:cs="宋体"/>
                <w:color w:val="auto"/>
                <w:sz w:val="24"/>
                <w:szCs w:val="24"/>
                <w:highlight w:val="none"/>
              </w:rPr>
              <w:t>金额2%以内的整数计算）</w:t>
            </w:r>
          </w:p>
          <w:p w14:paraId="17761128">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保证金收款人：</w:t>
            </w:r>
          </w:p>
          <w:p w14:paraId="66570970">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单位名称：新疆信实工程招标咨询服务有限公司喀什第一分公司</w:t>
            </w:r>
          </w:p>
          <w:p w14:paraId="4283DE27">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开户行：乌鲁木齐银行喀什分行（营业部）</w:t>
            </w:r>
          </w:p>
          <w:p w14:paraId="15AC2701">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账号：</w:t>
            </w:r>
            <w:r>
              <w:rPr>
                <w:rFonts w:hint="eastAsia" w:ascii="宋体" w:hAnsi="宋体" w:eastAsia="宋体" w:cs="宋体"/>
                <w:b/>
                <w:bCs/>
                <w:color w:val="auto"/>
                <w:sz w:val="24"/>
                <w:szCs w:val="24"/>
                <w:highlight w:val="none"/>
                <w:lang w:val="en-US" w:eastAsia="zh-CN"/>
              </w:rPr>
              <w:t>0000020090110004324929</w:t>
            </w:r>
            <w:r>
              <w:rPr>
                <w:rFonts w:hint="eastAsia" w:ascii="宋体" w:hAnsi="宋体" w:eastAsia="宋体" w:cs="宋体"/>
                <w:b w:val="0"/>
                <w:bCs w:val="0"/>
                <w:color w:val="auto"/>
                <w:sz w:val="24"/>
                <w:szCs w:val="24"/>
                <w:highlight w:val="none"/>
              </w:rPr>
              <w:t>（电汇时请在汇款备注栏注明项目名称及标项（如有），并注明是投标保证金，否则视为无效投标保证金）</w:t>
            </w:r>
            <w:r>
              <w:rPr>
                <w:rFonts w:hint="eastAsia" w:ascii="宋体" w:hAnsi="宋体" w:eastAsia="宋体" w:cs="宋体"/>
                <w:b/>
                <w:bCs/>
                <w:color w:val="auto"/>
                <w:sz w:val="24"/>
                <w:szCs w:val="24"/>
                <w:highlight w:val="none"/>
              </w:rPr>
              <w:t xml:space="preserve">     </w:t>
            </w:r>
          </w:p>
          <w:p w14:paraId="64D3149E">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行号：313894000405</w:t>
            </w:r>
          </w:p>
          <w:p w14:paraId="25AA77D0">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财务室联系人及联系方式：17881381986</w:t>
            </w:r>
          </w:p>
          <w:p w14:paraId="5D9A5460">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A:缴纳投标保证金要求：</w:t>
            </w:r>
          </w:p>
          <w:p w14:paraId="73E9927E">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（1）投标保证金必须在开标前提交到代理机构账户中。不接受现金及任何个人、分公司汇款。供应商向银行办理保证金汇（转）款时，应在用途栏（备注栏）注明项目名称及</w:t>
            </w:r>
            <w:r>
              <w:rPr>
                <w:rFonts w:hint="eastAsia" w:ascii="宋体" w:hAnsi="宋体" w:cs="宋体"/>
                <w:b w:val="0"/>
                <w:bCs w:val="0"/>
                <w:color w:val="auto"/>
                <w:sz w:val="24"/>
                <w:szCs w:val="24"/>
                <w:highlight w:val="none"/>
                <w:lang w:val="en-US" w:eastAsia="zh-CN"/>
              </w:rPr>
              <w:t>标项</w:t>
            </w:r>
            <w:r>
              <w:rPr>
                <w:rFonts w:hint="eastAsia" w:ascii="宋体" w:hAnsi="宋体" w:eastAsia="宋体" w:cs="宋体"/>
                <w:b w:val="0"/>
                <w:bCs w:val="0"/>
                <w:color w:val="auto"/>
                <w:sz w:val="24"/>
                <w:szCs w:val="24"/>
                <w:highlight w:val="none"/>
                <w:lang w:val="en-US" w:eastAsia="zh-CN"/>
              </w:rPr>
              <w:t>（如有），并注明是投标保证金字样，如填写字数有要求可简写项目名称与</w:t>
            </w:r>
            <w:r>
              <w:rPr>
                <w:rFonts w:hint="eastAsia" w:ascii="宋体" w:hAnsi="宋体" w:cs="宋体"/>
                <w:b w:val="0"/>
                <w:bCs w:val="0"/>
                <w:color w:val="auto"/>
                <w:sz w:val="24"/>
                <w:szCs w:val="24"/>
                <w:highlight w:val="none"/>
                <w:lang w:val="en-US" w:eastAsia="zh-CN"/>
              </w:rPr>
              <w:t>标项</w:t>
            </w:r>
            <w:r>
              <w:rPr>
                <w:rFonts w:hint="eastAsia" w:ascii="宋体" w:hAnsi="宋体" w:eastAsia="宋体" w:cs="宋体"/>
                <w:b w:val="0"/>
                <w:bCs w:val="0"/>
                <w:color w:val="auto"/>
                <w:sz w:val="24"/>
                <w:szCs w:val="24"/>
                <w:highlight w:val="none"/>
                <w:lang w:val="en-US" w:eastAsia="zh-CN"/>
              </w:rPr>
              <w:t>（如有），由于未按要求注明信息而导致的一切后果由供应商自行承担。</w:t>
            </w:r>
          </w:p>
          <w:p w14:paraId="5ED16A47">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供应商以保函形式提交投标保证金的，须在投标截止时间前到我公司换取保函收据，投标文件须放保函及“银行基本账户开户许可证”或“基本存款账户信息”复印件。注：以支票形式提供投标保证金的须在投标截止时间前到我公司换取支票收据，投标文件内须放支票复印件。</w:t>
            </w:r>
          </w:p>
          <w:p w14:paraId="233F1222">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B：退投标保证金：</w:t>
            </w:r>
          </w:p>
          <w:p w14:paraId="13716675">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根据中华人民共和国财政部令第87号--《政府采购货物和服务招标投标管理办法》第三十八条供应商在投标截止时间前撤回已提交的投标文件的，采购人或者采购代理机构应当自收到供应商书面撤回通知之日起５个工作日内，退还已收取的投标保证金，但因供应商自身原因导致无法及时退还的除外。采购人或者采购代理机构应当自中标通知书发出之日起5个工作日内退还未中标供应商的投标保证金，自采购合同签订之日起5个工作日内退还中标供应商的投标保证金。</w:t>
            </w:r>
          </w:p>
          <w:p w14:paraId="5D97BA59">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（2）中标供应商的投标保证金在与采购单位签订合同后，把合同扫描件发送至邮箱3792498034@qq.com后，当日或次日即原账户退回。</w:t>
            </w:r>
          </w:p>
        </w:tc>
      </w:tr>
      <w:tr w14:paraId="28BAB7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0" w:hRule="atLeast"/>
          <w:jc w:val="center"/>
        </w:trPr>
        <w:tc>
          <w:tcPr>
            <w:tcW w:w="657" w:type="dxa"/>
            <w:vAlign w:val="center"/>
          </w:tcPr>
          <w:p w14:paraId="7FAB29D8">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13.1</w:t>
            </w:r>
          </w:p>
        </w:tc>
        <w:tc>
          <w:tcPr>
            <w:tcW w:w="7678" w:type="dxa"/>
            <w:vAlign w:val="center"/>
          </w:tcPr>
          <w:p w14:paraId="39C8DA2E">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b w:val="0"/>
                <w:bCs w:val="0"/>
                <w:color w:val="auto"/>
                <w:sz w:val="24"/>
                <w:szCs w:val="24"/>
                <w:highlight w:val="none"/>
                <w:u w:val="single"/>
              </w:rPr>
            </w:pPr>
            <w:r>
              <w:rPr>
                <w:rFonts w:hint="eastAsia" w:ascii="宋体" w:hAnsi="宋体" w:eastAsia="宋体" w:cs="宋体"/>
                <w:b w:val="0"/>
                <w:bCs w:val="0"/>
                <w:color w:val="auto"/>
                <w:sz w:val="24"/>
                <w:szCs w:val="24"/>
                <w:highlight w:val="none"/>
              </w:rPr>
              <w:t>投标有效期：</w:t>
            </w:r>
            <w:r>
              <w:rPr>
                <w:rFonts w:hint="eastAsia" w:ascii="宋体" w:hAnsi="宋体" w:eastAsia="宋体" w:cs="宋体"/>
                <w:b w:val="0"/>
                <w:bCs w:val="0"/>
                <w:color w:val="auto"/>
                <w:sz w:val="24"/>
                <w:szCs w:val="24"/>
                <w:highlight w:val="none"/>
                <w:u w:val="single"/>
              </w:rPr>
              <w:t>　</w:t>
            </w:r>
            <w:r>
              <w:rPr>
                <w:rFonts w:hint="eastAsia" w:ascii="宋体" w:hAnsi="宋体" w:eastAsia="宋体" w:cs="宋体"/>
                <w:b w:val="0"/>
                <w:bCs w:val="0"/>
                <w:color w:val="auto"/>
                <w:sz w:val="24"/>
                <w:szCs w:val="24"/>
                <w:highlight w:val="none"/>
                <w:u w:val="single"/>
                <w:lang w:val="en-US" w:eastAsia="zh-CN"/>
              </w:rPr>
              <w:t>90</w:t>
            </w:r>
            <w:r>
              <w:rPr>
                <w:rFonts w:hint="eastAsia" w:ascii="宋体" w:hAnsi="宋体" w:eastAsia="宋体" w:cs="宋体"/>
                <w:b w:val="0"/>
                <w:bCs w:val="0"/>
                <w:color w:val="auto"/>
                <w:sz w:val="24"/>
                <w:szCs w:val="24"/>
                <w:highlight w:val="none"/>
                <w:u w:val="single"/>
              </w:rPr>
              <w:t>　</w:t>
            </w:r>
            <w:r>
              <w:rPr>
                <w:rFonts w:hint="eastAsia" w:ascii="宋体" w:hAnsi="宋体" w:eastAsia="宋体" w:cs="宋体"/>
                <w:b w:val="0"/>
                <w:bCs w:val="0"/>
                <w:color w:val="auto"/>
                <w:sz w:val="24"/>
                <w:szCs w:val="24"/>
                <w:highlight w:val="none"/>
              </w:rPr>
              <w:t>日历日</w:t>
            </w:r>
          </w:p>
        </w:tc>
      </w:tr>
      <w:tr w14:paraId="6150E1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1" w:hRule="atLeast"/>
          <w:jc w:val="center"/>
        </w:trPr>
        <w:tc>
          <w:tcPr>
            <w:tcW w:w="657" w:type="dxa"/>
            <w:vAlign w:val="center"/>
          </w:tcPr>
          <w:p w14:paraId="54C01DA7">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14.1</w:t>
            </w:r>
          </w:p>
        </w:tc>
        <w:tc>
          <w:tcPr>
            <w:tcW w:w="7678" w:type="dxa"/>
            <w:vAlign w:val="center"/>
          </w:tcPr>
          <w:p w14:paraId="01289DD5">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BD8E7B1">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（2）本项目实行网上投标，采用电子投标文件(供应商须使用CA加密设备通过政采云电子投标客户端制作投标文件)。若供应商参与投标，自行承担投标一切费用。</w:t>
            </w:r>
          </w:p>
          <w:p w14:paraId="1DA913FD">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0AA2AB27">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宋体" w:hAnsi="宋体" w:eastAsia="宋体" w:cs="宋体"/>
                <w:b w:val="0"/>
                <w:bCs w:val="0"/>
                <w:color w:val="auto"/>
                <w:sz w:val="24"/>
                <w:highlight w:val="none"/>
                <w:lang w:eastAsia="zh-CN"/>
              </w:rPr>
              <w:t>95763</w:t>
            </w:r>
            <w:r>
              <w:rPr>
                <w:rFonts w:hint="eastAsia" w:ascii="宋体" w:hAnsi="宋体" w:eastAsia="宋体" w:cs="宋体"/>
                <w:b w:val="0"/>
                <w:bCs w:val="0"/>
                <w:color w:val="auto"/>
                <w:sz w:val="24"/>
                <w:highlight w:val="none"/>
              </w:rPr>
              <w:t>进行咨询。</w:t>
            </w:r>
          </w:p>
          <w:p w14:paraId="722FF03D">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（5）供应商在开标时须使用制作加密电子投标文件所使用的CA锁及电脑，电脑须提前配置好浏览器（建议使用360浏览器或谷歌浏览器），以便开标时解锁。</w:t>
            </w:r>
          </w:p>
          <w:p w14:paraId="16017DA8">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（6）投标保证金缴纳及确认时间：凡拟参加本次招标项目的供应商，必须在开标前将投标保证金汇入指定账户。投标保证金汇款凭证上用途栏应注明:招标项目名称+</w:t>
            </w:r>
            <w:r>
              <w:rPr>
                <w:rFonts w:hint="eastAsia" w:ascii="宋体" w:hAnsi="宋体" w:cs="宋体"/>
                <w:b w:val="0"/>
                <w:bCs w:val="0"/>
                <w:color w:val="auto"/>
                <w:sz w:val="24"/>
                <w:highlight w:val="none"/>
                <w:lang w:eastAsia="zh-CN"/>
              </w:rPr>
              <w:t>标项</w:t>
            </w:r>
            <w:r>
              <w:rPr>
                <w:rFonts w:hint="eastAsia" w:ascii="宋体" w:hAnsi="宋体" w:eastAsia="宋体" w:cs="宋体"/>
                <w:b w:val="0"/>
                <w:bCs w:val="0"/>
                <w:color w:val="auto"/>
                <w:sz w:val="24"/>
                <w:highlight w:val="none"/>
              </w:rPr>
              <w:t>（如有）+投标保证金。否则，届时其投标将被拒绝。</w:t>
            </w:r>
          </w:p>
          <w:p w14:paraId="2D2E0DEA">
            <w:pPr>
              <w:keepNext w:val="0"/>
              <w:keepLines w:val="0"/>
              <w:pageBreakBefore w:val="0"/>
              <w:kinsoku/>
              <w:wordWrap/>
              <w:overflowPunct/>
              <w:topLinePunct w:val="0"/>
              <w:autoSpaceDE/>
              <w:autoSpaceDN/>
              <w:bidi w:val="0"/>
              <w:adjustRightInd/>
              <w:spacing w:line="340" w:lineRule="exact"/>
              <w:jc w:val="left"/>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31E336EC">
            <w:pPr>
              <w:pStyle w:val="20"/>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8）各供应商须在投标截止时间前完成在系统上递交电子投标文件。投标供应商的电子投标文件是经过CA证书加密后上传提交的，任何单位或个人均无法在投标截止时间(即投标时间)之前查看或篡改，不存在泄密风险。（严格按照政采云电子投标流程制作并上传完整版的电子投标文件后缀为.jmbs，包含第一部分开标一览表及资格证明文件、第二部分商务及技术文件）</w:t>
            </w:r>
          </w:p>
          <w:p w14:paraId="7B8264FA">
            <w:pPr>
              <w:pStyle w:val="20"/>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9）各供应商应完整地按招标文件提供的投标文件格式及要求编写投标文件，根据平台关联点上传对应佐证资料，投标文件应包括“开标一览表及资格证明文件”和“商务及技术文件”两部分，两部分合并成完整一册上传至政采云平台。</w:t>
            </w:r>
          </w:p>
          <w:p w14:paraId="2EE8D9E8">
            <w:pPr>
              <w:pStyle w:val="20"/>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highlight w:val="none"/>
                <w:lang w:val="en-US" w:eastAsia="zh-CN"/>
              </w:rPr>
              <w:t>（10）解密时长为30分钟，超出解密时长，作无效投标处理。</w:t>
            </w:r>
          </w:p>
        </w:tc>
      </w:tr>
      <w:tr w14:paraId="44502A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jc w:val="center"/>
        </w:trPr>
        <w:tc>
          <w:tcPr>
            <w:tcW w:w="657" w:type="dxa"/>
            <w:vAlign w:val="center"/>
          </w:tcPr>
          <w:p w14:paraId="0F684DE6">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p>
        </w:tc>
        <w:tc>
          <w:tcPr>
            <w:tcW w:w="7678" w:type="dxa"/>
            <w:vAlign w:val="center"/>
          </w:tcPr>
          <w:p w14:paraId="3E93F57B">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投标截止时间：</w:t>
            </w:r>
            <w:r>
              <w:rPr>
                <w:rFonts w:hint="eastAsia" w:ascii="宋体" w:hAnsi="宋体" w:cs="宋体"/>
                <w:b/>
                <w:bCs/>
                <w:color w:val="auto"/>
                <w:sz w:val="24"/>
                <w:szCs w:val="24"/>
                <w:highlight w:val="none"/>
                <w:lang w:eastAsia="zh-CN"/>
              </w:rPr>
              <w:t>202</w:t>
            </w:r>
            <w:r>
              <w:rPr>
                <w:rFonts w:hint="eastAsia" w:ascii="宋体" w:hAnsi="宋体" w:cs="宋体"/>
                <w:b/>
                <w:bCs/>
                <w:color w:val="auto"/>
                <w:sz w:val="24"/>
                <w:szCs w:val="24"/>
                <w:highlight w:val="none"/>
                <w:lang w:val="en-US" w:eastAsia="zh-CN"/>
              </w:rPr>
              <w:t>5</w:t>
            </w:r>
            <w:r>
              <w:rPr>
                <w:rFonts w:hint="eastAsia" w:ascii="宋体" w:hAnsi="宋体" w:cs="宋体"/>
                <w:b/>
                <w:bCs/>
                <w:color w:val="auto"/>
                <w:sz w:val="24"/>
                <w:szCs w:val="24"/>
                <w:highlight w:val="none"/>
                <w:lang w:eastAsia="zh-CN"/>
              </w:rPr>
              <w:t>年</w:t>
            </w:r>
            <w:r>
              <w:rPr>
                <w:rFonts w:hint="eastAsia" w:ascii="宋体" w:hAnsi="宋体" w:cs="宋体"/>
                <w:b/>
                <w:bCs/>
                <w:color w:val="auto"/>
                <w:sz w:val="24"/>
                <w:szCs w:val="24"/>
                <w:highlight w:val="none"/>
                <w:lang w:val="en-US" w:eastAsia="zh-CN"/>
              </w:rPr>
              <w:t>4</w:t>
            </w:r>
            <w:r>
              <w:rPr>
                <w:rFonts w:hint="eastAsia" w:ascii="宋体" w:hAnsi="宋体" w:cs="宋体"/>
                <w:b/>
                <w:bCs/>
                <w:color w:val="auto"/>
                <w:sz w:val="24"/>
                <w:szCs w:val="24"/>
                <w:highlight w:val="none"/>
                <w:lang w:eastAsia="zh-CN"/>
              </w:rPr>
              <w:t>月</w:t>
            </w:r>
            <w:r>
              <w:rPr>
                <w:rFonts w:hint="eastAsia" w:ascii="宋体" w:hAnsi="宋体" w:cs="宋体"/>
                <w:b/>
                <w:bCs/>
                <w:color w:val="auto"/>
                <w:sz w:val="24"/>
                <w:szCs w:val="24"/>
                <w:highlight w:val="none"/>
                <w:lang w:val="en-US" w:eastAsia="zh-CN"/>
              </w:rPr>
              <w:t>16</w:t>
            </w:r>
            <w:r>
              <w:rPr>
                <w:rFonts w:hint="eastAsia" w:ascii="宋体" w:hAnsi="宋体" w:cs="宋体"/>
                <w:b/>
                <w:bCs/>
                <w:color w:val="auto"/>
                <w:sz w:val="24"/>
                <w:szCs w:val="24"/>
                <w:highlight w:val="none"/>
                <w:lang w:eastAsia="zh-CN"/>
              </w:rPr>
              <w:t>日11:00</w:t>
            </w:r>
            <w:r>
              <w:rPr>
                <w:rFonts w:hint="eastAsia" w:ascii="宋体" w:hAnsi="宋体" w:eastAsia="宋体" w:cs="宋体"/>
                <w:b/>
                <w:bCs/>
                <w:color w:val="auto"/>
                <w:sz w:val="24"/>
                <w:szCs w:val="24"/>
                <w:highlight w:val="none"/>
                <w:lang w:eastAsia="zh-CN"/>
              </w:rPr>
              <w:t>（北京时间）</w:t>
            </w:r>
          </w:p>
          <w:p w14:paraId="2BB2DD19">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投标地点：</w:t>
            </w:r>
            <w:r>
              <w:rPr>
                <w:rFonts w:hint="eastAsia" w:ascii="宋体" w:hAnsi="宋体" w:eastAsia="宋体" w:cs="宋体"/>
                <w:b/>
                <w:bCs/>
                <w:color w:val="auto"/>
                <w:sz w:val="24"/>
                <w:szCs w:val="24"/>
                <w:highlight w:val="none"/>
                <w:lang w:val="en-US" w:eastAsia="zh-CN"/>
              </w:rPr>
              <w:t>请登录政采云投标客户端投标</w:t>
            </w:r>
          </w:p>
        </w:tc>
      </w:tr>
      <w:tr w14:paraId="0CB4FE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34" w:hRule="atLeast"/>
          <w:jc w:val="center"/>
        </w:trPr>
        <w:tc>
          <w:tcPr>
            <w:tcW w:w="657" w:type="dxa"/>
            <w:vAlign w:val="center"/>
          </w:tcPr>
          <w:p w14:paraId="2A0BF8B0">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w:t>
            </w:r>
          </w:p>
        </w:tc>
        <w:tc>
          <w:tcPr>
            <w:tcW w:w="7678" w:type="dxa"/>
            <w:vAlign w:val="center"/>
          </w:tcPr>
          <w:p w14:paraId="3C04EF66">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开标时间：</w:t>
            </w:r>
            <w:r>
              <w:rPr>
                <w:rFonts w:hint="eastAsia" w:ascii="宋体" w:hAnsi="宋体" w:cs="宋体"/>
                <w:b/>
                <w:bCs/>
                <w:color w:val="auto"/>
                <w:sz w:val="24"/>
                <w:szCs w:val="24"/>
                <w:highlight w:val="none"/>
                <w:lang w:eastAsia="zh-CN"/>
              </w:rPr>
              <w:t>202</w:t>
            </w:r>
            <w:r>
              <w:rPr>
                <w:rFonts w:hint="eastAsia" w:ascii="宋体" w:hAnsi="宋体" w:cs="宋体"/>
                <w:b/>
                <w:bCs/>
                <w:color w:val="auto"/>
                <w:sz w:val="24"/>
                <w:szCs w:val="24"/>
                <w:highlight w:val="none"/>
                <w:lang w:val="en-US" w:eastAsia="zh-CN"/>
              </w:rPr>
              <w:t>5</w:t>
            </w:r>
            <w:r>
              <w:rPr>
                <w:rFonts w:hint="eastAsia" w:ascii="宋体" w:hAnsi="宋体" w:cs="宋体"/>
                <w:b/>
                <w:bCs/>
                <w:color w:val="auto"/>
                <w:sz w:val="24"/>
                <w:szCs w:val="24"/>
                <w:highlight w:val="none"/>
                <w:lang w:eastAsia="zh-CN"/>
              </w:rPr>
              <w:t>年</w:t>
            </w:r>
            <w:r>
              <w:rPr>
                <w:rFonts w:hint="eastAsia" w:ascii="宋体" w:hAnsi="宋体" w:cs="宋体"/>
                <w:b/>
                <w:bCs/>
                <w:color w:val="auto"/>
                <w:sz w:val="24"/>
                <w:szCs w:val="24"/>
                <w:highlight w:val="none"/>
                <w:lang w:val="en-US" w:eastAsia="zh-CN"/>
              </w:rPr>
              <w:t>4</w:t>
            </w:r>
            <w:r>
              <w:rPr>
                <w:rFonts w:hint="eastAsia" w:ascii="宋体" w:hAnsi="宋体" w:cs="宋体"/>
                <w:b/>
                <w:bCs/>
                <w:color w:val="auto"/>
                <w:sz w:val="24"/>
                <w:szCs w:val="24"/>
                <w:highlight w:val="none"/>
                <w:lang w:eastAsia="zh-CN"/>
              </w:rPr>
              <w:t>月</w:t>
            </w:r>
            <w:r>
              <w:rPr>
                <w:rFonts w:hint="eastAsia" w:ascii="宋体" w:hAnsi="宋体" w:cs="宋体"/>
                <w:b/>
                <w:bCs/>
                <w:color w:val="auto"/>
                <w:sz w:val="24"/>
                <w:szCs w:val="24"/>
                <w:highlight w:val="none"/>
                <w:lang w:val="en-US" w:eastAsia="zh-CN"/>
              </w:rPr>
              <w:t>16</w:t>
            </w:r>
            <w:r>
              <w:rPr>
                <w:rFonts w:hint="eastAsia" w:ascii="宋体" w:hAnsi="宋体" w:cs="宋体"/>
                <w:b/>
                <w:bCs/>
                <w:color w:val="auto"/>
                <w:sz w:val="24"/>
                <w:szCs w:val="24"/>
                <w:highlight w:val="none"/>
                <w:lang w:eastAsia="zh-CN"/>
              </w:rPr>
              <w:t>日11:00</w:t>
            </w:r>
            <w:r>
              <w:rPr>
                <w:rFonts w:hint="eastAsia" w:ascii="宋体" w:hAnsi="宋体" w:eastAsia="宋体" w:cs="宋体"/>
                <w:b/>
                <w:bCs/>
                <w:color w:val="auto"/>
                <w:sz w:val="24"/>
                <w:szCs w:val="24"/>
                <w:highlight w:val="none"/>
                <w:lang w:eastAsia="zh-CN"/>
              </w:rPr>
              <w:t>（北京时间）</w:t>
            </w:r>
          </w:p>
          <w:p w14:paraId="22A253F5">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w:t>
            </w:r>
            <w:r>
              <w:rPr>
                <w:rFonts w:hint="eastAsia" w:ascii="宋体" w:hAnsi="宋体" w:eastAsia="宋体" w:cs="宋体"/>
                <w:b/>
                <w:bCs/>
                <w:color w:val="auto"/>
                <w:sz w:val="24"/>
                <w:szCs w:val="24"/>
                <w:highlight w:val="none"/>
                <w:lang w:eastAsia="zh-CN"/>
              </w:rPr>
              <w:t>供应商登录政采云平台https://www.zcygov.cn/，进入“项目采购-开标评标-右边选择对应项目点击“进入项目”进入开标大厅。</w:t>
            </w:r>
          </w:p>
        </w:tc>
      </w:tr>
      <w:tr w14:paraId="54D0FB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57" w:type="dxa"/>
            <w:vAlign w:val="center"/>
          </w:tcPr>
          <w:p w14:paraId="70123AC4">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7678" w:type="dxa"/>
            <w:vAlign w:val="center"/>
          </w:tcPr>
          <w:p w14:paraId="46462A77">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i/>
                <w:color w:val="auto"/>
                <w:sz w:val="24"/>
                <w:szCs w:val="24"/>
                <w:highlight w:val="none"/>
              </w:rPr>
            </w:pPr>
            <w:r>
              <w:rPr>
                <w:rFonts w:hint="eastAsia" w:ascii="宋体" w:hAnsi="宋体" w:eastAsia="宋体" w:cs="宋体"/>
                <w:color w:val="auto"/>
                <w:sz w:val="24"/>
                <w:szCs w:val="24"/>
                <w:highlight w:val="none"/>
              </w:rPr>
              <w:t>评标方法：适用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　　　　　</w:t>
            </w:r>
          </w:p>
        </w:tc>
      </w:tr>
      <w:tr w14:paraId="1BB528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jc w:val="center"/>
        </w:trPr>
        <w:tc>
          <w:tcPr>
            <w:tcW w:w="657" w:type="dxa"/>
            <w:vAlign w:val="center"/>
          </w:tcPr>
          <w:p w14:paraId="5B512040">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23.3</w:t>
            </w:r>
          </w:p>
        </w:tc>
        <w:tc>
          <w:tcPr>
            <w:tcW w:w="7678" w:type="dxa"/>
            <w:vAlign w:val="center"/>
          </w:tcPr>
          <w:p w14:paraId="5CC04462">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w:t>
            </w:r>
            <w:r>
              <w:rPr>
                <w:rFonts w:hint="eastAsia" w:ascii="宋体" w:hAnsi="宋体" w:eastAsia="宋体" w:cs="宋体"/>
                <w:color w:val="auto"/>
                <w:sz w:val="24"/>
                <w:szCs w:val="24"/>
                <w:highlight w:val="none"/>
              </w:rPr>
              <w:t>所属行业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其他未列明行业</w:t>
            </w:r>
            <w:r>
              <w:rPr>
                <w:rFonts w:hint="eastAsia" w:ascii="宋体" w:hAnsi="宋体" w:eastAsia="宋体" w:cs="宋体"/>
                <w:color w:val="auto"/>
                <w:sz w:val="24"/>
                <w:szCs w:val="24"/>
                <w:highlight w:val="none"/>
                <w:u w:val="single"/>
                <w:lang w:val="en-US" w:eastAsia="zh-CN"/>
              </w:rPr>
              <w:t xml:space="preserve"> </w:t>
            </w:r>
          </w:p>
        </w:tc>
      </w:tr>
      <w:tr w14:paraId="6E9F22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jc w:val="center"/>
        </w:trPr>
        <w:tc>
          <w:tcPr>
            <w:tcW w:w="657" w:type="dxa"/>
            <w:vAlign w:val="center"/>
          </w:tcPr>
          <w:p w14:paraId="387372A3">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7678" w:type="dxa"/>
            <w:vAlign w:val="center"/>
          </w:tcPr>
          <w:p w14:paraId="06E1D903">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推荐中标候选供应商的数量：</w:t>
            </w:r>
            <w:r>
              <w:rPr>
                <w:rFonts w:hint="eastAsia" w:ascii="宋体" w:hAnsi="宋体" w:eastAsia="宋体" w:cs="宋体"/>
                <w:color w:val="auto"/>
                <w:sz w:val="24"/>
                <w:szCs w:val="24"/>
                <w:highlight w:val="none"/>
                <w:u w:val="single"/>
              </w:rPr>
              <w:t>　  3 　　</w:t>
            </w:r>
          </w:p>
        </w:tc>
      </w:tr>
      <w:tr w14:paraId="7D059E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jc w:val="center"/>
        </w:trPr>
        <w:tc>
          <w:tcPr>
            <w:tcW w:w="657" w:type="dxa"/>
            <w:vAlign w:val="center"/>
          </w:tcPr>
          <w:p w14:paraId="48265769">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7678" w:type="dxa"/>
            <w:vAlign w:val="center"/>
          </w:tcPr>
          <w:p w14:paraId="02D05C92">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是否委托评标委员会直接确定中标人：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否</w:t>
            </w:r>
            <w:r>
              <w:rPr>
                <w:rFonts w:hint="eastAsia" w:ascii="宋体" w:hAnsi="宋体" w:eastAsia="宋体" w:cs="宋体"/>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（是、否）</w:t>
            </w:r>
          </w:p>
        </w:tc>
      </w:tr>
      <w:tr w14:paraId="3764A7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57" w:type="dxa"/>
            <w:vAlign w:val="center"/>
          </w:tcPr>
          <w:p w14:paraId="16825EFC">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p>
        </w:tc>
        <w:tc>
          <w:tcPr>
            <w:tcW w:w="7678" w:type="dxa"/>
            <w:vAlign w:val="center"/>
          </w:tcPr>
          <w:p w14:paraId="3890BE71">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履约保证金金额：合同总价的</w:t>
            </w:r>
            <w:r>
              <w:rPr>
                <w:rFonts w:hint="eastAsia" w:ascii="宋体" w:hAnsi="宋体" w:eastAsia="宋体" w:cs="宋体"/>
                <w:color w:val="auto"/>
                <w:sz w:val="24"/>
                <w:szCs w:val="24"/>
                <w:highlight w:val="none"/>
                <w:u w:val="single"/>
              </w:rPr>
              <w:t>　</w:t>
            </w:r>
            <w:r>
              <w:rPr>
                <w:rFonts w:hint="eastAsia" w:ascii="宋体" w:hAnsi="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（不得超过政府采购合同金额的10%）</w:t>
            </w:r>
          </w:p>
          <w:p w14:paraId="2E7A1AF0">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履约保证金形式：</w:t>
            </w:r>
            <w:r>
              <w:rPr>
                <w:rFonts w:hint="eastAsia" w:ascii="宋体" w:hAnsi="宋体" w:eastAsia="宋体" w:cs="宋体"/>
                <w:color w:val="auto"/>
                <w:sz w:val="24"/>
                <w:szCs w:val="24"/>
                <w:highlight w:val="none"/>
                <w:u w:val="single"/>
              </w:rPr>
              <w:t xml:space="preserve"> ☑银行转账  ☑保函  ☑支票  ☑汇票  ☑本票 </w:t>
            </w:r>
          </w:p>
          <w:p w14:paraId="3D31F8C8">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提交履约保证金的时间：签订合同前打入甲方指定账户</w:t>
            </w:r>
            <w:r>
              <w:rPr>
                <w:rFonts w:hint="eastAsia" w:ascii="宋体" w:hAnsi="宋体" w:eastAsia="宋体" w:cs="宋体"/>
                <w:color w:val="auto"/>
                <w:sz w:val="24"/>
                <w:szCs w:val="24"/>
                <w:highlight w:val="none"/>
                <w:lang w:val="en-US" w:eastAsia="zh-CN"/>
              </w:rPr>
              <w:t xml:space="preserve"> </w:t>
            </w:r>
          </w:p>
          <w:p w14:paraId="6F5405AC">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lang w:val="zh-CN"/>
              </w:rPr>
              <w:t>双方可以通过协商另行约定其他退还时间和方式及用途。</w:t>
            </w:r>
          </w:p>
        </w:tc>
      </w:tr>
      <w:tr w14:paraId="020706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jc w:val="center"/>
        </w:trPr>
        <w:tc>
          <w:tcPr>
            <w:tcW w:w="657" w:type="dxa"/>
            <w:vAlign w:val="center"/>
          </w:tcPr>
          <w:p w14:paraId="4C0B7086">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p>
        </w:tc>
        <w:tc>
          <w:tcPr>
            <w:tcW w:w="7678" w:type="dxa"/>
            <w:vAlign w:val="center"/>
          </w:tcPr>
          <w:p w14:paraId="0567673A">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招标代理服务费（中标服务费）：100万以内按1.50%收取；100万—500万按1.4%收取；500万元—1000万元，按1.2%收取；1000万元—10000万元按0.8%收取；10000万元以上按0.5%收取（由中标供应商领取中标通知书时一次性支付）。</w:t>
            </w:r>
          </w:p>
          <w:p w14:paraId="6C997E5B">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支付形式：</w:t>
            </w:r>
            <w:r>
              <w:rPr>
                <w:rFonts w:hint="eastAsia" w:ascii="宋体" w:hAnsi="宋体" w:eastAsia="宋体" w:cs="宋体"/>
                <w:color w:val="auto"/>
                <w:sz w:val="24"/>
                <w:szCs w:val="24"/>
                <w:highlight w:val="none"/>
                <w:u w:val="single"/>
              </w:rPr>
              <w:t xml:space="preserve"> 对公转账 </w:t>
            </w:r>
          </w:p>
          <w:p w14:paraId="1E94C37F">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支付时间：</w:t>
            </w:r>
            <w:r>
              <w:rPr>
                <w:rFonts w:hint="eastAsia" w:ascii="宋体" w:hAnsi="宋体" w:eastAsia="宋体" w:cs="宋体"/>
                <w:color w:val="auto"/>
                <w:sz w:val="24"/>
                <w:szCs w:val="24"/>
                <w:highlight w:val="none"/>
                <w:u w:val="single"/>
              </w:rPr>
              <w:t>领取中标通知书时一次性支付</w:t>
            </w:r>
          </w:p>
        </w:tc>
      </w:tr>
      <w:tr w14:paraId="252E2E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57" w:type="dxa"/>
            <w:vAlign w:val="center"/>
          </w:tcPr>
          <w:p w14:paraId="289472D4">
            <w:pPr>
              <w:keepNext w:val="0"/>
              <w:keepLines w:val="0"/>
              <w:pageBreakBefore w:val="0"/>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w:t>
            </w:r>
          </w:p>
        </w:tc>
        <w:tc>
          <w:tcPr>
            <w:tcW w:w="7678" w:type="dxa"/>
            <w:vAlign w:val="center"/>
          </w:tcPr>
          <w:p w14:paraId="375C1C16">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本项目是否属于信用担保试点范围：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是</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i w:val="0"/>
                <w:iCs/>
                <w:color w:val="auto"/>
                <w:sz w:val="24"/>
                <w:szCs w:val="24"/>
                <w:highlight w:val="none"/>
              </w:rPr>
              <w:t>（是、否）</w:t>
            </w:r>
          </w:p>
        </w:tc>
      </w:tr>
    </w:tbl>
    <w:p w14:paraId="6DB3E826">
      <w:pPr>
        <w:rPr>
          <w:rFonts w:hint="eastAsia" w:ascii="宋体" w:hAnsi="宋体" w:eastAsia="宋体" w:cs="宋体"/>
          <w:b/>
          <w:bCs/>
          <w:color w:val="auto"/>
          <w:kern w:val="0"/>
          <w:sz w:val="32"/>
          <w:szCs w:val="32"/>
          <w:highlight w:val="none"/>
          <w:lang w:val="en-US" w:eastAsia="zh-CN" w:bidi="ar-SA"/>
        </w:rPr>
      </w:pPr>
      <w:bookmarkStart w:id="2485" w:name="_Toc27053"/>
      <w:bookmarkStart w:id="2486" w:name="_Toc15092"/>
      <w:bookmarkStart w:id="2487" w:name="_Toc27821"/>
      <w:bookmarkStart w:id="2488" w:name="_Toc18118"/>
      <w:bookmarkStart w:id="2489" w:name="_Toc512937852"/>
      <w:r>
        <w:rPr>
          <w:rFonts w:hint="eastAsia" w:ascii="宋体" w:hAnsi="宋体" w:eastAsia="宋体" w:cs="宋体"/>
          <w:b/>
          <w:bCs/>
          <w:color w:val="auto"/>
          <w:kern w:val="0"/>
          <w:sz w:val="32"/>
          <w:szCs w:val="32"/>
          <w:highlight w:val="none"/>
          <w:lang w:val="en-US" w:eastAsia="zh-CN" w:bidi="ar-SA"/>
        </w:rPr>
        <w:br w:type="page"/>
      </w:r>
    </w:p>
    <w:p w14:paraId="0591831D">
      <w:pPr>
        <w:pStyle w:val="6"/>
        <w:numPr>
          <w:ilvl w:val="0"/>
          <w:numId w:val="0"/>
        </w:numPr>
        <w:ind w:firstLine="0" w:firstLineChars="0"/>
        <w:jc w:val="center"/>
        <w:outlineLvl w:val="0"/>
        <w:rPr>
          <w:rFonts w:hint="eastAsia" w:ascii="宋体" w:hAnsi="宋体" w:eastAsia="宋体" w:cs="宋体"/>
          <w:b/>
          <w:bCs/>
          <w:color w:val="auto"/>
          <w:sz w:val="32"/>
          <w:szCs w:val="32"/>
          <w:highlight w:val="none"/>
          <w:lang w:val="en-US" w:eastAsia="zh-CN"/>
        </w:rPr>
      </w:pPr>
      <w:bookmarkStart w:id="2490" w:name="_Toc10730"/>
      <w:r>
        <w:rPr>
          <w:rFonts w:hint="eastAsia" w:ascii="宋体" w:hAnsi="宋体" w:eastAsia="宋体" w:cs="宋体"/>
          <w:b/>
          <w:bCs/>
          <w:color w:val="auto"/>
          <w:kern w:val="0"/>
          <w:sz w:val="32"/>
          <w:szCs w:val="32"/>
          <w:highlight w:val="none"/>
          <w:lang w:val="en-US" w:eastAsia="zh-CN" w:bidi="ar-SA"/>
        </w:rPr>
        <w:t>第5章</w:t>
      </w:r>
      <w:r>
        <w:rPr>
          <w:rFonts w:hint="eastAsia" w:ascii="宋体" w:hAnsi="宋体" w:eastAsia="宋体" w:cs="宋体"/>
          <w:b/>
          <w:bCs/>
          <w:color w:val="auto"/>
          <w:sz w:val="32"/>
          <w:szCs w:val="32"/>
          <w:highlight w:val="none"/>
          <w:lang w:val="en-US" w:eastAsia="zh-CN"/>
        </w:rPr>
        <w:t xml:space="preserve"> </w:t>
      </w:r>
      <w:r>
        <w:rPr>
          <w:rFonts w:hint="eastAsia" w:hAnsi="宋体" w:cs="宋体"/>
          <w:b/>
          <w:bCs/>
          <w:color w:val="auto"/>
          <w:sz w:val="32"/>
          <w:szCs w:val="32"/>
          <w:highlight w:val="none"/>
          <w:lang w:val="en-US" w:eastAsia="zh-CN"/>
        </w:rPr>
        <w:t>服务需求</w:t>
      </w:r>
      <w:bookmarkEnd w:id="0"/>
      <w:bookmarkEnd w:id="1"/>
      <w:bookmarkEnd w:id="2"/>
      <w:bookmarkEnd w:id="3"/>
      <w:bookmarkEnd w:id="4"/>
      <w:bookmarkEnd w:id="5"/>
      <w:bookmarkEnd w:id="6"/>
      <w:bookmarkEnd w:id="7"/>
      <w:bookmarkEnd w:id="8"/>
      <w:bookmarkEnd w:id="9"/>
      <w:bookmarkEnd w:id="10"/>
      <w:bookmarkEnd w:id="11"/>
      <w:bookmarkEnd w:id="12"/>
      <w:bookmarkEnd w:id="13"/>
      <w:bookmarkEnd w:id="2485"/>
      <w:bookmarkEnd w:id="2486"/>
      <w:bookmarkEnd w:id="2487"/>
      <w:bookmarkEnd w:id="2488"/>
      <w:bookmarkEnd w:id="2489"/>
      <w:bookmarkEnd w:id="2490"/>
      <w:bookmarkStart w:id="2491" w:name="_Toc22092"/>
      <w:bookmarkStart w:id="2492" w:name="_Toc25655"/>
      <w:bookmarkStart w:id="2493" w:name="_Toc4621"/>
      <w:bookmarkStart w:id="2494" w:name="_Toc18166"/>
      <w:bookmarkStart w:id="2495" w:name="_Toc6403"/>
      <w:bookmarkStart w:id="2496" w:name="_Toc8003"/>
      <w:bookmarkStart w:id="2497" w:name="_Toc24835"/>
      <w:bookmarkStart w:id="2498" w:name="_Toc12446"/>
      <w:bookmarkStart w:id="2499" w:name="_Toc30525"/>
      <w:bookmarkStart w:id="2500" w:name="_Toc31651"/>
      <w:bookmarkStart w:id="2501" w:name="_Toc11259"/>
    </w:p>
    <w:bookmarkEnd w:id="2491"/>
    <w:bookmarkEnd w:id="2492"/>
    <w:bookmarkEnd w:id="2493"/>
    <w:bookmarkEnd w:id="2494"/>
    <w:bookmarkEnd w:id="2495"/>
    <w:bookmarkEnd w:id="2496"/>
    <w:bookmarkEnd w:id="2497"/>
    <w:bookmarkEnd w:id="2498"/>
    <w:bookmarkEnd w:id="2499"/>
    <w:p w14:paraId="76324CBC">
      <w:pPr>
        <w:pStyle w:val="3"/>
        <w:pageBreakBefore w:val="0"/>
        <w:numPr>
          <w:ilvl w:val="0"/>
          <w:numId w:val="0"/>
        </w:numPr>
        <w:kinsoku/>
        <w:wordWrap/>
        <w:overflowPunct w:val="0"/>
        <w:topLinePunct/>
        <w:autoSpaceDE/>
        <w:autoSpaceDN/>
        <w:bidi w:val="0"/>
        <w:snapToGrid/>
        <w:spacing w:line="560" w:lineRule="exact"/>
        <w:ind w:left="640" w:leftChars="0"/>
        <w:jc w:val="left"/>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2502" w:name="_Toc10875"/>
      <w:bookmarkStart w:id="2503" w:name="_Toc21856"/>
      <w:bookmarkStart w:id="2504" w:name="_Toc30304"/>
      <w:r>
        <w:rPr>
          <w:rFonts w:hint="eastAsia" w:hAnsi="宋体" w:cs="宋体"/>
          <w:b/>
          <w:bCs/>
          <w:color w:val="000000" w:themeColor="text1"/>
          <w:kern w:val="2"/>
          <w:sz w:val="24"/>
          <w:szCs w:val="24"/>
          <w:highlight w:val="none"/>
          <w:lang w:val="en-US" w:eastAsia="zh-CN" w:bidi="ar-SA"/>
          <w14:textFill>
            <w14:solidFill>
              <w14:schemeClr w14:val="tx1"/>
            </w14:solidFill>
          </w14:textFill>
        </w:rPr>
        <w:t>一、</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项目建设内容</w:t>
      </w:r>
      <w:bookmarkEnd w:id="2502"/>
    </w:p>
    <w:p w14:paraId="6EDE48A2">
      <w:pPr>
        <w:pStyle w:val="9"/>
        <w:keepNext w:val="0"/>
        <w:keepLines w:val="0"/>
        <w:pageBreakBefore w:val="0"/>
        <w:widowControl w:val="0"/>
        <w:kinsoku/>
        <w:wordWrap/>
        <w:overflowPunct w:val="0"/>
        <w:topLinePunct/>
        <w:autoSpaceDE/>
        <w:autoSpaceDN/>
        <w:bidi w:val="0"/>
        <w:adjustRightInd/>
        <w:snapToGrid/>
        <w:spacing w:line="560" w:lineRule="exact"/>
        <w:ind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县教育质量提升项目（强基计划），主要由“拔尖创新学生培养交流活动”、“优分优育”毕业班质量提升活动、“科创活动”组成。“拔尖创新学生培养交流活动”，主要是在提供7、8、10、11年级物理、化学、英语、语文写作课程培训基础上，邀请清华专家赴叶城，选拔叶城县优秀师生，赴清华、北大研学，安排资金50万。“优分优育”毕业班质量提升活动，是通过名师线上和线下的教学与教研培训形式，指导叶城县高三教师采用科学的作业训练方法，提高教师教学水平和高三学生的升学率；同时对初三语文、数学、英语学科教师进行中考复习教学辅导。安排资金200万。“科创活动”以科创营活动形式，组织两地师生互动交流，在科创教育实践活动中，提高叶城地区科创骨干教师和优秀学生的科学素养，安排资金50万。</w:t>
      </w:r>
    </w:p>
    <w:p w14:paraId="4ADBA6DD">
      <w:pPr>
        <w:pStyle w:val="3"/>
        <w:pageBreakBefore w:val="0"/>
        <w:numPr>
          <w:ilvl w:val="0"/>
          <w:numId w:val="0"/>
        </w:numPr>
        <w:kinsoku/>
        <w:wordWrap/>
        <w:overflowPunct w:val="0"/>
        <w:topLinePunct/>
        <w:autoSpaceDE/>
        <w:autoSpaceDN/>
        <w:bidi w:val="0"/>
        <w:snapToGrid/>
        <w:spacing w:line="560" w:lineRule="exact"/>
        <w:ind w:left="640" w:leftChars="0"/>
        <w:jc w:val="left"/>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2505" w:name="_Toc29008"/>
      <w:r>
        <w:rPr>
          <w:rFonts w:hint="eastAsia" w:hAnsi="宋体" w:cs="宋体"/>
          <w:b/>
          <w:bCs/>
          <w:color w:val="000000" w:themeColor="text1"/>
          <w:kern w:val="2"/>
          <w:sz w:val="24"/>
          <w:szCs w:val="24"/>
          <w:highlight w:val="none"/>
          <w:lang w:val="en-US" w:eastAsia="zh-CN" w:bidi="ar-SA"/>
          <w14:textFill>
            <w14:solidFill>
              <w14:schemeClr w14:val="tx1"/>
            </w14:solidFill>
          </w14:textFill>
        </w:rPr>
        <w:t>二、</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项目投资概算及资金来源</w:t>
      </w:r>
      <w:bookmarkEnd w:id="2505"/>
    </w:p>
    <w:p w14:paraId="162EB2B9">
      <w:pPr>
        <w:pStyle w:val="9"/>
        <w:keepNext w:val="0"/>
        <w:keepLines w:val="0"/>
        <w:pageBreakBefore w:val="0"/>
        <w:widowControl w:val="0"/>
        <w:kinsoku/>
        <w:wordWrap/>
        <w:overflowPunct w:val="0"/>
        <w:topLinePunct/>
        <w:autoSpaceDE/>
        <w:autoSpaceDN/>
        <w:bidi w:val="0"/>
        <w:adjustRightInd/>
        <w:snapToGrid/>
        <w:spacing w:line="560" w:lineRule="exac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项目计划总投资300万元，资金来源为2025年上海援疆资金。</w:t>
      </w:r>
    </w:p>
    <w:p w14:paraId="13BC7291">
      <w:pPr>
        <w:pStyle w:val="3"/>
        <w:pageBreakBefore w:val="0"/>
        <w:numPr>
          <w:ilvl w:val="0"/>
          <w:numId w:val="0"/>
        </w:numPr>
        <w:kinsoku/>
        <w:wordWrap/>
        <w:overflowPunct w:val="0"/>
        <w:topLinePunct/>
        <w:autoSpaceDE/>
        <w:autoSpaceDN/>
        <w:bidi w:val="0"/>
        <w:snapToGrid/>
        <w:spacing w:line="360" w:lineRule="auto"/>
        <w:ind w:left="640" w:leftChars="0"/>
        <w:jc w:val="left"/>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2506" w:name="_Toc5443"/>
      <w:r>
        <w:rPr>
          <w:rFonts w:hint="eastAsia" w:hAnsi="宋体" w:cs="宋体"/>
          <w:b/>
          <w:bCs/>
          <w:color w:val="000000" w:themeColor="text1"/>
          <w:kern w:val="2"/>
          <w:sz w:val="24"/>
          <w:szCs w:val="24"/>
          <w:highlight w:val="none"/>
          <w:lang w:val="en-US" w:eastAsia="zh-CN" w:bidi="ar-SA"/>
          <w14:textFill>
            <w14:solidFill>
              <w14:schemeClr w14:val="tx1"/>
            </w14:solidFill>
          </w14:textFill>
        </w:rPr>
        <w:t>三、</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项目实施方案</w:t>
      </w:r>
      <w:bookmarkEnd w:id="2506"/>
    </w:p>
    <w:p w14:paraId="3D917D4A">
      <w:pPr>
        <w:bidi w:val="0"/>
        <w:spacing w:line="480" w:lineRule="auto"/>
        <w:ind w:firstLine="482" w:firstLineChars="20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（一）拔尖创新学生培养交流活动</w:t>
      </w:r>
    </w:p>
    <w:p w14:paraId="2132CB1D">
      <w:pPr>
        <w:bidi w:val="0"/>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1.背景</w:t>
      </w:r>
    </w:p>
    <w:p w14:paraId="6AA478EF">
      <w:pPr>
        <w:pStyle w:val="9"/>
        <w:keepNext w:val="0"/>
        <w:keepLines w:val="0"/>
        <w:pageBreakBefore w:val="0"/>
        <w:widowControl w:val="0"/>
        <w:kinsoku/>
        <w:wordWrap/>
        <w:overflowPunct w:val="0"/>
        <w:topLinePunct/>
        <w:autoSpaceDE/>
        <w:autoSpaceDN/>
        <w:bidi w:val="0"/>
        <w:adjustRightInd/>
        <w:snapToGrid/>
        <w:spacing w:line="560" w:lineRule="exact"/>
        <w:ind w:firstLine="632"/>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在当前科技迅猛发展和国际竞争日益激烈的时代背景下，拔尖创新人才的培养已成为国家和社会发展的关键因素。拔尖创新人才特指在科学研究、创新设计、工程实践等领域具备卓越才能和潜力的学生。选拔和培养这类人才对于推动社会进步和科学创新至关重要，及早发现并培养创新人才已成为中学教育的重要使命。因此，叶城县教育局把造就一批创新型学生作为今后教育教学工作的一个重要目标，以适应新时代、新形势下国家和社会发展对拔尖创新与应用复合型高端人才的需要。建立一套科学规范的中学拔尖创新人才选拔与培养方案，对于中学教育的发展具有重要意义。为此，叶城县教育局积极整合多方教育资源，特制定“宝叶拔尖创新人才遴选暨培养方案”，以保障人才选拔与培养工作科学、有序、高效进行。</w:t>
      </w:r>
    </w:p>
    <w:p w14:paraId="660F0A65">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2.工作目标</w:t>
      </w:r>
    </w:p>
    <w:p w14:paraId="7C64F43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遵循“全面发展，突出个性”的工作原则，确保培养对象在全面发展的基础上实现均衡发展。通过鼓励学生的自主学习和深入探究，使其在优势学科领域实现适度超常规发展，达到相应的专业能力水平，并培养出显著的创新能力。</w:t>
      </w:r>
    </w:p>
    <w:p w14:paraId="29F1073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激发培养对象的主动学习热情，引导他们养成主动参与、积极探究、交流合作的学习习惯。通过这些方式，培养对象的创新思维和意识将得到激发，进而提升他们的创新实践能力。同时，促进他们形成终身学习和高效学习的能力与习惯，为创新型国家的建设输送优秀的后备人才。</w:t>
      </w:r>
    </w:p>
    <w:p w14:paraId="7F771D92">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（3）加强培养参与工作教师的专业能力培训，推动他们更新和发展教学理念，实现从单一教学型教师向学科学习导师和学术研究导师的转型。</w:t>
      </w:r>
    </w:p>
    <w:p w14:paraId="630C0E33">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通过实践探索、总结反思和持续改进，探索中学阶段创新型学生的选拔、培养及评价机制。不断完善创新型学生培养方案，努力构建有利于多样化创新人才成长的培养体系，并积极探索和发展中学与大学合作培养高端人才的新型教育模式。</w:t>
      </w:r>
    </w:p>
    <w:p w14:paraId="07DD8B11">
      <w:pPr>
        <w:pStyle w:val="9"/>
        <w:pageBreakBefore w:val="0"/>
        <w:numPr>
          <w:ilvl w:val="0"/>
          <w:numId w:val="0"/>
        </w:numPr>
        <w:kinsoku/>
        <w:wordWrap/>
        <w:overflowPunct w:val="0"/>
        <w:topLinePunct/>
        <w:autoSpaceDE/>
        <w:autoSpaceDN/>
        <w:bidi w:val="0"/>
        <w:snapToGrid/>
        <w:spacing w:line="48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3.拔尖创新人才选拔</w:t>
      </w:r>
    </w:p>
    <w:p w14:paraId="6E87B120">
      <w:pPr>
        <w:bidi w:val="0"/>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（1）选拔对象</w:t>
      </w:r>
    </w:p>
    <w:p w14:paraId="7FFEBC97">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面向叶城县初、高中学校7、8、10、11年级学生，每个年级选拔5人，共计20名学生。学生选拔的参考因素如下：</w:t>
      </w:r>
    </w:p>
    <w:p w14:paraId="036CFE46">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性格特点：对科学有浓厚的兴趣和热情，愿意主动参与创新实践，具备较强的实践动手能力和创新精神。</w:t>
      </w:r>
    </w:p>
    <w:p w14:paraId="78103732">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学科基础：在理化等自然科学学科有较好的基础知识和学科素养。</w:t>
      </w:r>
    </w:p>
    <w:p w14:paraId="1CD4BC36">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创新成果：具有独立的创新成果或对科学问题有过深入的研究和探索。</w:t>
      </w:r>
    </w:p>
    <w:p w14:paraId="1B6C7E2D">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综合素质：具备较高的学习能力、团队合作能力和表达能力。</w:t>
      </w:r>
    </w:p>
    <w:p w14:paraId="40040D3D">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（2）选拔方式</w:t>
      </w:r>
    </w:p>
    <w:p w14:paraId="2C946BF7">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综合面试：根据学生的科学学科素养、科研成果、实践经历、评价推荐等多个维度进行综合评定，选出具有潜力和能力的学生。</w:t>
      </w:r>
    </w:p>
    <w:p w14:paraId="6D3803E3">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（3）选拔程序</w:t>
      </w:r>
    </w:p>
    <w:p w14:paraId="506DA9A6">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初步筛选：对报名学生进行信息核实，初步筛选。</w:t>
      </w:r>
    </w:p>
    <w:p w14:paraId="4C0C1D1F">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面试评估：对初步筛选出的学生进行面试评估，考查学生的创新意识、动手能力和综合素质等。</w:t>
      </w:r>
    </w:p>
    <w:p w14:paraId="1101BB45">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综合评定：根据面试评估和相关材料对学生进行综合评定，确定最终入选名单。</w:t>
      </w:r>
    </w:p>
    <w:p w14:paraId="0CC87B2B">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4.拔尖创新人才培养工作</w:t>
      </w:r>
    </w:p>
    <w:p w14:paraId="092F09BC">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清华专家赴叶城拔尖创新人才遴选暨支教</w:t>
      </w:r>
    </w:p>
    <w:p w14:paraId="169A4870">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时间：2025学年，共计7天</w:t>
      </w:r>
    </w:p>
    <w:p w14:paraId="69117040">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人员安排：由清华专家带队的5-6人工作团队</w:t>
      </w:r>
    </w:p>
    <w:p w14:paraId="59B92EE9">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支教内容：物理等科学前沿讲座；理化高阶思维课程5节；水平测试和讲评2轮；选拔人才面试沟通</w:t>
      </w:r>
    </w:p>
    <w:tbl>
      <w:tblPr>
        <w:tblStyle w:val="27"/>
        <w:tblW w:w="8838"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48" w:type="dxa"/>
          <w:left w:w="10" w:type="dxa"/>
          <w:bottom w:w="48" w:type="dxa"/>
          <w:right w:w="10" w:type="dxa"/>
        </w:tblCellMar>
      </w:tblPr>
      <w:tblGrid>
        <w:gridCol w:w="1386"/>
        <w:gridCol w:w="7452"/>
      </w:tblGrid>
      <w:tr w14:paraId="3D0B21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jc w:val="center"/>
        </w:trPr>
        <w:tc>
          <w:tcPr>
            <w:tcW w:w="8838" w:type="dxa"/>
            <w:gridSpan w:val="2"/>
            <w:tcMar>
              <w:left w:w="108" w:type="dxa"/>
              <w:right w:w="108" w:type="dxa"/>
            </w:tcMar>
          </w:tcPr>
          <w:p w14:paraId="3D16EC7B">
            <w:pPr>
              <w:pageBreakBefore w:val="0"/>
              <w:kinsoku/>
              <w:wordWrap/>
              <w:overflowPunct w:val="0"/>
              <w:topLinePunct/>
              <w:autoSpaceDE/>
              <w:autoSpaceDN/>
              <w:bidi w:val="0"/>
              <w:snapToGrid/>
              <w:spacing w:line="240" w:lineRule="auto"/>
              <w:jc w:val="center"/>
              <w:rPr>
                <w:rFonts w:hint="eastAsia" w:ascii="GWZT-EN" w:hAnsi="仿宋" w:eastAsia="仿宋" w:cs="仿宋"/>
                <w:b w:val="0"/>
                <w:bCs w:val="0"/>
                <w:color w:val="000000" w:themeColor="text1"/>
                <w:sz w:val="28"/>
                <w:szCs w:val="28"/>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【清华专家赴叶城拔尖创新人才遴选暨支教】7天安排</w:t>
            </w:r>
          </w:p>
        </w:tc>
      </w:tr>
      <w:tr w14:paraId="4362E9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6EF53FE4">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w:t>
            </w:r>
          </w:p>
        </w:tc>
        <w:tc>
          <w:tcPr>
            <w:tcW w:w="7452" w:type="dxa"/>
            <w:tcMar>
              <w:left w:w="108" w:type="dxa"/>
              <w:right w:w="108" w:type="dxa"/>
            </w:tcMar>
            <w:vAlign w:val="center"/>
          </w:tcPr>
          <w:p w14:paraId="2CB0CBF8">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行程安排</w:t>
            </w:r>
          </w:p>
        </w:tc>
      </w:tr>
      <w:tr w14:paraId="76DBAD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2BE27794">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Day1</w:t>
            </w:r>
          </w:p>
        </w:tc>
        <w:tc>
          <w:tcPr>
            <w:tcW w:w="7452" w:type="dxa"/>
            <w:tcMar>
              <w:left w:w="108" w:type="dxa"/>
              <w:right w:w="108" w:type="dxa"/>
            </w:tcMar>
            <w:vAlign w:val="center"/>
          </w:tcPr>
          <w:p w14:paraId="6D5991C3">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团队集合，入住叶城</w:t>
            </w:r>
          </w:p>
        </w:tc>
      </w:tr>
      <w:tr w14:paraId="4852BE6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52219FD1">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Day2</w:t>
            </w:r>
          </w:p>
        </w:tc>
        <w:tc>
          <w:tcPr>
            <w:tcW w:w="7452" w:type="dxa"/>
            <w:tcMar>
              <w:left w:w="108" w:type="dxa"/>
              <w:right w:w="108" w:type="dxa"/>
            </w:tcMar>
            <w:vAlign w:val="center"/>
          </w:tcPr>
          <w:p w14:paraId="56FBCEBF">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物理等科学前沿讲座</w:t>
            </w:r>
          </w:p>
        </w:tc>
      </w:tr>
      <w:tr w14:paraId="3386A3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4174BA93">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Day3</w:t>
            </w:r>
          </w:p>
        </w:tc>
        <w:tc>
          <w:tcPr>
            <w:tcW w:w="7452" w:type="dxa"/>
            <w:tcMar>
              <w:left w:w="108" w:type="dxa"/>
              <w:right w:w="108" w:type="dxa"/>
            </w:tcMar>
            <w:vAlign w:val="center"/>
          </w:tcPr>
          <w:p w14:paraId="720C6B57">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高阶思维课程01；高阶思维课程02</w:t>
            </w:r>
          </w:p>
        </w:tc>
      </w:tr>
      <w:tr w14:paraId="4B0412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29C5548A">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Day4</w:t>
            </w:r>
          </w:p>
        </w:tc>
        <w:tc>
          <w:tcPr>
            <w:tcW w:w="7452" w:type="dxa"/>
            <w:tcMar>
              <w:left w:w="108" w:type="dxa"/>
              <w:right w:w="108" w:type="dxa"/>
            </w:tcMar>
            <w:vAlign w:val="center"/>
          </w:tcPr>
          <w:p w14:paraId="3A9817D3">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水平测试和讲评1期；学员面试初评</w:t>
            </w:r>
          </w:p>
        </w:tc>
      </w:tr>
      <w:tr w14:paraId="3827F1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75AB5EA9">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Day5</w:t>
            </w:r>
          </w:p>
        </w:tc>
        <w:tc>
          <w:tcPr>
            <w:tcW w:w="7452" w:type="dxa"/>
            <w:tcMar>
              <w:left w:w="108" w:type="dxa"/>
              <w:right w:w="108" w:type="dxa"/>
            </w:tcMar>
            <w:vAlign w:val="center"/>
          </w:tcPr>
          <w:p w14:paraId="491D2EF4">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高阶思维课程03；高阶思维课程04</w:t>
            </w:r>
          </w:p>
        </w:tc>
      </w:tr>
      <w:tr w14:paraId="63B50D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5BEF70A8">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Day6</w:t>
            </w:r>
          </w:p>
        </w:tc>
        <w:tc>
          <w:tcPr>
            <w:tcW w:w="7452" w:type="dxa"/>
            <w:tcMar>
              <w:left w:w="108" w:type="dxa"/>
              <w:right w:w="108" w:type="dxa"/>
            </w:tcMar>
            <w:vAlign w:val="center"/>
          </w:tcPr>
          <w:p w14:paraId="2EF1876C">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水平测试和讲评2期；学员面试终评，确认20名培养对象</w:t>
            </w:r>
          </w:p>
        </w:tc>
      </w:tr>
      <w:tr w14:paraId="717B1F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48" w:hRule="atLeast"/>
          <w:jc w:val="center"/>
        </w:trPr>
        <w:tc>
          <w:tcPr>
            <w:tcW w:w="1386" w:type="dxa"/>
            <w:tcMar>
              <w:left w:w="108" w:type="dxa"/>
              <w:right w:w="108" w:type="dxa"/>
            </w:tcMar>
            <w:vAlign w:val="center"/>
          </w:tcPr>
          <w:p w14:paraId="37582B80">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Day7</w:t>
            </w:r>
          </w:p>
        </w:tc>
        <w:tc>
          <w:tcPr>
            <w:tcW w:w="7452" w:type="dxa"/>
            <w:tcMar>
              <w:left w:w="108" w:type="dxa"/>
              <w:right w:w="108" w:type="dxa"/>
            </w:tcMar>
            <w:vAlign w:val="center"/>
          </w:tcPr>
          <w:p w14:paraId="275123BD">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总结汇报，离开叶城</w:t>
            </w:r>
          </w:p>
        </w:tc>
      </w:tr>
    </w:tbl>
    <w:p w14:paraId="6660B9A5">
      <w:pPr>
        <w:pStyle w:val="9"/>
        <w:pageBreakBefore w:val="0"/>
        <w:kinsoku/>
        <w:wordWrap/>
        <w:overflowPunct w:val="0"/>
        <w:topLinePunct/>
        <w:autoSpaceDE/>
        <w:autoSpaceDN/>
        <w:bidi w:val="0"/>
        <w:snapToGrid/>
        <w:spacing w:line="560" w:lineRule="exact"/>
        <w:ind w:firstLine="480" w:firstLineChars="200"/>
        <w:rPr>
          <w:rFonts w:hint="eastAsia"/>
          <w:color w:val="000000" w:themeColor="text1"/>
          <w:lang w:val="en-US" w:eastAsia="zh-CN"/>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（2）年度拔尖创新培养课程</w:t>
      </w:r>
    </w:p>
    <w:p w14:paraId="15121E2B">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时间：2025年3月-2025年11月</w:t>
      </w:r>
    </w:p>
    <w:p w14:paraId="438DCAD0">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老师安排：线上学科（物理、化学、语文写作、英语）导师（线上授课、答疑指导）+线下辅导老师（线下组织观看、批改作业）</w:t>
      </w:r>
    </w:p>
    <w:p w14:paraId="4A5E5D58">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学生人数：初、高中学校7、8、10、11年级学生，每个年级选拔20人，共计80名学生参与此次线上培养课程。</w:t>
      </w:r>
    </w:p>
    <w:p w14:paraId="5C5DDB62">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课程内容：分层围绕物理学科、化学学科、英语学科、语文写作开设四门主干课程。</w:t>
      </w:r>
    </w:p>
    <w:p w14:paraId="70C96066">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课次安排：2小时/课次（3课时），每周一次，每门课程共计180课时，共计60次课。</w:t>
      </w:r>
    </w:p>
    <w:p w14:paraId="3BF3B193">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服务保障：相关培养课程的课件资料留给学校，供学生反复学习；安装系统、建账号、发讲义、答疑等工作。</w:t>
      </w:r>
    </w:p>
    <w:p w14:paraId="0772F423">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（3）寒暑假清北学霸研学营</w:t>
      </w:r>
    </w:p>
    <w:p w14:paraId="1B3E95B2">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时间：2025学年，共计7天</w:t>
      </w:r>
    </w:p>
    <w:p w14:paraId="61F2AB3A">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老师安排：带队老师2人</w:t>
      </w:r>
    </w:p>
    <w:p w14:paraId="35119050">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学生人数：面向叶城县中学7、8、10、11年级学生，每个年级20人中再选拔5人，共计20名学生，参与此次清北研学营项目。</w:t>
      </w:r>
    </w:p>
    <w:tbl>
      <w:tblPr>
        <w:tblStyle w:val="27"/>
        <w:tblW w:w="8838" w:type="dxa"/>
        <w:tblInd w:w="108"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48" w:type="dxa"/>
          <w:left w:w="10" w:type="dxa"/>
          <w:bottom w:w="48" w:type="dxa"/>
          <w:right w:w="10" w:type="dxa"/>
        </w:tblCellMar>
      </w:tblPr>
      <w:tblGrid>
        <w:gridCol w:w="1401"/>
        <w:gridCol w:w="7437"/>
      </w:tblGrid>
      <w:tr w14:paraId="610C58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8838" w:type="dxa"/>
            <w:gridSpan w:val="2"/>
            <w:tcMar>
              <w:left w:w="108" w:type="dxa"/>
              <w:right w:w="108" w:type="dxa"/>
            </w:tcMar>
          </w:tcPr>
          <w:p w14:paraId="6E5CC0DA">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【清北学霸研学营】7天6夜 · 日程安排</w:t>
            </w:r>
          </w:p>
        </w:tc>
      </w:tr>
      <w:tr w14:paraId="23B771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32B44646">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w:t>
            </w:r>
          </w:p>
        </w:tc>
        <w:tc>
          <w:tcPr>
            <w:tcW w:w="7437" w:type="dxa"/>
            <w:tcMar>
              <w:left w:w="108" w:type="dxa"/>
              <w:right w:w="108" w:type="dxa"/>
            </w:tcMar>
          </w:tcPr>
          <w:p w14:paraId="4AA2506C">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行程安排</w:t>
            </w:r>
          </w:p>
        </w:tc>
      </w:tr>
      <w:tr w14:paraId="19E4277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57DFF619">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Day1</w:t>
            </w:r>
          </w:p>
        </w:tc>
        <w:tc>
          <w:tcPr>
            <w:tcW w:w="7437" w:type="dxa"/>
            <w:tcMar>
              <w:left w:w="108" w:type="dxa"/>
              <w:right w:w="108" w:type="dxa"/>
            </w:tcMar>
          </w:tcPr>
          <w:p w14:paraId="61561DAE">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报到日/安排入住</w:t>
            </w:r>
          </w:p>
        </w:tc>
      </w:tr>
      <w:tr w14:paraId="622FD7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450" w:hRule="atLeast"/>
        </w:trPr>
        <w:tc>
          <w:tcPr>
            <w:tcW w:w="1401" w:type="dxa"/>
            <w:tcMar>
              <w:left w:w="108" w:type="dxa"/>
              <w:right w:w="108" w:type="dxa"/>
            </w:tcMar>
          </w:tcPr>
          <w:p w14:paraId="7A8A38AC">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Day2</w:t>
            </w:r>
          </w:p>
        </w:tc>
        <w:tc>
          <w:tcPr>
            <w:tcW w:w="7437" w:type="dxa"/>
            <w:tcMar>
              <w:left w:w="108" w:type="dxa"/>
              <w:right w:w="108" w:type="dxa"/>
            </w:tcMar>
          </w:tcPr>
          <w:p w14:paraId="518BF986">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导师见面会/营员分组/开营仪式</w:t>
            </w:r>
          </w:p>
        </w:tc>
      </w:tr>
      <w:tr w14:paraId="632A41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119D398E">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Day3</w:t>
            </w:r>
          </w:p>
        </w:tc>
        <w:tc>
          <w:tcPr>
            <w:tcW w:w="7437" w:type="dxa"/>
            <w:tcMar>
              <w:left w:w="108" w:type="dxa"/>
              <w:right w:w="108" w:type="dxa"/>
            </w:tcMar>
          </w:tcPr>
          <w:p w14:paraId="416E8639">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参观清北校园/聆听成长故事/主题学习/北大之夜</w:t>
            </w:r>
          </w:p>
        </w:tc>
      </w:tr>
      <w:tr w14:paraId="78CA23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67438CC6">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Day4</w:t>
            </w:r>
          </w:p>
        </w:tc>
        <w:tc>
          <w:tcPr>
            <w:tcW w:w="7437" w:type="dxa"/>
            <w:tcMar>
              <w:left w:w="108" w:type="dxa"/>
              <w:right w:w="108" w:type="dxa"/>
            </w:tcMar>
          </w:tcPr>
          <w:p w14:paraId="2030D1F2">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游览天安门故宫/学霸学法特训/状元面对面/清华之夜</w:t>
            </w:r>
          </w:p>
        </w:tc>
      </w:tr>
      <w:tr w14:paraId="4ED5D6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2FE6702F">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Day5</w:t>
            </w:r>
          </w:p>
        </w:tc>
        <w:tc>
          <w:tcPr>
            <w:tcW w:w="7437" w:type="dxa"/>
            <w:tcMar>
              <w:left w:w="108" w:type="dxa"/>
              <w:right w:w="108" w:type="dxa"/>
            </w:tcMar>
          </w:tcPr>
          <w:p w14:paraId="4FBD3F3C">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外出参观/学霸习惯/状元面对面/理想激发/主题学习</w:t>
            </w:r>
          </w:p>
        </w:tc>
      </w:tr>
      <w:tr w14:paraId="4285B6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2B3D2317">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Day6</w:t>
            </w:r>
          </w:p>
        </w:tc>
        <w:tc>
          <w:tcPr>
            <w:tcW w:w="7437" w:type="dxa"/>
            <w:tcMar>
              <w:left w:w="108" w:type="dxa"/>
              <w:right w:w="108" w:type="dxa"/>
            </w:tcMar>
          </w:tcPr>
          <w:p w14:paraId="3CBD10F8">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鸟巢/水立方/科技馆/星光璀璨结营晚会</w:t>
            </w:r>
          </w:p>
        </w:tc>
      </w:tr>
      <w:tr w14:paraId="096729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48" w:type="dxa"/>
            <w:left w:w="10" w:type="dxa"/>
            <w:bottom w:w="48" w:type="dxa"/>
            <w:right w:w="10" w:type="dxa"/>
          </w:tblCellMar>
        </w:tblPrEx>
        <w:trPr>
          <w:trHeight w:val="450" w:hRule="atLeast"/>
        </w:trPr>
        <w:tc>
          <w:tcPr>
            <w:tcW w:w="1401" w:type="dxa"/>
            <w:tcMar>
              <w:left w:w="108" w:type="dxa"/>
              <w:right w:w="108" w:type="dxa"/>
            </w:tcMar>
          </w:tcPr>
          <w:p w14:paraId="056CF5C9">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Day7</w:t>
            </w:r>
          </w:p>
        </w:tc>
        <w:tc>
          <w:tcPr>
            <w:tcW w:w="7437" w:type="dxa"/>
            <w:tcMar>
              <w:left w:w="108" w:type="dxa"/>
              <w:right w:w="108" w:type="dxa"/>
            </w:tcMar>
          </w:tcPr>
          <w:p w14:paraId="62D594F4">
            <w:pPr>
              <w:pageBreakBefore w:val="0"/>
              <w:kinsoku/>
              <w:wordWrap/>
              <w:overflowPunct w:val="0"/>
              <w:topLinePunct/>
              <w:autoSpaceDE/>
              <w:autoSpaceDN/>
              <w:bidi w:val="0"/>
              <w:snapToGrid/>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结营+北大清华状元升学讲座/赠言+送站</w:t>
            </w:r>
          </w:p>
        </w:tc>
      </w:tr>
    </w:tbl>
    <w:p w14:paraId="5647C093">
      <w:pPr>
        <w:pStyle w:val="9"/>
        <w:pageBreakBefore w:val="0"/>
        <w:kinsoku/>
        <w:wordWrap/>
        <w:overflowPunct w:val="0"/>
        <w:topLinePunct/>
        <w:autoSpaceDE/>
        <w:autoSpaceDN/>
        <w:bidi w:val="0"/>
        <w:snapToGrid/>
        <w:spacing w:line="560" w:lineRule="exact"/>
        <w:ind w:firstLine="482"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注:行程受天气、交通、高校进校政策、北京景点实名限额预约政策等不可抗力和相关因素影响，主办方有权对行程的顺序和行程的个别内容做适当调整调换，保证活动内容总量不变。</w:t>
      </w:r>
    </w:p>
    <w:p w14:paraId="2C060015">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（4）总结反思</w:t>
      </w:r>
    </w:p>
    <w:p w14:paraId="6D74454C">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各阶段培养周期结束后，相关导师应就培养对象发展状况、培养效果、培养工作进行总结与反思，进一步完善和优化创新型学生培养方案。</w:t>
      </w:r>
    </w:p>
    <w:p w14:paraId="23F1FF71">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根据评估结果，对表现优异的学生进行认定，并颁发相应的证书和荣誉称号，以鼓励和激励学生进一步发展和创新。</w:t>
      </w:r>
    </w:p>
    <w:p w14:paraId="320C00E0">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5.资源保障和支持</w:t>
      </w:r>
    </w:p>
    <w:p w14:paraId="4F9292B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师资支持：招聘优秀的教师队伍，具备深厚的学科知识和科研实践经验。</w:t>
      </w:r>
    </w:p>
    <w:p w14:paraId="119C803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学习设备：提供专业稳定的教学与学习设备，满足学生开展线上线下学习的需要。</w:t>
      </w:r>
    </w:p>
    <w:p w14:paraId="41AF3586">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经费支持：为学生的科学培养项目和创新活动提供必要的经费支持。</w:t>
      </w:r>
    </w:p>
    <w:p w14:paraId="20BD00F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学术资源：与科研机构和高等院校建立合作关系，共享学术资源和科研成果。</w:t>
      </w:r>
    </w:p>
    <w:p w14:paraId="5AD7A57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6.经费预算</w:t>
      </w:r>
    </w:p>
    <w:p w14:paraId="5ED37D52">
      <w:pPr>
        <w:pStyle w:val="9"/>
        <w:pageBreakBefore w:val="0"/>
        <w:numPr>
          <w:ilvl w:val="0"/>
          <w:numId w:val="0"/>
        </w:numPr>
        <w:kinsoku/>
        <w:wordWrap/>
        <w:overflowPunct w:val="0"/>
        <w:topLinePunct/>
        <w:autoSpaceDE/>
        <w:autoSpaceDN/>
        <w:bidi w:val="0"/>
        <w:snapToGrid/>
        <w:spacing w:line="560" w:lineRule="exact"/>
        <w:rPr>
          <w:rFonts w:hint="eastAsia" w:cs="宋体"/>
          <w:b/>
          <w:bCs/>
          <w:color w:val="000000" w:themeColor="text1"/>
          <w:kern w:val="2"/>
          <w:sz w:val="24"/>
          <w:szCs w:val="24"/>
          <w:highlight w:val="none"/>
          <w:lang w:val="en-US" w:eastAsia="zh-CN" w:bidi="ar-SA"/>
          <w14:textFill>
            <w14:solidFill>
              <w14:schemeClr w14:val="tx1"/>
            </w14:solidFill>
          </w14:textFill>
        </w:rPr>
      </w:pPr>
      <w:r>
        <w:rPr>
          <w:rFonts w:hint="eastAsia" w:cs="宋体"/>
          <w:b/>
          <w:bCs/>
          <w:color w:val="000000" w:themeColor="text1"/>
          <w:kern w:val="2"/>
          <w:sz w:val="24"/>
          <w:szCs w:val="24"/>
          <w:highlight w:val="none"/>
          <w:lang w:val="en-US" w:eastAsia="zh-CN" w:bidi="ar-SA"/>
          <w14:textFill>
            <w14:solidFill>
              <w14:schemeClr w14:val="tx1"/>
            </w14:solidFill>
          </w14:textFill>
        </w:rPr>
        <w:t>拔尖创新学生培养交流活动项目经费：</w:t>
      </w:r>
    </w:p>
    <w:p w14:paraId="477A528B">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（1）清华专家赴叶城拔尖创新人才遴选暨支教费用：包括专家赴叶城的住宿、餐饮、交通、讲座、授课、面试、讲评费用；</w:t>
      </w:r>
    </w:p>
    <w:p w14:paraId="74CC5E9E">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寒暑假清北学霸研学营</w:t>
      </w:r>
      <w:r>
        <w:rPr>
          <w:rFonts w:hint="eastAsia" w:cs="宋体"/>
          <w:color w:val="000000" w:themeColor="text1"/>
          <w:kern w:val="2"/>
          <w:sz w:val="24"/>
          <w:szCs w:val="24"/>
          <w:highlight w:val="none"/>
          <w:lang w:val="en-US" w:eastAsia="zh-CN" w:bidi="ar-SA"/>
          <w14:textFill>
            <w14:solidFill>
              <w14:schemeClr w14:val="tx1"/>
            </w14:solidFill>
          </w14:textFill>
        </w:rPr>
        <w:t>：包括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行程期间的交通、食宿、场地、师资、门票、学习资料、服务管理等所有费用</w:t>
      </w:r>
      <w:r>
        <w:rPr>
          <w:rFonts w:hint="eastAsia" w:cs="宋体"/>
          <w:color w:val="000000" w:themeColor="text1"/>
          <w:kern w:val="2"/>
          <w:sz w:val="24"/>
          <w:szCs w:val="24"/>
          <w:highlight w:val="none"/>
          <w:lang w:val="en-US" w:eastAsia="zh-CN" w:bidi="ar-SA"/>
          <w14:textFill>
            <w14:solidFill>
              <w14:schemeClr w14:val="tx1"/>
            </w14:solidFill>
          </w14:textFill>
        </w:rPr>
        <w:t>；</w:t>
      </w:r>
    </w:p>
    <w:p w14:paraId="5219E30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年度线上课程集训</w:t>
      </w:r>
      <w:r>
        <w:rPr>
          <w:rFonts w:hint="eastAsia" w:cs="宋体"/>
          <w:color w:val="000000" w:themeColor="text1"/>
          <w:kern w:val="2"/>
          <w:sz w:val="24"/>
          <w:szCs w:val="24"/>
          <w:highlight w:val="none"/>
          <w:lang w:val="en-US" w:eastAsia="zh-CN" w:bidi="ar-SA"/>
          <w14:textFill>
            <w14:solidFill>
              <w14:schemeClr w14:val="tx1"/>
            </w14:solidFill>
          </w14:textFill>
        </w:rPr>
        <w:t>：包括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7、8、10、11年级线上集训课程费用，每年级共计180课时，含授课平台流量费、授课费以及管理服务费（相关培养课程的课件资料留给学校，供学生反复学习；安装系统、建账号、发讲义、答疑等工作。）</w:t>
      </w:r>
      <w:r>
        <w:rPr>
          <w:rFonts w:hint="eastAsia" w:cs="宋体"/>
          <w:color w:val="000000" w:themeColor="text1"/>
          <w:kern w:val="2"/>
          <w:sz w:val="24"/>
          <w:szCs w:val="24"/>
          <w:highlight w:val="none"/>
          <w:lang w:val="en-US" w:eastAsia="zh-CN" w:bidi="ar-SA"/>
          <w14:textFill>
            <w14:solidFill>
              <w14:schemeClr w14:val="tx1"/>
            </w14:solidFill>
          </w14:textFill>
        </w:rPr>
        <w:t>。</w:t>
      </w:r>
    </w:p>
    <w:p w14:paraId="19E1D92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u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u w:val="none"/>
          <w:lang w:val="en-US" w:eastAsia="zh-CN" w:bidi="ar-SA"/>
          <w14:textFill>
            <w14:solidFill>
              <w14:schemeClr w14:val="tx1"/>
            </w14:solidFill>
          </w14:textFill>
        </w:rPr>
        <w:t>7.成果和效益</w:t>
      </w:r>
    </w:p>
    <w:p w14:paraId="040F2390">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通过本工作方案的实施，预期将取得以下成果：</w:t>
      </w:r>
    </w:p>
    <w:p w14:paraId="7470E14C">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学生的创新意识和创新能力得到显著提升；</w:t>
      </w:r>
    </w:p>
    <w:p w14:paraId="2FF743D4">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形成一套科学、系统、个性化的创新人才培养体系；</w:t>
      </w:r>
    </w:p>
    <w:p w14:paraId="31D65A3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在国内外科技创新或学科竞赛中取得优异成绩；</w:t>
      </w:r>
    </w:p>
    <w:p w14:paraId="42ED3F8D">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为高校和社会输送更多具备创新潜力和实践能力的优秀人才。</w:t>
      </w:r>
    </w:p>
    <w:p w14:paraId="1C021D36">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培养一批具备深厚学科基础、创新能力和科学精神的学生，为国家和社会培养出更多的科学家、工程师和创新人才，推动科学技术的发展和社会进步。</w:t>
      </w:r>
    </w:p>
    <w:p w14:paraId="5CCE3138">
      <w:pPr>
        <w:pStyle w:val="9"/>
        <w:pageBreakBefore w:val="0"/>
        <w:numPr>
          <w:ilvl w:val="0"/>
          <w:numId w:val="0"/>
        </w:numPr>
        <w:kinsoku/>
        <w:wordWrap/>
        <w:overflowPunct w:val="0"/>
        <w:topLinePunct/>
        <w:autoSpaceDE/>
        <w:autoSpaceDN/>
        <w:bidi w:val="0"/>
        <w:snapToGrid/>
        <w:spacing w:line="560" w:lineRule="exact"/>
        <w:ind w:firstLine="482" w:firstLineChars="20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（二）“优分优育”毕业班质量提升项目</w:t>
      </w:r>
    </w:p>
    <w:p w14:paraId="4CCF5894">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1.背景</w:t>
      </w:r>
    </w:p>
    <w:p w14:paraId="2CC10AFA">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为响应国家的教育援疆政策，促进教育资源优质均衡发展，利用一线城市的教育教学专家资源，为叶城地区五所学校</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w:t>
      </w:r>
      <w:r>
        <w:rPr>
          <w:rFonts w:hint="eastAsia" w:cs="宋体"/>
          <w:color w:val="000000" w:themeColor="text1"/>
          <w:kern w:val="2"/>
          <w:sz w:val="24"/>
          <w:szCs w:val="24"/>
          <w:highlight w:val="none"/>
          <w:lang w:val="en-US" w:eastAsia="zh-CN" w:bidi="ar-SA"/>
          <w14:textFill>
            <w14:solidFill>
              <w14:schemeClr w14:val="tx1"/>
            </w14:solidFill>
          </w14:textFill>
        </w:rPr>
        <w:t>重点班</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以及初三语文、数学、英语学科</w:t>
      </w:r>
      <w:r>
        <w:rPr>
          <w:rFonts w:hint="eastAsia" w:cs="宋体"/>
          <w:color w:val="000000" w:themeColor="text1"/>
          <w:kern w:val="2"/>
          <w:sz w:val="24"/>
          <w:szCs w:val="24"/>
          <w:highlight w:val="none"/>
          <w:lang w:val="en-US" w:eastAsia="zh-CN" w:bidi="ar-SA"/>
          <w14:textFill>
            <w14:solidFill>
              <w14:schemeClr w14:val="tx1"/>
            </w14:solidFill>
          </w14:textFill>
        </w:rPr>
        <w:t>教学与考试复习</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提供指导，落实国家“新课标、新课程”实施要求，促进学生主动学习，有效提升学生学业水平。</w:t>
      </w:r>
    </w:p>
    <w:p w14:paraId="6B7E42D8">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2.工作目标</w:t>
      </w:r>
    </w:p>
    <w:p w14:paraId="07D327E2">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（1）通过教育教学名师的指导，建立高三语文、数学、英语、文综、理综学科教师教研联盟，吸收高二重点班教师参与，切实提高叶城地区高二、高三教师的教学水平；</w:t>
      </w:r>
    </w:p>
    <w:p w14:paraId="4419D04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（2）安排教育教学名师，对叶城地区初三语文、数学、英语学科教师初中复习教学提供指导；</w:t>
      </w:r>
    </w:p>
    <w:p w14:paraId="06D6EFF0">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（3）通过精选符合“双新”课程要求的作业练习，提高学生的自主学习和应用知识的能力；</w:t>
      </w:r>
    </w:p>
    <w:p w14:paraId="61173558">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（4）探索名师指导下的高中教学与教研一体化的有效模式</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069698DB">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3.工作形式</w:t>
      </w:r>
    </w:p>
    <w:p w14:paraId="2872BBC4">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本项目主要采用学科教学名师指导下的学校教师授课形式，提升叶城地区</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高三毕业班教学质量，完成</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高三毕业班学生培优任务。同时，针对初中语文、数学、英语中考复习教学，给予教师一定的教学指导。具体如下：</w:t>
      </w:r>
    </w:p>
    <w:p w14:paraId="08965C1D">
      <w:pPr>
        <w:pStyle w:val="9"/>
        <w:pageBreakBefore w:val="0"/>
        <w:numPr>
          <w:ilvl w:val="0"/>
          <w:numId w:val="4"/>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名师教学教研指导‌：聘请一线城市中学教学名师领衔，结合新疆地区的高考实际，统一安排各学科线下、线上教研活动，指导叶城地区高中毕业班教师授课，确保教学的高质量与前沿性。</w:t>
      </w:r>
    </w:p>
    <w:p w14:paraId="3564B576">
      <w:pPr>
        <w:pStyle w:val="9"/>
        <w:pageBreakBefore w:val="0"/>
        <w:numPr>
          <w:ilvl w:val="0"/>
          <w:numId w:val="4"/>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教师‌负责教学：叶城县教育局在项目实施学校中，选拔责任心强、教学能力优秀的中青年毕业班教师，全程参与教研，在名师的指导下，认真备课、上课，负责课堂教学、课后辅导、作业批改及讲解工作，密切保持与名师团队的沟通，确保教学效果</w:t>
      </w:r>
      <w:r>
        <w:rPr>
          <w:rFonts w:hint="eastAsia" w:cs="宋体"/>
          <w:color w:val="000000" w:themeColor="text1"/>
          <w:kern w:val="2"/>
          <w:sz w:val="24"/>
          <w:szCs w:val="24"/>
          <w:highlight w:val="none"/>
          <w:lang w:val="en-US" w:eastAsia="zh-CN" w:bidi="ar-SA"/>
          <w14:textFill>
            <w14:solidFill>
              <w14:schemeClr w14:val="tx1"/>
            </w14:solidFill>
          </w14:textFill>
        </w:rPr>
        <w:t>。</w:t>
      </w:r>
    </w:p>
    <w:p w14:paraId="4F25D473">
      <w:pPr>
        <w:pStyle w:val="9"/>
        <w:pageBreakBefore w:val="0"/>
        <w:numPr>
          <w:ilvl w:val="0"/>
          <w:numId w:val="4"/>
        </w:numPr>
        <w:kinsoku/>
        <w:wordWrap/>
        <w:overflowPunct w:val="0"/>
        <w:topLinePunct/>
        <w:autoSpaceDE/>
        <w:autoSpaceDN/>
        <w:bidi w:val="0"/>
        <w:snapToGrid/>
        <w:spacing w:line="560" w:lineRule="exact"/>
        <w:ind w:left="0" w:leftChars="0"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利用第三方教学系统平台与资源：通过第三方系统平台，服务名师和叶城教师的教研交流，方便各学科名师线上授课和教研指导，以及对叶城教师课堂教学质量的监控。同时，充分利用第三方公司的教育资源，为叶城高二、高三复习教学提供配套的练习作业、阶段性测试以及模拟试卷，录制作业、试卷讲解录像，供叶城教师使用，以保证叶城地区高二、高三毕业班复习的教学、作业训练和评价的一致性。</w:t>
      </w:r>
    </w:p>
    <w:p w14:paraId="7D7251F9">
      <w:pPr>
        <w:pStyle w:val="9"/>
        <w:pageBreakBefore w:val="0"/>
        <w:numPr>
          <w:ilvl w:val="0"/>
          <w:numId w:val="4"/>
        </w:numPr>
        <w:kinsoku/>
        <w:wordWrap/>
        <w:overflowPunct w:val="0"/>
        <w:topLinePunct/>
        <w:autoSpaceDE/>
        <w:autoSpaceDN/>
        <w:bidi w:val="0"/>
        <w:snapToGrid/>
        <w:spacing w:line="560" w:lineRule="exact"/>
        <w:ind w:left="0" w:leftChars="0"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根据叶城地区初三语文、数学、英语教学实际，安排学科名师指导中考复习，定期为师生答疑解惑。</w:t>
      </w:r>
    </w:p>
    <w:p w14:paraId="78FBB1C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4.工作内容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3FD43F05">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（1）组建队伍</w:t>
      </w:r>
    </w:p>
    <w:p w14:paraId="781DCE21">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由第三方公司邀请具备地区教研经历的专家，带队赴叶城县开展调研，针对叶城县高</w:t>
      </w:r>
      <w:r>
        <w:rPr>
          <w:rFonts w:hint="eastAsia" w:cs="宋体"/>
          <w:color w:val="000000" w:themeColor="text1"/>
          <w:kern w:val="2"/>
          <w:sz w:val="24"/>
          <w:szCs w:val="24"/>
          <w:highlight w:val="none"/>
          <w:lang w:val="en-US" w:eastAsia="zh-CN" w:bidi="ar-SA"/>
          <w14:textFill>
            <w14:solidFill>
              <w14:schemeClr w14:val="tx1"/>
            </w14:solidFill>
          </w14:textFill>
        </w:rPr>
        <w:t>中</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生实际，确定2025年高三复习教学质量提升计划。邀请一线城市教学名师（中学高级教师），组成学科名师教学指导团队，选拔叶城高三优秀教师，建立高三重点班教学团队，分学校、分学科建立高三复习教学教研小组，通过听课、评课和现场交流的形式，帮助教师理解、实施高三复习教学计划</w:t>
      </w:r>
      <w:r>
        <w:rPr>
          <w:rFonts w:hint="eastAsia" w:cs="宋体"/>
          <w:color w:val="000000" w:themeColor="text1"/>
          <w:kern w:val="2"/>
          <w:sz w:val="24"/>
          <w:szCs w:val="24"/>
          <w:highlight w:val="none"/>
          <w:lang w:val="en-US" w:eastAsia="zh-CN" w:bidi="ar-SA"/>
          <w14:textFill>
            <w14:solidFill>
              <w14:schemeClr w14:val="tx1"/>
            </w14:solidFill>
          </w14:textFill>
        </w:rPr>
        <w:t>，围绕着高考目标要求，开展高二学科教学指导</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。同时，通过专家讲座形式，对初三语文、数学、英语学科教师开展“双新”背景下的中考方向指导，组建初三重点学科教师交流小组。</w:t>
      </w:r>
    </w:p>
    <w:p w14:paraId="6CAF82A9">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（2）教研指导</w:t>
      </w:r>
    </w:p>
    <w:p w14:paraId="56F433B9">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针对高三语文、数学、英语、物理、化学、生物、历史、政治、地理九门学科</w:t>
      </w:r>
      <w:r>
        <w:rPr>
          <w:rFonts w:hint="eastAsia" w:cs="宋体"/>
          <w:color w:val="000000" w:themeColor="text1"/>
          <w:kern w:val="2"/>
          <w:sz w:val="24"/>
          <w:szCs w:val="24"/>
          <w:highlight w:val="none"/>
          <w:lang w:val="en-US" w:eastAsia="zh-CN" w:bidi="ar-SA"/>
          <w14:textFill>
            <w14:solidFill>
              <w14:schemeClr w14:val="tx1"/>
            </w14:solidFill>
          </w14:textFill>
        </w:rPr>
        <w:t>的升学考试</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cs="宋体"/>
          <w:color w:val="000000" w:themeColor="text1"/>
          <w:kern w:val="2"/>
          <w:sz w:val="24"/>
          <w:szCs w:val="24"/>
          <w:highlight w:val="none"/>
          <w:lang w:val="en-US" w:eastAsia="zh-CN" w:bidi="ar-SA"/>
          <w14:textFill>
            <w14:solidFill>
              <w14:schemeClr w14:val="tx1"/>
            </w14:solidFill>
          </w14:textFill>
        </w:rPr>
        <w:t>结合</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叶城地区</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高三教学实际，安排一次名师的现场或线上听课指导。分学科安排学科专家组织授课教师集中教研每周不少于1次，总计不少于10次。</w:t>
      </w:r>
    </w:p>
    <w:p w14:paraId="73E1F1B2">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除了集中教研活动外，叶城各学科授课教师与项目组学科名师组建学科教研微信群，便利授课教师与学科名师及时交流沟通，改进教学。</w:t>
      </w:r>
    </w:p>
    <w:p w14:paraId="0B99F450">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建立初三语文、数学、</w:t>
      </w:r>
      <w:r>
        <w:rPr>
          <w:rFonts w:hint="eastAsia" w:cs="宋体"/>
          <w:color w:val="000000" w:themeColor="text1"/>
          <w:kern w:val="2"/>
          <w:sz w:val="24"/>
          <w:szCs w:val="24"/>
          <w:highlight w:val="none"/>
          <w:lang w:val="en-US" w:eastAsia="zh-CN" w:bidi="ar-SA"/>
          <w14:textFill>
            <w14:solidFill>
              <w14:schemeClr w14:val="tx1"/>
            </w14:solidFill>
          </w14:textFill>
        </w:rPr>
        <w:t>英语</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学科教师教研微信群，安排名师定期指导中考复习教学，随时解决教师复习教学中的疑问。</w:t>
      </w:r>
    </w:p>
    <w:p w14:paraId="17674815">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（3）作业训练</w:t>
      </w:r>
    </w:p>
    <w:p w14:paraId="73C89981">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基于2025年是新疆高考采用新模式实际，在“双新”课程改革背景下，高考更注重学生运用学科知识解决实践问题能力的考查，更注重学生创新素养的培育引导。因此，加强符合“双新”课程要求、切合叶城学校学生实际的高考配套训练十分重要。</w:t>
      </w:r>
    </w:p>
    <w:p w14:paraId="5212478C">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由第三方公司负责收集、筛选符合叶城地区学生实际的高质量试题、试卷，组织学科专家审定后，形成高三复习教学的同步训练试卷，供叶城地区教师复习教学配套使用。</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w:t>
      </w:r>
      <w:r>
        <w:rPr>
          <w:rFonts w:hint="eastAsia" w:cs="宋体"/>
          <w:color w:val="000000" w:themeColor="text1"/>
          <w:kern w:val="2"/>
          <w:sz w:val="24"/>
          <w:szCs w:val="24"/>
          <w:highlight w:val="none"/>
          <w:lang w:val="en-US" w:eastAsia="zh-CN" w:bidi="ar-SA"/>
          <w14:textFill>
            <w14:solidFill>
              <w14:schemeClr w14:val="tx1"/>
            </w14:solidFill>
          </w14:textFill>
        </w:rPr>
        <w:t>的</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数学、物理、化学、英语学科，提供40套练习试卷，语文、历史、政治、地理、生物，提供30套练习试卷。同时，组织教师录制每套练习试卷的讲解录像，提供给叶城县教师辅导学生使用。初三语文、数学、英语学科，根据复习进度提供20至30套练习试卷，并录制试卷解析录像，供教师复习教学使用。</w:t>
      </w:r>
    </w:p>
    <w:p w14:paraId="656B6BF8">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叶城县学科教师每日完成</w:t>
      </w:r>
      <w:r>
        <w:rPr>
          <w:rFonts w:hint="eastAsia" w:cs="宋体"/>
          <w:color w:val="000000" w:themeColor="text1"/>
          <w:kern w:val="2"/>
          <w:sz w:val="24"/>
          <w:szCs w:val="24"/>
          <w:highlight w:val="none"/>
          <w:lang w:val="en-US" w:eastAsia="zh-CN" w:bidi="ar-SA"/>
          <w14:textFill>
            <w14:solidFill>
              <w14:schemeClr w14:val="tx1"/>
            </w14:solidFill>
          </w14:textFill>
        </w:rPr>
        <w:t>授课</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的同时，督促学生完成练习试卷，负责批改试卷，反馈作业情况给学科名师，并根据讲解试题录像，辅导学生改正。</w:t>
      </w:r>
    </w:p>
    <w:p w14:paraId="20879FC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5.阶段考查</w:t>
      </w:r>
    </w:p>
    <w:p w14:paraId="530D5AEF">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每月以及期中、期末，根据全国高考二卷考试要求，由学科专家提供一套考查试卷，供叶城学校使用，在考查学生的学业水平的同时，了解教师的教学效果，指导教师的教学改进。叶城学校参与新疆地区组织的联合考试或模拟考试后，可由学科名师指导教师进行质量分析，寻找教学不足，进行针对性改进。</w:t>
      </w:r>
    </w:p>
    <w:p w14:paraId="14E81B23">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6.实施步骤</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32EF5299">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ascii="GWZT-EN"/>
          <w:color w:val="000000" w:themeColor="text1"/>
          <w14:textFill>
            <w14:solidFill>
              <w14:schemeClr w14:val="tx1"/>
            </w14:solidFill>
          </w14:textFill>
        </w:rPr>
        <w:t>项目</w:t>
      </w:r>
      <w:r>
        <w:rPr>
          <w:rFonts w:hint="eastAsia"/>
          <w:color w:val="000000" w:themeColor="text1"/>
          <w:lang w:val="en-US" w:eastAsia="zh-CN"/>
          <w14:textFill>
            <w14:solidFill>
              <w14:schemeClr w14:val="tx1"/>
            </w14:solidFill>
          </w14:textFill>
        </w:rPr>
        <w:t>启动</w:t>
      </w:r>
      <w:r>
        <w:rPr>
          <w:rFonts w:ascii="GWZT-EN"/>
          <w:color w:val="000000" w:themeColor="text1"/>
          <w14:textFill>
            <w14:solidFill>
              <w14:schemeClr w14:val="tx1"/>
            </w14:solidFill>
          </w14:textFill>
        </w:rPr>
        <w:t>‌工作</w:t>
      </w:r>
    </w:p>
    <w:p w14:paraId="30E681B1">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完成招标手续，推进以下工作：聘请一线城市各学科教学名师不少于12名担任指导专家，专家团队</w:t>
      </w:r>
      <w:r>
        <w:rPr>
          <w:rFonts w:hint="eastAsia" w:cs="宋体"/>
          <w:color w:val="000000" w:themeColor="text1"/>
          <w:kern w:val="2"/>
          <w:sz w:val="24"/>
          <w:szCs w:val="24"/>
          <w:highlight w:val="none"/>
          <w:lang w:val="en-US" w:eastAsia="zh-CN" w:bidi="ar-SA"/>
          <w14:textFill>
            <w14:solidFill>
              <w14:schemeClr w14:val="tx1"/>
            </w14:solidFill>
          </w14:textFill>
        </w:rPr>
        <w:t>主要成员</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应具备中学高级以上职称，且至少1位专家应具备县级以上学科教研经历；选拔叶城县优秀中青年教师担任高中毕业班授课教师；搭建远程教学系统平台，测试技术设备，确保教研交流通畅；制定叶城县高三毕业班高考冲刺教学计划与课程大纲，明确教学目标与要求</w:t>
      </w:r>
      <w:r>
        <w:rPr>
          <w:rFonts w:hint="eastAsia" w:cs="宋体"/>
          <w:color w:val="000000" w:themeColor="text1"/>
          <w:kern w:val="2"/>
          <w:sz w:val="24"/>
          <w:szCs w:val="24"/>
          <w:highlight w:val="none"/>
          <w:lang w:val="en-US" w:eastAsia="zh-CN" w:bidi="ar-SA"/>
          <w14:textFill>
            <w14:solidFill>
              <w14:schemeClr w14:val="tx1"/>
            </w14:solidFill>
          </w14:textFill>
        </w:rPr>
        <w:t>；同步指导高二年级各学科教学</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。同时，为初三语文、数学、英语学科教师复习教学，提供一次集中辅导。</w:t>
      </w:r>
    </w:p>
    <w:p w14:paraId="63DE8EAB">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（2）‌项目执行‌工作</w:t>
      </w:r>
    </w:p>
    <w:p w14:paraId="097BC471">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招标完成后，完成以下工作：组织学科名师不少于10人次赴叶城县听课调研，与当地教育局共同组织参与项目的授课教师，召开项目启动大会；上海各学科名师领衔，组织叶城县</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重点班授课教师培训与教研；叶城教师正常授课同时，重点关注日常的学生作业训练，及时收集、批改、辅导，并向指导名师及时反馈学生作业情况。提供作业训练讲解录像，为叶城教师的作业辅导提供帮助；叶城县教师通过每月、每周举行的集中教研活动，以及教研微信群的沟通，及时接受学科名师的教学指导，调整教学策略，提高教学质量；学期中组织上海各学科名师不少于20人次赴叶城县听课研讨活动，聚焦课堂，诊断教学，并为叶城学校选拔的高三优秀学生授课，高三语文、数学、英语学科现场授课不少于24课时，线上授课不少于24课时，文科、理科综合学科线上或线下授课不少于48课时，为高三学生高考冲刺服务。</w:t>
      </w:r>
    </w:p>
    <w:p w14:paraId="7028923F">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（3）评估与总结工作</w:t>
      </w:r>
    </w:p>
    <w:p w14:paraId="62BDD77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每月通过阶段性考试及学期期中、期末考试进行教学质量评估，包括学生成绩对比、满意度调查等；定期收集授课教师工作感悟，发掘教师和学生的成功案例，为后续项目活动提供参考经验；提炼名师指导下教师授课的有效方法和经验，总结“双新”课程背景下，教学与教研一体化的高中毕业班有效教学模式。</w:t>
      </w:r>
    </w:p>
    <w:p w14:paraId="779D923D">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7.经费预算</w:t>
      </w:r>
    </w:p>
    <w:p w14:paraId="7A70B371">
      <w:pPr>
        <w:pStyle w:val="9"/>
        <w:pageBreakBefore w:val="0"/>
        <w:numPr>
          <w:ilvl w:val="0"/>
          <w:numId w:val="0"/>
        </w:numPr>
        <w:kinsoku/>
        <w:wordWrap/>
        <w:overflowPunct w:val="0"/>
        <w:topLinePunct/>
        <w:autoSpaceDE/>
        <w:autoSpaceDN/>
        <w:bidi w:val="0"/>
        <w:snapToGrid/>
        <w:spacing w:line="560" w:lineRule="exact"/>
        <w:rPr>
          <w:rFonts w:hint="eastAsia"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新疆叶城地区“优分优育”项目经费</w:t>
      </w:r>
      <w:r>
        <w:rPr>
          <w:rFonts w:hint="eastAsia" w:cs="宋体"/>
          <w:b/>
          <w:bCs/>
          <w:color w:val="000000" w:themeColor="text1"/>
          <w:kern w:val="2"/>
          <w:sz w:val="24"/>
          <w:szCs w:val="24"/>
          <w:highlight w:val="none"/>
          <w:lang w:val="en-US" w:eastAsia="zh-CN" w:bidi="ar-SA"/>
          <w14:textFill>
            <w14:solidFill>
              <w14:schemeClr w14:val="tx1"/>
            </w14:solidFill>
          </w14:textFill>
        </w:rPr>
        <w:t>：</w:t>
      </w:r>
    </w:p>
    <w:p w14:paraId="3DAEB82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（1）专家费用：包括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专家指导、讲课、培训、交通、食宿费用</w:t>
      </w:r>
      <w:r>
        <w:rPr>
          <w:rFonts w:hint="eastAsia" w:cs="宋体"/>
          <w:color w:val="000000" w:themeColor="text1"/>
          <w:kern w:val="2"/>
          <w:sz w:val="24"/>
          <w:szCs w:val="24"/>
          <w:highlight w:val="none"/>
          <w:lang w:val="en-US" w:eastAsia="zh-CN" w:bidi="ar-SA"/>
          <w14:textFill>
            <w14:solidFill>
              <w14:schemeClr w14:val="tx1"/>
            </w14:solidFill>
          </w14:textFill>
        </w:rPr>
        <w:t>；</w:t>
      </w:r>
    </w:p>
    <w:p w14:paraId="50C6EE66">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课程培训费用</w:t>
      </w:r>
      <w:r>
        <w:rPr>
          <w:rFonts w:hint="eastAsia" w:cs="宋体"/>
          <w:color w:val="000000" w:themeColor="text1"/>
          <w:kern w:val="2"/>
          <w:sz w:val="24"/>
          <w:szCs w:val="24"/>
          <w:highlight w:val="none"/>
          <w:lang w:val="en-US" w:eastAsia="zh-CN" w:bidi="ar-SA"/>
          <w14:textFill>
            <w14:solidFill>
              <w14:schemeClr w14:val="tx1"/>
            </w14:solidFill>
          </w14:textFill>
        </w:rPr>
        <w:t>：包括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复习与综合训练试卷、作业及测试试卷解析讲课及录制、系统平台安装维护与流量购买费用</w:t>
      </w:r>
      <w:r>
        <w:rPr>
          <w:rFonts w:hint="eastAsia" w:cs="宋体"/>
          <w:color w:val="000000" w:themeColor="text1"/>
          <w:kern w:val="2"/>
          <w:sz w:val="24"/>
          <w:szCs w:val="24"/>
          <w:highlight w:val="none"/>
          <w:lang w:val="en-US" w:eastAsia="zh-CN" w:bidi="ar-SA"/>
          <w14:textFill>
            <w14:solidFill>
              <w14:schemeClr w14:val="tx1"/>
            </w14:solidFill>
          </w14:textFill>
        </w:rPr>
        <w:t>；</w:t>
      </w:r>
    </w:p>
    <w:p w14:paraId="0C4C6329">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8.保障措施‌ </w:t>
      </w:r>
    </w:p>
    <w:p w14:paraId="51110E8E">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行政支持‌：地区的教育主管部门的大力支持，为项目实施创造良好环境；</w:t>
      </w:r>
    </w:p>
    <w:p w14:paraId="2F8EBC5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经费到位：项目资金及时到位，确保专家的聘请、教学资料的购置、网络平台的维护以及教研工作经费；</w:t>
      </w:r>
    </w:p>
    <w:p w14:paraId="19FA072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师资培训‌：及时安排上海学科专家对当地高中毕业班教师进行专项培训，组建高三各科教师教研联盟，提升当地高三教学教研协作水平</w:t>
      </w:r>
      <w:r>
        <w:rPr>
          <w:rFonts w:hint="eastAsia" w:cs="宋体"/>
          <w:color w:val="000000" w:themeColor="text1"/>
          <w:kern w:val="2"/>
          <w:sz w:val="24"/>
          <w:szCs w:val="24"/>
          <w:highlight w:val="none"/>
          <w:lang w:val="en-US" w:eastAsia="zh-CN" w:bidi="ar-SA"/>
          <w14:textFill>
            <w14:solidFill>
              <w14:schemeClr w14:val="tx1"/>
            </w14:solidFill>
          </w14:textFill>
        </w:rPr>
        <w:t>，同步吸收高二重点班教师参与教研</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；同时，组织初三重点学科毕业班教师教研指导微信群，指导初三重点学科复习教学；</w:t>
      </w:r>
    </w:p>
    <w:p w14:paraId="6CC04C18">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技术支持‌：确保项目学校的网络稳定，以及参与项目的教师教学必须的教学电脑等设施，同时，提供一定的技术支持与培训，解决远程教学中的技术问题。</w:t>
      </w:r>
    </w:p>
    <w:p w14:paraId="5D1D3AE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9.预期成果</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47DA9E18">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基于</w:t>
      </w:r>
      <w:r>
        <w:rPr>
          <w:rFonts w:hint="eastAsia" w:cs="宋体"/>
          <w:color w:val="000000" w:themeColor="text1"/>
          <w:kern w:val="2"/>
          <w:sz w:val="24"/>
          <w:szCs w:val="24"/>
          <w:highlight w:val="none"/>
          <w:lang w:val="en-US" w:eastAsia="zh-CN" w:bidi="ar-SA"/>
          <w14:textFill>
            <w14:solidFill>
              <w14:schemeClr w14:val="tx1"/>
            </w14:solidFill>
          </w14:textFill>
        </w:rPr>
        <w:t>高二、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高三</w:t>
      </w:r>
      <w:r>
        <w:rPr>
          <w:rFonts w:hint="eastAsia" w:cs="宋体"/>
          <w:color w:val="000000" w:themeColor="text1"/>
          <w:kern w:val="2"/>
          <w:sz w:val="24"/>
          <w:szCs w:val="24"/>
          <w:highlight w:val="none"/>
          <w:lang w:val="en-US" w:eastAsia="zh-CN" w:bidi="ar-SA"/>
          <w14:textFill>
            <w14:solidFill>
              <w14:schemeClr w14:val="tx1"/>
            </w14:solidFill>
          </w14:textFill>
        </w:rPr>
        <w:t>各学科</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教学调研，形成各学科高考复习教学计划；</w:t>
      </w:r>
    </w:p>
    <w:p w14:paraId="2D224BF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形成高三各学科重点班教师的教研联盟，</w:t>
      </w:r>
      <w:r>
        <w:rPr>
          <w:rFonts w:hint="eastAsia" w:cs="宋体"/>
          <w:color w:val="000000" w:themeColor="text1"/>
          <w:kern w:val="2"/>
          <w:sz w:val="24"/>
          <w:szCs w:val="24"/>
          <w:highlight w:val="none"/>
          <w:lang w:val="en-US" w:eastAsia="zh-CN" w:bidi="ar-SA"/>
          <w14:textFill>
            <w14:solidFill>
              <w14:schemeClr w14:val="tx1"/>
            </w14:solidFill>
          </w14:textFill>
        </w:rPr>
        <w:t>吸收高二重点班教师参与，</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在名师指导下，提高高三毕业班教学质量</w:t>
      </w:r>
      <w:r>
        <w:rPr>
          <w:rFonts w:hint="eastAsia" w:cs="宋体"/>
          <w:color w:val="000000" w:themeColor="text1"/>
          <w:kern w:val="2"/>
          <w:sz w:val="24"/>
          <w:szCs w:val="24"/>
          <w:highlight w:val="none"/>
          <w:lang w:val="en-US" w:eastAsia="zh-CN" w:bidi="ar-SA"/>
          <w14:textFill>
            <w14:solidFill>
              <w14:schemeClr w14:val="tx1"/>
            </w14:solidFill>
          </w14:textFill>
        </w:rPr>
        <w:t>同时，对高二教师开展教研指导</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479DDEB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在名师指导下开展中考教学辅导，提高初三重点学科教师复习教学水平；</w:t>
      </w:r>
    </w:p>
    <w:p w14:paraId="4468082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实现高考本科升学率提升，实现985高校升学数量超越以往的突破；</w:t>
      </w:r>
    </w:p>
    <w:p w14:paraId="5D82020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初步形成专家指导下的高中教学与教研一体化的有效模式。</w:t>
      </w:r>
    </w:p>
    <w:p w14:paraId="2CD0CAE2">
      <w:pPr>
        <w:pStyle w:val="9"/>
        <w:pageBreakBefore w:val="0"/>
        <w:numPr>
          <w:ilvl w:val="0"/>
          <w:numId w:val="0"/>
        </w:numPr>
        <w:kinsoku/>
        <w:wordWrap/>
        <w:overflowPunct w:val="0"/>
        <w:topLinePunct/>
        <w:autoSpaceDE/>
        <w:autoSpaceDN/>
        <w:bidi w:val="0"/>
        <w:snapToGrid/>
        <w:spacing w:line="560" w:lineRule="exact"/>
        <w:ind w:firstLine="482" w:firstLineChars="20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（三）科创活动项目方案</w:t>
      </w:r>
    </w:p>
    <w:p w14:paraId="604AC6A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 项目安排</w:t>
      </w:r>
    </w:p>
    <w:p w14:paraId="59DC61E1">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（1）学生成</w:t>
      </w:r>
      <w:r>
        <w:rPr>
          <w:rFonts w:hint="eastAsia" w:cs="宋体"/>
          <w:color w:val="000000" w:themeColor="text1"/>
          <w:kern w:val="2"/>
          <w:sz w:val="24"/>
          <w:szCs w:val="24"/>
          <w:highlight w:val="none"/>
          <w:lang w:val="en-US" w:eastAsia="zh-CN" w:bidi="ar-SA"/>
          <w14:textFill>
            <w14:solidFill>
              <w14:schemeClr w14:val="tx1"/>
            </w14:solidFill>
          </w14:textFill>
        </w:rPr>
        <w:t>长营版块：</w:t>
      </w:r>
    </w:p>
    <w:p w14:paraId="078AFE9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A.</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线下“金翅膀校园创客活动周”（6所学校，每校3课时）</w:t>
      </w:r>
    </w:p>
    <w:p w14:paraId="4173F5EB">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备注：【上海名师赴叶城】</w:t>
      </w:r>
    </w:p>
    <w:p w14:paraId="47459D0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2507" w:name="_Hlk99297606"/>
      <w:r>
        <w:rPr>
          <w:rFonts w:hint="eastAsia" w:cs="宋体"/>
          <w:color w:val="000000" w:themeColor="text1"/>
          <w:kern w:val="2"/>
          <w:sz w:val="24"/>
          <w:szCs w:val="24"/>
          <w:highlight w:val="none"/>
          <w:lang w:val="en-US" w:eastAsia="zh-CN" w:bidi="ar-SA"/>
          <w14:textFill>
            <w14:solidFill>
              <w14:schemeClr w14:val="tx1"/>
            </w14:solidFill>
          </w14:textFill>
        </w:rPr>
        <w:t>B.</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暑假“金翅膀科创之城探索营”一周</w:t>
      </w:r>
    </w:p>
    <w:p w14:paraId="6F69ADC8">
      <w:pPr>
        <w:pStyle w:val="9"/>
        <w:pageBreakBefore w:val="0"/>
        <w:kinsoku/>
        <w:wordWrap/>
        <w:overflowPunct w:val="0"/>
        <w:topLinePunct/>
        <w:autoSpaceDE/>
        <w:autoSpaceDN/>
        <w:bidi w:val="0"/>
        <w:snapToGrid/>
        <w:spacing w:line="56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备注：【叶城师生赴上海】</w:t>
      </w:r>
    </w:p>
    <w:p w14:paraId="17DDE012">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C.</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叶城学生参与科创达人挑战赛、上海创客新星大赛等</w:t>
      </w:r>
      <w:bookmarkEnd w:id="2507"/>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活动。</w:t>
      </w:r>
    </w:p>
    <w:p w14:paraId="7972F721">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（2）教师发展营版块：</w:t>
      </w:r>
    </w:p>
    <w:p w14:paraId="1BDD5602">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A.</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线下“金翅膀教师科创研修班”（1次3课时）</w:t>
      </w:r>
    </w:p>
    <w:p w14:paraId="3CF1633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 项目服务与保障需求</w:t>
      </w:r>
    </w:p>
    <w:p w14:paraId="489D73FA">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（1）学习形式与课程安排</w:t>
      </w:r>
    </w:p>
    <w:p w14:paraId="0FC2D26E">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需要采取多种形式的教学和交流方式，根据培训学生和教师的年龄、人数等详细编写针对性的培训方案。方案中上海赴叶城主持培训和教学活动的专家教师不少于10人，时间为期7天。叶城赴上海参加培训和学习的学生不少于15人，教师校长不少于3人，时间为期7天。方案中面向中小学生的科普专题讲座不少于6讲，面向教师的科技教育辅导讲座不少于1讲。方案中现场教学不少于4次（不少于2次主题教学，以及参观上海科技教育校外基地），参观考察不少于2次，其中必须参观宝山区青少年活动中心以及宝山区科技教育市区示范学校，所有的现场教学以及参观考察需要配备专业人员的讲解。组织叶城学生尝试参与科创达人挑战赛、上海创客新星大赛等活动，激发叶城优秀学生的科创热情，提升学生的科创能力。</w:t>
      </w:r>
    </w:p>
    <w:p w14:paraId="37C71058">
      <w:pPr>
        <w:pStyle w:val="9"/>
        <w:pageBreakBefore w:val="0"/>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（2）培训要求及目标</w:t>
      </w:r>
    </w:p>
    <w:p w14:paraId="19C25AAD">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投标单位必须具有承办此类培训的丰富经验，确保培训目的的完成。考虑到宝山区对口支援“三交”工作要求，活动重要节点邀请宝山区合作交流办公室相关领导出席。 </w:t>
      </w:r>
    </w:p>
    <w:p w14:paraId="67BF6184">
      <w:pPr>
        <w:pStyle w:val="9"/>
        <w:pageBreakBefore w:val="0"/>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通过组织叶城县基层师生赴上海培训，不断增进和带动叶城各族青少年、科技教育骨干教师与内地的交往交流交融，让叶城县师生亲身感受上海科创之城的建设成果与发展规划，学习借鉴上海科技教育的先进教育理念，使他们进一步坚定理想信念，进一步开阔眼界、更新观念、提升能力，使参训学生的科学素养得到显著提升，参训教师的师德师风素养和科学教学能力得到明显提高，为叶城县的科学发展、跨越发展提供重要的后备人才保证。</w:t>
      </w:r>
    </w:p>
    <w:p w14:paraId="5F2FFEAC">
      <w:pPr>
        <w:pStyle w:val="9"/>
        <w:pageBreakBefore w:val="0"/>
        <w:numPr>
          <w:ilvl w:val="0"/>
          <w:numId w:val="0"/>
        </w:numPr>
        <w:kinsoku/>
        <w:wordWrap/>
        <w:overflowPunct w:val="0"/>
        <w:topLinePunct/>
        <w:autoSpaceDE/>
        <w:autoSpaceDN/>
        <w:bidi w:val="0"/>
        <w:snapToGrid/>
        <w:spacing w:line="48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3.经费预算</w:t>
      </w:r>
    </w:p>
    <w:p w14:paraId="00956292">
      <w:pPr>
        <w:numPr>
          <w:ilvl w:val="0"/>
          <w:numId w:val="0"/>
        </w:numP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科创活动项目方案项目经费</w:t>
      </w: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w:t>
      </w:r>
    </w:p>
    <w:p w14:paraId="220F210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专家赴叶城费用</w:t>
      </w:r>
      <w:r>
        <w:rPr>
          <w:rFonts w:hint="eastAsia" w:cs="宋体"/>
          <w:color w:val="000000" w:themeColor="text1"/>
          <w:kern w:val="2"/>
          <w:sz w:val="24"/>
          <w:szCs w:val="24"/>
          <w:highlight w:val="none"/>
          <w:lang w:val="en-US" w:eastAsia="zh-CN" w:bidi="ar-SA"/>
          <w14:textFill>
            <w14:solidFill>
              <w14:schemeClr w14:val="tx1"/>
            </w14:solidFill>
          </w14:textFill>
        </w:rPr>
        <w:t>：包括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专家赴叶城“金翅膀校园创客活动周”授课、培训、讲座、交通、食宿费用</w:t>
      </w:r>
      <w:r>
        <w:rPr>
          <w:rFonts w:hint="eastAsia" w:cs="宋体"/>
          <w:color w:val="000000" w:themeColor="text1"/>
          <w:kern w:val="2"/>
          <w:sz w:val="24"/>
          <w:szCs w:val="24"/>
          <w:highlight w:val="none"/>
          <w:lang w:val="en-US" w:eastAsia="zh-CN" w:bidi="ar-SA"/>
          <w14:textFill>
            <w14:solidFill>
              <w14:schemeClr w14:val="tx1"/>
            </w14:solidFill>
          </w14:textFill>
        </w:rPr>
        <w:t>；</w:t>
      </w:r>
    </w:p>
    <w:p w14:paraId="574E50D1">
      <w:pPr>
        <w:pStyle w:val="9"/>
        <w:pageBreakBefore w:val="0"/>
        <w:numPr>
          <w:ilvl w:val="0"/>
          <w:numId w:val="0"/>
        </w:numPr>
        <w:kinsoku/>
        <w:wordWrap/>
        <w:overflowPunct w:val="0"/>
        <w:topLinePunct/>
        <w:autoSpaceDE/>
        <w:autoSpaceDN/>
        <w:bidi w:val="0"/>
        <w:snapToGrid/>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科创营活动费用</w:t>
      </w:r>
      <w:r>
        <w:rPr>
          <w:rFonts w:hint="eastAsia" w:cs="宋体"/>
          <w:color w:val="000000" w:themeColor="text1"/>
          <w:kern w:val="2"/>
          <w:sz w:val="24"/>
          <w:szCs w:val="24"/>
          <w:highlight w:val="none"/>
          <w:lang w:val="en-US" w:eastAsia="zh-CN" w:bidi="ar-SA"/>
          <w14:textFill>
            <w14:solidFill>
              <w14:schemeClr w14:val="tx1"/>
            </w14:solidFill>
          </w14:textFill>
        </w:rPr>
        <w:t>：包括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叶城师生赴赴上海“金翅膀科创之城探索营”交通、食宿、课程、活动费用</w:t>
      </w:r>
      <w:r>
        <w:rPr>
          <w:rFonts w:hint="eastAsia" w:cs="宋体"/>
          <w:color w:val="000000" w:themeColor="text1"/>
          <w:kern w:val="2"/>
          <w:sz w:val="24"/>
          <w:szCs w:val="24"/>
          <w:highlight w:val="none"/>
          <w:lang w:val="en-US" w:eastAsia="zh-CN" w:bidi="ar-SA"/>
          <w14:textFill>
            <w14:solidFill>
              <w14:schemeClr w14:val="tx1"/>
            </w14:solidFill>
          </w14:textFill>
        </w:rPr>
        <w:t>；</w:t>
      </w:r>
    </w:p>
    <w:p w14:paraId="68BD9C33">
      <w:pPr>
        <w:bidi w:val="0"/>
        <w:spacing w:line="360" w:lineRule="auto"/>
        <w:ind w:firstLine="482" w:firstLineChars="200"/>
        <w:rPr>
          <w:rFonts w:hint="eastAsia"/>
          <w:b/>
          <w:bCs/>
          <w:color w:val="000000" w:themeColor="text1"/>
          <w:sz w:val="24"/>
          <w:szCs w:val="24"/>
          <w:lang w:val="en-US" w:eastAsia="zh-CN"/>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注：在保证实施内容与援疆项目计划内容一致的情况下，具体实施时可对方案中实施内容进行深化与适当调整。</w:t>
      </w:r>
    </w:p>
    <w:p w14:paraId="631D4C57">
      <w:pPr>
        <w:pStyle w:val="3"/>
        <w:pageBreakBefore w:val="0"/>
        <w:numPr>
          <w:ilvl w:val="0"/>
          <w:numId w:val="0"/>
        </w:numPr>
        <w:kinsoku/>
        <w:wordWrap/>
        <w:overflowPunct w:val="0"/>
        <w:topLinePunct/>
        <w:autoSpaceDE/>
        <w:autoSpaceDN/>
        <w:bidi w:val="0"/>
        <w:snapToGrid/>
        <w:spacing w:line="560" w:lineRule="exact"/>
        <w:jc w:val="left"/>
        <w:rPr>
          <w:rFonts w:hint="eastAsia" w:ascii="GWZT-EN"/>
          <w:b/>
          <w:bCs/>
          <w:color w:val="000000" w:themeColor="text1"/>
          <w14:textFill>
            <w14:solidFill>
              <w14:schemeClr w14:val="tx1"/>
            </w14:solidFill>
          </w14:textFill>
        </w:rPr>
      </w:pPr>
      <w:bookmarkStart w:id="2508" w:name="_Toc30901"/>
      <w:r>
        <w:rPr>
          <w:rFonts w:hint="eastAsia" w:ascii="GWZT-EN"/>
          <w:b/>
          <w:bCs/>
          <w:color w:val="000000" w:themeColor="text1"/>
          <w:lang w:val="en-US" w:eastAsia="zh-CN"/>
          <w14:textFill>
            <w14:solidFill>
              <w14:schemeClr w14:val="tx1"/>
            </w14:solidFill>
          </w14:textFill>
        </w:rPr>
        <w:t>四、</w:t>
      </w:r>
      <w:r>
        <w:rPr>
          <w:rFonts w:hint="eastAsia" w:ascii="GWZT-EN"/>
          <w:b/>
          <w:bCs/>
          <w:color w:val="000000" w:themeColor="text1"/>
          <w14:textFill>
            <w14:solidFill>
              <w14:schemeClr w14:val="tx1"/>
            </w14:solidFill>
          </w14:textFill>
        </w:rPr>
        <w:t>项目</w:t>
      </w:r>
      <w:r>
        <w:rPr>
          <w:rFonts w:hint="eastAsia"/>
          <w:b/>
          <w:bCs/>
          <w:color w:val="000000" w:themeColor="text1"/>
          <w:lang w:val="en-US" w:eastAsia="zh-CN"/>
          <w14:textFill>
            <w14:solidFill>
              <w14:schemeClr w14:val="tx1"/>
            </w14:solidFill>
          </w14:textFill>
        </w:rPr>
        <w:t>要求</w:t>
      </w:r>
      <w:bookmarkEnd w:id="2508"/>
    </w:p>
    <w:p w14:paraId="16A1EB2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（1）项目实施：</w:t>
      </w:r>
    </w:p>
    <w:p w14:paraId="65CC35D7">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项目由“拔尖创新学生培养交流活动”、“优分优育”毕业班质量提升活动、“科创活动”三个部分组成，2025年3月开始至2025年12月月底前完成（实施周期与具体时间安排可根据采购方要求进行调整）。</w:t>
      </w:r>
    </w:p>
    <w:p w14:paraId="7A326A8F">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“拔尖创新学生培养交流”活动，清华/北大教授级专家参与选拔、培养，</w:t>
      </w:r>
      <w:r>
        <w:rPr>
          <w:rFonts w:hint="eastAsia" w:cs="宋体"/>
          <w:color w:val="000000" w:themeColor="text1"/>
          <w:kern w:val="2"/>
          <w:sz w:val="24"/>
          <w:szCs w:val="24"/>
          <w:highlight w:val="none"/>
          <w:lang w:val="en-US" w:eastAsia="zh-CN" w:bidi="ar-SA"/>
          <w14:textFill>
            <w14:solidFill>
              <w14:schemeClr w14:val="tx1"/>
            </w14:solidFill>
          </w14:textFill>
        </w:rPr>
        <w:t>专家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具备拔尖创新人才选拔、培养经验的可作为加分内容。 </w:t>
      </w:r>
    </w:p>
    <w:p w14:paraId="5D2335EC">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“优分优育”毕业班质量提升活动，团队中至少一位具备5年以上区域学科教研经历，团队内拥有省级学科教研经历以及西部支教经历的专家可作为加分内容。</w:t>
      </w:r>
    </w:p>
    <w:p w14:paraId="48F602C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“科创活动”项目，团队具备自主设计科创课程的能力，能提供科创课程活动方案，有参与过新疆地区科创活动项目经历的可作为加分内容。</w:t>
      </w:r>
    </w:p>
    <w:p w14:paraId="4573D163">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投标供应商需能使用专业线上授课平台授课（支持直播、录播、实时答疑、教研活动），拥有自主开发的专业线上授课平台的可作为加分内容。</w:t>
      </w:r>
    </w:p>
    <w:p w14:paraId="28294400">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（2）项目实施地点：叶城县（具体以签订合同为准）。</w:t>
      </w:r>
    </w:p>
    <w:p w14:paraId="7A14ABAB">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（3）付款方式：分期付款</w:t>
      </w:r>
    </w:p>
    <w:p w14:paraId="64F27AE3">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甲乙双方签订合同且合同生效后，甲方根据财政预算资金批复进度可以支付合同金额的30％；乙方完成</w:t>
      </w:r>
      <w:r>
        <w:rPr>
          <w:rFonts w:hint="eastAsia" w:cs="宋体"/>
          <w:color w:val="000000" w:themeColor="text1"/>
          <w:kern w:val="2"/>
          <w:sz w:val="24"/>
          <w:szCs w:val="24"/>
          <w:highlight w:val="none"/>
          <w:lang w:val="en-US" w:eastAsia="zh-CN" w:bidi="ar-SA"/>
          <w14:textFill>
            <w14:solidFill>
              <w14:schemeClr w14:val="tx1"/>
            </w14:solidFill>
          </w14:textFill>
        </w:rPr>
        <w:t>服务</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经甲方确认达到100%后，甲方根据财政预算资金批复进度，可以支付合同金额的50%；该项目审计报告出具后，依据审计报告核减金额甲方根据财政预算资金批复进度可以支付合同金额的</w:t>
      </w:r>
      <w:r>
        <w:rPr>
          <w:rFonts w:hint="eastAsia" w:cs="宋体"/>
          <w:color w:val="000000" w:themeColor="text1"/>
          <w:kern w:val="2"/>
          <w:sz w:val="24"/>
          <w:szCs w:val="24"/>
          <w:highlight w:val="none"/>
          <w:lang w:val="en-US" w:eastAsia="zh-CN" w:bidi="ar-SA"/>
          <w14:textFill>
            <w14:solidFill>
              <w14:schemeClr w14:val="tx1"/>
            </w14:solidFill>
          </w14:textFill>
        </w:rPr>
        <w:t>20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%；累计支付合同金额</w:t>
      </w:r>
      <w:r>
        <w:rPr>
          <w:rFonts w:hint="eastAsia" w:cs="宋体"/>
          <w:color w:val="000000" w:themeColor="text1"/>
          <w:kern w:val="2"/>
          <w:sz w:val="24"/>
          <w:szCs w:val="24"/>
          <w:highlight w:val="none"/>
          <w:lang w:val="en-US" w:eastAsia="zh-CN" w:bidi="ar-SA"/>
          <w14:textFill>
            <w14:solidFill>
              <w14:schemeClr w14:val="tx1"/>
            </w14:solidFill>
          </w14:textFill>
        </w:rPr>
        <w:t>100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体支付以合同约定为准，注：该项目资金为援疆资金。）甲方为实行国库集中支付的单位：甲方应根据采购计划确认的资金支付方式，按规定将货款支付给乙方。其中确认“财政直接支付方式”的，甲方应在规定期限内，向财政国库支付机构提出申请支付令、办理国库支付手续；财政国库支付机构应在规定时间内（不计入甲方付款期限），将</w:t>
      </w:r>
      <w:r>
        <w:rPr>
          <w:rFonts w:hint="eastAsia" w:cs="宋体"/>
          <w:color w:val="000000" w:themeColor="text1"/>
          <w:kern w:val="2"/>
          <w:sz w:val="24"/>
          <w:szCs w:val="24"/>
          <w:highlight w:val="none"/>
          <w:lang w:val="en-US" w:eastAsia="zh-CN" w:bidi="ar-SA"/>
          <w14:textFill>
            <w14:solidFill>
              <w14:schemeClr w14:val="tx1"/>
            </w14:solidFill>
          </w14:textFill>
        </w:rPr>
        <w:t>服务</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款</w:t>
      </w:r>
      <w:r>
        <w:rPr>
          <w:rFonts w:hint="eastAsia" w:cs="宋体"/>
          <w:color w:val="000000" w:themeColor="text1"/>
          <w:kern w:val="2"/>
          <w:sz w:val="24"/>
          <w:szCs w:val="24"/>
          <w:highlight w:val="none"/>
          <w:lang w:val="en-US" w:eastAsia="zh-CN" w:bidi="ar-SA"/>
          <w14:textFill>
            <w14:solidFill>
              <w14:schemeClr w14:val="tx1"/>
            </w14:solidFill>
          </w14:textFill>
        </w:rPr>
        <w:t>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支付给乙方；确认“财政授权支付或单位自行支付方式”的，由甲方在规定限期内自行将货款直接支付给乙方；</w:t>
      </w:r>
    </w:p>
    <w:p w14:paraId="659BF8FA">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发票开具方式：甲方付款前，乙方应向甲方开具等额有效的增值税发票，甲方未收到发票的，有权不予支付相应款项直至乙方提供合格发票，并不承担延迟付款责任。发票认证通过是付款的必要前提之一 。   </w:t>
      </w:r>
    </w:p>
    <w:p w14:paraId="1936DD19">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乙方因各种原因需作废发票，应在作废之前告知甲方，如在甲方不知情的情况下私自作废发票，产生的后果及责任由乙方自行负责。</w:t>
      </w:r>
    </w:p>
    <w:p w14:paraId="4B00180D">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各投标供应商须根据后勤保障做好充分准备，落实相关细节，需与配合本次招标需求方根据相关规定必须填报的相关信息，如报备活动所在地的相关派出所，同时单位业务培训和工作指导期间有相关应急预案，以便处理突发状况。</w:t>
      </w:r>
    </w:p>
    <w:p w14:paraId="0532B2FD">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（5）用餐根据活动需求，制定标准餐标；住宿要求所</w:t>
      </w:r>
      <w:r>
        <w:rPr>
          <w:rFonts w:hint="eastAsia" w:ascii="宋体" w:hAnsi="宋体" w:eastAsia="宋体" w:cs="宋体"/>
          <w:color w:val="auto"/>
          <w:kern w:val="2"/>
          <w:sz w:val="24"/>
          <w:szCs w:val="24"/>
          <w:highlight w:val="none"/>
          <w:lang w:val="en-US" w:eastAsia="zh-CN" w:bidi="ar-SA"/>
        </w:rPr>
        <w:t>提供住宿场所具有相关教育教学交流培训活动接待的经验；完成时间按照要求的时间节点，完成整个交流活动工作；所有活动全程必须制作完整的影像画册或音视频资料等；负责安排并承担往返交通、食宿、培训费用。</w:t>
      </w:r>
    </w:p>
    <w:p w14:paraId="7692AE0B">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（6）供应商提供的投标文件须目录清晰、关联点对应准确，评审内容便于查找，没有与评审内容无关的资料及文件</w:t>
      </w:r>
    </w:p>
    <w:p w14:paraId="6A748736">
      <w:pPr>
        <w:pStyle w:val="9"/>
        <w:pageBreakBefore w:val="0"/>
        <w:numPr>
          <w:ilvl w:val="0"/>
          <w:numId w:val="0"/>
        </w:numPr>
        <w:kinsoku/>
        <w:wordWrap/>
        <w:overflowPunct w:val="0"/>
        <w:topLinePunct/>
        <w:autoSpaceDE/>
        <w:autoSpaceDN/>
        <w:bidi w:val="0"/>
        <w:snapToGrid/>
        <w:spacing w:line="56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（7）本项目不允许转包和违法分包。</w:t>
      </w:r>
    </w:p>
    <w:p w14:paraId="50EC6A8A">
      <w:pPr>
        <w:pStyle w:val="7"/>
        <w:rPr>
          <w:rFonts w:hint="default"/>
          <w:color w:val="000000" w:themeColor="text1"/>
          <w:lang w:val="en-US" w:eastAsia="zh-CN"/>
          <w14:textFill>
            <w14:solidFill>
              <w14:schemeClr w14:val="tx1"/>
            </w14:solidFill>
          </w14:textFill>
        </w:rPr>
      </w:pPr>
    </w:p>
    <w:p w14:paraId="46CBED87">
      <w:pPr>
        <w:pStyle w:val="6"/>
        <w:spacing w:line="480" w:lineRule="auto"/>
        <w:ind w:firstLine="0"/>
        <w:jc w:val="center"/>
        <w:outlineLvl w:val="0"/>
        <w:rPr>
          <w:rFonts w:hint="eastAsia" w:ascii="宋体" w:hAnsi="宋体" w:eastAsia="宋体" w:cs="宋体"/>
          <w:b/>
          <w:bCs/>
          <w:color w:val="auto"/>
          <w:sz w:val="32"/>
          <w:szCs w:val="32"/>
          <w:highlight w:val="none"/>
          <w:lang w:val="en-US" w:eastAsia="zh-CN"/>
        </w:rPr>
      </w:pPr>
      <w:r>
        <w:rPr>
          <w:rFonts w:ascii="GWZT-EN" w:hAnsi="Times New Roman" w:eastAsia="宋体" w:cs="Times New Roman"/>
          <w:kern w:val="2"/>
          <w:sz w:val="28"/>
          <w:szCs w:val="28"/>
        </w:rPr>
        <w:t xml:space="preserve">  </w:t>
      </w:r>
      <w:bookmarkStart w:id="2509" w:name="_Toc30865"/>
      <w:r>
        <w:rPr>
          <w:rFonts w:hint="eastAsia" w:ascii="宋体" w:hAnsi="宋体" w:eastAsia="宋体" w:cs="宋体"/>
          <w:b/>
          <w:bCs/>
          <w:color w:val="auto"/>
          <w:sz w:val="32"/>
          <w:szCs w:val="32"/>
          <w:highlight w:val="none"/>
          <w:lang w:val="en-US" w:eastAsia="zh-CN"/>
        </w:rPr>
        <w:t>第6章  评标方法和标准</w:t>
      </w:r>
      <w:bookmarkEnd w:id="14"/>
      <w:bookmarkEnd w:id="15"/>
      <w:bookmarkEnd w:id="16"/>
      <w:bookmarkEnd w:id="17"/>
      <w:bookmarkEnd w:id="18"/>
      <w:bookmarkEnd w:id="19"/>
      <w:bookmarkEnd w:id="20"/>
      <w:bookmarkEnd w:id="2500"/>
      <w:bookmarkEnd w:id="2501"/>
      <w:bookmarkEnd w:id="2503"/>
      <w:bookmarkEnd w:id="2504"/>
      <w:bookmarkEnd w:id="2509"/>
    </w:p>
    <w:p w14:paraId="5D678B3B">
      <w:pPr>
        <w:pStyle w:val="9"/>
        <w:keepNext w:val="0"/>
        <w:keepLines w:val="0"/>
        <w:pageBreakBefore w:val="0"/>
        <w:tabs>
          <w:tab w:val="clear" w:pos="567"/>
        </w:tabs>
        <w:kinsoku/>
        <w:wordWrap/>
        <w:overflowPunct/>
        <w:topLinePunct w:val="0"/>
        <w:autoSpaceDE/>
        <w:autoSpaceDN/>
        <w:bidi w:val="0"/>
        <w:adjustRightInd/>
        <w:spacing w:before="0" w:line="400" w:lineRule="exact"/>
        <w:ind w:firstLine="540" w:firstLineChars="225"/>
        <w:outlineLvl w:val="9"/>
        <w:rPr>
          <w:rFonts w:hint="eastAsia" w:ascii="宋体" w:hAnsi="宋体" w:eastAsia="宋体" w:cs="宋体"/>
          <w:color w:val="auto"/>
          <w:highlight w:val="none"/>
        </w:rPr>
      </w:pPr>
      <w:r>
        <w:rPr>
          <w:rFonts w:hint="eastAsia" w:ascii="宋体" w:hAnsi="宋体" w:eastAsia="宋体" w:cs="宋体"/>
          <w:color w:val="auto"/>
          <w:highlight w:val="none"/>
        </w:rPr>
        <w:t>本项目将按照招标文件第一章供应商须知中“五 开标及评标”、“六 确定中标”及本章的规定评标。</w:t>
      </w:r>
    </w:p>
    <w:p w14:paraId="3CD3CDB7">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1.投标无效的情形：</w:t>
      </w:r>
    </w:p>
    <w:p w14:paraId="75FAC9FC">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（1）单位负责人为同一人或者存在直接控股、管理关系的不同供应商，其相关投标将被认定为投标无效。</w:t>
      </w:r>
    </w:p>
    <w:p w14:paraId="0A6A20C0">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（2）供应商报价超过招标文件规定的预算金额或者分项、分包最高限价的，其投标将被认定为投标无效。</w:t>
      </w:r>
    </w:p>
    <w:p w14:paraId="6654AC0B">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04AAFD1D">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）供应商应当对所投分</w:t>
      </w:r>
      <w:r>
        <w:rPr>
          <w:rFonts w:hint="eastAsia" w:ascii="宋体" w:hAnsi="宋体" w:cs="宋体"/>
          <w:color w:val="auto"/>
          <w:sz w:val="24"/>
          <w:highlight w:val="none"/>
          <w:lang w:eastAsia="zh-CN"/>
        </w:rPr>
        <w:t>标项</w:t>
      </w:r>
      <w:r>
        <w:rPr>
          <w:rFonts w:hint="eastAsia" w:ascii="宋体" w:hAnsi="宋体" w:eastAsia="宋体" w:cs="宋体"/>
          <w:color w:val="auto"/>
          <w:sz w:val="24"/>
          <w:highlight w:val="none"/>
        </w:rPr>
        <w:t>投标文件中“</w:t>
      </w:r>
      <w:r>
        <w:rPr>
          <w:rFonts w:hint="eastAsia" w:ascii="宋体" w:hAnsi="宋体" w:cs="宋体"/>
          <w:color w:val="auto"/>
          <w:sz w:val="24"/>
          <w:highlight w:val="none"/>
          <w:lang w:val="en-US" w:eastAsia="zh-CN"/>
        </w:rPr>
        <w:t>服务需求</w:t>
      </w:r>
      <w:r>
        <w:rPr>
          <w:rFonts w:hint="eastAsia" w:ascii="宋体" w:hAnsi="宋体" w:eastAsia="宋体" w:cs="宋体"/>
          <w:color w:val="auto"/>
          <w:sz w:val="24"/>
          <w:highlight w:val="none"/>
        </w:rPr>
        <w:t>”所列的所有内容进行投标，如仅响应某一</w:t>
      </w:r>
      <w:r>
        <w:rPr>
          <w:rFonts w:hint="eastAsia" w:ascii="宋体" w:hAnsi="宋体" w:cs="宋体"/>
          <w:color w:val="auto"/>
          <w:sz w:val="24"/>
          <w:highlight w:val="none"/>
          <w:lang w:val="en-US" w:eastAsia="zh-CN"/>
        </w:rPr>
        <w:t>标项</w:t>
      </w:r>
      <w:r>
        <w:rPr>
          <w:rFonts w:hint="eastAsia" w:ascii="宋体" w:hAnsi="宋体" w:eastAsia="宋体" w:cs="宋体"/>
          <w:color w:val="auto"/>
          <w:sz w:val="24"/>
          <w:highlight w:val="none"/>
        </w:rPr>
        <w:t>中的部分内容，其该</w:t>
      </w:r>
      <w:r>
        <w:rPr>
          <w:rFonts w:hint="eastAsia" w:ascii="宋体" w:hAnsi="宋体" w:cs="宋体"/>
          <w:color w:val="auto"/>
          <w:sz w:val="24"/>
          <w:highlight w:val="none"/>
          <w:lang w:val="en-US" w:eastAsia="zh-CN"/>
        </w:rPr>
        <w:t>标项</w:t>
      </w:r>
      <w:r>
        <w:rPr>
          <w:rFonts w:hint="eastAsia" w:ascii="宋体" w:hAnsi="宋体" w:eastAsia="宋体" w:cs="宋体"/>
          <w:color w:val="auto"/>
          <w:sz w:val="24"/>
          <w:highlight w:val="none"/>
        </w:rPr>
        <w:t>投标将被认定为投标无效。</w:t>
      </w:r>
    </w:p>
    <w:p w14:paraId="06ECBCF6">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）供应商未按本须知第12.1和12.3条规定提交投标保证金的，其投标资格将被认定为投标无效。</w:t>
      </w:r>
    </w:p>
    <w:p w14:paraId="20C8293B">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）所有投标均以人民币报价。供应商的投标报价应遵守《中华人民共和国价格法》。同时，根据《中华人民共和国政府采购法》第二条的规定，为保证公平竞争，如有</w:t>
      </w:r>
      <w:r>
        <w:rPr>
          <w:rFonts w:hint="eastAsia" w:ascii="宋体" w:hAnsi="宋体" w:cs="宋体"/>
          <w:color w:val="auto"/>
          <w:sz w:val="24"/>
          <w:highlight w:val="none"/>
          <w:lang w:val="en-US" w:eastAsia="zh-CN"/>
        </w:rPr>
        <w:t>服务</w:t>
      </w:r>
      <w:r>
        <w:rPr>
          <w:rFonts w:hint="eastAsia" w:ascii="宋体" w:hAnsi="宋体" w:eastAsia="宋体" w:cs="宋体"/>
          <w:color w:val="auto"/>
          <w:sz w:val="24"/>
          <w:highlight w:val="none"/>
        </w:rPr>
        <w:t>主体部分的赠与行为，其投标将被认定为投标无效。</w:t>
      </w:r>
    </w:p>
    <w:p w14:paraId="3CE2DBB1">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）供应商所报的各分项投标单价在合同履行过程中是固定不变的，不得以任何理由予以变更。任何包含价格调整要求的投标，其投标将被认定为投标无效。</w:t>
      </w:r>
    </w:p>
    <w:p w14:paraId="4E916014">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）投标应在供应商须知资料表中规定时间内保持有效。投标有效期不满足要求的投标，其投标将被认定为投标无效。</w:t>
      </w:r>
    </w:p>
    <w:p w14:paraId="4756E23C">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）采购人或采购代理机构将在开标前1个工作日至投标截止后1小时的期间内查询供应商的信用记录。供应商存在不良信用记录的，其投标将被认定为投标无效。</w:t>
      </w:r>
    </w:p>
    <w:p w14:paraId="7B920712">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6D1B0879">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3B18919D">
      <w:pPr>
        <w:keepNext w:val="0"/>
        <w:keepLines w:val="0"/>
        <w:pageBreakBefore w:val="0"/>
        <w:widowControl/>
        <w:kinsoku/>
        <w:wordWrap/>
        <w:overflowPunct/>
        <w:topLinePunct w:val="0"/>
        <w:autoSpaceDE/>
        <w:autoSpaceDN/>
        <w:bidi w:val="0"/>
        <w:adjustRightInd/>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12</w:t>
      </w:r>
      <w:r>
        <w:rPr>
          <w:rFonts w:hint="eastAsia" w:ascii="宋体" w:hAnsi="宋体" w:eastAsia="宋体" w:cs="宋体"/>
          <w:color w:val="auto"/>
          <w:sz w:val="24"/>
          <w:highlight w:val="none"/>
        </w:rPr>
        <w:t>）如发现下列情况之一的，其投标将被认定为投标无效：未按招标文件规定的形式和金额提交投标保证金的；未按照招标文件规定要求签署、盖章的；未满足招标文件中技术条款的实质性要求；与其他供应商串通投标，或者与</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414242A0">
      <w:pPr>
        <w:keepNext w:val="0"/>
        <w:keepLines w:val="0"/>
        <w:pageBreakBefore w:val="0"/>
        <w:widowControl/>
        <w:kinsoku/>
        <w:wordWrap/>
        <w:overflowPunct/>
        <w:topLinePunct w:val="0"/>
        <w:autoSpaceDE/>
        <w:autoSpaceDN/>
        <w:bidi w:val="0"/>
        <w:adjustRightInd/>
        <w:spacing w:line="400" w:lineRule="exact"/>
        <w:jc w:val="left"/>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en-US" w:eastAsia="zh-CN"/>
        </w:rPr>
        <w:t>.本项目专门面向中小企业采购。根据《财政部关于进一步加大政府采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w:t>
      </w:r>
      <w:r>
        <w:rPr>
          <w:rFonts w:hint="eastAsia" w:ascii="宋体" w:hAnsi="宋体" w:cs="宋体"/>
          <w:b/>
          <w:bCs/>
          <w:color w:val="auto"/>
          <w:sz w:val="24"/>
          <w:highlight w:val="none"/>
          <w:lang w:val="en-US" w:eastAsia="zh-CN"/>
        </w:rPr>
        <w:t>不进行扣除</w:t>
      </w:r>
      <w:r>
        <w:rPr>
          <w:rFonts w:hint="eastAsia" w:ascii="宋体" w:hAnsi="宋体" w:eastAsia="宋体" w:cs="宋体"/>
          <w:b/>
          <w:bCs/>
          <w:color w:val="auto"/>
          <w:sz w:val="24"/>
          <w:highlight w:val="none"/>
          <w:lang w:val="en-US" w:eastAsia="zh-CN"/>
        </w:rPr>
        <w:t>。</w:t>
      </w:r>
    </w:p>
    <w:p w14:paraId="74479082">
      <w:pPr>
        <w:keepNext w:val="0"/>
        <w:keepLines w:val="0"/>
        <w:pageBreakBefore w:val="0"/>
        <w:widowControl/>
        <w:kinsoku/>
        <w:wordWrap/>
        <w:overflowPunct/>
        <w:topLinePunct w:val="0"/>
        <w:autoSpaceDE/>
        <w:autoSpaceDN/>
        <w:bidi w:val="0"/>
        <w:adjustRightInd/>
        <w:spacing w:line="400" w:lineRule="exact"/>
        <w:jc w:val="left"/>
        <w:outlineLvl w:val="9"/>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3.联合协议中约定</w:t>
      </w:r>
      <w:r>
        <w:rPr>
          <w:rFonts w:hint="eastAsia" w:ascii="宋体" w:hAnsi="宋体" w:eastAsia="宋体" w:cs="宋体"/>
          <w:color w:val="auto"/>
          <w:sz w:val="24"/>
          <w:highlight w:val="none"/>
        </w:rPr>
        <w:t>，小型、微型企业和监狱企业的协议合同金额占到联合体协议合同总金额30%以上的，可给予联合体</w:t>
      </w:r>
      <w:r>
        <w:rPr>
          <w:rFonts w:hint="eastAsia" w:ascii="宋体" w:hAnsi="宋体" w:eastAsia="宋体" w:cs="宋体"/>
          <w:color w:val="auto"/>
          <w:sz w:val="24"/>
          <w:highlight w:val="none"/>
          <w:u w:val="single"/>
        </w:rPr>
        <w:t xml:space="preserve"> 2%-3%</w:t>
      </w:r>
      <w:r>
        <w:rPr>
          <w:rFonts w:hint="eastAsia" w:ascii="宋体" w:hAnsi="宋体" w:eastAsia="宋体" w:cs="宋体"/>
          <w:color w:val="auto"/>
          <w:sz w:val="24"/>
          <w:highlight w:val="none"/>
        </w:rPr>
        <w:t>的价格扣除。</w:t>
      </w:r>
      <w:r>
        <w:rPr>
          <w:rFonts w:hint="eastAsia" w:ascii="宋体" w:hAnsi="宋体" w:eastAsia="宋体" w:cs="宋体"/>
          <w:b/>
          <w:bCs/>
          <w:color w:val="auto"/>
          <w:sz w:val="24"/>
          <w:highlight w:val="none"/>
        </w:rPr>
        <w:t>（本项目不适用）</w:t>
      </w:r>
    </w:p>
    <w:p w14:paraId="31838228">
      <w:pPr>
        <w:keepNext w:val="0"/>
        <w:keepLines w:val="0"/>
        <w:pageBreakBefore w:val="0"/>
        <w:widowControl/>
        <w:kinsoku/>
        <w:wordWrap/>
        <w:overflowPunct/>
        <w:topLinePunct w:val="0"/>
        <w:autoSpaceDE/>
        <w:autoSpaceDN/>
        <w:bidi w:val="0"/>
        <w:adjustRightInd/>
        <w:spacing w:line="400" w:lineRule="exact"/>
        <w:ind w:firstLine="480" w:firstLineChars="200"/>
        <w:jc w:val="lef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联合体各方均为小型、微型企业和监狱企业的，联合体视同为小型、微型企业和监狱企业。</w:t>
      </w:r>
    </w:p>
    <w:p w14:paraId="4014DC9D">
      <w:pPr>
        <w:pStyle w:val="9"/>
        <w:keepNext w:val="0"/>
        <w:keepLines w:val="0"/>
        <w:pageBreakBefore w:val="0"/>
        <w:tabs>
          <w:tab w:val="clear" w:pos="567"/>
        </w:tabs>
        <w:kinsoku/>
        <w:wordWrap/>
        <w:overflowPunct/>
        <w:topLinePunct w:val="0"/>
        <w:autoSpaceDE/>
        <w:autoSpaceDN/>
        <w:bidi w:val="0"/>
        <w:adjustRightInd/>
        <w:spacing w:before="0" w:line="400" w:lineRule="exact"/>
        <w:outlineLvl w:val="9"/>
        <w:rPr>
          <w:rFonts w:hint="eastAsia" w:ascii="宋体" w:hAnsi="宋体" w:eastAsia="宋体" w:cs="宋体"/>
          <w:color w:val="auto"/>
          <w:highlight w:val="none"/>
        </w:rPr>
      </w:pPr>
      <w:r>
        <w:rPr>
          <w:rFonts w:hint="eastAsia" w:ascii="宋体" w:hAnsi="宋体" w:eastAsia="宋体" w:cs="宋体"/>
          <w:b/>
          <w:bCs/>
          <w:color w:val="auto"/>
          <w:highlight w:val="none"/>
        </w:rPr>
        <w:t>4.供应商</w:t>
      </w:r>
      <w:r>
        <w:rPr>
          <w:rFonts w:hint="eastAsia" w:ascii="宋体" w:hAnsi="宋体" w:eastAsia="宋体" w:cs="宋体"/>
          <w:color w:val="auto"/>
          <w:highlight w:val="none"/>
        </w:rPr>
        <w:t>为提供服务需求在投标中伴随投标的产品如被列入财政部与国家主管部门颁发的节能产品目录或环境标志产品目录或无线局域网产品目录，应提供相关证明，在评标时予以优先采购，具体优惠措施为：</w:t>
      </w:r>
      <w:r>
        <w:rPr>
          <w:rFonts w:hint="eastAsia" w:ascii="宋体" w:hAnsi="宋体" w:eastAsia="宋体" w:cs="宋体"/>
          <w:color w:val="auto"/>
          <w:highlight w:val="none"/>
          <w:u w:val="single"/>
        </w:rPr>
        <w:t>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r>
        <w:rPr>
          <w:rFonts w:hint="eastAsia" w:ascii="宋体" w:hAnsi="宋体" w:eastAsia="宋体" w:cs="宋体"/>
          <w:color w:val="auto"/>
          <w:highlight w:val="none"/>
        </w:rPr>
        <w:t>。</w:t>
      </w:r>
    </w:p>
    <w:p w14:paraId="10E0F947">
      <w:pPr>
        <w:pStyle w:val="9"/>
        <w:keepNext w:val="0"/>
        <w:keepLines w:val="0"/>
        <w:pageBreakBefore w:val="0"/>
        <w:tabs>
          <w:tab w:val="clear" w:pos="567"/>
        </w:tabs>
        <w:kinsoku/>
        <w:wordWrap/>
        <w:overflowPunct/>
        <w:topLinePunct w:val="0"/>
        <w:autoSpaceDE/>
        <w:autoSpaceDN/>
        <w:bidi w:val="0"/>
        <w:adjustRightInd/>
        <w:spacing w:before="0" w:line="400" w:lineRule="exact"/>
        <w:outlineLvl w:val="9"/>
        <w:rPr>
          <w:rFonts w:hint="eastAsia" w:ascii="宋体" w:hAnsi="宋体" w:eastAsia="宋体" w:cs="宋体"/>
          <w:color w:val="auto"/>
          <w:highlight w:val="none"/>
          <w:u w:val="single"/>
        </w:rPr>
      </w:pPr>
      <w:r>
        <w:rPr>
          <w:rFonts w:hint="eastAsia" w:ascii="宋体" w:hAnsi="宋体" w:eastAsia="宋体" w:cs="宋体"/>
          <w:b/>
          <w:bCs/>
          <w:color w:val="auto"/>
          <w:highlight w:val="none"/>
        </w:rPr>
        <w:t>5.对创新产</w:t>
      </w:r>
      <w:r>
        <w:rPr>
          <w:rFonts w:hint="eastAsia" w:ascii="宋体" w:hAnsi="宋体" w:eastAsia="宋体" w:cs="宋体"/>
          <w:color w:val="auto"/>
          <w:highlight w:val="none"/>
        </w:rPr>
        <w:t>品或创新性企业的优惠措施为：</w:t>
      </w:r>
      <w:r>
        <w:rPr>
          <w:rFonts w:hint="eastAsia" w:ascii="宋体" w:hAnsi="宋体" w:eastAsia="宋体" w:cs="宋体"/>
          <w:color w:val="auto"/>
          <w:highlight w:val="none"/>
          <w:u w:val="single"/>
        </w:rPr>
        <w:t xml:space="preserve">     /      </w:t>
      </w:r>
    </w:p>
    <w:p w14:paraId="76E3A7E7">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6.开标：</w:t>
      </w:r>
    </w:p>
    <w:p w14:paraId="3323988A">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40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供应商按照须知资料表中规定的开标时间和地点，在规定时间内上传投标文件。</w:t>
      </w:r>
    </w:p>
    <w:p w14:paraId="15B40842">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40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 xml:space="preserve">，将被认定为无效投标。请供应商提前调试好CA锁，确定在操作时能正常使用。  </w:t>
      </w:r>
    </w:p>
    <w:p w14:paraId="7042CF2E">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40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在开标记录时，代理机构开启签字时段，须供应商使用CA锁在政采云平台进行签字确认报价。</w:t>
      </w:r>
    </w:p>
    <w:p w14:paraId="02F87855">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40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采购人登录政采云平台对供应商的资格证明材料进行审查。</w:t>
      </w:r>
    </w:p>
    <w:p w14:paraId="52D3C97E">
      <w:pPr>
        <w:pStyle w:val="20"/>
        <w:keepNext w:val="0"/>
        <w:keepLines w:val="0"/>
        <w:pageBreakBefore w:val="0"/>
        <w:kinsoku/>
        <w:wordWrap/>
        <w:overflowPunct/>
        <w:topLinePunct w:val="0"/>
        <w:autoSpaceDE/>
        <w:autoSpaceDN/>
        <w:bidi w:val="0"/>
        <w:adjustRightInd/>
        <w:spacing w:line="400" w:lineRule="exact"/>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7.评标：</w:t>
      </w:r>
    </w:p>
    <w:p w14:paraId="0EECE90F">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（1）在政采云平台上随机抽取</w:t>
      </w:r>
      <w:r>
        <w:rPr>
          <w:rFonts w:hint="eastAsia" w:ascii="宋体" w:hAnsi="宋体" w:eastAsia="宋体" w:cs="宋体"/>
          <w:b/>
          <w:bCs/>
          <w:color w:val="auto"/>
          <w:sz w:val="24"/>
          <w:highlight w:val="none"/>
          <w:lang w:eastAsia="zh-CN"/>
        </w:rPr>
        <w:t>5名</w:t>
      </w:r>
      <w:r>
        <w:rPr>
          <w:rFonts w:hint="eastAsia" w:ascii="宋体" w:hAnsi="宋体" w:eastAsia="宋体" w:cs="宋体"/>
          <w:color w:val="auto"/>
          <w:sz w:val="24"/>
          <w:highlight w:val="none"/>
          <w:lang w:eastAsia="zh-CN"/>
        </w:rPr>
        <w:t>相关专业专家组建评标委员会，负责评标工作。本项目评标委员会由</w:t>
      </w:r>
      <w:r>
        <w:rPr>
          <w:rFonts w:hint="eastAsia" w:ascii="宋体" w:hAnsi="宋体" w:eastAsia="宋体" w:cs="宋体"/>
          <w:b/>
          <w:bCs/>
          <w:color w:val="auto"/>
          <w:sz w:val="24"/>
          <w:highlight w:val="none"/>
          <w:lang w:eastAsia="zh-CN"/>
        </w:rPr>
        <w:t>5人</w:t>
      </w:r>
      <w:r>
        <w:rPr>
          <w:rFonts w:hint="eastAsia" w:ascii="宋体" w:hAnsi="宋体" w:eastAsia="宋体" w:cs="宋体"/>
          <w:color w:val="auto"/>
          <w:sz w:val="24"/>
          <w:highlight w:val="none"/>
          <w:lang w:eastAsia="zh-CN"/>
        </w:rPr>
        <w:t>组成。</w:t>
      </w:r>
    </w:p>
    <w:p w14:paraId="78B050EC">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（2）评标前，工作人员收取所有参会人员的手机，主持人宣读评标纪律。</w:t>
      </w:r>
    </w:p>
    <w:p w14:paraId="4B7E909D">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对采购单位的纪律要求：采购单位不得泄露招投标活动中应当保密的情况和资料，不得与供应商串通损害国家利益、社会公共利益或者他人合法权益</w:t>
      </w:r>
    </w:p>
    <w:p w14:paraId="5D5F237A">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对与开标大会活动有关的工作人员的纪律要求：与开标大会活动有关的工作人员不得收受他人的财物或者其他好处，不得向他人透露对中标候选人的推荐情况以及评标有关的其他情况。</w:t>
      </w:r>
    </w:p>
    <w:p w14:paraId="31149100">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对评标专家的评标纪律及注意事项：</w:t>
      </w:r>
    </w:p>
    <w:p w14:paraId="745BA6DD">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①与本次评标工作无关的人员不得进入评标现场；</w:t>
      </w:r>
    </w:p>
    <w:p w14:paraId="3D675941">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②在评标过程中评标委员会以外人员不得干预或影响正常评标工作，不得明示或暗示其倾向性、引导性言论；</w:t>
      </w:r>
    </w:p>
    <w:p w14:paraId="3E70A756">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③评标委员会成员要严格遵守政府采购法、政府采购法实施条例、政府采购货物和服务招标投标管理办法及评标专家管理办法，要求公正、公平的参与评标工作；</w:t>
      </w:r>
    </w:p>
    <w:p w14:paraId="4BE8E345">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评标委员会成员要依法独立评标，并对评标意见承担个人责任。评标委员会成员对需要共同认定的事项存在争议的，按照少数服从多数的原则做出结论。持不同意见的评标委员会成员应当在评标报告上签署不同意见并说明理由，否则视为同意。</w:t>
      </w:r>
    </w:p>
    <w:p w14:paraId="5E4BAE0F">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⑤评标委员会成员要认真阅读招标文件和所有供应商的投标文件，对所有投标文件逐一进行资格性、符合性检查，按招标文件规定的评标方法和标准，进行比较和评价；对需要借助专业知识评判的主观评分项，应当严格按照评分细则公正评分。</w:t>
      </w:r>
    </w:p>
    <w:p w14:paraId="519781F6">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⑥评标委员会成员不得明示或者暗示其倾向性、引导性意见，不得修改或细化投标文件确定的评标程序、评标方法、评标因素和评标标准，不得接受供应商主动提出的澄清和解释，不得征询采购单位代表的倾向性意见，不得协商评分，不得记录、复制或带走任何评标资料。</w:t>
      </w:r>
    </w:p>
    <w:p w14:paraId="13193D95">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⑦评标专家与供应商有下列利害关系之一的人员，应当回避</w:t>
      </w:r>
    </w:p>
    <w:p w14:paraId="33D330BD">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参加采购活动前3年内与供应商存在劳动关系；</w:t>
      </w:r>
    </w:p>
    <w:p w14:paraId="79C34BC0">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参加采购活动前3年内担任供应商的董事、监事；</w:t>
      </w:r>
    </w:p>
    <w:p w14:paraId="52A6CD83">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参加采购活动前3年内是供应商的控股股东或者实际控制人；</w:t>
      </w:r>
    </w:p>
    <w:p w14:paraId="0054D5FA">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与供应商的法定代表人或者负责人有夫妻、直系血亲、三代以内旁系血亲或者近姻亲关系。</w:t>
      </w:r>
    </w:p>
    <w:p w14:paraId="710911B8">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（3）评标委员会应当按照招标文件中规定的评标方法和标准，对所有投标文件进行资格性审查，再对符合资格要求的供应商的投标文件进行符合性审查，以确定其是否满足招标文件的实质性要求。</w:t>
      </w:r>
    </w:p>
    <w:p w14:paraId="7DEE5480">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若对于投标文件中含义不明确、同类问题表述不一致或者有明显文字和计算错误的内容，评标委员会应当以书面形式要求供应商作出必要的澄清、说明或者补正。供应商的澄清、说明或者补正应当采用书面形式，并加盖公章，或者由法定代表人签字。供应商的澄清、说明或者补正不得超出投标文件的范围或者改变投标文件的实质性内容。</w:t>
      </w:r>
    </w:p>
    <w:p w14:paraId="0841B3DB">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评标委员会应当按照招标文件中规定的评标方法和标准，对符合性审查合格的投标文件进行商务和技术评估，综合比较与评价。综合评分法，是指投标文件满足招标文件全部实质性要求，且按照评审因素的量化指标评审得分最高的供应商为中标候选人的评标方法。</w:t>
      </w:r>
    </w:p>
    <w:p w14:paraId="294D6FCE">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（6）评标委员会成员对需要共同认定的事项存在争议的，应当按照少数服从多数的原则作出结论。持不同意见的评标委员会成员应当在评标报告上签署不同意见及理由，否则视为同意评标报告。</w:t>
      </w:r>
    </w:p>
    <w:p w14:paraId="0B766F3C">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注：现场所有参会人员均要对开标内容进行保密。</w:t>
      </w:r>
    </w:p>
    <w:p w14:paraId="3569D0A6">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8.答疑澄清：</w:t>
      </w:r>
    </w:p>
    <w:p w14:paraId="672F499B">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（1）评标委员会对于投标文件中含义不明确、同类问题表述不一致或者有明显文字和计算错误的内容，要求供应商以书面形式现场作出必要的澄清、说明或者补正。</w:t>
      </w:r>
    </w:p>
    <w:p w14:paraId="69674A75">
      <w:pPr>
        <w:pStyle w:val="20"/>
        <w:keepNext w:val="0"/>
        <w:keepLines w:val="0"/>
        <w:pageBreakBefore w:val="0"/>
        <w:numPr>
          <w:ilvl w:val="0"/>
          <w:numId w:val="0"/>
        </w:numPr>
        <w:kinsoku/>
        <w:wordWrap/>
        <w:overflowPunct/>
        <w:topLinePunct w:val="0"/>
        <w:autoSpaceDE/>
        <w:autoSpaceDN/>
        <w:bidi w:val="0"/>
        <w:adjustRightInd/>
        <w:spacing w:line="40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（2）供应商的澄清、说明或者补正应当采用书面形式，并加盖公章，或者由法定代表人签字。供应商的澄清、说明或者补正不得超出投标文件的范围或者改变投标文件的实质性内容。</w:t>
      </w:r>
    </w:p>
    <w:p w14:paraId="3D562DFB">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9.定标：</w:t>
      </w:r>
    </w:p>
    <w:p w14:paraId="2FB20F4B">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（1）采购代理机构应当在评标结束后2个工作日内将评标报告送采购人。</w:t>
      </w:r>
    </w:p>
    <w:p w14:paraId="3302CEF6">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2B55EB08">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785F0727">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val="0"/>
          <w:i w:val="0"/>
          <w:caps w:val="0"/>
          <w:color w:val="auto"/>
          <w:spacing w:val="0"/>
          <w:w w:val="100"/>
          <w:sz w:val="24"/>
          <w:highlight w:val="yellow"/>
          <w:lang w:val="en-US" w:eastAsia="zh-CN"/>
        </w:rPr>
      </w:pPr>
      <w:r>
        <w:rPr>
          <w:rFonts w:hint="eastAsia" w:ascii="宋体" w:hAnsi="宋体" w:eastAsia="宋体" w:cs="宋体"/>
          <w:b w:val="0"/>
          <w:i w:val="0"/>
          <w:caps w:val="0"/>
          <w:color w:val="auto"/>
          <w:spacing w:val="0"/>
          <w:w w:val="100"/>
          <w:sz w:val="24"/>
          <w:highlight w:val="none"/>
          <w:lang w:val="en-US" w:eastAsia="zh-CN"/>
        </w:rPr>
        <w:t>（4）同品牌处理办法：采用综合评标法，则：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非单一产品采购项目，采购人应当根据采购项目技术构成、产品价格比重等合理确定核心产品，并在招标文件中载明。多家</w:t>
      </w:r>
      <w:r>
        <w:rPr>
          <w:rFonts w:hint="eastAsia" w:ascii="宋体" w:hAnsi="宋体" w:cs="宋体"/>
          <w:b w:val="0"/>
          <w:i w:val="0"/>
          <w:caps w:val="0"/>
          <w:color w:val="auto"/>
          <w:spacing w:val="0"/>
          <w:w w:val="100"/>
          <w:sz w:val="24"/>
          <w:highlight w:val="none"/>
          <w:lang w:val="en-US" w:eastAsia="zh-CN"/>
        </w:rPr>
        <w:t>供应商</w:t>
      </w:r>
      <w:r>
        <w:rPr>
          <w:rFonts w:hint="eastAsia" w:ascii="宋体" w:hAnsi="宋体" w:eastAsia="宋体" w:cs="宋体"/>
          <w:b w:val="0"/>
          <w:i w:val="0"/>
          <w:caps w:val="0"/>
          <w:color w:val="auto"/>
          <w:spacing w:val="0"/>
          <w:w w:val="100"/>
          <w:sz w:val="24"/>
          <w:highlight w:val="none"/>
          <w:lang w:val="en-US" w:eastAsia="zh-CN"/>
        </w:rPr>
        <w:t>提供的核心产品品牌相同的，按前款规定处理。</w:t>
      </w:r>
    </w:p>
    <w:p w14:paraId="1FE4B81F">
      <w:pPr>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5）中标候选人并列式时的处理方式：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12A23AA8">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bookmarkStart w:id="2510" w:name="_Toc9835"/>
      <w:bookmarkStart w:id="2511" w:name="_Toc25901"/>
      <w:bookmarkStart w:id="2512" w:name="_Toc6128"/>
      <w:bookmarkStart w:id="2513" w:name="_Toc9116"/>
      <w:bookmarkStart w:id="2514" w:name="_Toc21578"/>
      <w:bookmarkStart w:id="2515" w:name="_Toc28782"/>
      <w:bookmarkStart w:id="2516" w:name="_Toc5986"/>
      <w:bookmarkStart w:id="2517" w:name="_Toc5478"/>
      <w:bookmarkStart w:id="2518" w:name="_Toc10419"/>
      <w:bookmarkStart w:id="2519" w:name="_Toc7467"/>
      <w:bookmarkStart w:id="2520" w:name="_Toc5578"/>
      <w:bookmarkStart w:id="2521" w:name="_Toc29085"/>
      <w:bookmarkStart w:id="2522" w:name="_Toc13096"/>
      <w:bookmarkStart w:id="2523" w:name="_Toc5776"/>
      <w:bookmarkStart w:id="2524" w:name="_Toc21866"/>
      <w:bookmarkStart w:id="2525" w:name="_Toc19412"/>
      <w:bookmarkStart w:id="2526" w:name="_Toc30954"/>
      <w:bookmarkStart w:id="2527" w:name="_Toc23103"/>
      <w:bookmarkStart w:id="2528" w:name="_Toc1327"/>
    </w:p>
    <w:p w14:paraId="53F40C07">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p>
    <w:p w14:paraId="2EB6AF32">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p>
    <w:p w14:paraId="78F74077">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p>
    <w:p w14:paraId="083F10C0">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br w:type="page"/>
      </w:r>
    </w:p>
    <w:p w14:paraId="3FF4383B">
      <w:pPr>
        <w:pStyle w:val="4"/>
        <w:outlineLvl w:val="1"/>
        <w:rPr>
          <w:rFonts w:hint="eastAsia" w:ascii="宋体" w:hAnsi="宋体" w:eastAsia="宋体" w:cs="宋体"/>
          <w:color w:val="auto"/>
          <w:highlight w:val="none"/>
          <w:lang w:eastAsia="zh-CN"/>
        </w:rPr>
      </w:pPr>
      <w:bookmarkStart w:id="2529" w:name="_Toc13938"/>
      <w:r>
        <w:rPr>
          <w:rFonts w:hint="eastAsia" w:ascii="宋体" w:hAnsi="宋体" w:eastAsia="宋体" w:cs="宋体"/>
          <w:color w:val="auto"/>
          <w:highlight w:val="none"/>
        </w:rPr>
        <w:t>初步评审—资格性审查表</w:t>
      </w:r>
      <w:bookmarkEnd w:id="2529"/>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4"/>
        <w:gridCol w:w="6258"/>
        <w:gridCol w:w="580"/>
        <w:gridCol w:w="580"/>
        <w:gridCol w:w="583"/>
      </w:tblGrid>
      <w:tr w14:paraId="6C004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494" w:type="dxa"/>
            <w:vMerge w:val="restart"/>
            <w:vAlign w:val="center"/>
          </w:tcPr>
          <w:p w14:paraId="4946CF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258" w:type="dxa"/>
            <w:vMerge w:val="restart"/>
            <w:vAlign w:val="center"/>
          </w:tcPr>
          <w:p w14:paraId="2D39879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评审内容</w:t>
            </w:r>
          </w:p>
        </w:tc>
        <w:tc>
          <w:tcPr>
            <w:tcW w:w="1743" w:type="dxa"/>
            <w:gridSpan w:val="3"/>
            <w:vAlign w:val="center"/>
          </w:tcPr>
          <w:p w14:paraId="744793A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供应商</w:t>
            </w:r>
          </w:p>
        </w:tc>
      </w:tr>
      <w:tr w14:paraId="4233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494" w:type="dxa"/>
            <w:vMerge w:val="continue"/>
            <w:vAlign w:val="center"/>
          </w:tcPr>
          <w:p w14:paraId="20185D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p>
        </w:tc>
        <w:tc>
          <w:tcPr>
            <w:tcW w:w="6258" w:type="dxa"/>
            <w:vMerge w:val="continue"/>
            <w:vAlign w:val="center"/>
          </w:tcPr>
          <w:p w14:paraId="4D2AF7E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p>
        </w:tc>
        <w:tc>
          <w:tcPr>
            <w:tcW w:w="580" w:type="dxa"/>
            <w:vAlign w:val="center"/>
          </w:tcPr>
          <w:p w14:paraId="72E950F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是否合格</w:t>
            </w:r>
          </w:p>
        </w:tc>
        <w:tc>
          <w:tcPr>
            <w:tcW w:w="580" w:type="dxa"/>
            <w:vAlign w:val="center"/>
          </w:tcPr>
          <w:p w14:paraId="358EA63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是否合格</w:t>
            </w:r>
          </w:p>
        </w:tc>
        <w:tc>
          <w:tcPr>
            <w:tcW w:w="583" w:type="dxa"/>
            <w:vAlign w:val="center"/>
          </w:tcPr>
          <w:p w14:paraId="221FC4A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是否合格</w:t>
            </w:r>
          </w:p>
        </w:tc>
      </w:tr>
      <w:tr w14:paraId="69F61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494" w:type="dxa"/>
            <w:vAlign w:val="center"/>
          </w:tcPr>
          <w:p w14:paraId="4EC2CB2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1</w:t>
            </w:r>
          </w:p>
        </w:tc>
        <w:tc>
          <w:tcPr>
            <w:tcW w:w="6258" w:type="dxa"/>
            <w:vAlign w:val="center"/>
          </w:tcPr>
          <w:p w14:paraId="5B41B51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sz w:val="21"/>
                <w:szCs w:val="21"/>
                <w:highlight w:val="none"/>
              </w:rPr>
            </w:pPr>
            <w:r>
              <w:rPr>
                <w:rFonts w:hint="eastAsia" w:ascii="宋体" w:hAnsi="宋体" w:cs="宋体"/>
                <w:color w:val="auto"/>
                <w:spacing w:val="-2"/>
                <w:sz w:val="21"/>
                <w:szCs w:val="21"/>
                <w:highlight w:val="none"/>
                <w:lang w:val="en-US" w:eastAsia="zh-CN"/>
              </w:rPr>
              <w:t>具有有效的营业执照</w:t>
            </w:r>
            <w:r>
              <w:rPr>
                <w:rFonts w:hint="eastAsia" w:ascii="宋体" w:hAnsi="宋体" w:eastAsia="宋体" w:cs="宋体"/>
                <w:color w:val="auto"/>
                <w:spacing w:val="-2"/>
                <w:sz w:val="21"/>
                <w:szCs w:val="21"/>
                <w:highlight w:val="none"/>
              </w:rPr>
              <w:t>；</w:t>
            </w:r>
          </w:p>
        </w:tc>
        <w:tc>
          <w:tcPr>
            <w:tcW w:w="580" w:type="dxa"/>
          </w:tcPr>
          <w:p w14:paraId="445E8A9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2C54F19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23A758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6EBD5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494" w:type="dxa"/>
            <w:vAlign w:val="center"/>
          </w:tcPr>
          <w:p w14:paraId="637D73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2</w:t>
            </w:r>
          </w:p>
        </w:tc>
        <w:tc>
          <w:tcPr>
            <w:tcW w:w="6258" w:type="dxa"/>
            <w:shd w:val="clear" w:color="auto" w:fill="auto"/>
            <w:vAlign w:val="center"/>
          </w:tcPr>
          <w:p w14:paraId="355201E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eastAsia="zh-CN"/>
              </w:rPr>
              <w:t>法定代表人资格证明</w:t>
            </w:r>
            <w:r>
              <w:rPr>
                <w:rFonts w:hint="eastAsia" w:ascii="宋体" w:hAnsi="宋体" w:eastAsia="宋体" w:cs="宋体"/>
                <w:color w:val="auto"/>
                <w:spacing w:val="-2"/>
                <w:sz w:val="21"/>
                <w:szCs w:val="21"/>
                <w:highlight w:val="none"/>
              </w:rPr>
              <w:t>；</w:t>
            </w:r>
          </w:p>
        </w:tc>
        <w:tc>
          <w:tcPr>
            <w:tcW w:w="580" w:type="dxa"/>
          </w:tcPr>
          <w:p w14:paraId="66442B9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58BA6E2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69EC2E0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16014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494" w:type="dxa"/>
            <w:vAlign w:val="center"/>
          </w:tcPr>
          <w:p w14:paraId="0F2692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3</w:t>
            </w:r>
          </w:p>
        </w:tc>
        <w:tc>
          <w:tcPr>
            <w:tcW w:w="6258" w:type="dxa"/>
            <w:shd w:val="clear" w:color="auto" w:fill="auto"/>
            <w:vAlign w:val="center"/>
          </w:tcPr>
          <w:p w14:paraId="08C353BA">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提供近两年内任意一年的财务审计报告（</w:t>
            </w:r>
            <w:r>
              <w:rPr>
                <w:rFonts w:hint="eastAsia" w:ascii="宋体" w:hAnsi="宋体" w:eastAsia="宋体" w:cs="宋体"/>
                <w:color w:val="auto"/>
                <w:spacing w:val="-2"/>
                <w:sz w:val="21"/>
                <w:szCs w:val="21"/>
                <w:highlight w:val="none"/>
                <w:lang w:val="en-US" w:eastAsia="zh-CN"/>
              </w:rPr>
              <w:t>成立未满十二个月的新公司可提供近三个月内任意一个月的银行资信证明</w:t>
            </w:r>
            <w:r>
              <w:rPr>
                <w:rFonts w:hint="eastAsia" w:ascii="宋体" w:hAnsi="宋体" w:eastAsia="宋体" w:cs="宋体"/>
                <w:color w:val="auto"/>
                <w:spacing w:val="-2"/>
                <w:sz w:val="21"/>
                <w:szCs w:val="21"/>
                <w:highlight w:val="none"/>
              </w:rPr>
              <w:t>）；</w:t>
            </w:r>
          </w:p>
        </w:tc>
        <w:tc>
          <w:tcPr>
            <w:tcW w:w="580" w:type="dxa"/>
          </w:tcPr>
          <w:p w14:paraId="0DA3B38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3E5E9DA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209B0D8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6811C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494" w:type="dxa"/>
            <w:vAlign w:val="center"/>
          </w:tcPr>
          <w:p w14:paraId="5C6C40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4</w:t>
            </w:r>
          </w:p>
        </w:tc>
        <w:tc>
          <w:tcPr>
            <w:tcW w:w="6258" w:type="dxa"/>
            <w:shd w:val="clear" w:color="auto" w:fill="auto"/>
            <w:vAlign w:val="center"/>
          </w:tcPr>
          <w:p w14:paraId="19A69724">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eastAsia="zh-CN"/>
              </w:rPr>
              <w:t>依法缴纳近六个月内任意一个月的社会保险证明</w:t>
            </w:r>
            <w:r>
              <w:rPr>
                <w:rFonts w:hint="eastAsia" w:ascii="宋体" w:hAnsi="宋体" w:eastAsia="宋体" w:cs="宋体"/>
                <w:color w:val="auto"/>
                <w:spacing w:val="-2"/>
                <w:sz w:val="21"/>
                <w:szCs w:val="21"/>
                <w:highlight w:val="none"/>
              </w:rPr>
              <w:t>；</w:t>
            </w:r>
          </w:p>
        </w:tc>
        <w:tc>
          <w:tcPr>
            <w:tcW w:w="580" w:type="dxa"/>
          </w:tcPr>
          <w:p w14:paraId="24615B1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3554531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59E2918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4D785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94" w:type="dxa"/>
            <w:vAlign w:val="center"/>
          </w:tcPr>
          <w:p w14:paraId="173126B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5</w:t>
            </w:r>
          </w:p>
        </w:tc>
        <w:tc>
          <w:tcPr>
            <w:tcW w:w="6258" w:type="dxa"/>
            <w:shd w:val="clear" w:color="auto" w:fill="auto"/>
            <w:vAlign w:val="center"/>
          </w:tcPr>
          <w:p w14:paraId="230F7989">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eastAsia="zh-CN"/>
              </w:rPr>
              <w:t>依法缴纳近六个月内任意一个月的税收证明</w:t>
            </w:r>
            <w:r>
              <w:rPr>
                <w:rFonts w:hint="eastAsia" w:ascii="宋体" w:hAnsi="宋体" w:eastAsia="宋体" w:cs="宋体"/>
                <w:color w:val="auto"/>
                <w:spacing w:val="-2"/>
                <w:sz w:val="21"/>
                <w:szCs w:val="21"/>
                <w:highlight w:val="none"/>
              </w:rPr>
              <w:t>；</w:t>
            </w:r>
          </w:p>
        </w:tc>
        <w:tc>
          <w:tcPr>
            <w:tcW w:w="580" w:type="dxa"/>
          </w:tcPr>
          <w:p w14:paraId="2814658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427FB97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6DC0AAF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6ECB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494" w:type="dxa"/>
            <w:vAlign w:val="center"/>
          </w:tcPr>
          <w:p w14:paraId="6C152ED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6</w:t>
            </w:r>
          </w:p>
        </w:tc>
        <w:tc>
          <w:tcPr>
            <w:tcW w:w="6258" w:type="dxa"/>
            <w:shd w:val="clear" w:color="auto" w:fill="auto"/>
            <w:vAlign w:val="center"/>
          </w:tcPr>
          <w:p w14:paraId="0B71B04F">
            <w:pPr>
              <w:keepNext w:val="0"/>
              <w:keepLines w:val="0"/>
              <w:pageBreakBefore w:val="0"/>
              <w:widowControl w:val="0"/>
              <w:kinsoku/>
              <w:wordWrap w:val="0"/>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eastAsia="zh-CN"/>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r>
              <w:rPr>
                <w:rFonts w:hint="eastAsia" w:ascii="宋体" w:hAnsi="宋体" w:eastAsia="宋体" w:cs="宋体"/>
                <w:color w:val="auto"/>
                <w:spacing w:val="-2"/>
                <w:sz w:val="21"/>
                <w:szCs w:val="21"/>
                <w:highlight w:val="none"/>
              </w:rPr>
              <w:t>；</w:t>
            </w:r>
          </w:p>
        </w:tc>
        <w:tc>
          <w:tcPr>
            <w:tcW w:w="580" w:type="dxa"/>
          </w:tcPr>
          <w:p w14:paraId="62F6371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3B4C2C4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034AA81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575E0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494" w:type="dxa"/>
            <w:vAlign w:val="center"/>
          </w:tcPr>
          <w:p w14:paraId="025B8B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7</w:t>
            </w:r>
          </w:p>
        </w:tc>
        <w:tc>
          <w:tcPr>
            <w:tcW w:w="6258" w:type="dxa"/>
            <w:shd w:val="clear" w:color="auto" w:fill="auto"/>
            <w:vAlign w:val="center"/>
          </w:tcPr>
          <w:p w14:paraId="5570025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eastAsia="zh-CN"/>
              </w:rPr>
              <w:t>参加政府采购活动前三年内在经营活动中没有重大违法记录的书面声明</w:t>
            </w:r>
            <w:r>
              <w:rPr>
                <w:rFonts w:hint="eastAsia" w:ascii="宋体" w:hAnsi="宋体" w:eastAsia="宋体" w:cs="宋体"/>
                <w:color w:val="auto"/>
                <w:spacing w:val="-2"/>
                <w:sz w:val="21"/>
                <w:szCs w:val="21"/>
                <w:highlight w:val="none"/>
              </w:rPr>
              <w:t>；</w:t>
            </w:r>
          </w:p>
        </w:tc>
        <w:tc>
          <w:tcPr>
            <w:tcW w:w="580" w:type="dxa"/>
          </w:tcPr>
          <w:p w14:paraId="2A49A23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7F02584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49C78F4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54C26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494" w:type="dxa"/>
            <w:vAlign w:val="center"/>
          </w:tcPr>
          <w:p w14:paraId="483CC03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cs="宋体"/>
                <w:color w:val="auto"/>
                <w:spacing w:val="-2"/>
                <w:sz w:val="21"/>
                <w:szCs w:val="21"/>
                <w:highlight w:val="none"/>
                <w:lang w:val="en-US" w:eastAsia="zh-CN"/>
              </w:rPr>
              <w:t>8</w:t>
            </w:r>
          </w:p>
        </w:tc>
        <w:tc>
          <w:tcPr>
            <w:tcW w:w="6258" w:type="dxa"/>
            <w:shd w:val="clear" w:color="auto" w:fill="auto"/>
            <w:vAlign w:val="center"/>
          </w:tcPr>
          <w:p w14:paraId="6E4F7662">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缴纳投标保证金的有效凭证。</w:t>
            </w:r>
          </w:p>
        </w:tc>
        <w:tc>
          <w:tcPr>
            <w:tcW w:w="580" w:type="dxa"/>
          </w:tcPr>
          <w:p w14:paraId="0E5AAA8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30467CF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00E89D0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6E365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494" w:type="dxa"/>
            <w:vAlign w:val="center"/>
          </w:tcPr>
          <w:p w14:paraId="4A0F452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2"/>
                <w:kern w:val="2"/>
                <w:sz w:val="21"/>
                <w:szCs w:val="21"/>
                <w:highlight w:val="none"/>
                <w:lang w:val="en-US" w:eastAsia="zh-CN" w:bidi="ar-SA"/>
              </w:rPr>
            </w:pPr>
          </w:p>
        </w:tc>
        <w:tc>
          <w:tcPr>
            <w:tcW w:w="6258" w:type="dxa"/>
            <w:shd w:val="clear" w:color="auto" w:fill="auto"/>
            <w:vAlign w:val="center"/>
          </w:tcPr>
          <w:p w14:paraId="2A11625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lang w:val="en-US" w:eastAsia="zh-CN"/>
              </w:rPr>
              <w:t>结论</w:t>
            </w:r>
          </w:p>
        </w:tc>
        <w:tc>
          <w:tcPr>
            <w:tcW w:w="580" w:type="dxa"/>
          </w:tcPr>
          <w:p w14:paraId="48ECA21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0" w:type="dxa"/>
          </w:tcPr>
          <w:p w14:paraId="4B6E379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583" w:type="dxa"/>
          </w:tcPr>
          <w:p w14:paraId="63DC252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bl>
    <w:p w14:paraId="4E82CBA9">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7BF7FD5E">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（1）上述各项中用“√”表示合格，“×”表示不合格；</w:t>
      </w:r>
    </w:p>
    <w:p w14:paraId="0A59253E">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（2）上述各项中如有一项为“×”，则结论为“×”，表示该投标文件中存在重大偏差，不能通过初步评审；评委对某一分项评审认为不合格时，必须要写明原因。</w:t>
      </w:r>
    </w:p>
    <w:p w14:paraId="2D249863">
      <w:pPr>
        <w:pStyle w:val="6"/>
        <w:keepNext w:val="0"/>
        <w:keepLines w:val="0"/>
        <w:pageBreakBefore w:val="0"/>
        <w:widowControl w:val="0"/>
        <w:kinsoku/>
        <w:wordWrap/>
        <w:overflowPunct/>
        <w:topLinePunct w:val="0"/>
        <w:bidi w:val="0"/>
        <w:snapToGrid/>
        <w:spacing w:line="400" w:lineRule="exact"/>
        <w:ind w:firstLine="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（3）投标文件最终合格与否，以所有评委的评审意见中少数服从多数为原则定论。</w:t>
      </w:r>
    </w:p>
    <w:p w14:paraId="446EA9F5">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供应商必须将上述内容上传至对应关联节点，未通过资格性审查的供应商不进入评标；通过资格性审查的供应商少于三家的，不得评标。</w:t>
      </w:r>
    </w:p>
    <w:p w14:paraId="0A632F7D">
      <w:pPr>
        <w:pStyle w:val="20"/>
        <w:rPr>
          <w:rFonts w:hint="eastAsia" w:ascii="宋体" w:hAnsi="宋体" w:eastAsia="宋体" w:cs="宋体"/>
          <w:b/>
          <w:bCs/>
          <w:color w:val="auto"/>
          <w:szCs w:val="21"/>
          <w:highlight w:val="none"/>
        </w:rPr>
      </w:pPr>
    </w:p>
    <w:p w14:paraId="08DE22EA">
      <w:pPr>
        <w:rPr>
          <w:rFonts w:hint="eastAsia" w:ascii="宋体" w:hAnsi="宋体" w:eastAsia="宋体" w:cs="宋体"/>
          <w:color w:val="auto"/>
          <w:highlight w:val="none"/>
        </w:rPr>
      </w:pPr>
      <w:r>
        <w:rPr>
          <w:rFonts w:hint="eastAsia" w:ascii="宋体" w:hAnsi="宋体" w:eastAsia="宋体" w:cs="宋体"/>
          <w:color w:val="auto"/>
          <w:highlight w:val="none"/>
        </w:rPr>
        <w:br w:type="page"/>
      </w:r>
    </w:p>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p w14:paraId="38D51B89">
      <w:pPr>
        <w:pStyle w:val="4"/>
        <w:rPr>
          <w:rFonts w:hint="eastAsia" w:ascii="宋体" w:hAnsi="宋体" w:eastAsia="宋体" w:cs="宋体"/>
          <w:color w:val="auto"/>
          <w:highlight w:val="none"/>
        </w:rPr>
      </w:pPr>
      <w:bookmarkStart w:id="2530" w:name="_Toc2851"/>
      <w:r>
        <w:rPr>
          <w:rFonts w:hint="eastAsia" w:ascii="宋体" w:hAnsi="宋体" w:eastAsia="宋体" w:cs="宋体"/>
          <w:color w:val="auto"/>
          <w:highlight w:val="none"/>
        </w:rPr>
        <w:t>初步评审—符合性审查表</w:t>
      </w:r>
      <w:bookmarkEnd w:id="2530"/>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7144"/>
        <w:gridCol w:w="789"/>
      </w:tblGrid>
      <w:tr w14:paraId="21DC9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706" w:type="dxa"/>
            <w:gridSpan w:val="2"/>
            <w:vAlign w:val="center"/>
          </w:tcPr>
          <w:p w14:paraId="22F58F49">
            <w:pPr>
              <w:spacing w:line="400" w:lineRule="exact"/>
              <w:jc w:val="center"/>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评审内容</w:t>
            </w:r>
          </w:p>
        </w:tc>
        <w:tc>
          <w:tcPr>
            <w:tcW w:w="789" w:type="dxa"/>
            <w:vAlign w:val="center"/>
          </w:tcPr>
          <w:p w14:paraId="05B56825">
            <w:pPr>
              <w:spacing w:line="400" w:lineRule="exact"/>
              <w:jc w:val="center"/>
              <w:rPr>
                <w:rFonts w:hint="eastAsia" w:ascii="宋体" w:hAnsi="宋体" w:eastAsia="宋体" w:cs="宋体"/>
                <w:color w:val="auto"/>
                <w:spacing w:val="-2"/>
                <w:sz w:val="21"/>
                <w:szCs w:val="21"/>
                <w:highlight w:val="none"/>
              </w:rPr>
            </w:pPr>
            <w:r>
              <w:rPr>
                <w:rFonts w:hint="eastAsia" w:ascii="宋体" w:hAnsi="宋体" w:eastAsia="宋体" w:cs="宋体"/>
                <w:b/>
                <w:color w:val="auto"/>
                <w:sz w:val="21"/>
                <w:szCs w:val="21"/>
                <w:highlight w:val="none"/>
              </w:rPr>
              <w:t>评审意见</w:t>
            </w:r>
          </w:p>
        </w:tc>
      </w:tr>
      <w:tr w14:paraId="1EDDC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62" w:type="dxa"/>
            <w:vAlign w:val="center"/>
          </w:tcPr>
          <w:p w14:paraId="109EF807">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7144" w:type="dxa"/>
            <w:vAlign w:val="center"/>
          </w:tcPr>
          <w:p w14:paraId="400D5D7E">
            <w:pPr>
              <w:spacing w:line="400" w:lineRule="exact"/>
              <w:jc w:val="center"/>
              <w:rPr>
                <w:rFonts w:hint="eastAsia" w:ascii="宋体" w:hAnsi="宋体" w:eastAsia="宋体" w:cs="宋体"/>
                <w:color w:val="auto"/>
                <w:spacing w:val="-2"/>
                <w:sz w:val="21"/>
                <w:szCs w:val="21"/>
                <w:highlight w:val="none"/>
              </w:rPr>
            </w:pPr>
          </w:p>
        </w:tc>
        <w:tc>
          <w:tcPr>
            <w:tcW w:w="789" w:type="dxa"/>
            <w:vAlign w:val="center"/>
          </w:tcPr>
          <w:p w14:paraId="6F040A87">
            <w:pPr>
              <w:spacing w:line="400" w:lineRule="exact"/>
              <w:jc w:val="center"/>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是否合格</w:t>
            </w:r>
          </w:p>
        </w:tc>
      </w:tr>
      <w:tr w14:paraId="7E60A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62" w:type="dxa"/>
            <w:vAlign w:val="center"/>
          </w:tcPr>
          <w:p w14:paraId="1E6C1DB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1</w:t>
            </w:r>
          </w:p>
        </w:tc>
        <w:tc>
          <w:tcPr>
            <w:tcW w:w="7144" w:type="dxa"/>
            <w:vAlign w:val="center"/>
          </w:tcPr>
          <w:p w14:paraId="28DEE94D">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各供应商投标报价未高于</w:t>
            </w:r>
            <w:r>
              <w:rPr>
                <w:rFonts w:hint="eastAsia" w:ascii="宋体" w:hAnsi="宋体" w:cs="宋体"/>
                <w:color w:val="auto"/>
                <w:spacing w:val="-2"/>
                <w:sz w:val="21"/>
                <w:szCs w:val="21"/>
                <w:highlight w:val="none"/>
                <w:lang w:val="en-US" w:eastAsia="zh-CN"/>
              </w:rPr>
              <w:t>最高限价</w:t>
            </w:r>
            <w:r>
              <w:rPr>
                <w:rFonts w:hint="eastAsia" w:ascii="宋体" w:hAnsi="宋体" w:eastAsia="宋体" w:cs="宋体"/>
                <w:color w:val="auto"/>
                <w:spacing w:val="-2"/>
                <w:sz w:val="21"/>
                <w:szCs w:val="21"/>
                <w:highlight w:val="none"/>
              </w:rPr>
              <w:t>；</w:t>
            </w:r>
          </w:p>
        </w:tc>
        <w:tc>
          <w:tcPr>
            <w:tcW w:w="789" w:type="dxa"/>
            <w:vAlign w:val="center"/>
          </w:tcPr>
          <w:p w14:paraId="1878A796">
            <w:pPr>
              <w:spacing w:line="400" w:lineRule="exact"/>
              <w:jc w:val="center"/>
              <w:rPr>
                <w:rFonts w:hint="eastAsia" w:ascii="宋体" w:hAnsi="宋体" w:eastAsia="宋体" w:cs="宋体"/>
                <w:color w:val="auto"/>
                <w:spacing w:val="-2"/>
                <w:sz w:val="21"/>
                <w:szCs w:val="21"/>
                <w:highlight w:val="none"/>
              </w:rPr>
            </w:pPr>
          </w:p>
        </w:tc>
      </w:tr>
      <w:tr w14:paraId="4BC96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562" w:type="dxa"/>
            <w:vAlign w:val="center"/>
          </w:tcPr>
          <w:p w14:paraId="6A88E7B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2</w:t>
            </w:r>
          </w:p>
        </w:tc>
        <w:tc>
          <w:tcPr>
            <w:tcW w:w="7144" w:type="dxa"/>
            <w:vAlign w:val="center"/>
          </w:tcPr>
          <w:p w14:paraId="09C4871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评标委员会认为供应商的报价无明显低于其他通过</w:t>
            </w:r>
            <w:r>
              <w:rPr>
                <w:rFonts w:hint="eastAsia" w:ascii="宋体" w:hAnsi="宋体" w:eastAsia="宋体" w:cs="宋体"/>
                <w:color w:val="auto"/>
                <w:spacing w:val="-2"/>
                <w:sz w:val="21"/>
                <w:szCs w:val="21"/>
                <w:highlight w:val="none"/>
                <w:lang w:val="en-US" w:eastAsia="zh-CN"/>
              </w:rPr>
              <w:t>符合</w:t>
            </w:r>
            <w:r>
              <w:rPr>
                <w:rFonts w:hint="eastAsia" w:ascii="宋体" w:hAnsi="宋体" w:eastAsia="宋体" w:cs="宋体"/>
                <w:color w:val="auto"/>
                <w:spacing w:val="-2"/>
                <w:sz w:val="21"/>
                <w:szCs w:val="21"/>
                <w:highlight w:val="none"/>
              </w:rPr>
              <w:t>性审查供应商的报价的，供应商的报价不存在异常一致并成规律性的，其报价合理；</w:t>
            </w:r>
          </w:p>
        </w:tc>
        <w:tc>
          <w:tcPr>
            <w:tcW w:w="789" w:type="dxa"/>
            <w:vAlign w:val="center"/>
          </w:tcPr>
          <w:p w14:paraId="748DB5BD">
            <w:pPr>
              <w:spacing w:line="400" w:lineRule="exact"/>
              <w:jc w:val="center"/>
              <w:rPr>
                <w:rFonts w:hint="eastAsia" w:ascii="宋体" w:hAnsi="宋体" w:eastAsia="宋体" w:cs="宋体"/>
                <w:color w:val="auto"/>
                <w:spacing w:val="-2"/>
                <w:sz w:val="21"/>
                <w:szCs w:val="21"/>
                <w:highlight w:val="none"/>
              </w:rPr>
            </w:pPr>
          </w:p>
        </w:tc>
      </w:tr>
      <w:tr w14:paraId="66079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62" w:type="dxa"/>
            <w:vAlign w:val="center"/>
          </w:tcPr>
          <w:p w14:paraId="6C6624A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3</w:t>
            </w:r>
          </w:p>
        </w:tc>
        <w:tc>
          <w:tcPr>
            <w:tcW w:w="7144" w:type="dxa"/>
            <w:vAlign w:val="center"/>
          </w:tcPr>
          <w:p w14:paraId="35F5DAE7">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rPr>
              <w:t>投标文件按照招标文件的规定编制、标记及签署盖章的，法定代表人</w:t>
            </w:r>
            <w:r>
              <w:rPr>
                <w:rFonts w:hint="eastAsia" w:ascii="宋体" w:hAnsi="宋体" w:eastAsia="宋体" w:cs="宋体"/>
                <w:color w:val="auto"/>
                <w:spacing w:val="-2"/>
                <w:sz w:val="21"/>
                <w:szCs w:val="21"/>
                <w:highlight w:val="none"/>
                <w:lang w:val="en-US" w:eastAsia="zh-CN"/>
              </w:rPr>
              <w:t>签</w:t>
            </w:r>
            <w:r>
              <w:rPr>
                <w:rFonts w:hint="eastAsia" w:ascii="宋体" w:hAnsi="宋体" w:eastAsia="宋体" w:cs="宋体"/>
                <w:color w:val="auto"/>
                <w:spacing w:val="-2"/>
                <w:sz w:val="21"/>
                <w:szCs w:val="21"/>
                <w:highlight w:val="none"/>
              </w:rPr>
              <w:t>章</w:t>
            </w:r>
            <w:r>
              <w:rPr>
                <w:rFonts w:hint="eastAsia" w:ascii="宋体" w:hAnsi="宋体" w:eastAsia="宋体" w:cs="宋体"/>
                <w:color w:val="auto"/>
                <w:spacing w:val="-2"/>
                <w:sz w:val="21"/>
                <w:szCs w:val="21"/>
                <w:highlight w:val="none"/>
                <w:lang w:eastAsia="zh-CN"/>
              </w:rPr>
              <w:t>；</w:t>
            </w:r>
          </w:p>
        </w:tc>
        <w:tc>
          <w:tcPr>
            <w:tcW w:w="789" w:type="dxa"/>
            <w:vAlign w:val="center"/>
          </w:tcPr>
          <w:p w14:paraId="4DF9EC9A">
            <w:pPr>
              <w:spacing w:line="400" w:lineRule="exact"/>
              <w:jc w:val="center"/>
              <w:rPr>
                <w:rFonts w:hint="eastAsia" w:ascii="宋体" w:hAnsi="宋体" w:eastAsia="宋体" w:cs="宋体"/>
                <w:color w:val="auto"/>
                <w:spacing w:val="-2"/>
                <w:sz w:val="21"/>
                <w:szCs w:val="21"/>
                <w:highlight w:val="none"/>
              </w:rPr>
            </w:pPr>
          </w:p>
        </w:tc>
      </w:tr>
      <w:tr w14:paraId="2F4AC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62" w:type="dxa"/>
            <w:vAlign w:val="center"/>
          </w:tcPr>
          <w:p w14:paraId="7ACA53A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4</w:t>
            </w:r>
          </w:p>
        </w:tc>
        <w:tc>
          <w:tcPr>
            <w:tcW w:w="7144" w:type="dxa"/>
            <w:vAlign w:val="center"/>
          </w:tcPr>
          <w:p w14:paraId="2EC26E7F">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按招标文件规定的格式填写，内容</w:t>
            </w:r>
            <w:r>
              <w:rPr>
                <w:rFonts w:hint="eastAsia" w:ascii="宋体" w:hAnsi="宋体" w:eastAsia="宋体" w:cs="宋体"/>
                <w:color w:val="auto"/>
                <w:spacing w:val="-2"/>
                <w:sz w:val="21"/>
                <w:szCs w:val="21"/>
                <w:highlight w:val="none"/>
                <w:lang w:val="en-US" w:eastAsia="zh-CN"/>
              </w:rPr>
              <w:t>全面、关键字迹清晰</w:t>
            </w:r>
            <w:r>
              <w:rPr>
                <w:rFonts w:hint="eastAsia" w:ascii="宋体" w:hAnsi="宋体" w:eastAsia="宋体" w:cs="宋体"/>
                <w:color w:val="auto"/>
                <w:spacing w:val="-2"/>
                <w:sz w:val="21"/>
                <w:szCs w:val="21"/>
                <w:highlight w:val="none"/>
              </w:rPr>
              <w:t>；</w:t>
            </w:r>
          </w:p>
        </w:tc>
        <w:tc>
          <w:tcPr>
            <w:tcW w:w="789" w:type="dxa"/>
            <w:vAlign w:val="center"/>
          </w:tcPr>
          <w:p w14:paraId="764EAA0E">
            <w:pPr>
              <w:spacing w:line="400" w:lineRule="exact"/>
              <w:jc w:val="center"/>
              <w:rPr>
                <w:rFonts w:hint="eastAsia" w:ascii="宋体" w:hAnsi="宋体" w:eastAsia="宋体" w:cs="宋体"/>
                <w:color w:val="auto"/>
                <w:sz w:val="21"/>
                <w:szCs w:val="21"/>
                <w:highlight w:val="none"/>
              </w:rPr>
            </w:pPr>
          </w:p>
        </w:tc>
      </w:tr>
      <w:tr w14:paraId="5FDB9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562" w:type="dxa"/>
            <w:vAlign w:val="center"/>
          </w:tcPr>
          <w:p w14:paraId="1E75C46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5</w:t>
            </w:r>
          </w:p>
        </w:tc>
        <w:tc>
          <w:tcPr>
            <w:tcW w:w="7144" w:type="dxa"/>
            <w:vAlign w:val="center"/>
          </w:tcPr>
          <w:p w14:paraId="73567DC8">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lang w:val="en-US" w:eastAsia="zh-CN"/>
              </w:rPr>
              <w:t>符合招标文件中规定的</w:t>
            </w:r>
            <w:r>
              <w:rPr>
                <w:rFonts w:hint="eastAsia" w:ascii="宋体" w:hAnsi="宋体" w:cs="宋体"/>
                <w:color w:val="auto"/>
                <w:spacing w:val="-2"/>
                <w:sz w:val="21"/>
                <w:szCs w:val="21"/>
                <w:highlight w:val="none"/>
                <w:lang w:val="en-US" w:eastAsia="zh-CN"/>
              </w:rPr>
              <w:t>实质性</w:t>
            </w:r>
            <w:r>
              <w:rPr>
                <w:rFonts w:hint="eastAsia" w:ascii="宋体" w:hAnsi="宋体" w:eastAsia="宋体" w:cs="宋体"/>
                <w:color w:val="auto"/>
                <w:spacing w:val="-2"/>
                <w:sz w:val="21"/>
                <w:szCs w:val="21"/>
                <w:highlight w:val="none"/>
                <w:lang w:val="en-US" w:eastAsia="zh-CN"/>
              </w:rPr>
              <w:t>要求；</w:t>
            </w:r>
            <w:r>
              <w:rPr>
                <w:rFonts w:hint="eastAsia" w:ascii="宋体" w:hAnsi="宋体" w:eastAsia="宋体" w:cs="宋体"/>
                <w:b/>
                <w:bCs/>
                <w:color w:val="auto"/>
                <w:spacing w:val="-2"/>
                <w:sz w:val="21"/>
                <w:szCs w:val="21"/>
                <w:highlight w:val="none"/>
                <w:lang w:val="en-US" w:eastAsia="zh-CN"/>
              </w:rPr>
              <w:t>（</w:t>
            </w:r>
            <w:r>
              <w:rPr>
                <w:rFonts w:hint="eastAsia" w:ascii="宋体" w:hAnsi="宋体" w:cs="宋体"/>
                <w:b/>
                <w:bCs/>
                <w:color w:val="auto"/>
                <w:spacing w:val="-2"/>
                <w:sz w:val="21"/>
                <w:szCs w:val="21"/>
                <w:highlight w:val="none"/>
                <w:lang w:val="en-US" w:eastAsia="zh-CN"/>
              </w:rPr>
              <w:t>服务时间、服务地点</w:t>
            </w:r>
            <w:r>
              <w:rPr>
                <w:rFonts w:hint="eastAsia" w:ascii="宋体" w:hAnsi="宋体" w:eastAsia="宋体" w:cs="宋体"/>
                <w:b/>
                <w:bCs/>
                <w:color w:val="auto"/>
                <w:spacing w:val="-2"/>
                <w:sz w:val="21"/>
                <w:szCs w:val="21"/>
                <w:highlight w:val="none"/>
                <w:lang w:val="en-US" w:eastAsia="zh-CN"/>
              </w:rPr>
              <w:t>）</w:t>
            </w:r>
          </w:p>
        </w:tc>
        <w:tc>
          <w:tcPr>
            <w:tcW w:w="789" w:type="dxa"/>
            <w:vAlign w:val="center"/>
          </w:tcPr>
          <w:p w14:paraId="6F1672AF">
            <w:pPr>
              <w:spacing w:line="400" w:lineRule="exact"/>
              <w:jc w:val="center"/>
              <w:rPr>
                <w:rFonts w:hint="eastAsia" w:ascii="宋体" w:hAnsi="宋体" w:eastAsia="宋体" w:cs="宋体"/>
                <w:color w:val="auto"/>
                <w:spacing w:val="-2"/>
                <w:sz w:val="21"/>
                <w:szCs w:val="21"/>
                <w:highlight w:val="none"/>
              </w:rPr>
            </w:pPr>
          </w:p>
        </w:tc>
      </w:tr>
      <w:tr w14:paraId="1F980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62" w:type="dxa"/>
            <w:vAlign w:val="center"/>
          </w:tcPr>
          <w:p w14:paraId="2BB7805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6</w:t>
            </w:r>
          </w:p>
        </w:tc>
        <w:tc>
          <w:tcPr>
            <w:tcW w:w="7144" w:type="dxa"/>
            <w:vAlign w:val="center"/>
          </w:tcPr>
          <w:p w14:paraId="6182B72A">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rPr>
              <w:t>没有采购人不能接受的附加条件的；</w:t>
            </w:r>
          </w:p>
        </w:tc>
        <w:tc>
          <w:tcPr>
            <w:tcW w:w="789" w:type="dxa"/>
            <w:vAlign w:val="center"/>
          </w:tcPr>
          <w:p w14:paraId="18DC940B">
            <w:pPr>
              <w:spacing w:line="400" w:lineRule="exact"/>
              <w:jc w:val="center"/>
              <w:rPr>
                <w:rFonts w:hint="eastAsia" w:ascii="宋体" w:hAnsi="宋体" w:eastAsia="宋体" w:cs="宋体"/>
                <w:color w:val="auto"/>
                <w:spacing w:val="-2"/>
                <w:sz w:val="21"/>
                <w:szCs w:val="21"/>
                <w:highlight w:val="none"/>
              </w:rPr>
            </w:pPr>
          </w:p>
        </w:tc>
      </w:tr>
      <w:tr w14:paraId="61001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62" w:type="dxa"/>
            <w:vAlign w:val="center"/>
          </w:tcPr>
          <w:p w14:paraId="603C4E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7</w:t>
            </w:r>
          </w:p>
        </w:tc>
        <w:tc>
          <w:tcPr>
            <w:tcW w:w="7144" w:type="dxa"/>
            <w:vAlign w:val="center"/>
          </w:tcPr>
          <w:p w14:paraId="6221B523">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rPr>
              <w:t>不同供应商的投标文件没有错漏一致的情况；</w:t>
            </w:r>
          </w:p>
        </w:tc>
        <w:tc>
          <w:tcPr>
            <w:tcW w:w="789" w:type="dxa"/>
            <w:vAlign w:val="center"/>
          </w:tcPr>
          <w:p w14:paraId="2E1F8722">
            <w:pPr>
              <w:spacing w:line="400" w:lineRule="exact"/>
              <w:jc w:val="center"/>
              <w:rPr>
                <w:rFonts w:hint="eastAsia" w:ascii="宋体" w:hAnsi="宋体" w:eastAsia="宋体" w:cs="宋体"/>
                <w:color w:val="auto"/>
                <w:spacing w:val="-2"/>
                <w:sz w:val="21"/>
                <w:szCs w:val="21"/>
                <w:highlight w:val="none"/>
              </w:rPr>
            </w:pPr>
          </w:p>
        </w:tc>
      </w:tr>
      <w:tr w14:paraId="4A15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562" w:type="dxa"/>
            <w:vAlign w:val="center"/>
          </w:tcPr>
          <w:p w14:paraId="088F43E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sz w:val="21"/>
                <w:szCs w:val="21"/>
                <w:highlight w:val="none"/>
              </w:rPr>
              <w:t>8</w:t>
            </w:r>
          </w:p>
        </w:tc>
        <w:tc>
          <w:tcPr>
            <w:tcW w:w="7144" w:type="dxa"/>
            <w:vAlign w:val="center"/>
          </w:tcPr>
          <w:p w14:paraId="5430578F">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rPr>
              <w:t>供应商附有详细地址、联系人、电话标明的</w:t>
            </w:r>
            <w:r>
              <w:rPr>
                <w:rFonts w:hint="eastAsia" w:ascii="宋体" w:hAnsi="宋体" w:eastAsia="宋体" w:cs="宋体"/>
                <w:color w:val="auto"/>
                <w:spacing w:val="-2"/>
                <w:sz w:val="21"/>
                <w:szCs w:val="21"/>
                <w:highlight w:val="none"/>
                <w:lang w:eastAsia="zh-CN"/>
              </w:rPr>
              <w:t>；</w:t>
            </w:r>
          </w:p>
        </w:tc>
        <w:tc>
          <w:tcPr>
            <w:tcW w:w="789" w:type="dxa"/>
            <w:vAlign w:val="center"/>
          </w:tcPr>
          <w:p w14:paraId="4AA8230F">
            <w:pPr>
              <w:spacing w:line="400" w:lineRule="exact"/>
              <w:jc w:val="center"/>
              <w:rPr>
                <w:rFonts w:hint="eastAsia" w:ascii="宋体" w:hAnsi="宋体" w:eastAsia="宋体" w:cs="宋体"/>
                <w:color w:val="auto"/>
                <w:spacing w:val="-2"/>
                <w:sz w:val="21"/>
                <w:szCs w:val="21"/>
                <w:highlight w:val="none"/>
              </w:rPr>
            </w:pPr>
          </w:p>
        </w:tc>
      </w:tr>
      <w:tr w14:paraId="2A293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562" w:type="dxa"/>
            <w:vAlign w:val="center"/>
          </w:tcPr>
          <w:p w14:paraId="4533975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lang w:val="en-US" w:eastAsia="zh-CN"/>
              </w:rPr>
              <w:t>9</w:t>
            </w:r>
          </w:p>
        </w:tc>
        <w:tc>
          <w:tcPr>
            <w:tcW w:w="7144" w:type="dxa"/>
            <w:vAlign w:val="center"/>
          </w:tcPr>
          <w:p w14:paraId="66AAD750">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不存在法律、法规和招标文件规定的其他无效情形。</w:t>
            </w:r>
          </w:p>
        </w:tc>
        <w:tc>
          <w:tcPr>
            <w:tcW w:w="789" w:type="dxa"/>
            <w:vAlign w:val="center"/>
          </w:tcPr>
          <w:p w14:paraId="1767D611">
            <w:pPr>
              <w:spacing w:line="400" w:lineRule="exact"/>
              <w:jc w:val="center"/>
              <w:rPr>
                <w:rFonts w:hint="eastAsia" w:ascii="宋体" w:hAnsi="宋体" w:eastAsia="宋体" w:cs="宋体"/>
                <w:color w:val="auto"/>
                <w:spacing w:val="-2"/>
                <w:sz w:val="21"/>
                <w:szCs w:val="21"/>
                <w:highlight w:val="none"/>
              </w:rPr>
            </w:pPr>
          </w:p>
        </w:tc>
      </w:tr>
      <w:tr w14:paraId="377AF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06" w:type="dxa"/>
            <w:gridSpan w:val="2"/>
            <w:vAlign w:val="center"/>
          </w:tcPr>
          <w:p w14:paraId="3E1DFA6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结论：通过评审打“√”，未通过评审打“×”</w:t>
            </w:r>
          </w:p>
        </w:tc>
        <w:tc>
          <w:tcPr>
            <w:tcW w:w="789" w:type="dxa"/>
            <w:vAlign w:val="center"/>
          </w:tcPr>
          <w:p w14:paraId="23966E74">
            <w:pPr>
              <w:spacing w:line="400" w:lineRule="exact"/>
              <w:ind w:firstLine="370" w:firstLineChars="180"/>
              <w:jc w:val="center"/>
              <w:rPr>
                <w:rFonts w:hint="eastAsia" w:ascii="宋体" w:hAnsi="宋体" w:eastAsia="宋体" w:cs="宋体"/>
                <w:color w:val="auto"/>
                <w:spacing w:val="-2"/>
                <w:sz w:val="21"/>
                <w:szCs w:val="21"/>
                <w:highlight w:val="none"/>
              </w:rPr>
            </w:pPr>
          </w:p>
        </w:tc>
      </w:tr>
    </w:tbl>
    <w:p w14:paraId="0CB422C0">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2E5E89E2">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（1）上述各项中用“√”表示合格，“×”表示不合格；</w:t>
      </w:r>
    </w:p>
    <w:p w14:paraId="1CA22488">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（2）上述各项中如有一项为“×”，则结论为“×”，表示该投标文件中存在重大偏差，不能通过初步评审；评委对某一分项评审认为不合格时，必须要写明原因。</w:t>
      </w:r>
    </w:p>
    <w:p w14:paraId="4EDBFA97">
      <w:pPr>
        <w:pStyle w:val="6"/>
        <w:keepNext w:val="0"/>
        <w:keepLines w:val="0"/>
        <w:pageBreakBefore w:val="0"/>
        <w:widowControl w:val="0"/>
        <w:kinsoku/>
        <w:wordWrap/>
        <w:overflowPunct/>
        <w:topLinePunct w:val="0"/>
        <w:bidi w:val="0"/>
        <w:snapToGrid/>
        <w:spacing w:line="400" w:lineRule="exact"/>
        <w:ind w:firstLine="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（3）投标文件最终合格与否，以所有评委的评审意见中少数服从多数为原则定论。</w:t>
      </w:r>
    </w:p>
    <w:p w14:paraId="1E86C21D">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供应商必须将上述内容上传至对应关联节点，未通过符合性审查的供应商不进入评标；通过符合性审查的供应商少于三家的，不得评标。</w:t>
      </w:r>
    </w:p>
    <w:p w14:paraId="29AA4966">
      <w:pPr>
        <w:pStyle w:val="20"/>
        <w:rPr>
          <w:rFonts w:hint="eastAsia" w:ascii="宋体" w:hAnsi="宋体" w:eastAsia="宋体" w:cs="宋体"/>
          <w:highlight w:val="none"/>
        </w:rPr>
      </w:pPr>
    </w:p>
    <w:p w14:paraId="651ADB59">
      <w:pPr>
        <w:pStyle w:val="7"/>
        <w:ind w:left="0" w:leftChars="0" w:firstLine="0" w:firstLineChars="0"/>
        <w:outlineLvl w:val="9"/>
        <w:rPr>
          <w:rFonts w:hint="eastAsia" w:ascii="宋体" w:hAnsi="宋体" w:eastAsia="宋体" w:cs="宋体"/>
          <w:color w:val="auto"/>
          <w:highlight w:val="none"/>
        </w:rPr>
      </w:pPr>
    </w:p>
    <w:p w14:paraId="6283C558">
      <w:pPr>
        <w:outlineLvl w:val="9"/>
        <w:rPr>
          <w:rFonts w:hint="eastAsia" w:ascii="宋体" w:hAnsi="宋体" w:eastAsia="宋体" w:cs="宋体"/>
          <w:color w:val="auto"/>
          <w:highlight w:val="none"/>
        </w:rPr>
      </w:pPr>
    </w:p>
    <w:p w14:paraId="165AAA5A">
      <w:pPr>
        <w:pStyle w:val="11"/>
        <w:outlineLvl w:val="9"/>
        <w:rPr>
          <w:rFonts w:hint="eastAsia" w:ascii="宋体" w:hAnsi="宋体" w:eastAsia="宋体" w:cs="宋体"/>
          <w:color w:val="auto"/>
          <w:highlight w:val="none"/>
        </w:rPr>
      </w:pPr>
    </w:p>
    <w:p w14:paraId="5686D81C">
      <w:pPr>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2531" w:name="_Toc17586"/>
      <w:bookmarkStart w:id="2532" w:name="_Toc4748"/>
      <w:bookmarkStart w:id="2533" w:name="_Toc29006"/>
      <w:bookmarkStart w:id="2534" w:name="_Toc19967"/>
      <w:bookmarkStart w:id="2535" w:name="_Toc26924"/>
      <w:bookmarkStart w:id="2536" w:name="_Toc359"/>
      <w:bookmarkStart w:id="2537" w:name="_Toc5375"/>
      <w:bookmarkStart w:id="2538" w:name="_Toc11449"/>
      <w:bookmarkStart w:id="2539" w:name="_Toc21392"/>
      <w:bookmarkStart w:id="2540" w:name="_Toc20505"/>
      <w:bookmarkStart w:id="2541" w:name="_Toc31042"/>
      <w:bookmarkStart w:id="2542" w:name="_Toc21350"/>
      <w:bookmarkStart w:id="2543" w:name="_Toc31737"/>
      <w:bookmarkStart w:id="2544" w:name="_Toc4034"/>
      <w:bookmarkStart w:id="2545" w:name="_Toc3812"/>
      <w:bookmarkStart w:id="2546" w:name="_Toc507399904"/>
    </w:p>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p w14:paraId="391ED000">
      <w:pPr>
        <w:jc w:val="center"/>
        <w:outlineLvl w:val="1"/>
        <w:rPr>
          <w:rFonts w:hint="eastAsia" w:ascii="宋体" w:hAnsi="宋体" w:eastAsia="宋体" w:cs="宋体"/>
          <w:b/>
          <w:color w:val="auto"/>
          <w:kern w:val="0"/>
          <w:sz w:val="30"/>
          <w:szCs w:val="20"/>
          <w:highlight w:val="none"/>
          <w:lang w:val="en-US" w:eastAsia="zh-CN" w:bidi="ar-SA"/>
        </w:rPr>
      </w:pPr>
      <w:bookmarkStart w:id="3227" w:name="_GoBack"/>
      <w:bookmarkEnd w:id="3227"/>
      <w:bookmarkStart w:id="2547" w:name="_Toc18976"/>
      <w:r>
        <w:rPr>
          <w:rFonts w:hint="eastAsia" w:ascii="宋体" w:hAnsi="宋体" w:eastAsia="宋体" w:cs="宋体"/>
          <w:b/>
          <w:color w:val="auto"/>
          <w:kern w:val="0"/>
          <w:sz w:val="30"/>
          <w:szCs w:val="20"/>
          <w:highlight w:val="none"/>
          <w:lang w:val="en-US" w:eastAsia="zh-CN" w:bidi="ar-SA"/>
        </w:rPr>
        <w:t>综合评分表</w:t>
      </w:r>
      <w:bookmarkEnd w:id="2547"/>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471"/>
        <w:gridCol w:w="6397"/>
        <w:gridCol w:w="969"/>
      </w:tblGrid>
      <w:tr w14:paraId="783A1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658" w:type="dxa"/>
            <w:vAlign w:val="center"/>
          </w:tcPr>
          <w:p w14:paraId="1893CEA3">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评分内容</w:t>
            </w:r>
          </w:p>
        </w:tc>
        <w:tc>
          <w:tcPr>
            <w:tcW w:w="471" w:type="dxa"/>
            <w:vAlign w:val="center"/>
          </w:tcPr>
          <w:p w14:paraId="4456D7D5">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分值</w:t>
            </w:r>
          </w:p>
        </w:tc>
        <w:tc>
          <w:tcPr>
            <w:tcW w:w="6397" w:type="dxa"/>
            <w:vAlign w:val="center"/>
          </w:tcPr>
          <w:p w14:paraId="27ADCDC8">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评分标准</w:t>
            </w:r>
          </w:p>
          <w:p w14:paraId="556AEEAA">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价格：10分     商务：1</w:t>
            </w:r>
            <w:r>
              <w:rPr>
                <w:rFonts w:hint="eastAsia" w:ascii="宋体" w:hAnsi="宋体" w:cs="宋体"/>
                <w:b/>
                <w:color w:val="auto"/>
                <w:sz w:val="21"/>
                <w:szCs w:val="21"/>
                <w:highlight w:val="none"/>
                <w:lang w:val="en-US" w:eastAsia="zh-CN"/>
              </w:rPr>
              <w:t>2</w:t>
            </w:r>
            <w:r>
              <w:rPr>
                <w:rFonts w:hint="eastAsia" w:ascii="宋体" w:hAnsi="宋体" w:eastAsia="宋体" w:cs="宋体"/>
                <w:b/>
                <w:color w:val="auto"/>
                <w:sz w:val="21"/>
                <w:szCs w:val="21"/>
                <w:highlight w:val="none"/>
                <w:lang w:val="en-US" w:eastAsia="zh-CN"/>
              </w:rPr>
              <w:t>分     技术：7</w:t>
            </w:r>
            <w:r>
              <w:rPr>
                <w:rFonts w:hint="eastAsia" w:ascii="宋体" w:hAnsi="宋体" w:cs="宋体"/>
                <w:b/>
                <w:color w:val="auto"/>
                <w:sz w:val="21"/>
                <w:szCs w:val="21"/>
                <w:highlight w:val="none"/>
                <w:lang w:val="en-US" w:eastAsia="zh-CN"/>
              </w:rPr>
              <w:t>8</w:t>
            </w:r>
            <w:r>
              <w:rPr>
                <w:rFonts w:hint="eastAsia" w:ascii="宋体" w:hAnsi="宋体" w:eastAsia="宋体" w:cs="宋体"/>
                <w:b/>
                <w:color w:val="auto"/>
                <w:sz w:val="21"/>
                <w:szCs w:val="21"/>
                <w:highlight w:val="none"/>
                <w:lang w:val="en-US" w:eastAsia="zh-CN"/>
              </w:rPr>
              <w:t xml:space="preserve">分              </w:t>
            </w:r>
          </w:p>
        </w:tc>
        <w:tc>
          <w:tcPr>
            <w:tcW w:w="969" w:type="dxa"/>
            <w:vAlign w:val="center"/>
          </w:tcPr>
          <w:p w14:paraId="587B187C">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说明</w:t>
            </w:r>
          </w:p>
        </w:tc>
      </w:tr>
      <w:tr w14:paraId="1BB45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jc w:val="center"/>
        </w:trPr>
        <w:tc>
          <w:tcPr>
            <w:tcW w:w="658" w:type="dxa"/>
            <w:vAlign w:val="center"/>
          </w:tcPr>
          <w:p w14:paraId="3A60FAFF">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价格评分标准（10分）</w:t>
            </w:r>
          </w:p>
        </w:tc>
        <w:tc>
          <w:tcPr>
            <w:tcW w:w="471" w:type="dxa"/>
            <w:vAlign w:val="center"/>
          </w:tcPr>
          <w:p w14:paraId="284878CF">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10</w:t>
            </w:r>
          </w:p>
        </w:tc>
        <w:tc>
          <w:tcPr>
            <w:tcW w:w="6397" w:type="dxa"/>
            <w:vAlign w:val="center"/>
          </w:tcPr>
          <w:p w14:paraId="35BE91A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eastAsia="zh-CN"/>
              </w:rPr>
              <w:t>投标报价：</w:t>
            </w:r>
            <w:r>
              <w:rPr>
                <w:rFonts w:hint="eastAsia" w:ascii="宋体" w:hAnsi="宋体" w:eastAsia="宋体" w:cs="宋体"/>
                <w:color w:val="auto"/>
                <w:sz w:val="21"/>
                <w:szCs w:val="21"/>
                <w:highlight w:val="none"/>
                <w:lang w:val="en-US" w:eastAsia="zh-CN"/>
              </w:rPr>
              <w:t>完全满足招标文件要求的投标报价中的最低价为评标基准价，按照下列公式计算每个供应商的投标价格得分。投标报价得分＝（基准价/投标报价）×价格权重×100。</w:t>
            </w:r>
          </w:p>
        </w:tc>
        <w:tc>
          <w:tcPr>
            <w:tcW w:w="969" w:type="dxa"/>
            <w:vAlign w:val="center"/>
          </w:tcPr>
          <w:p w14:paraId="13F12F7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投标报价超过采购预算价的按废标处理</w:t>
            </w:r>
          </w:p>
        </w:tc>
      </w:tr>
      <w:tr w14:paraId="7021F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658" w:type="dxa"/>
            <w:vMerge w:val="restart"/>
            <w:vAlign w:val="center"/>
          </w:tcPr>
          <w:p w14:paraId="2F7136C7">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商务评分标准（</w:t>
            </w:r>
            <w:r>
              <w:rPr>
                <w:rFonts w:hint="eastAsia" w:ascii="宋体" w:hAnsi="宋体" w:cs="宋体"/>
                <w:b/>
                <w:color w:val="auto"/>
                <w:sz w:val="21"/>
                <w:szCs w:val="21"/>
                <w:highlight w:val="none"/>
                <w:lang w:val="en-US" w:eastAsia="zh-CN"/>
              </w:rPr>
              <w:t>12</w:t>
            </w:r>
            <w:r>
              <w:rPr>
                <w:rFonts w:hint="eastAsia" w:ascii="宋体" w:hAnsi="宋体" w:eastAsia="宋体" w:cs="宋体"/>
                <w:b/>
                <w:color w:val="auto"/>
                <w:sz w:val="21"/>
                <w:szCs w:val="21"/>
                <w:highlight w:val="none"/>
                <w:lang w:val="en-US" w:eastAsia="zh-CN"/>
              </w:rPr>
              <w:t>分）</w:t>
            </w:r>
          </w:p>
        </w:tc>
        <w:tc>
          <w:tcPr>
            <w:tcW w:w="471" w:type="dxa"/>
            <w:vAlign w:val="center"/>
          </w:tcPr>
          <w:p w14:paraId="20AF95B9">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4</w:t>
            </w:r>
          </w:p>
        </w:tc>
        <w:tc>
          <w:tcPr>
            <w:tcW w:w="6397" w:type="dxa"/>
            <w:vAlign w:val="center"/>
          </w:tcPr>
          <w:p w14:paraId="5B93DBC6">
            <w:pPr>
              <w:keepNext w:val="0"/>
              <w:keepLines w:val="0"/>
              <w:pageBreakBefore w:val="0"/>
              <w:widowControl w:val="0"/>
              <w:shd w:val="clear" w:color="auto" w:fill="auto"/>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业绩：</w:t>
            </w:r>
            <w:r>
              <w:rPr>
                <w:rFonts w:hint="eastAsia" w:ascii="宋体" w:hAnsi="宋体" w:eastAsia="宋体" w:cs="宋体"/>
                <w:color w:val="auto"/>
                <w:sz w:val="21"/>
                <w:szCs w:val="21"/>
                <w:highlight w:val="none"/>
                <w:lang w:val="en-US" w:eastAsia="zh-CN"/>
              </w:rPr>
              <w:t>供应商提供近三年内类似业绩证明材料（中标（成交）通知书和合同），每提供一个得2分，最高得4分，未提供的不得分。</w:t>
            </w:r>
          </w:p>
          <w:p w14:paraId="5CBB5362">
            <w:pPr>
              <w:keepNext w:val="0"/>
              <w:keepLines w:val="0"/>
              <w:pageBreakBefore w:val="0"/>
              <w:widowControl w:val="0"/>
              <w:shd w:val="clear" w:color="auto" w:fill="auto"/>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（注：近三年是指202</w:t>
            </w:r>
            <w:r>
              <w:rPr>
                <w:rFonts w:hint="eastAsia" w:ascii="宋体" w:hAnsi="宋体" w:cs="宋体"/>
                <w:b/>
                <w:bCs/>
                <w:color w:val="auto"/>
                <w:sz w:val="21"/>
                <w:szCs w:val="21"/>
                <w:highlight w:val="none"/>
                <w:lang w:val="en-US" w:eastAsia="zh-CN"/>
              </w:rPr>
              <w:t>2</w:t>
            </w:r>
            <w:r>
              <w:rPr>
                <w:rFonts w:hint="eastAsia" w:ascii="宋体" w:hAnsi="宋体" w:eastAsia="宋体" w:cs="宋体"/>
                <w:b/>
                <w:bCs/>
                <w:color w:val="auto"/>
                <w:sz w:val="21"/>
                <w:szCs w:val="21"/>
                <w:highlight w:val="none"/>
                <w:lang w:val="en-US" w:eastAsia="zh-CN"/>
              </w:rPr>
              <w:t>年1月至今，以合同签订的时间为准；投标文件内须提供中标/成交通知书和业绩合同的扫描件，所提供的业绩证明材料不完整的不得分；同一合同不重复计算得分，分包转包合同无效。）</w:t>
            </w:r>
          </w:p>
        </w:tc>
        <w:tc>
          <w:tcPr>
            <w:tcW w:w="969" w:type="dxa"/>
            <w:vMerge w:val="restart"/>
            <w:vAlign w:val="center"/>
          </w:tcPr>
          <w:p w14:paraId="184FAC5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根据需求提供必要的证明资料</w:t>
            </w:r>
          </w:p>
        </w:tc>
      </w:tr>
      <w:tr w14:paraId="5BDF3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8" w:hRule="atLeast"/>
          <w:jc w:val="center"/>
        </w:trPr>
        <w:tc>
          <w:tcPr>
            <w:tcW w:w="658" w:type="dxa"/>
            <w:vMerge w:val="continue"/>
            <w:vAlign w:val="center"/>
          </w:tcPr>
          <w:p w14:paraId="3827BD2E">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p>
        </w:tc>
        <w:tc>
          <w:tcPr>
            <w:tcW w:w="471" w:type="dxa"/>
            <w:vAlign w:val="center"/>
          </w:tcPr>
          <w:p w14:paraId="3EE19ECE">
            <w:pPr>
              <w:keepNext w:val="0"/>
              <w:keepLines w:val="0"/>
              <w:pageBreakBefore w:val="0"/>
              <w:widowControl w:val="0"/>
              <w:kinsoku/>
              <w:wordWrap/>
              <w:overflowPunct/>
              <w:topLinePunct w:val="0"/>
              <w:autoSpaceDE/>
              <w:autoSpaceDN/>
              <w:bidi w:val="0"/>
              <w:adjustRightInd/>
              <w:snapToGrid/>
              <w:spacing w:line="320" w:lineRule="exact"/>
              <w:ind w:firstLine="28" w:firstLineChars="0"/>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w:t>
            </w:r>
          </w:p>
        </w:tc>
        <w:tc>
          <w:tcPr>
            <w:tcW w:w="6397" w:type="dxa"/>
            <w:vAlign w:val="center"/>
          </w:tcPr>
          <w:p w14:paraId="48322DB3">
            <w:pPr>
              <w:keepNext w:val="0"/>
              <w:keepLines w:val="0"/>
              <w:pageBreakBefore w:val="0"/>
              <w:widowControl w:val="0"/>
              <w:shd w:val="clear" w:color="auto" w:fill="auto"/>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履约评价：</w:t>
            </w:r>
            <w:r>
              <w:rPr>
                <w:rFonts w:hint="eastAsia" w:ascii="宋体" w:hAnsi="宋体" w:eastAsia="宋体" w:cs="宋体"/>
                <w:color w:val="auto"/>
                <w:sz w:val="21"/>
                <w:szCs w:val="21"/>
                <w:highlight w:val="none"/>
                <w:lang w:val="en-US" w:eastAsia="zh-CN"/>
              </w:rPr>
              <w:t>类似业绩证明材料中，经合同甲方（服务单位）出具盖公章的履约评价，履约评价考核评价为“优”或“满意”或其他最高评价等级的，每提供1项得1分，最高得2分。</w:t>
            </w:r>
          </w:p>
        </w:tc>
        <w:tc>
          <w:tcPr>
            <w:tcW w:w="969" w:type="dxa"/>
            <w:vMerge w:val="continue"/>
            <w:vAlign w:val="center"/>
          </w:tcPr>
          <w:p w14:paraId="37FFD72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rPr>
            </w:pPr>
          </w:p>
        </w:tc>
      </w:tr>
      <w:tr w14:paraId="56EE8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1" w:hRule="atLeast"/>
          <w:jc w:val="center"/>
        </w:trPr>
        <w:tc>
          <w:tcPr>
            <w:tcW w:w="658" w:type="dxa"/>
            <w:vMerge w:val="continue"/>
            <w:vAlign w:val="center"/>
          </w:tcPr>
          <w:p w14:paraId="4A5F32DE">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p>
        </w:tc>
        <w:tc>
          <w:tcPr>
            <w:tcW w:w="471" w:type="dxa"/>
            <w:vAlign w:val="center"/>
          </w:tcPr>
          <w:p w14:paraId="459F3B35">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6</w:t>
            </w:r>
          </w:p>
        </w:tc>
        <w:tc>
          <w:tcPr>
            <w:tcW w:w="6397" w:type="dxa"/>
            <w:vAlign w:val="center"/>
          </w:tcPr>
          <w:p w14:paraId="352C0F2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承诺：</w:t>
            </w:r>
          </w:p>
          <w:p w14:paraId="7351BB4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①严格按照招标文件要求执行，交流活动前为每位参加人员办理保险的承诺。</w:t>
            </w:r>
          </w:p>
          <w:p w14:paraId="7DDA095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②在活动过程中因中标人原因导致活动终止，无条件承担违约责任的承诺。</w:t>
            </w:r>
          </w:p>
          <w:p w14:paraId="4A91682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③人员未按照招标文件及投标承诺配置或出现不良影响，无条件承担违约责任的承诺。</w:t>
            </w:r>
          </w:p>
          <w:p w14:paraId="1245248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以上承诺函格式自拟，须加盖投标供应商公章，每提供一个得2分，本项最高得6分，未提供的不得分。</w:t>
            </w:r>
          </w:p>
        </w:tc>
        <w:tc>
          <w:tcPr>
            <w:tcW w:w="969" w:type="dxa"/>
            <w:vMerge w:val="continue"/>
            <w:vAlign w:val="center"/>
          </w:tcPr>
          <w:p w14:paraId="4D75E86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sz w:val="21"/>
                <w:szCs w:val="21"/>
                <w:highlight w:val="none"/>
              </w:rPr>
            </w:pPr>
          </w:p>
        </w:tc>
      </w:tr>
      <w:tr w14:paraId="58B46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1" w:hRule="atLeast"/>
          <w:jc w:val="center"/>
        </w:trPr>
        <w:tc>
          <w:tcPr>
            <w:tcW w:w="658" w:type="dxa"/>
            <w:vMerge w:val="restart"/>
            <w:vAlign w:val="center"/>
          </w:tcPr>
          <w:p w14:paraId="3F14892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p w14:paraId="5DA69E8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rPr>
              <w:t>技术评分标准</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78分</w:t>
            </w:r>
            <w:r>
              <w:rPr>
                <w:rFonts w:hint="eastAsia" w:ascii="宋体" w:hAnsi="宋体" w:cs="宋体"/>
                <w:b/>
                <w:bCs/>
                <w:color w:val="auto"/>
                <w:sz w:val="21"/>
                <w:szCs w:val="21"/>
                <w:highlight w:val="none"/>
                <w:lang w:eastAsia="zh-CN"/>
              </w:rPr>
              <w:t>）</w:t>
            </w:r>
          </w:p>
        </w:tc>
        <w:tc>
          <w:tcPr>
            <w:tcW w:w="471" w:type="dxa"/>
            <w:vAlign w:val="center"/>
          </w:tcPr>
          <w:p w14:paraId="29297FF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p>
        </w:tc>
        <w:tc>
          <w:tcPr>
            <w:tcW w:w="6397" w:type="dxa"/>
            <w:vAlign w:val="center"/>
          </w:tcPr>
          <w:p w14:paraId="08EF81C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服务方案</w:t>
            </w:r>
            <w:r>
              <w:rPr>
                <w:rFonts w:hint="eastAsia" w:ascii="宋体" w:hAnsi="宋体" w:cs="宋体"/>
                <w:b/>
                <w:bCs/>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投标单位根据招标文件中整体项目的服务需求、时间安排、活动要求等进行项目整体计划、规划，进行综合考虑。服务方案安排优秀，能完全满足采购人的服务需求，对活动的整体进度有详细计划，分工安排具有合理性、针对性的，得 15 分；</w:t>
            </w:r>
          </w:p>
          <w:p w14:paraId="1164533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服务方案安排合理，能满足采购人的服务需求，整体方案实用性一般，对活动的整体进度有详细计划，分工安排合理得 12 分；</w:t>
            </w:r>
          </w:p>
          <w:p w14:paraId="590B1F0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服务方案安排一般，能基本满足采购人的服务需求，整体方案实用性一般，对活动的整体进度有详细计划，分工安排一般得 8分；</w:t>
            </w:r>
          </w:p>
          <w:p w14:paraId="7CDBD7A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服务方案存在瑕疵，只能基本满足采购人的服务需求，方案内容针对性差，整体方案实用性差，对活动的整体进度、详细计划、分工安排差得 4 分；</w:t>
            </w:r>
          </w:p>
          <w:p w14:paraId="55E0428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不提供不得分。</w:t>
            </w:r>
          </w:p>
        </w:tc>
        <w:tc>
          <w:tcPr>
            <w:tcW w:w="969" w:type="dxa"/>
            <w:vMerge w:val="restart"/>
            <w:vAlign w:val="center"/>
          </w:tcPr>
          <w:p w14:paraId="108733E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根据需求提供必要的证明资料</w:t>
            </w:r>
          </w:p>
        </w:tc>
      </w:tr>
      <w:tr w14:paraId="56C9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58" w:type="dxa"/>
            <w:vMerge w:val="continue"/>
            <w:vAlign w:val="center"/>
          </w:tcPr>
          <w:p w14:paraId="6A2C301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471" w:type="dxa"/>
            <w:vAlign w:val="center"/>
          </w:tcPr>
          <w:p w14:paraId="6812A5A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15</w:t>
            </w:r>
          </w:p>
        </w:tc>
        <w:tc>
          <w:tcPr>
            <w:tcW w:w="6397" w:type="dxa"/>
            <w:vAlign w:val="center"/>
          </w:tcPr>
          <w:p w14:paraId="62C7FF2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拟投入本项目的执行团队情况：</w:t>
            </w:r>
            <w:r>
              <w:rPr>
                <w:rFonts w:hint="eastAsia" w:ascii="宋体" w:hAnsi="宋体" w:eastAsia="宋体" w:cs="宋体"/>
                <w:color w:val="auto"/>
                <w:sz w:val="21"/>
                <w:szCs w:val="21"/>
                <w:highlight w:val="none"/>
                <w:lang w:val="en-US" w:eastAsia="zh-CN"/>
              </w:rPr>
              <w:t>项目负责人：项目负责人应具有丰富的实践经验和组织管理能力；项目组组成人员：项目组的人员构成合理，项目经验丰富，有利于项目的执行，是一支具有专业性、科学性、可靠性的执行团队。</w:t>
            </w:r>
          </w:p>
          <w:p w14:paraId="51BD226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项目团队配置合理、科学性强、专业性强、团队经验丰富得15分；</w:t>
            </w:r>
          </w:p>
          <w:p w14:paraId="5C2CB93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项目团队配置较为合理、科学性较强、专业性较强、团队经验略有欠缺得 11分；</w:t>
            </w:r>
          </w:p>
          <w:p w14:paraId="0565B99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项目团队配置基本合理、专业性不足、团队无相关经验得7分；</w:t>
            </w:r>
          </w:p>
          <w:p w14:paraId="1A0AB6C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项目团队配置不合理、专业性差、团队无相关经验得3分；</w:t>
            </w:r>
          </w:p>
          <w:p w14:paraId="1313268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未提供的不得分。</w:t>
            </w:r>
          </w:p>
        </w:tc>
        <w:tc>
          <w:tcPr>
            <w:tcW w:w="969" w:type="dxa"/>
            <w:vMerge w:val="continue"/>
            <w:vAlign w:val="center"/>
          </w:tcPr>
          <w:p w14:paraId="2F90978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02CA3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58" w:type="dxa"/>
            <w:vMerge w:val="continue"/>
            <w:vAlign w:val="center"/>
          </w:tcPr>
          <w:p w14:paraId="3B06F37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471" w:type="dxa"/>
            <w:vAlign w:val="center"/>
          </w:tcPr>
          <w:p w14:paraId="19B2679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p>
        </w:tc>
        <w:tc>
          <w:tcPr>
            <w:tcW w:w="6397" w:type="dxa"/>
            <w:vAlign w:val="center"/>
          </w:tcPr>
          <w:p w14:paraId="5AB863E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食宿餐饮方案：</w:t>
            </w:r>
            <w:r>
              <w:rPr>
                <w:rFonts w:hint="eastAsia" w:ascii="宋体" w:hAnsi="宋体" w:eastAsia="宋体" w:cs="宋体"/>
                <w:color w:val="auto"/>
                <w:sz w:val="21"/>
                <w:szCs w:val="21"/>
                <w:highlight w:val="none"/>
                <w:lang w:val="en-US" w:eastAsia="zh-CN"/>
              </w:rPr>
              <w:t>餐饮食宿安排计划周密、考虑全面、饮食及住宿安全保障措施完善，完全贴合项目需求得15分；</w:t>
            </w:r>
          </w:p>
          <w:p w14:paraId="5115124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餐饮食宿安排计划较周密、考虑较全面、饮食及住宿安全保证措施较完善，基本贴合项目需求得11分；</w:t>
            </w:r>
          </w:p>
          <w:p w14:paraId="0DDF4EB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餐饮食宿安排计划基本周密、考虑基本全面、饮食及住宿安全保证措施基本完善得7分；</w:t>
            </w:r>
          </w:p>
          <w:p w14:paraId="78A9254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餐饮食宿安排计划一般、考虑不够全面、饮食及住宿安全保证措施较差得3分；</w:t>
            </w:r>
          </w:p>
          <w:p w14:paraId="065CEFB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未提供的不得分。</w:t>
            </w:r>
          </w:p>
        </w:tc>
        <w:tc>
          <w:tcPr>
            <w:tcW w:w="969" w:type="dxa"/>
            <w:vMerge w:val="continue"/>
            <w:vAlign w:val="center"/>
          </w:tcPr>
          <w:p w14:paraId="234461F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7E26F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7" w:hRule="atLeast"/>
          <w:jc w:val="center"/>
        </w:trPr>
        <w:tc>
          <w:tcPr>
            <w:tcW w:w="658" w:type="dxa"/>
            <w:vMerge w:val="continue"/>
            <w:vAlign w:val="center"/>
          </w:tcPr>
          <w:p w14:paraId="56D148A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471" w:type="dxa"/>
            <w:vAlign w:val="center"/>
          </w:tcPr>
          <w:p w14:paraId="110604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2</w:t>
            </w:r>
          </w:p>
        </w:tc>
        <w:tc>
          <w:tcPr>
            <w:tcW w:w="6397" w:type="dxa"/>
            <w:vAlign w:val="center"/>
          </w:tcPr>
          <w:p w14:paraId="02531F5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交通、车辆安排方案：</w:t>
            </w:r>
            <w:r>
              <w:rPr>
                <w:rFonts w:hint="eastAsia" w:ascii="宋体" w:hAnsi="宋体" w:eastAsia="宋体" w:cs="宋体"/>
                <w:color w:val="auto"/>
                <w:sz w:val="21"/>
                <w:szCs w:val="21"/>
                <w:highlight w:val="none"/>
                <w:lang w:val="en-US" w:eastAsia="zh-CN"/>
              </w:rPr>
              <w:t>方案内容考虑全面、交通出行线路安排妥当、安全保障措施完善、交通车辆质量保证措施完善、急救车安排计划完善得12分；</w:t>
            </w:r>
          </w:p>
          <w:p w14:paraId="66353E0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方案内容考虑较全面、交通出行线路安排妥当、安全保障措施较完善、交通车辆质量保证措施较完善、急救车安排计划较完善得10分；</w:t>
            </w:r>
          </w:p>
          <w:p w14:paraId="045A23D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方案内容考虑不够全面、交通出行线路安排不够妥当、安全保障措施不够完善、交通车辆质量保证措施不够完善、急救车安排计划不够完善得7分；</w:t>
            </w:r>
          </w:p>
          <w:p w14:paraId="387CDCA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提供的方案无法满足招标文件要求或与本项目无关得2分；</w:t>
            </w:r>
          </w:p>
          <w:p w14:paraId="049563D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未提供的不得分。</w:t>
            </w:r>
          </w:p>
        </w:tc>
        <w:tc>
          <w:tcPr>
            <w:tcW w:w="969" w:type="dxa"/>
            <w:vMerge w:val="continue"/>
            <w:vAlign w:val="center"/>
          </w:tcPr>
          <w:p w14:paraId="6FA6A5C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3095A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658" w:type="dxa"/>
            <w:vMerge w:val="continue"/>
            <w:vAlign w:val="center"/>
          </w:tcPr>
          <w:p w14:paraId="47EE7D3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471" w:type="dxa"/>
            <w:vAlign w:val="center"/>
          </w:tcPr>
          <w:p w14:paraId="6D7BFE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p>
        </w:tc>
        <w:tc>
          <w:tcPr>
            <w:tcW w:w="6397" w:type="dxa"/>
            <w:vAlign w:val="center"/>
          </w:tcPr>
          <w:p w14:paraId="50B52AA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应急预案：</w:t>
            </w:r>
            <w:r>
              <w:rPr>
                <w:rFonts w:hint="eastAsia" w:ascii="宋体" w:hAnsi="宋体" w:eastAsia="宋体" w:cs="宋体"/>
                <w:color w:val="auto"/>
                <w:sz w:val="21"/>
                <w:szCs w:val="21"/>
                <w:highlight w:val="none"/>
                <w:lang w:val="en-US" w:eastAsia="zh-CN"/>
              </w:rPr>
              <w:t>供应商针对本项目，提供全面、内容详尽、具有针对性的应急预案及安全保障方案，内容包括但不限于：对突发性事件预估、人身安全、用车安全、活动场地安全、应急处理措施。</w:t>
            </w:r>
          </w:p>
          <w:p w14:paraId="63FB903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应急预案及安全保障方案完整，科学合理，可行性高，针对性强，可扩展性强，专业服务经验丰富得13分；</w:t>
            </w:r>
          </w:p>
          <w:p w14:paraId="3F943E7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应急预案及安全保障方案较完整，可行性和针对性一般，有一定的可扩展性，专业服务经验一般得10分；</w:t>
            </w:r>
          </w:p>
          <w:p w14:paraId="7599D59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应急预案及安全保障方案不完整，可操作性不强得7分；</w:t>
            </w:r>
          </w:p>
          <w:p w14:paraId="4CA98CA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提供的应急预案及安全保障方案无法满足招标文件要求或与本项目无关得2分；</w:t>
            </w:r>
          </w:p>
          <w:p w14:paraId="28573F6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未提供应急预案及安全保障方案的不得分。</w:t>
            </w:r>
          </w:p>
        </w:tc>
        <w:tc>
          <w:tcPr>
            <w:tcW w:w="969" w:type="dxa"/>
            <w:vMerge w:val="continue"/>
            <w:vAlign w:val="center"/>
          </w:tcPr>
          <w:p w14:paraId="4FBF874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r w14:paraId="5FB20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58" w:type="dxa"/>
            <w:vMerge w:val="continue"/>
            <w:vAlign w:val="center"/>
          </w:tcPr>
          <w:p w14:paraId="2F4BCD6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c>
          <w:tcPr>
            <w:tcW w:w="471" w:type="dxa"/>
            <w:vAlign w:val="center"/>
          </w:tcPr>
          <w:p w14:paraId="020F24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6397" w:type="dxa"/>
            <w:vAlign w:val="center"/>
          </w:tcPr>
          <w:p w14:paraId="2400D61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售后服务方案：</w:t>
            </w:r>
          </w:p>
          <w:p w14:paraId="3EBB43B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根据本项目的采购需求制定售后方案，包括团队培训人员在任何时候、任何地点均可提供免费咨询服务。方案完整，贴合采购需求，可行性高的得8分；方案较为合理，可行性较高的得6分；方案结构混乱，不贴合本项目的采购需求得4分；未提供不得分。</w:t>
            </w:r>
          </w:p>
        </w:tc>
        <w:tc>
          <w:tcPr>
            <w:tcW w:w="969" w:type="dxa"/>
            <w:vMerge w:val="continue"/>
            <w:vAlign w:val="center"/>
          </w:tcPr>
          <w:p w14:paraId="32729D2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p>
        </w:tc>
      </w:tr>
    </w:tbl>
    <w:p w14:paraId="2B3B7974">
      <w:pPr>
        <w:rPr>
          <w:rFonts w:hint="eastAsia" w:ascii="宋体" w:hAnsi="宋体" w:eastAsia="宋体" w:cs="宋体"/>
          <w:b/>
          <w:color w:val="auto"/>
          <w:kern w:val="0"/>
          <w:sz w:val="30"/>
          <w:szCs w:val="20"/>
          <w:highlight w:val="none"/>
          <w:lang w:val="en-US" w:eastAsia="zh-CN" w:bidi="ar-SA"/>
        </w:rPr>
      </w:pPr>
      <w:r>
        <w:rPr>
          <w:rFonts w:hint="eastAsia" w:ascii="宋体" w:hAnsi="宋体" w:cs="宋体"/>
          <w:b/>
          <w:color w:val="auto"/>
          <w:kern w:val="0"/>
          <w:sz w:val="30"/>
          <w:szCs w:val="20"/>
          <w:highlight w:val="none"/>
          <w:lang w:val="en-US" w:eastAsia="zh-CN" w:bidi="ar-SA"/>
        </w:rPr>
        <w:t xml:space="preserve"> </w:t>
      </w:r>
      <w:r>
        <w:rPr>
          <w:rFonts w:hint="eastAsia" w:ascii="宋体" w:hAnsi="宋体" w:eastAsia="宋体" w:cs="宋体"/>
          <w:b/>
          <w:color w:val="auto"/>
          <w:kern w:val="0"/>
          <w:sz w:val="30"/>
          <w:szCs w:val="20"/>
          <w:highlight w:val="none"/>
          <w:lang w:val="en-US" w:eastAsia="zh-CN" w:bidi="ar-SA"/>
        </w:rPr>
        <w:br w:type="page"/>
      </w:r>
    </w:p>
    <w:p w14:paraId="256C16A4">
      <w:pPr>
        <w:outlineLvl w:val="9"/>
        <w:rPr>
          <w:rFonts w:hint="eastAsia" w:ascii="宋体" w:hAnsi="宋体" w:eastAsia="宋体" w:cs="宋体"/>
          <w:b/>
          <w:color w:val="auto"/>
          <w:sz w:val="44"/>
          <w:szCs w:val="44"/>
          <w:highlight w:val="none"/>
        </w:rPr>
      </w:pPr>
    </w:p>
    <w:p w14:paraId="712639F4">
      <w:pPr>
        <w:outlineLvl w:val="9"/>
        <w:rPr>
          <w:rFonts w:hint="eastAsia" w:ascii="宋体" w:hAnsi="宋体" w:eastAsia="宋体" w:cs="宋体"/>
          <w:highlight w:val="none"/>
        </w:rPr>
      </w:pPr>
    </w:p>
    <w:p w14:paraId="3832A31C">
      <w:pPr>
        <w:spacing w:line="240" w:lineRule="atLeast"/>
        <w:jc w:val="center"/>
        <w:outlineLvl w:val="9"/>
        <w:rPr>
          <w:rFonts w:hint="eastAsia" w:ascii="宋体" w:hAnsi="宋体" w:eastAsia="宋体" w:cs="宋体"/>
          <w:b/>
          <w:color w:val="auto"/>
          <w:sz w:val="44"/>
          <w:szCs w:val="44"/>
          <w:highlight w:val="none"/>
        </w:rPr>
      </w:pPr>
    </w:p>
    <w:p w14:paraId="08204DFD">
      <w:pPr>
        <w:spacing w:line="240" w:lineRule="atLeast"/>
        <w:jc w:val="center"/>
        <w:rPr>
          <w:rFonts w:hint="eastAsia" w:ascii="宋体" w:hAnsi="宋体" w:eastAsia="宋体" w:cs="宋体"/>
          <w:b/>
          <w:color w:val="auto"/>
          <w:sz w:val="44"/>
          <w:szCs w:val="44"/>
          <w:highlight w:val="none"/>
        </w:rPr>
      </w:pPr>
    </w:p>
    <w:p w14:paraId="68799C7E">
      <w:pPr>
        <w:spacing w:line="240" w:lineRule="atLeast"/>
        <w:jc w:val="center"/>
        <w:rPr>
          <w:rFonts w:hint="eastAsia" w:ascii="宋体" w:hAnsi="宋体" w:eastAsia="宋体" w:cs="宋体"/>
          <w:b/>
          <w:color w:val="auto"/>
          <w:sz w:val="44"/>
          <w:szCs w:val="44"/>
          <w:highlight w:val="none"/>
        </w:rPr>
      </w:pPr>
    </w:p>
    <w:p w14:paraId="57F9F749">
      <w:pPr>
        <w:spacing w:line="240" w:lineRule="atLeast"/>
        <w:jc w:val="center"/>
        <w:rPr>
          <w:rFonts w:hint="eastAsia" w:ascii="宋体" w:hAnsi="宋体" w:eastAsia="宋体" w:cs="宋体"/>
          <w:b/>
          <w:color w:val="auto"/>
          <w:sz w:val="44"/>
          <w:szCs w:val="44"/>
          <w:highlight w:val="none"/>
        </w:rPr>
      </w:pPr>
    </w:p>
    <w:p w14:paraId="14253A22">
      <w:pPr>
        <w:spacing w:line="240" w:lineRule="atLeast"/>
        <w:jc w:val="center"/>
        <w:rPr>
          <w:rFonts w:hint="eastAsia" w:ascii="宋体" w:hAnsi="宋体" w:eastAsia="宋体" w:cs="宋体"/>
          <w:b/>
          <w:color w:val="auto"/>
          <w:sz w:val="44"/>
          <w:szCs w:val="44"/>
          <w:highlight w:val="none"/>
        </w:rPr>
      </w:pPr>
    </w:p>
    <w:p w14:paraId="17C86283">
      <w:pPr>
        <w:spacing w:line="240" w:lineRule="atLeast"/>
        <w:jc w:val="center"/>
        <w:rPr>
          <w:rFonts w:hint="eastAsia" w:ascii="宋体" w:hAnsi="宋体" w:eastAsia="宋体" w:cs="宋体"/>
          <w:b/>
          <w:color w:val="auto"/>
          <w:sz w:val="44"/>
          <w:szCs w:val="44"/>
          <w:highlight w:val="none"/>
        </w:rPr>
      </w:pPr>
    </w:p>
    <w:p w14:paraId="770CFE1B">
      <w:pPr>
        <w:spacing w:line="240" w:lineRule="atLeast"/>
        <w:jc w:val="center"/>
        <w:rPr>
          <w:rFonts w:hint="eastAsia" w:ascii="宋体" w:hAnsi="宋体" w:eastAsia="宋体" w:cs="宋体"/>
          <w:b/>
          <w:color w:val="auto"/>
          <w:sz w:val="44"/>
          <w:szCs w:val="44"/>
          <w:highlight w:val="none"/>
        </w:rPr>
      </w:pPr>
    </w:p>
    <w:p w14:paraId="2DF523A8">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6FCAF2B7">
      <w:pPr>
        <w:spacing w:line="240" w:lineRule="auto"/>
        <w:rPr>
          <w:rFonts w:hint="eastAsia" w:ascii="宋体" w:hAnsi="宋体" w:eastAsia="宋体" w:cs="宋体"/>
          <w:b/>
          <w:color w:val="auto"/>
          <w:sz w:val="44"/>
          <w:szCs w:val="44"/>
          <w:highlight w:val="none"/>
        </w:rPr>
      </w:pPr>
    </w:p>
    <w:p w14:paraId="4C613BB1">
      <w:pPr>
        <w:spacing w:line="240" w:lineRule="auto"/>
        <w:jc w:val="center"/>
        <w:outlineLvl w:val="9"/>
        <w:rPr>
          <w:rFonts w:hint="default" w:ascii="宋体" w:hAnsi="宋体" w:eastAsia="宋体" w:cs="宋体"/>
          <w:b/>
          <w:color w:val="auto"/>
          <w:sz w:val="44"/>
          <w:szCs w:val="44"/>
          <w:highlight w:val="yellow"/>
          <w:lang w:eastAsia="zh-CN"/>
        </w:rPr>
      </w:pPr>
      <w:r>
        <w:rPr>
          <w:rFonts w:hint="eastAsia" w:ascii="宋体" w:hAnsi="宋体" w:eastAsia="宋体" w:cs="宋体"/>
          <w:b/>
          <w:color w:val="auto"/>
          <w:sz w:val="44"/>
          <w:szCs w:val="44"/>
          <w:highlight w:val="none"/>
        </w:rPr>
        <w:t>项目编号：</w:t>
      </w:r>
      <w:r>
        <w:rPr>
          <w:rFonts w:hint="default" w:ascii="宋体" w:hAnsi="宋体" w:cs="宋体"/>
          <w:b/>
          <w:color w:val="auto"/>
          <w:sz w:val="44"/>
          <w:szCs w:val="44"/>
          <w:highlight w:val="none"/>
          <w:lang w:eastAsia="zh-CN"/>
        </w:rPr>
        <w:t>XS2025(GK)-010</w:t>
      </w:r>
    </w:p>
    <w:p w14:paraId="4B6021D2">
      <w:pPr>
        <w:spacing w:line="240" w:lineRule="auto"/>
        <w:rPr>
          <w:rFonts w:hint="eastAsia" w:ascii="宋体" w:hAnsi="宋体" w:eastAsia="宋体" w:cs="宋体"/>
          <w:b/>
          <w:color w:val="auto"/>
          <w:sz w:val="44"/>
          <w:szCs w:val="44"/>
          <w:highlight w:val="none"/>
        </w:rPr>
      </w:pPr>
    </w:p>
    <w:p w14:paraId="73CCF4EB">
      <w:pPr>
        <w:spacing w:line="24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第 </w:t>
      </w:r>
      <w:r>
        <w:rPr>
          <w:rFonts w:hint="eastAsia" w:ascii="宋体" w:hAnsi="宋体" w:eastAsia="宋体" w:cs="宋体"/>
          <w:b/>
          <w:color w:val="auto"/>
          <w:sz w:val="44"/>
          <w:szCs w:val="44"/>
          <w:highlight w:val="none"/>
          <w:lang w:val="en-US" w:eastAsia="zh-CN"/>
        </w:rPr>
        <w:t>三</w:t>
      </w:r>
      <w:r>
        <w:rPr>
          <w:rFonts w:hint="eastAsia" w:ascii="宋体" w:hAnsi="宋体" w:eastAsia="宋体" w:cs="宋体"/>
          <w:b/>
          <w:color w:val="auto"/>
          <w:sz w:val="44"/>
          <w:szCs w:val="44"/>
          <w:highlight w:val="none"/>
        </w:rPr>
        <w:t xml:space="preserve"> 册</w:t>
      </w:r>
    </w:p>
    <w:p w14:paraId="58AB1EE6">
      <w:pPr>
        <w:spacing w:line="240" w:lineRule="atLeast"/>
        <w:jc w:val="center"/>
        <w:rPr>
          <w:rFonts w:hint="eastAsia" w:ascii="宋体" w:hAnsi="宋体" w:eastAsia="宋体" w:cs="宋体"/>
          <w:b/>
          <w:color w:val="auto"/>
          <w:sz w:val="32"/>
          <w:highlight w:val="none"/>
        </w:rPr>
      </w:pPr>
    </w:p>
    <w:p w14:paraId="48288961">
      <w:pPr>
        <w:spacing w:line="240" w:lineRule="atLeast"/>
        <w:ind w:left="1080" w:leftChars="257" w:hanging="540"/>
        <w:jc w:val="center"/>
        <w:rPr>
          <w:rFonts w:hint="eastAsia" w:ascii="宋体" w:hAnsi="宋体" w:eastAsia="宋体" w:cs="宋体"/>
          <w:b/>
          <w:color w:val="auto"/>
          <w:sz w:val="52"/>
          <w:highlight w:val="none"/>
        </w:rPr>
      </w:pPr>
    </w:p>
    <w:p w14:paraId="2072F408">
      <w:pPr>
        <w:pStyle w:val="11"/>
        <w:rPr>
          <w:rFonts w:hint="eastAsia" w:ascii="宋体" w:hAnsi="宋体" w:eastAsia="宋体" w:cs="宋体"/>
          <w:b/>
          <w:color w:val="auto"/>
          <w:sz w:val="52"/>
          <w:highlight w:val="none"/>
        </w:rPr>
      </w:pPr>
    </w:p>
    <w:p w14:paraId="723EA320">
      <w:pPr>
        <w:pStyle w:val="11"/>
        <w:rPr>
          <w:rFonts w:hint="eastAsia" w:ascii="宋体" w:hAnsi="宋体" w:eastAsia="宋体" w:cs="宋体"/>
          <w:b/>
          <w:color w:val="auto"/>
          <w:sz w:val="52"/>
          <w:highlight w:val="none"/>
        </w:rPr>
      </w:pPr>
    </w:p>
    <w:p w14:paraId="18625715">
      <w:pPr>
        <w:pStyle w:val="11"/>
        <w:rPr>
          <w:rFonts w:hint="eastAsia" w:ascii="宋体" w:hAnsi="宋体" w:eastAsia="宋体" w:cs="宋体"/>
          <w:b/>
          <w:color w:val="auto"/>
          <w:sz w:val="52"/>
          <w:highlight w:val="none"/>
        </w:rPr>
      </w:pPr>
    </w:p>
    <w:p w14:paraId="115402AD">
      <w:pPr>
        <w:rPr>
          <w:rFonts w:hint="eastAsia" w:ascii="宋体" w:hAnsi="宋体" w:eastAsia="宋体" w:cs="宋体"/>
          <w:color w:val="auto"/>
          <w:highlight w:val="none"/>
        </w:rPr>
      </w:pPr>
      <w:bookmarkStart w:id="2548" w:name="_Toc4796"/>
      <w:bookmarkStart w:id="2549" w:name="_Toc23920"/>
      <w:bookmarkStart w:id="2550" w:name="_Toc6865"/>
      <w:bookmarkStart w:id="2551" w:name="_Toc28085"/>
      <w:bookmarkStart w:id="2552" w:name="_Toc515647833"/>
      <w:r>
        <w:rPr>
          <w:rFonts w:hint="eastAsia" w:ascii="宋体" w:hAnsi="宋体" w:eastAsia="宋体" w:cs="宋体"/>
          <w:color w:val="auto"/>
          <w:highlight w:val="none"/>
        </w:rPr>
        <w:br w:type="page"/>
      </w:r>
    </w:p>
    <w:bookmarkEnd w:id="2546"/>
    <w:bookmarkEnd w:id="2548"/>
    <w:bookmarkEnd w:id="2549"/>
    <w:bookmarkEnd w:id="2550"/>
    <w:bookmarkEnd w:id="2551"/>
    <w:bookmarkEnd w:id="2552"/>
    <w:p w14:paraId="0719107A">
      <w:pPr>
        <w:pStyle w:val="6"/>
        <w:ind w:firstLine="0"/>
        <w:jc w:val="center"/>
        <w:outlineLvl w:val="0"/>
        <w:rPr>
          <w:rFonts w:hint="eastAsia" w:ascii="宋体" w:hAnsi="宋体" w:eastAsia="宋体" w:cs="宋体"/>
          <w:b/>
          <w:bCs/>
          <w:color w:val="auto"/>
          <w:sz w:val="32"/>
          <w:szCs w:val="32"/>
          <w:highlight w:val="none"/>
          <w:lang w:val="en-US" w:eastAsia="zh-CN"/>
        </w:rPr>
      </w:pPr>
      <w:bookmarkStart w:id="2553" w:name="_Toc4781"/>
      <w:bookmarkStart w:id="2554" w:name="_Toc2878"/>
      <w:bookmarkStart w:id="2555" w:name="_Toc8297"/>
      <w:r>
        <w:rPr>
          <w:rFonts w:hint="eastAsia" w:ascii="宋体" w:hAnsi="宋体" w:eastAsia="宋体" w:cs="宋体"/>
          <w:b/>
          <w:bCs/>
          <w:color w:val="auto"/>
          <w:sz w:val="32"/>
          <w:szCs w:val="32"/>
          <w:highlight w:val="none"/>
          <w:lang w:val="en-US" w:eastAsia="zh-CN"/>
        </w:rPr>
        <w:t>第7章  政府采购合同</w:t>
      </w:r>
      <w:bookmarkEnd w:id="2553"/>
      <w:bookmarkEnd w:id="2554"/>
      <w:bookmarkEnd w:id="2555"/>
      <w:bookmarkStart w:id="2556" w:name="_Hlt487972895"/>
      <w:bookmarkEnd w:id="2556"/>
      <w:bookmarkStart w:id="2557" w:name="_Toc216513788"/>
      <w:bookmarkEnd w:id="2557"/>
      <w:bookmarkStart w:id="2558" w:name="_Toc487900382"/>
      <w:bookmarkEnd w:id="2558"/>
    </w:p>
    <w:p w14:paraId="4FD9EB32">
      <w:pPr>
        <w:spacing w:line="240" w:lineRule="atLeast"/>
        <w:outlineLvl w:val="9"/>
        <w:rPr>
          <w:rFonts w:hint="eastAsia" w:ascii="宋体" w:hAnsi="宋体" w:eastAsia="宋体" w:cs="宋体"/>
          <w:b/>
          <w:kern w:val="44"/>
          <w:sz w:val="28"/>
          <w:szCs w:val="28"/>
          <w:highlight w:val="none"/>
        </w:rPr>
      </w:pPr>
    </w:p>
    <w:p w14:paraId="3B8A455B">
      <w:pPr>
        <w:spacing w:line="400" w:lineRule="exact"/>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210AC3C1">
      <w:pPr>
        <w:spacing w:line="400" w:lineRule="exact"/>
        <w:jc w:val="center"/>
        <w:outlineLvl w:val="9"/>
        <w:rPr>
          <w:rFonts w:hint="eastAsia" w:ascii="宋体" w:hAnsi="宋体" w:eastAsia="宋体" w:cs="宋体"/>
          <w:b/>
          <w:color w:val="auto"/>
          <w:sz w:val="28"/>
          <w:szCs w:val="28"/>
          <w:highlight w:val="none"/>
        </w:rPr>
      </w:pPr>
    </w:p>
    <w:p w14:paraId="45257EEF">
      <w:pPr>
        <w:spacing w:line="500" w:lineRule="exact"/>
        <w:jc w:val="both"/>
        <w:outlineLvl w:val="9"/>
        <w:rPr>
          <w:rFonts w:hint="eastAsia" w:ascii="宋体" w:hAnsi="宋体" w:eastAsia="宋体" w:cs="宋体"/>
          <w:b/>
          <w:color w:val="auto"/>
          <w:sz w:val="28"/>
          <w:szCs w:val="28"/>
          <w:highlight w:val="none"/>
        </w:rPr>
      </w:pPr>
    </w:p>
    <w:p w14:paraId="5524551F">
      <w:pPr>
        <w:spacing w:line="500" w:lineRule="exact"/>
        <w:jc w:val="center"/>
        <w:outlineLvl w:val="9"/>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政府采购合同参考范本</w:t>
      </w:r>
    </w:p>
    <w:p w14:paraId="1CD2F55C">
      <w:pPr>
        <w:spacing w:line="500" w:lineRule="exact"/>
        <w:jc w:val="center"/>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（服务类）</w:t>
      </w:r>
    </w:p>
    <w:p w14:paraId="15F47653">
      <w:pPr>
        <w:widowControl w:val="0"/>
        <w:autoSpaceDE w:val="0"/>
        <w:autoSpaceDN w:val="0"/>
        <w:adjustRightInd w:val="0"/>
        <w:spacing w:line="400" w:lineRule="exact"/>
        <w:ind w:firstLine="0"/>
        <w:jc w:val="left"/>
        <w:outlineLvl w:val="9"/>
        <w:rPr>
          <w:rFonts w:hint="eastAsia" w:ascii="宋体" w:hAnsi="宋体" w:eastAsia="宋体" w:cs="宋体"/>
          <w:color w:val="auto"/>
          <w:kern w:val="0"/>
          <w:sz w:val="24"/>
          <w:szCs w:val="24"/>
          <w:highlight w:val="none"/>
          <w:lang w:val="en-US" w:eastAsia="zh-CN" w:bidi="ar-SA"/>
        </w:rPr>
      </w:pPr>
    </w:p>
    <w:p w14:paraId="156217ED">
      <w:pPr>
        <w:widowControl w:val="0"/>
        <w:autoSpaceDE w:val="0"/>
        <w:autoSpaceDN w:val="0"/>
        <w:adjustRightInd w:val="0"/>
        <w:spacing w:line="400" w:lineRule="exact"/>
        <w:ind w:firstLine="0"/>
        <w:jc w:val="left"/>
        <w:outlineLvl w:val="9"/>
        <w:rPr>
          <w:rFonts w:hint="eastAsia" w:ascii="宋体" w:hAnsi="宋体" w:eastAsia="宋体" w:cs="宋体"/>
          <w:color w:val="auto"/>
          <w:kern w:val="0"/>
          <w:sz w:val="24"/>
          <w:szCs w:val="24"/>
          <w:highlight w:val="none"/>
          <w:lang w:val="en-US" w:eastAsia="zh-CN" w:bidi="ar-SA"/>
        </w:rPr>
      </w:pPr>
    </w:p>
    <w:p w14:paraId="7F3C5391">
      <w:pPr>
        <w:widowControl w:val="0"/>
        <w:autoSpaceDE w:val="0"/>
        <w:autoSpaceDN w:val="0"/>
        <w:adjustRightInd w:val="0"/>
        <w:spacing w:line="400" w:lineRule="exact"/>
        <w:ind w:firstLine="0"/>
        <w:jc w:val="left"/>
        <w:outlineLvl w:val="9"/>
        <w:rPr>
          <w:rFonts w:hint="eastAsia" w:ascii="宋体" w:hAnsi="宋体" w:eastAsia="宋体" w:cs="宋体"/>
          <w:color w:val="auto"/>
          <w:kern w:val="0"/>
          <w:sz w:val="24"/>
          <w:szCs w:val="24"/>
          <w:highlight w:val="none"/>
          <w:lang w:val="en-US" w:eastAsia="zh-CN" w:bidi="ar-SA"/>
        </w:rPr>
      </w:pPr>
    </w:p>
    <w:p w14:paraId="66AE2975">
      <w:pPr>
        <w:widowControl w:val="0"/>
        <w:autoSpaceDE w:val="0"/>
        <w:autoSpaceDN w:val="0"/>
        <w:adjustRightInd w:val="0"/>
        <w:spacing w:line="400" w:lineRule="exact"/>
        <w:ind w:firstLine="0"/>
        <w:jc w:val="center"/>
        <w:outlineLvl w:val="9"/>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第一部分 合同书</w:t>
      </w:r>
    </w:p>
    <w:p w14:paraId="55DA36BE">
      <w:pPr>
        <w:widowControl w:val="0"/>
        <w:autoSpaceDE w:val="0"/>
        <w:autoSpaceDN w:val="0"/>
        <w:adjustRightInd w:val="0"/>
        <w:spacing w:line="400" w:lineRule="exact"/>
        <w:ind w:firstLine="0"/>
        <w:jc w:val="left"/>
        <w:outlineLvl w:val="9"/>
        <w:rPr>
          <w:rFonts w:hint="eastAsia" w:ascii="宋体" w:hAnsi="宋体" w:eastAsia="宋体" w:cs="宋体"/>
          <w:color w:val="auto"/>
          <w:kern w:val="0"/>
          <w:sz w:val="24"/>
          <w:szCs w:val="24"/>
          <w:highlight w:val="none"/>
          <w:lang w:val="en-US" w:eastAsia="zh-CN" w:bidi="ar-SA"/>
        </w:rPr>
      </w:pPr>
    </w:p>
    <w:p w14:paraId="56E9C7E0">
      <w:pPr>
        <w:widowControl w:val="0"/>
        <w:autoSpaceDE w:val="0"/>
        <w:autoSpaceDN w:val="0"/>
        <w:adjustRightInd w:val="0"/>
        <w:spacing w:line="400" w:lineRule="exact"/>
        <w:ind w:firstLine="0"/>
        <w:jc w:val="left"/>
        <w:outlineLvl w:val="9"/>
        <w:rPr>
          <w:rFonts w:hint="eastAsia" w:ascii="宋体" w:hAnsi="宋体" w:eastAsia="宋体" w:cs="宋体"/>
          <w:color w:val="auto"/>
          <w:kern w:val="0"/>
          <w:sz w:val="24"/>
          <w:szCs w:val="24"/>
          <w:highlight w:val="none"/>
          <w:lang w:val="en-US" w:eastAsia="zh-CN" w:bidi="ar-SA"/>
        </w:rPr>
      </w:pPr>
    </w:p>
    <w:p w14:paraId="15A71E25">
      <w:pPr>
        <w:spacing w:before="120" w:line="400" w:lineRule="exact"/>
        <w:outlineLvl w:val="9"/>
        <w:rPr>
          <w:rFonts w:hint="eastAsia" w:ascii="宋体" w:hAnsi="宋体" w:eastAsia="宋体" w:cs="宋体"/>
          <w:color w:val="auto"/>
          <w:sz w:val="24"/>
          <w:highlight w:val="none"/>
        </w:rPr>
      </w:pPr>
    </w:p>
    <w:p w14:paraId="01D543BA">
      <w:pPr>
        <w:spacing w:before="120" w:line="400" w:lineRule="exact"/>
        <w:ind w:left="96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2AA53ACA">
      <w:pPr>
        <w:widowControl w:val="0"/>
        <w:spacing w:before="120" w:line="400" w:lineRule="exact"/>
        <w:jc w:val="both"/>
        <w:outlineLvl w:val="9"/>
        <w:rPr>
          <w:rFonts w:hint="eastAsia" w:ascii="宋体" w:hAnsi="宋体" w:eastAsia="宋体" w:cs="宋体"/>
          <w:color w:val="auto"/>
          <w:kern w:val="2"/>
          <w:sz w:val="24"/>
          <w:szCs w:val="24"/>
          <w:highlight w:val="none"/>
          <w:lang w:val="en-US" w:eastAsia="zh-CN" w:bidi="ar-SA"/>
        </w:rPr>
      </w:pPr>
    </w:p>
    <w:p w14:paraId="1B6D39F5">
      <w:pPr>
        <w:spacing w:line="400" w:lineRule="exact"/>
        <w:outlineLvl w:val="9"/>
        <w:rPr>
          <w:rFonts w:hint="eastAsia" w:ascii="宋体" w:hAnsi="宋体" w:eastAsia="宋体" w:cs="宋体"/>
          <w:color w:val="auto"/>
          <w:highlight w:val="none"/>
        </w:rPr>
      </w:pPr>
    </w:p>
    <w:p w14:paraId="11CD1A17">
      <w:pPr>
        <w:spacing w:before="120" w:line="400" w:lineRule="exact"/>
        <w:ind w:left="96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79A6BA7D">
      <w:pPr>
        <w:spacing w:before="120" w:line="400" w:lineRule="exact"/>
        <w:outlineLvl w:val="9"/>
        <w:rPr>
          <w:rFonts w:hint="eastAsia" w:ascii="宋体" w:hAnsi="宋体" w:eastAsia="宋体" w:cs="宋体"/>
          <w:color w:val="auto"/>
          <w:sz w:val="24"/>
          <w:highlight w:val="none"/>
        </w:rPr>
      </w:pPr>
    </w:p>
    <w:p w14:paraId="37792E20">
      <w:pPr>
        <w:spacing w:before="120" w:line="400" w:lineRule="exact"/>
        <w:ind w:left="96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2A70B64D">
      <w:pPr>
        <w:spacing w:before="120" w:line="400" w:lineRule="exact"/>
        <w:outlineLvl w:val="9"/>
        <w:rPr>
          <w:rFonts w:hint="eastAsia" w:ascii="宋体" w:hAnsi="宋体" w:eastAsia="宋体" w:cs="宋体"/>
          <w:color w:val="auto"/>
          <w:sz w:val="24"/>
          <w:highlight w:val="none"/>
        </w:rPr>
      </w:pPr>
    </w:p>
    <w:p w14:paraId="4580223D">
      <w:pPr>
        <w:spacing w:before="120" w:line="400" w:lineRule="exact"/>
        <w:ind w:firstLine="960" w:firstLineChars="4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524AC723">
      <w:pPr>
        <w:spacing w:before="120" w:line="400" w:lineRule="exact"/>
        <w:outlineLvl w:val="9"/>
        <w:rPr>
          <w:rFonts w:hint="eastAsia" w:ascii="宋体" w:hAnsi="宋体" w:eastAsia="宋体" w:cs="宋体"/>
          <w:color w:val="auto"/>
          <w:sz w:val="24"/>
          <w:highlight w:val="none"/>
        </w:rPr>
      </w:pPr>
    </w:p>
    <w:p w14:paraId="326D1FB9">
      <w:pPr>
        <w:spacing w:before="120" w:line="400" w:lineRule="exact"/>
        <w:ind w:firstLine="960" w:firstLineChars="4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5A90918F">
      <w:pPr>
        <w:autoSpaceDE w:val="0"/>
        <w:autoSpaceDN w:val="0"/>
        <w:adjustRightInd w:val="0"/>
        <w:spacing w:line="400" w:lineRule="exact"/>
        <w:ind w:firstLine="640"/>
        <w:jc w:val="center"/>
        <w:outlineLvl w:val="9"/>
        <w:rPr>
          <w:rFonts w:hint="eastAsia" w:ascii="宋体" w:hAnsi="宋体" w:eastAsia="宋体" w:cs="宋体"/>
          <w:color w:val="auto"/>
          <w:sz w:val="24"/>
          <w:highlight w:val="none"/>
        </w:rPr>
        <w:sectPr>
          <w:headerReference r:id="rId5" w:type="first"/>
          <w:footerReference r:id="rId8" w:type="first"/>
          <w:footerReference r:id="rId6" w:type="default"/>
          <w:headerReference r:id="rId4" w:type="even"/>
          <w:footerReference r:id="rId7" w:type="even"/>
          <w:pgSz w:w="11907" w:h="16840"/>
          <w:pgMar w:top="1474" w:right="1814" w:bottom="1474" w:left="1814" w:header="851" w:footer="851" w:gutter="0"/>
          <w:pgNumType w:fmt="decimal" w:start="1"/>
          <w:cols w:space="720" w:num="1"/>
          <w:docGrid w:linePitch="462" w:charSpace="0"/>
        </w:sectPr>
      </w:pPr>
    </w:p>
    <w:p w14:paraId="3C147706">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（同前页项目名称）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（成交供应商名称） </w:t>
      </w:r>
      <w:r>
        <w:rPr>
          <w:rFonts w:hint="eastAsia" w:ascii="宋体" w:hAnsi="宋体" w:eastAsia="宋体" w:cs="宋体"/>
          <w:color w:val="auto"/>
          <w:sz w:val="24"/>
          <w:highlight w:val="none"/>
        </w:rPr>
        <w:t>为该项目成交供应商。现于成交通知书发出之日起三十日内，按照采购文件确定的事项签订本合同。</w:t>
      </w:r>
    </w:p>
    <w:p w14:paraId="2C1D192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w:t>
      </w:r>
      <w:r>
        <w:rPr>
          <w:rFonts w:hint="eastAsia" w:ascii="宋体" w:hAnsi="宋体" w:eastAsia="宋体" w:cs="宋体"/>
          <w:color w:val="auto"/>
          <w:sz w:val="24"/>
          <w:highlight w:val="none"/>
          <w:lang w:val="en-US" w:eastAsia="zh-CN"/>
        </w:rPr>
        <w:t>民法典</w:t>
      </w:r>
      <w:r>
        <w:rPr>
          <w:rFonts w:hint="eastAsia" w:ascii="宋体" w:hAnsi="宋体" w:eastAsia="宋体" w:cs="宋体"/>
          <w:color w:val="auto"/>
          <w:sz w:val="24"/>
          <w:highlight w:val="none"/>
          <w:lang w:val="zh-CN"/>
        </w:rPr>
        <w:t>》、《中华人民共和国政府采购法》等相关法律法规之规定，按照平等、自愿、公平和诚实信用的原则，经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（成交供应商名称）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06BC8369">
      <w:pPr>
        <w:spacing w:line="400" w:lineRule="exact"/>
        <w:ind w:firstLine="482" w:firstLineChars="200"/>
        <w:outlineLvl w:val="9"/>
        <w:rPr>
          <w:rFonts w:hint="eastAsia" w:ascii="宋体" w:hAnsi="宋体" w:eastAsia="宋体" w:cs="宋体"/>
          <w:color w:val="auto"/>
          <w:sz w:val="24"/>
          <w:highlight w:val="none"/>
        </w:rPr>
      </w:pPr>
      <w:bookmarkStart w:id="2559" w:name="_Toc3665"/>
      <w:bookmarkStart w:id="2560" w:name="_Toc1880"/>
      <w:bookmarkStart w:id="2561" w:name="_Toc22723"/>
      <w:bookmarkStart w:id="2562" w:name="_Toc1256"/>
      <w:bookmarkStart w:id="2563" w:name="_Toc30978"/>
      <w:bookmarkStart w:id="2564" w:name="_Toc28762"/>
      <w:bookmarkStart w:id="2565" w:name="_Toc28855"/>
      <w:bookmarkStart w:id="2566" w:name="_Toc20041"/>
      <w:bookmarkStart w:id="2567" w:name="_Toc369"/>
      <w:bookmarkStart w:id="2568" w:name="_Toc570"/>
      <w:bookmarkStart w:id="2569" w:name="_Toc11864"/>
      <w:bookmarkStart w:id="2570" w:name="_Toc30094"/>
      <w:bookmarkStart w:id="2571" w:name="_Toc21478"/>
      <w:bookmarkStart w:id="2572" w:name="_Toc18383"/>
      <w:bookmarkStart w:id="2573" w:name="_Toc20566"/>
      <w:bookmarkStart w:id="2574" w:name="_Toc5753"/>
      <w:bookmarkStart w:id="2575" w:name="_Toc23100"/>
      <w:bookmarkStart w:id="2576" w:name="_Toc8106"/>
      <w:bookmarkStart w:id="2577" w:name="_Toc6798"/>
      <w:bookmarkStart w:id="2578" w:name="_Toc32571"/>
      <w:bookmarkStart w:id="2579" w:name="_Toc13594"/>
      <w:bookmarkStart w:id="2580" w:name="_Toc15367"/>
      <w:bookmarkStart w:id="2581" w:name="_Toc19273"/>
      <w:bookmarkStart w:id="2582" w:name="_Toc20421"/>
      <w:bookmarkStart w:id="2583" w:name="_Toc7758"/>
      <w:r>
        <w:rPr>
          <w:rFonts w:hint="eastAsia" w:ascii="宋体" w:hAnsi="宋体" w:eastAsia="宋体" w:cs="宋体"/>
          <w:b/>
          <w:color w:val="auto"/>
          <w:sz w:val="24"/>
          <w:highlight w:val="none"/>
        </w:rPr>
        <w:t>1.1 合同组成部分</w:t>
      </w:r>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p>
    <w:p w14:paraId="24C1FBB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A76AAB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23E26FA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1.1.2中标通知书；</w:t>
      </w:r>
    </w:p>
    <w:p w14:paraId="704DFEFF">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1.1.3 </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文件（含澄清或者说明文件）；</w:t>
      </w:r>
    </w:p>
    <w:p w14:paraId="5339E8CB">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1.1.4 招标文件（含澄清或者修改文件）；</w:t>
      </w:r>
    </w:p>
    <w:p w14:paraId="1B30444C">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53CAEDD3">
      <w:pPr>
        <w:spacing w:line="400" w:lineRule="exact"/>
        <w:ind w:firstLine="482" w:firstLineChars="200"/>
        <w:outlineLvl w:val="9"/>
        <w:rPr>
          <w:rFonts w:hint="eastAsia" w:ascii="宋体" w:hAnsi="宋体" w:eastAsia="宋体" w:cs="宋体"/>
          <w:b/>
          <w:color w:val="auto"/>
          <w:sz w:val="24"/>
          <w:highlight w:val="none"/>
        </w:rPr>
      </w:pPr>
      <w:bookmarkStart w:id="2584" w:name="_Toc23703"/>
      <w:bookmarkStart w:id="2585" w:name="_Toc15369"/>
      <w:bookmarkStart w:id="2586" w:name="_Toc1944"/>
      <w:bookmarkStart w:id="2587" w:name="_Toc6311"/>
      <w:bookmarkStart w:id="2588" w:name="_Toc27911"/>
      <w:bookmarkStart w:id="2589" w:name="_Toc538"/>
      <w:bookmarkStart w:id="2590" w:name="_Toc31498"/>
      <w:bookmarkStart w:id="2591" w:name="_Toc23275"/>
      <w:bookmarkStart w:id="2592" w:name="_Toc6313"/>
      <w:bookmarkStart w:id="2593" w:name="_Toc10842"/>
      <w:bookmarkStart w:id="2594" w:name="_Toc15104"/>
      <w:bookmarkStart w:id="2595" w:name="_Toc22185"/>
      <w:bookmarkStart w:id="2596" w:name="_Toc17988"/>
      <w:bookmarkStart w:id="2597" w:name="_Toc12685"/>
      <w:bookmarkStart w:id="2598" w:name="_Toc3652"/>
      <w:bookmarkStart w:id="2599" w:name="_Toc661"/>
      <w:bookmarkStart w:id="2600" w:name="_Toc18585"/>
      <w:bookmarkStart w:id="2601" w:name="_Toc2918"/>
      <w:bookmarkStart w:id="2602" w:name="_Toc6773"/>
      <w:bookmarkStart w:id="2603" w:name="_Toc24493"/>
      <w:bookmarkStart w:id="2604" w:name="_Toc18571"/>
      <w:bookmarkStart w:id="2605" w:name="_Toc13287"/>
      <w:bookmarkStart w:id="2606" w:name="_Toc20937"/>
      <w:bookmarkStart w:id="2607" w:name="_Toc1090"/>
      <w:bookmarkStart w:id="2608" w:name="_Toc15969"/>
      <w:bookmarkStart w:id="2609" w:name="_Toc6303"/>
      <w:r>
        <w:rPr>
          <w:rFonts w:hint="eastAsia" w:ascii="宋体" w:hAnsi="宋体" w:eastAsia="宋体" w:cs="宋体"/>
          <w:b/>
          <w:color w:val="auto"/>
          <w:sz w:val="24"/>
          <w:highlight w:val="none"/>
        </w:rPr>
        <w:t>1.2 标的</w:t>
      </w:r>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p>
    <w:p w14:paraId="2F3B4CAE">
      <w:pPr>
        <w:spacing w:line="400" w:lineRule="exact"/>
        <w:ind w:firstLine="480" w:firstLineChars="2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标的名称：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7D87221D">
      <w:pPr>
        <w:spacing w:line="400" w:lineRule="exact"/>
        <w:ind w:firstLine="480" w:firstLineChars="2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标的数量：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7142B880">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1.2.3 标的质量：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C9CDD8E">
      <w:pPr>
        <w:spacing w:line="400" w:lineRule="exact"/>
        <w:ind w:firstLine="482" w:firstLineChars="200"/>
        <w:outlineLvl w:val="9"/>
        <w:rPr>
          <w:rFonts w:hint="eastAsia" w:ascii="宋体" w:hAnsi="宋体" w:eastAsia="宋体" w:cs="宋体"/>
          <w:b/>
          <w:color w:val="auto"/>
          <w:sz w:val="24"/>
          <w:highlight w:val="none"/>
        </w:rPr>
      </w:pPr>
      <w:bookmarkStart w:id="2610" w:name="_Toc26191"/>
      <w:bookmarkStart w:id="2611" w:name="_Toc13918"/>
      <w:bookmarkStart w:id="2612" w:name="_Toc4932"/>
      <w:bookmarkStart w:id="2613" w:name="_Toc8552"/>
      <w:bookmarkStart w:id="2614" w:name="_Toc2888"/>
      <w:bookmarkStart w:id="2615" w:name="_Toc28143"/>
      <w:bookmarkStart w:id="2616" w:name="_Toc29228"/>
      <w:bookmarkStart w:id="2617" w:name="_Toc21124"/>
      <w:bookmarkStart w:id="2618" w:name="_Toc4687"/>
      <w:bookmarkStart w:id="2619" w:name="_Toc13512"/>
      <w:bookmarkStart w:id="2620" w:name="_Toc23906"/>
      <w:bookmarkStart w:id="2621" w:name="_Toc31422"/>
      <w:bookmarkStart w:id="2622" w:name="_Toc8302"/>
      <w:bookmarkStart w:id="2623" w:name="_Toc18670"/>
      <w:bookmarkStart w:id="2624" w:name="_Toc30567"/>
      <w:bookmarkStart w:id="2625" w:name="_Toc13554"/>
      <w:bookmarkStart w:id="2626" w:name="_Toc32314"/>
      <w:bookmarkStart w:id="2627" w:name="_Toc31014"/>
      <w:bookmarkStart w:id="2628" w:name="_Toc16545"/>
      <w:bookmarkStart w:id="2629" w:name="_Toc4929"/>
      <w:bookmarkStart w:id="2630" w:name="_Toc23026"/>
      <w:bookmarkStart w:id="2631" w:name="_Toc11056"/>
      <w:bookmarkStart w:id="2632" w:name="_Toc5635"/>
      <w:bookmarkStart w:id="2633" w:name="_Toc27077"/>
      <w:r>
        <w:rPr>
          <w:rFonts w:hint="eastAsia" w:ascii="宋体" w:hAnsi="宋体" w:eastAsia="宋体" w:cs="宋体"/>
          <w:b/>
          <w:color w:val="auto"/>
          <w:sz w:val="24"/>
          <w:highlight w:val="none"/>
        </w:rPr>
        <w:t>1.3 价款</w:t>
      </w:r>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p>
    <w:p w14:paraId="52FF539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本合同总价为：￥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49B08BBF">
      <w:pPr>
        <w:spacing w:line="400" w:lineRule="exact"/>
        <w:ind w:firstLine="480" w:firstLineChars="2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2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0EEE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84DA2DE">
            <w:pPr>
              <w:widowControl w:val="0"/>
              <w:spacing w:line="400" w:lineRule="exact"/>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序号</w:t>
            </w:r>
          </w:p>
        </w:tc>
        <w:tc>
          <w:tcPr>
            <w:tcW w:w="3402" w:type="dxa"/>
            <w:vAlign w:val="center"/>
          </w:tcPr>
          <w:p w14:paraId="206B17F0">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分项名称</w:t>
            </w:r>
          </w:p>
        </w:tc>
        <w:tc>
          <w:tcPr>
            <w:tcW w:w="2552" w:type="dxa"/>
            <w:vAlign w:val="center"/>
          </w:tcPr>
          <w:p w14:paraId="7D1EB57C">
            <w:pPr>
              <w:widowControl w:val="0"/>
              <w:spacing w:line="400" w:lineRule="exact"/>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分项价格</w:t>
            </w:r>
          </w:p>
        </w:tc>
      </w:tr>
      <w:tr w14:paraId="72464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663F0D6">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3402" w:type="dxa"/>
            <w:vAlign w:val="center"/>
          </w:tcPr>
          <w:p w14:paraId="0CB9709E">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2552" w:type="dxa"/>
            <w:vAlign w:val="center"/>
          </w:tcPr>
          <w:p w14:paraId="45757642">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r>
      <w:tr w14:paraId="69F0B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CA223D">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3402" w:type="dxa"/>
            <w:vAlign w:val="center"/>
          </w:tcPr>
          <w:p w14:paraId="7266A128">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2552" w:type="dxa"/>
            <w:vAlign w:val="center"/>
          </w:tcPr>
          <w:p w14:paraId="26E6EE87">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r>
      <w:tr w14:paraId="0EEC6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290DE1">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3402" w:type="dxa"/>
            <w:vAlign w:val="center"/>
          </w:tcPr>
          <w:p w14:paraId="121D33AC">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2552" w:type="dxa"/>
            <w:vAlign w:val="center"/>
          </w:tcPr>
          <w:p w14:paraId="1EFC2FBB">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r>
      <w:tr w14:paraId="3D8E2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ADEDB4">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3402" w:type="dxa"/>
            <w:vAlign w:val="center"/>
          </w:tcPr>
          <w:p w14:paraId="0717ACD6">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c>
          <w:tcPr>
            <w:tcW w:w="2552" w:type="dxa"/>
            <w:vAlign w:val="center"/>
          </w:tcPr>
          <w:p w14:paraId="79F4A05D">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r>
      <w:tr w14:paraId="140AE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5FB38AD">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总价</w:t>
            </w:r>
          </w:p>
        </w:tc>
        <w:tc>
          <w:tcPr>
            <w:tcW w:w="2552" w:type="dxa"/>
            <w:vAlign w:val="center"/>
          </w:tcPr>
          <w:p w14:paraId="2903C8F1">
            <w:pPr>
              <w:widowControl w:val="0"/>
              <w:spacing w:line="400" w:lineRule="exact"/>
              <w:ind w:firstLine="200"/>
              <w:jc w:val="center"/>
              <w:outlineLvl w:val="9"/>
              <w:rPr>
                <w:rFonts w:hint="eastAsia" w:ascii="宋体" w:hAnsi="宋体" w:eastAsia="宋体" w:cs="宋体"/>
                <w:color w:val="auto"/>
                <w:kern w:val="2"/>
                <w:sz w:val="24"/>
                <w:szCs w:val="24"/>
                <w:highlight w:val="none"/>
                <w:lang w:val="en-US" w:eastAsia="zh-CN" w:bidi="ar-SA"/>
              </w:rPr>
            </w:pPr>
          </w:p>
        </w:tc>
      </w:tr>
    </w:tbl>
    <w:p w14:paraId="0FA28815">
      <w:pPr>
        <w:spacing w:line="400" w:lineRule="exact"/>
        <w:ind w:firstLine="482" w:firstLineChars="200"/>
        <w:outlineLvl w:val="9"/>
        <w:rPr>
          <w:rFonts w:hint="eastAsia" w:ascii="宋体" w:hAnsi="宋体" w:eastAsia="宋体" w:cs="宋体"/>
          <w:b/>
          <w:color w:val="auto"/>
          <w:sz w:val="24"/>
          <w:highlight w:val="none"/>
        </w:rPr>
      </w:pPr>
      <w:bookmarkStart w:id="2634" w:name="_Toc6998"/>
      <w:bookmarkStart w:id="2635" w:name="_Toc30158"/>
      <w:bookmarkStart w:id="2636" w:name="_Toc8041"/>
      <w:bookmarkStart w:id="2637" w:name="_Toc23173"/>
      <w:bookmarkStart w:id="2638" w:name="_Toc28637"/>
      <w:bookmarkStart w:id="2639" w:name="_Toc2559"/>
      <w:bookmarkStart w:id="2640" w:name="_Toc25910"/>
      <w:bookmarkStart w:id="2641" w:name="_Toc14993"/>
      <w:bookmarkStart w:id="2642" w:name="_Toc17855"/>
      <w:bookmarkStart w:id="2643" w:name="_Toc11405"/>
      <w:bookmarkStart w:id="2644" w:name="_Toc14493"/>
      <w:bookmarkStart w:id="2645" w:name="_Toc11286"/>
      <w:bookmarkStart w:id="2646" w:name="_Toc20170"/>
      <w:bookmarkStart w:id="2647" w:name="_Toc21059"/>
      <w:bookmarkStart w:id="2648" w:name="_Toc7832"/>
      <w:bookmarkStart w:id="2649" w:name="_Toc24248"/>
      <w:bookmarkStart w:id="2650" w:name="_Toc30506"/>
      <w:bookmarkStart w:id="2651" w:name="_Toc2359"/>
      <w:bookmarkStart w:id="2652" w:name="_Toc28219"/>
      <w:bookmarkStart w:id="2653" w:name="_Toc19221"/>
      <w:bookmarkStart w:id="2654" w:name="_Toc30466"/>
      <w:bookmarkStart w:id="2655" w:name="_Toc32305"/>
      <w:bookmarkStart w:id="2656" w:name="_Toc26916"/>
      <w:bookmarkStart w:id="2657" w:name="_Toc3654"/>
      <w:bookmarkStart w:id="2658" w:name="_Toc19143"/>
      <w:bookmarkStart w:id="2659" w:name="_Toc31276"/>
      <w:r>
        <w:rPr>
          <w:rFonts w:hint="eastAsia" w:ascii="宋体" w:hAnsi="宋体" w:eastAsia="宋体" w:cs="宋体"/>
          <w:b/>
          <w:color w:val="auto"/>
          <w:sz w:val="24"/>
          <w:highlight w:val="none"/>
        </w:rPr>
        <w:t>1.4 付款方式和发票开具方式</w:t>
      </w:r>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p>
    <w:p w14:paraId="07A0CB5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1.4.1付款方式：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1CCD9A6">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1.4.2 发票开具方式：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28B4322">
      <w:pPr>
        <w:spacing w:line="400" w:lineRule="exact"/>
        <w:ind w:firstLine="482" w:firstLineChars="200"/>
        <w:outlineLvl w:val="9"/>
        <w:rPr>
          <w:rFonts w:hint="eastAsia" w:ascii="宋体" w:hAnsi="宋体" w:eastAsia="宋体" w:cs="宋体"/>
          <w:b/>
          <w:color w:val="auto"/>
          <w:sz w:val="24"/>
          <w:highlight w:val="none"/>
        </w:rPr>
      </w:pPr>
      <w:bookmarkStart w:id="2660" w:name="_Toc24233"/>
      <w:bookmarkStart w:id="2661" w:name="_Toc25264"/>
      <w:bookmarkStart w:id="2662" w:name="_Toc11818"/>
      <w:bookmarkStart w:id="2663" w:name="_Toc1111"/>
      <w:bookmarkStart w:id="2664" w:name="_Toc27836"/>
      <w:bookmarkStart w:id="2665" w:name="_Toc25762"/>
      <w:bookmarkStart w:id="2666" w:name="_Toc8880"/>
      <w:bookmarkStart w:id="2667" w:name="_Toc11108"/>
      <w:bookmarkStart w:id="2668" w:name="_Toc1724"/>
      <w:bookmarkStart w:id="2669" w:name="_Toc12261"/>
      <w:bookmarkStart w:id="2670" w:name="_Toc4760"/>
      <w:bookmarkStart w:id="2671" w:name="_Toc4301"/>
      <w:bookmarkStart w:id="2672" w:name="_Toc21606"/>
      <w:bookmarkStart w:id="2673" w:name="_Toc28300"/>
      <w:bookmarkStart w:id="2674" w:name="_Toc31421"/>
      <w:bookmarkStart w:id="2675" w:name="_Toc3625"/>
      <w:bookmarkStart w:id="2676" w:name="_Toc28212"/>
      <w:bookmarkStart w:id="2677" w:name="_Toc3251"/>
      <w:bookmarkStart w:id="2678" w:name="_Toc17889"/>
      <w:bookmarkStart w:id="2679" w:name="_Toc19186"/>
      <w:bookmarkStart w:id="2680" w:name="_Toc3007"/>
      <w:bookmarkStart w:id="2681" w:name="_Toc23903"/>
      <w:bookmarkStart w:id="2682" w:name="_Toc2069"/>
      <w:r>
        <w:rPr>
          <w:rFonts w:hint="eastAsia" w:ascii="宋体" w:hAnsi="宋体" w:eastAsia="宋体" w:cs="宋体"/>
          <w:b/>
          <w:color w:val="auto"/>
          <w:sz w:val="24"/>
          <w:highlight w:val="none"/>
        </w:rPr>
        <w:t>1.5 履行期限、地点和方式</w:t>
      </w:r>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p>
    <w:p w14:paraId="25905952">
      <w:pPr>
        <w:spacing w:line="400" w:lineRule="exact"/>
        <w:ind w:firstLine="480" w:firstLineChars="200"/>
        <w:outlineLvl w:val="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1.5.1 履行期限：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A9C6C1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1.5.2 履行地点：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4BFC621">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1.5.3 履行方式：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11CD519">
      <w:pPr>
        <w:spacing w:line="400" w:lineRule="exact"/>
        <w:ind w:firstLine="482" w:firstLineChars="200"/>
        <w:outlineLvl w:val="9"/>
        <w:rPr>
          <w:rFonts w:hint="eastAsia" w:ascii="宋体" w:hAnsi="宋体" w:eastAsia="宋体" w:cs="宋体"/>
          <w:color w:val="auto"/>
          <w:sz w:val="24"/>
          <w:highlight w:val="none"/>
          <w:u w:val="single"/>
        </w:rPr>
      </w:pPr>
      <w:bookmarkStart w:id="2683" w:name="_Toc13343"/>
      <w:bookmarkStart w:id="2684" w:name="_Toc5418"/>
      <w:bookmarkStart w:id="2685" w:name="_Toc25461"/>
      <w:bookmarkStart w:id="2686" w:name="_Toc2665"/>
      <w:bookmarkStart w:id="2687" w:name="_Toc18326"/>
      <w:bookmarkStart w:id="2688" w:name="_Toc22963"/>
      <w:bookmarkStart w:id="2689" w:name="_Toc21451"/>
      <w:bookmarkStart w:id="2690" w:name="_Toc6073"/>
      <w:bookmarkStart w:id="2691" w:name="_Toc5466"/>
      <w:bookmarkStart w:id="2692" w:name="_Toc30025"/>
      <w:bookmarkStart w:id="2693" w:name="_Toc24662"/>
      <w:bookmarkStart w:id="2694" w:name="_Toc3290"/>
      <w:bookmarkStart w:id="2695" w:name="_Toc16708"/>
      <w:bookmarkStart w:id="2696" w:name="_Toc3079"/>
      <w:bookmarkStart w:id="2697" w:name="_Toc18474"/>
      <w:bookmarkStart w:id="2698" w:name="_Toc13212"/>
      <w:bookmarkStart w:id="2699" w:name="_Toc5863"/>
      <w:bookmarkStart w:id="2700" w:name="_Toc12514"/>
      <w:bookmarkStart w:id="2701" w:name="_Toc27990"/>
      <w:bookmarkStart w:id="2702" w:name="_Toc11301"/>
      <w:bookmarkStart w:id="2703" w:name="_Toc15648"/>
      <w:bookmarkStart w:id="2704" w:name="_Toc5698"/>
      <w:r>
        <w:rPr>
          <w:rFonts w:hint="eastAsia" w:ascii="宋体" w:hAnsi="宋体" w:eastAsia="宋体" w:cs="宋体"/>
          <w:b/>
          <w:color w:val="auto"/>
          <w:sz w:val="24"/>
          <w:highlight w:val="none"/>
        </w:rPr>
        <w:t>1.6 违约责任</w:t>
      </w:r>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p>
    <w:p w14:paraId="38184B5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0.5</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5</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5A7D1E74">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0.0001</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0.005</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p>
    <w:p w14:paraId="7CCBE4E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DA4FCA5">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1D4E4E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C0FC561">
      <w:pPr>
        <w:spacing w:line="400" w:lineRule="exact"/>
        <w:ind w:firstLine="480" w:firstLineChars="20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1.6.6 如果出现政府采购监督管理部门在处理投诉事项期间，书面通知甲方暂停采购活动的情形，或者询问或质疑事项可能影响成交结果的，导致甲方中止履行合同的情形，均不视为甲方违约</w:t>
      </w:r>
      <w:r>
        <w:rPr>
          <w:rFonts w:hint="eastAsia" w:ascii="宋体" w:hAnsi="宋体" w:eastAsia="宋体" w:cs="宋体"/>
          <w:color w:val="auto"/>
          <w:sz w:val="24"/>
          <w:highlight w:val="none"/>
          <w:lang w:eastAsia="zh-CN"/>
        </w:rPr>
        <w:t>；</w:t>
      </w:r>
    </w:p>
    <w:p w14:paraId="4B50AA08">
      <w:pPr>
        <w:spacing w:line="400" w:lineRule="exact"/>
        <w:ind w:firstLine="480" w:firstLineChars="20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1.6.7 乙方不能按期交货的，应承担货款总额每日1%的违约金。延迟超过10天的，甲方可以解除合同，同时要求乙方支付货款总额30%的违约金。甲方可以在货款中直接扣除违约金部分。货款部分不足以抵扣的，甲方有权向乙方追偿；</w:t>
      </w:r>
    </w:p>
    <w:p w14:paraId="347B8253">
      <w:pPr>
        <w:spacing w:line="400" w:lineRule="exact"/>
        <w:ind w:firstLine="480" w:firstLineChars="200"/>
        <w:outlineLvl w:val="9"/>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1.6.8 因乙方违约，导致甲方向乙方主张权利产生的费用包括不限于：诉讼费、律师费、执行费、公证费、差旅费等由乙方承担。</w:t>
      </w:r>
    </w:p>
    <w:p w14:paraId="3195D466">
      <w:pPr>
        <w:spacing w:line="400" w:lineRule="exact"/>
        <w:ind w:firstLine="482" w:firstLineChars="200"/>
        <w:outlineLvl w:val="9"/>
        <w:rPr>
          <w:rFonts w:hint="eastAsia" w:ascii="宋体" w:hAnsi="宋体" w:eastAsia="宋体" w:cs="宋体"/>
          <w:b/>
          <w:color w:val="auto"/>
          <w:sz w:val="24"/>
          <w:highlight w:val="none"/>
        </w:rPr>
      </w:pPr>
      <w:bookmarkStart w:id="2705" w:name="_Toc10575"/>
      <w:bookmarkStart w:id="2706" w:name="_Toc16127"/>
      <w:bookmarkStart w:id="2707" w:name="_Toc32454"/>
      <w:bookmarkStart w:id="2708" w:name="_Toc18683"/>
      <w:bookmarkStart w:id="2709" w:name="_Toc26880"/>
      <w:bookmarkStart w:id="2710" w:name="_Toc4448"/>
      <w:bookmarkStart w:id="2711" w:name="_Toc12954"/>
      <w:bookmarkStart w:id="2712" w:name="_Toc3634"/>
      <w:bookmarkStart w:id="2713" w:name="_Toc9497"/>
      <w:bookmarkStart w:id="2714" w:name="_Toc19103"/>
      <w:bookmarkStart w:id="2715" w:name="_Toc14940"/>
      <w:bookmarkStart w:id="2716" w:name="_Toc19978"/>
      <w:bookmarkStart w:id="2717" w:name="_Toc26807"/>
      <w:bookmarkStart w:id="2718" w:name="_Toc22754"/>
      <w:bookmarkStart w:id="2719" w:name="_Toc21818"/>
      <w:bookmarkStart w:id="2720" w:name="_Toc774"/>
      <w:bookmarkStart w:id="2721" w:name="_Toc30329"/>
      <w:bookmarkStart w:id="2722" w:name="_Toc13634"/>
      <w:bookmarkStart w:id="2723" w:name="_Toc13358"/>
      <w:bookmarkStart w:id="2724" w:name="_Toc15489"/>
      <w:bookmarkStart w:id="2725" w:name="_Toc25086"/>
      <w:bookmarkStart w:id="2726" w:name="_Toc23069"/>
      <w:bookmarkStart w:id="2727" w:name="_Toc4563"/>
      <w:bookmarkStart w:id="2728" w:name="_Toc28727"/>
      <w:bookmarkStart w:id="2729" w:name="_Toc3964"/>
      <w:bookmarkStart w:id="2730" w:name="_Toc24886"/>
      <w:r>
        <w:rPr>
          <w:rFonts w:hint="eastAsia" w:ascii="宋体" w:hAnsi="宋体" w:eastAsia="宋体" w:cs="宋体"/>
          <w:b/>
          <w:color w:val="auto"/>
          <w:sz w:val="24"/>
          <w:highlight w:val="none"/>
        </w:rPr>
        <w:t>1.7 合同争议的解决</w:t>
      </w:r>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p>
    <w:p w14:paraId="66071290">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向</w:t>
      </w:r>
      <w:r>
        <w:rPr>
          <w:rFonts w:hint="eastAsia" w:ascii="宋体" w:hAnsi="宋体" w:eastAsia="宋体" w:cs="宋体"/>
          <w:color w:val="auto"/>
          <w:sz w:val="24"/>
          <w:highlight w:val="none"/>
          <w:u w:val="none"/>
          <w:lang w:val="en-US" w:eastAsia="zh-CN"/>
        </w:rPr>
        <w:t>甲方所在地</w:t>
      </w:r>
      <w:r>
        <w:rPr>
          <w:rFonts w:hint="eastAsia" w:ascii="宋体" w:hAnsi="宋体" w:eastAsia="宋体" w:cs="宋体"/>
          <w:color w:val="auto"/>
          <w:sz w:val="24"/>
          <w:highlight w:val="none"/>
        </w:rPr>
        <w:t>人民法院起诉。</w:t>
      </w:r>
    </w:p>
    <w:p w14:paraId="567C90BC">
      <w:pPr>
        <w:spacing w:line="400" w:lineRule="exact"/>
        <w:ind w:firstLine="482" w:firstLineChars="200"/>
        <w:outlineLvl w:val="9"/>
        <w:rPr>
          <w:rFonts w:hint="eastAsia" w:ascii="宋体" w:hAnsi="宋体" w:eastAsia="宋体" w:cs="宋体"/>
          <w:b/>
          <w:color w:val="auto"/>
          <w:sz w:val="24"/>
          <w:highlight w:val="none"/>
        </w:rPr>
      </w:pPr>
      <w:bookmarkStart w:id="2731" w:name="_Toc16417"/>
      <w:bookmarkStart w:id="2732" w:name="_Toc1472"/>
      <w:bookmarkStart w:id="2733" w:name="_Toc13186"/>
      <w:bookmarkStart w:id="2734" w:name="_Toc8068"/>
      <w:bookmarkStart w:id="2735" w:name="_Toc11442"/>
      <w:bookmarkStart w:id="2736" w:name="_Toc26227"/>
      <w:bookmarkStart w:id="2737" w:name="_Toc12273"/>
      <w:bookmarkStart w:id="2738" w:name="_Toc26827"/>
      <w:bookmarkStart w:id="2739" w:name="_Toc10526"/>
      <w:bookmarkStart w:id="2740" w:name="_Toc14204"/>
      <w:bookmarkStart w:id="2741" w:name="_Toc17508"/>
      <w:bookmarkStart w:id="2742" w:name="_Toc9351"/>
      <w:bookmarkStart w:id="2743" w:name="_Toc13173"/>
      <w:bookmarkStart w:id="2744" w:name="_Toc31751"/>
      <w:bookmarkStart w:id="2745" w:name="_Toc32664"/>
      <w:bookmarkStart w:id="2746" w:name="_Toc24581"/>
      <w:bookmarkStart w:id="2747" w:name="_Toc15827"/>
      <w:bookmarkStart w:id="2748" w:name="_Toc20156"/>
      <w:bookmarkStart w:id="2749" w:name="_Toc7503"/>
      <w:bookmarkStart w:id="2750" w:name="_Toc18071"/>
      <w:bookmarkStart w:id="2751" w:name="_Toc20826"/>
      <w:bookmarkStart w:id="2752" w:name="_Toc6707"/>
      <w:bookmarkStart w:id="2753" w:name="_Toc6048"/>
      <w:bookmarkStart w:id="2754" w:name="_Toc2083"/>
      <w:bookmarkStart w:id="2755" w:name="_Toc22154"/>
      <w:bookmarkStart w:id="2756" w:name="_Toc1048"/>
      <w:r>
        <w:rPr>
          <w:rFonts w:hint="eastAsia" w:ascii="宋体" w:hAnsi="宋体" w:eastAsia="宋体" w:cs="宋体"/>
          <w:b/>
          <w:color w:val="auto"/>
          <w:sz w:val="24"/>
          <w:highlight w:val="none"/>
        </w:rPr>
        <w:t>1.8 合同生效</w:t>
      </w:r>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p>
    <w:p w14:paraId="2C45BABA">
      <w:pPr>
        <w:spacing w:line="400" w:lineRule="exact"/>
        <w:ind w:firstLine="480" w:firstLineChars="200"/>
        <w:outlineLvl w:val="9"/>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本合同自双方当事人盖章或者签字时生效。</w:t>
      </w:r>
    </w:p>
    <w:p w14:paraId="5A656270">
      <w:pPr>
        <w:autoSpaceDE w:val="0"/>
        <w:autoSpaceDN w:val="0"/>
        <w:adjustRightInd w:val="0"/>
        <w:spacing w:line="400" w:lineRule="exact"/>
        <w:outlineLvl w:val="9"/>
        <w:rPr>
          <w:rFonts w:hint="eastAsia" w:ascii="宋体" w:hAnsi="宋体" w:eastAsia="宋体" w:cs="宋体"/>
          <w:color w:val="auto"/>
          <w:sz w:val="24"/>
          <w:highlight w:val="none"/>
          <w:lang w:val="zh-CN"/>
        </w:rPr>
      </w:pPr>
    </w:p>
    <w:p w14:paraId="3D2F7683">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41092E36">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4928DAD6">
      <w:pPr>
        <w:autoSpaceDE w:val="0"/>
        <w:autoSpaceDN w:val="0"/>
        <w:adjustRightInd w:val="0"/>
        <w:spacing w:line="400" w:lineRule="exact"/>
        <w:outlineLvl w:val="9"/>
        <w:rPr>
          <w:rFonts w:hint="eastAsia" w:ascii="宋体" w:hAnsi="宋体" w:eastAsia="宋体" w:cs="宋体"/>
          <w:color w:val="auto"/>
          <w:sz w:val="24"/>
          <w:highlight w:val="none"/>
          <w:lang w:val="zh-CN"/>
        </w:rPr>
      </w:pPr>
    </w:p>
    <w:p w14:paraId="68A299EE">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36B6EFFA">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w:t>
      </w:r>
    </w:p>
    <w:p w14:paraId="2AEECE0B">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或授权代表（签字）: </w:t>
      </w:r>
    </w:p>
    <w:p w14:paraId="4C8274DA">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63EA841E">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1A622229">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587D84C5">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29B6733B">
      <w:pPr>
        <w:autoSpaceDE w:val="0"/>
        <w:autoSpaceDN w:val="0"/>
        <w:adjustRightInd w:val="0"/>
        <w:spacing w:line="4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1D9A7C5E">
      <w:pPr>
        <w:autoSpaceDE w:val="0"/>
        <w:autoSpaceDN w:val="0"/>
        <w:adjustRightInd w:val="0"/>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77686268">
      <w:pPr>
        <w:autoSpaceDE w:val="0"/>
        <w:autoSpaceDN w:val="0"/>
        <w:adjustRightInd w:val="0"/>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53B25EB9">
      <w:pPr>
        <w:autoSpaceDE w:val="0"/>
        <w:autoSpaceDN w:val="0"/>
        <w:adjustRightInd w:val="0"/>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74DE55CA">
      <w:pPr>
        <w:autoSpaceDE w:val="0"/>
        <w:autoSpaceDN w:val="0"/>
        <w:adjustRightInd w:val="0"/>
        <w:spacing w:line="40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148BC3E4">
      <w:pPr>
        <w:widowControl/>
        <w:spacing w:line="400" w:lineRule="exact"/>
        <w:jc w:val="left"/>
        <w:outlineLvl w:val="9"/>
        <w:rPr>
          <w:rFonts w:hint="eastAsia" w:ascii="宋体" w:hAnsi="宋体" w:eastAsia="宋体" w:cs="宋体"/>
          <w:b/>
          <w:color w:val="auto"/>
          <w:highlight w:val="none"/>
        </w:rPr>
      </w:pPr>
      <w:bookmarkStart w:id="2757" w:name="_Toc331685783"/>
    </w:p>
    <w:p w14:paraId="660E4885">
      <w:pPr>
        <w:widowControl/>
        <w:spacing w:line="400" w:lineRule="exact"/>
        <w:jc w:val="left"/>
        <w:outlineLvl w:val="9"/>
        <w:rPr>
          <w:rFonts w:hint="eastAsia" w:ascii="宋体" w:hAnsi="宋体" w:eastAsia="宋体" w:cs="宋体"/>
          <w:b/>
          <w:color w:val="auto"/>
          <w:highlight w:val="none"/>
        </w:rPr>
      </w:pPr>
    </w:p>
    <w:p w14:paraId="589C3D84">
      <w:pPr>
        <w:widowControl/>
        <w:spacing w:line="400" w:lineRule="exact"/>
        <w:jc w:val="left"/>
        <w:outlineLvl w:val="9"/>
        <w:rPr>
          <w:rFonts w:hint="eastAsia" w:ascii="宋体" w:hAnsi="宋体" w:eastAsia="宋体" w:cs="宋体"/>
          <w:b/>
          <w:color w:val="auto"/>
          <w:kern w:val="0"/>
          <w:sz w:val="24"/>
          <w:highlight w:val="none"/>
        </w:rPr>
      </w:pPr>
    </w:p>
    <w:p w14:paraId="5C040462">
      <w:pPr>
        <w:widowControl/>
        <w:spacing w:line="400" w:lineRule="exact"/>
        <w:jc w:val="left"/>
        <w:outlineLvl w:val="9"/>
        <w:rPr>
          <w:rFonts w:hint="eastAsia" w:ascii="宋体" w:hAnsi="宋体" w:eastAsia="宋体" w:cs="宋体"/>
          <w:b/>
          <w:color w:val="auto"/>
          <w:kern w:val="0"/>
          <w:sz w:val="24"/>
          <w:highlight w:val="none"/>
        </w:rPr>
      </w:pPr>
    </w:p>
    <w:p w14:paraId="7C160339">
      <w:pPr>
        <w:widowControl w:val="0"/>
        <w:autoSpaceDE w:val="0"/>
        <w:autoSpaceDN w:val="0"/>
        <w:adjustRightInd w:val="0"/>
        <w:spacing w:line="400" w:lineRule="exact"/>
        <w:ind w:firstLine="0"/>
        <w:jc w:val="both"/>
        <w:outlineLvl w:val="9"/>
        <w:rPr>
          <w:rFonts w:hint="eastAsia" w:ascii="宋体" w:hAnsi="宋体" w:eastAsia="宋体" w:cs="宋体"/>
          <w:b/>
          <w:color w:val="auto"/>
          <w:kern w:val="0"/>
          <w:sz w:val="24"/>
          <w:szCs w:val="24"/>
          <w:highlight w:val="none"/>
          <w:lang w:val="en-US" w:eastAsia="zh-CN" w:bidi="ar-SA"/>
        </w:rPr>
      </w:pPr>
    </w:p>
    <w:p w14:paraId="0B59CC60">
      <w:pPr>
        <w:widowControl w:val="0"/>
        <w:autoSpaceDE w:val="0"/>
        <w:autoSpaceDN w:val="0"/>
        <w:adjustRightInd w:val="0"/>
        <w:spacing w:line="400" w:lineRule="exact"/>
        <w:ind w:firstLine="0"/>
        <w:jc w:val="center"/>
        <w:outlineLvl w:val="9"/>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第二部分 合同一般条款</w:t>
      </w:r>
      <w:bookmarkEnd w:id="2757"/>
    </w:p>
    <w:p w14:paraId="7C075BB3">
      <w:pPr>
        <w:spacing w:line="400" w:lineRule="exact"/>
        <w:ind w:firstLine="482" w:firstLineChars="200"/>
        <w:outlineLvl w:val="9"/>
        <w:rPr>
          <w:rFonts w:hint="eastAsia" w:ascii="宋体" w:hAnsi="宋体" w:eastAsia="宋体" w:cs="宋体"/>
          <w:b/>
          <w:color w:val="auto"/>
          <w:sz w:val="24"/>
          <w:highlight w:val="none"/>
        </w:rPr>
      </w:pPr>
      <w:bookmarkStart w:id="2758" w:name="_Toc13941"/>
      <w:bookmarkStart w:id="2759" w:name="_Toc14021"/>
      <w:bookmarkStart w:id="2760" w:name="_Toc10827"/>
      <w:bookmarkStart w:id="2761" w:name="_Toc31297"/>
      <w:bookmarkStart w:id="2762" w:name="_Toc15932"/>
      <w:bookmarkStart w:id="2763" w:name="_Toc10145"/>
      <w:bookmarkStart w:id="2764" w:name="_Toc279701240"/>
      <w:bookmarkStart w:id="2765" w:name="_Toc25610"/>
      <w:bookmarkStart w:id="2766" w:name="_Ref467379094"/>
      <w:bookmarkStart w:id="2767" w:name="_Toc849"/>
      <w:bookmarkStart w:id="2768" w:name="_Ref467379109"/>
      <w:bookmarkStart w:id="2769" w:name="_Toc28840"/>
      <w:bookmarkStart w:id="2770" w:name="_Toc28701"/>
      <w:bookmarkStart w:id="2771" w:name="_Toc9659"/>
      <w:bookmarkStart w:id="2772" w:name="_Toc25079"/>
      <w:bookmarkStart w:id="2773" w:name="_Toc259093669"/>
      <w:bookmarkStart w:id="2774" w:name="_Toc29074"/>
      <w:bookmarkStart w:id="2775" w:name="_Ref467379101"/>
      <w:bookmarkStart w:id="2776" w:name="_Toc5117"/>
      <w:bookmarkStart w:id="2777" w:name="_Toc979"/>
      <w:bookmarkStart w:id="2778" w:name="_Ref467379205"/>
      <w:bookmarkStart w:id="2779" w:name="_Toc487900349"/>
      <w:bookmarkStart w:id="2780" w:name="_Toc5228"/>
      <w:bookmarkStart w:id="2781" w:name="_Toc21058"/>
      <w:bookmarkStart w:id="2782" w:name="_Ref467379214"/>
      <w:bookmarkStart w:id="2783" w:name="_Ref467379195"/>
      <w:bookmarkStart w:id="2784" w:name="_Toc16934"/>
      <w:bookmarkStart w:id="2785" w:name="_Toc6194"/>
      <w:bookmarkStart w:id="2786" w:name="_Toc23975"/>
      <w:bookmarkStart w:id="2787" w:name="_Toc9585"/>
      <w:bookmarkStart w:id="2788" w:name="_Toc31103"/>
      <w:bookmarkStart w:id="2789" w:name="_Toc19680"/>
      <w:bookmarkStart w:id="2790" w:name="_Toc26949"/>
      <w:bookmarkStart w:id="2791" w:name="_Ref467378499"/>
      <w:bookmarkStart w:id="2792" w:name="_Ref467379225"/>
      <w:bookmarkStart w:id="2793" w:name="_Toc17704"/>
      <w:bookmarkStart w:id="2794" w:name="_Ref467378404"/>
      <w:bookmarkStart w:id="2795" w:name="_Toc29628"/>
      <w:bookmarkStart w:id="2796" w:name="_Toc29024"/>
      <w:bookmarkStart w:id="2797" w:name="_Ref467378463"/>
      <w:r>
        <w:rPr>
          <w:rFonts w:hint="eastAsia" w:ascii="宋体" w:hAnsi="宋体" w:eastAsia="宋体" w:cs="宋体"/>
          <w:b/>
          <w:color w:val="auto"/>
          <w:sz w:val="24"/>
          <w:highlight w:val="none"/>
        </w:rPr>
        <w:t>2.1 定义</w:t>
      </w:r>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p>
    <w:p w14:paraId="3D169C0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750098E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“合同”系指采购人和成交供应商签订的载明双方当事人所达成的协议，并包括所有的附件、附录和构成合同的其他文件。</w:t>
      </w:r>
    </w:p>
    <w:p w14:paraId="0665FD4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“合同价”系指根据合同约定，成交供应商在完全履行合同义务后，采购人应支付给成交供应商的价格。</w:t>
      </w:r>
    </w:p>
    <w:p w14:paraId="6BFFFE4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“服务”系指成交供应商根据合同约定应向采购人履行的除货物和工程以外的其他政府采购对象，包括采购人自身需要的服务和向社会公众提供的公共服务。</w:t>
      </w:r>
    </w:p>
    <w:p w14:paraId="373873F1">
      <w:pPr>
        <w:spacing w:line="400" w:lineRule="exact"/>
        <w:ind w:firstLine="480" w:firstLineChars="200"/>
        <w:outlineLvl w:val="9"/>
        <w:rPr>
          <w:rFonts w:hint="eastAsia" w:ascii="宋体" w:hAnsi="宋体" w:eastAsia="宋体" w:cs="宋体"/>
          <w:color w:val="auto"/>
          <w:sz w:val="24"/>
          <w:highlight w:val="none"/>
        </w:rPr>
      </w:pPr>
      <w:bookmarkStart w:id="2798" w:name="_Ref467378840"/>
      <w:r>
        <w:rPr>
          <w:rFonts w:hint="eastAsia" w:ascii="宋体" w:hAnsi="宋体" w:eastAsia="宋体" w:cs="宋体"/>
          <w:color w:val="auto"/>
          <w:sz w:val="24"/>
          <w:highlight w:val="none"/>
        </w:rPr>
        <w:t>2.1.4 “甲方”系指与成交供应商签署合同的采购人</w:t>
      </w:r>
      <w:bookmarkEnd w:id="2798"/>
      <w:r>
        <w:rPr>
          <w:rFonts w:hint="eastAsia" w:ascii="宋体" w:hAnsi="宋体" w:eastAsia="宋体" w:cs="宋体"/>
          <w:color w:val="auto"/>
          <w:sz w:val="24"/>
          <w:highlight w:val="none"/>
        </w:rPr>
        <w:t>；采购人委托采购代理机构代表其与乙方签订合同的，采购人的授权委托书作为合同附件。</w:t>
      </w:r>
    </w:p>
    <w:p w14:paraId="439049E6">
      <w:pPr>
        <w:spacing w:line="400" w:lineRule="exact"/>
        <w:ind w:firstLine="480" w:firstLineChars="200"/>
        <w:outlineLvl w:val="9"/>
        <w:rPr>
          <w:rFonts w:hint="eastAsia" w:ascii="宋体" w:hAnsi="宋体" w:eastAsia="宋体" w:cs="宋体"/>
          <w:color w:val="auto"/>
          <w:sz w:val="24"/>
          <w:highlight w:val="none"/>
        </w:rPr>
      </w:pPr>
      <w:bookmarkStart w:id="2799" w:name="_Ref467379400"/>
      <w:r>
        <w:rPr>
          <w:rFonts w:hint="eastAsia" w:ascii="宋体" w:hAnsi="宋体" w:eastAsia="宋体" w:cs="宋体"/>
          <w:color w:val="auto"/>
          <w:sz w:val="24"/>
          <w:highlight w:val="none"/>
        </w:rPr>
        <w:t>2.1.5 “乙方”系指根据合同约定提供服务的成交供应商</w:t>
      </w:r>
      <w:bookmarkEnd w:id="2799"/>
      <w:r>
        <w:rPr>
          <w:rFonts w:hint="eastAsia" w:ascii="宋体" w:hAnsi="宋体" w:eastAsia="宋体" w:cs="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BF492DB">
      <w:pPr>
        <w:spacing w:line="400" w:lineRule="exact"/>
        <w:ind w:firstLine="480" w:firstLineChars="200"/>
        <w:outlineLvl w:val="9"/>
        <w:rPr>
          <w:rFonts w:hint="eastAsia" w:ascii="宋体" w:hAnsi="宋体" w:eastAsia="宋体" w:cs="宋体"/>
          <w:color w:val="auto"/>
          <w:sz w:val="24"/>
          <w:highlight w:val="none"/>
        </w:rPr>
      </w:pPr>
      <w:bookmarkStart w:id="2800" w:name="_Ref467379436"/>
      <w:r>
        <w:rPr>
          <w:rFonts w:hint="eastAsia" w:ascii="宋体" w:hAnsi="宋体" w:eastAsia="宋体" w:cs="宋体"/>
          <w:color w:val="auto"/>
          <w:sz w:val="24"/>
          <w:highlight w:val="none"/>
        </w:rPr>
        <w:t>2.1.6 “现场”系指合同约定提供服务的地点。</w:t>
      </w:r>
      <w:bookmarkEnd w:id="2800"/>
    </w:p>
    <w:p w14:paraId="56E210D7">
      <w:pPr>
        <w:spacing w:line="400" w:lineRule="exact"/>
        <w:ind w:firstLine="482" w:firstLineChars="200"/>
        <w:outlineLvl w:val="9"/>
        <w:rPr>
          <w:rFonts w:hint="eastAsia" w:ascii="宋体" w:hAnsi="宋体" w:eastAsia="宋体" w:cs="宋体"/>
          <w:b/>
          <w:color w:val="auto"/>
          <w:sz w:val="24"/>
          <w:highlight w:val="none"/>
        </w:rPr>
      </w:pPr>
      <w:bookmarkStart w:id="2801" w:name="_Toc10249"/>
      <w:bookmarkStart w:id="2802" w:name="_Toc2624"/>
      <w:bookmarkStart w:id="2803" w:name="_Toc16752"/>
      <w:bookmarkStart w:id="2804" w:name="_Toc259093670"/>
      <w:bookmarkStart w:id="2805" w:name="_Toc25980"/>
      <w:bookmarkStart w:id="2806" w:name="_Toc23289"/>
      <w:bookmarkStart w:id="2807" w:name="_Toc16132"/>
      <w:bookmarkStart w:id="2808" w:name="_Toc13639"/>
      <w:bookmarkStart w:id="2809" w:name="_Toc487900350"/>
      <w:bookmarkStart w:id="2810" w:name="_Toc279701241"/>
      <w:bookmarkStart w:id="2811" w:name="_Toc7411"/>
      <w:bookmarkStart w:id="2812" w:name="_Toc13884"/>
      <w:bookmarkStart w:id="2813" w:name="_Toc15564"/>
      <w:bookmarkStart w:id="2814" w:name="_Toc22493"/>
      <w:bookmarkStart w:id="2815" w:name="_Toc25856"/>
      <w:bookmarkStart w:id="2816" w:name="_Toc25024"/>
      <w:bookmarkStart w:id="2817" w:name="_Toc31402"/>
      <w:bookmarkStart w:id="2818" w:name="_Toc28811"/>
      <w:bookmarkStart w:id="2819" w:name="_Toc15686"/>
      <w:bookmarkStart w:id="2820" w:name="_Toc3769"/>
      <w:bookmarkStart w:id="2821" w:name="_Toc12973"/>
      <w:bookmarkStart w:id="2822" w:name="_Toc10785"/>
      <w:bookmarkStart w:id="2823" w:name="_Toc24501"/>
      <w:bookmarkStart w:id="2824" w:name="_Toc19539"/>
      <w:bookmarkStart w:id="2825" w:name="_Toc28244"/>
      <w:bookmarkStart w:id="2826" w:name="_Toc8861"/>
      <w:bookmarkStart w:id="2827" w:name="_Toc21068"/>
      <w:bookmarkStart w:id="2828" w:name="_Toc11289"/>
      <w:bookmarkStart w:id="2829" w:name="_Toc24416"/>
      <w:r>
        <w:rPr>
          <w:rFonts w:hint="eastAsia" w:ascii="宋体" w:hAnsi="宋体" w:eastAsia="宋体" w:cs="宋体"/>
          <w:b/>
          <w:color w:val="auto"/>
          <w:sz w:val="24"/>
          <w:highlight w:val="none"/>
        </w:rPr>
        <w:t>2.2 技术规范</w:t>
      </w:r>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p>
    <w:p w14:paraId="12F20996">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5F05FD4">
      <w:pPr>
        <w:spacing w:line="400" w:lineRule="exact"/>
        <w:ind w:firstLine="482" w:firstLineChars="200"/>
        <w:outlineLvl w:val="9"/>
        <w:rPr>
          <w:rFonts w:hint="eastAsia" w:ascii="宋体" w:hAnsi="宋体" w:eastAsia="宋体" w:cs="宋体"/>
          <w:b/>
          <w:color w:val="auto"/>
          <w:sz w:val="24"/>
          <w:highlight w:val="none"/>
        </w:rPr>
      </w:pPr>
      <w:bookmarkStart w:id="2830" w:name="_Toc21584"/>
      <w:bookmarkStart w:id="2831" w:name="_Toc9578"/>
      <w:bookmarkStart w:id="2832" w:name="_Toc12412"/>
      <w:bookmarkStart w:id="2833" w:name="_Toc32402"/>
      <w:bookmarkStart w:id="2834" w:name="_Toc9337"/>
      <w:bookmarkStart w:id="2835" w:name="_Toc25660"/>
      <w:bookmarkStart w:id="2836" w:name="_Toc8378"/>
      <w:bookmarkStart w:id="2837" w:name="_Toc26618"/>
      <w:bookmarkStart w:id="2838" w:name="_Toc27945"/>
      <w:bookmarkStart w:id="2839" w:name="_Toc30138"/>
      <w:bookmarkStart w:id="2840" w:name="_Toc1059"/>
      <w:bookmarkStart w:id="2841" w:name="_Toc18289"/>
      <w:bookmarkStart w:id="2842" w:name="_Toc12881"/>
      <w:bookmarkStart w:id="2843" w:name="_Toc26453"/>
      <w:bookmarkStart w:id="2844" w:name="_Toc22279"/>
      <w:bookmarkStart w:id="2845" w:name="_Toc259093671"/>
      <w:bookmarkStart w:id="2846" w:name="_Toc1480"/>
      <w:bookmarkStart w:id="2847" w:name="_Toc279701242"/>
      <w:bookmarkStart w:id="2848" w:name="_Toc24660"/>
      <w:bookmarkStart w:id="2849" w:name="_Toc8600"/>
      <w:bookmarkStart w:id="2850" w:name="_Toc9161"/>
      <w:bookmarkStart w:id="2851" w:name="_Toc486"/>
      <w:bookmarkStart w:id="2852" w:name="_Toc22416"/>
      <w:bookmarkStart w:id="2853" w:name="_Toc487900351"/>
      <w:r>
        <w:rPr>
          <w:rFonts w:hint="eastAsia" w:ascii="宋体" w:hAnsi="宋体" w:eastAsia="宋体" w:cs="宋体"/>
          <w:b/>
          <w:color w:val="auto"/>
          <w:sz w:val="24"/>
          <w:highlight w:val="none"/>
        </w:rPr>
        <w:t>2.3 知识产权</w:t>
      </w:r>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p>
    <w:p w14:paraId="1904881C">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7ABE979C">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BB48AC8">
      <w:pPr>
        <w:spacing w:line="400" w:lineRule="exact"/>
        <w:ind w:firstLine="482" w:firstLineChars="200"/>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74D87E0C">
      <w:pPr>
        <w:spacing w:line="400" w:lineRule="exact"/>
        <w:ind w:firstLine="480" w:firstLineChars="200"/>
        <w:outlineLvl w:val="9"/>
        <w:rPr>
          <w:rFonts w:hint="eastAsia" w:ascii="宋体" w:hAnsi="宋体" w:eastAsia="宋体" w:cs="宋体"/>
          <w:color w:val="auto"/>
          <w:sz w:val="24"/>
          <w:highlight w:val="none"/>
        </w:rPr>
      </w:pPr>
      <w:bookmarkStart w:id="2854" w:name="_Ref467379657"/>
      <w:r>
        <w:rPr>
          <w:rFonts w:hint="eastAsia" w:ascii="宋体" w:hAnsi="宋体" w:eastAsia="宋体" w:cs="宋体"/>
          <w:color w:val="auto"/>
          <w:sz w:val="24"/>
          <w:highlight w:val="none"/>
        </w:rPr>
        <w:t>2.4.1</w:t>
      </w:r>
      <w:bookmarkEnd w:id="2854"/>
      <w:bookmarkStart w:id="2855" w:name="_Toc186431854"/>
      <w:bookmarkStart w:id="2856" w:name="_Toc279701247"/>
      <w:bookmarkStart w:id="2857" w:name="_Ref467379807"/>
      <w:bookmarkStart w:id="2858" w:name="_Toc487900357"/>
      <w:bookmarkStart w:id="2859" w:name="_Ref467379793"/>
      <w:bookmarkStart w:id="2860" w:name="_Toc259093676"/>
      <w:r>
        <w:rPr>
          <w:rFonts w:hint="eastAsia" w:ascii="宋体" w:hAnsi="宋体" w:eastAsia="宋体" w:cs="宋体"/>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4FFA7F1A">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bookmarkEnd w:id="2855"/>
      <w:bookmarkStart w:id="2861" w:name="_Toc186431855"/>
      <w:r>
        <w:rPr>
          <w:rFonts w:hint="eastAsia" w:ascii="宋体" w:hAnsi="宋体" w:eastAsia="宋体" w:cs="宋体"/>
          <w:color w:val="auto"/>
          <w:sz w:val="24"/>
          <w:highlight w:val="none"/>
        </w:rPr>
        <w:t>。</w:t>
      </w:r>
    </w:p>
    <w:bookmarkEnd w:id="2861"/>
    <w:p w14:paraId="716E30E5">
      <w:pPr>
        <w:spacing w:line="400" w:lineRule="exact"/>
        <w:ind w:firstLine="482" w:firstLineChars="200"/>
        <w:outlineLvl w:val="9"/>
        <w:rPr>
          <w:rFonts w:hint="eastAsia" w:ascii="宋体" w:hAnsi="宋体" w:eastAsia="宋体" w:cs="宋体"/>
          <w:b/>
          <w:color w:val="auto"/>
          <w:sz w:val="24"/>
          <w:highlight w:val="none"/>
        </w:rPr>
      </w:pPr>
      <w:bookmarkStart w:id="2862" w:name="_Toc31233"/>
      <w:bookmarkStart w:id="2863" w:name="_Toc31288"/>
      <w:bookmarkStart w:id="2864" w:name="_Toc28361"/>
      <w:bookmarkStart w:id="2865" w:name="_Toc11661"/>
      <w:bookmarkStart w:id="2866" w:name="_Toc20911"/>
      <w:bookmarkStart w:id="2867" w:name="_Toc6504"/>
      <w:bookmarkStart w:id="2868" w:name="_Toc24593"/>
      <w:bookmarkStart w:id="2869" w:name="_Toc8411"/>
      <w:bookmarkStart w:id="2870" w:name="_Toc24594"/>
      <w:bookmarkStart w:id="2871" w:name="_Toc11053"/>
      <w:bookmarkStart w:id="2872" w:name="_Toc4237"/>
      <w:bookmarkStart w:id="2873" w:name="_Toc31494"/>
      <w:bookmarkStart w:id="2874" w:name="_Toc27564"/>
      <w:bookmarkStart w:id="2875" w:name="_Toc16045"/>
      <w:bookmarkStart w:id="2876" w:name="_Toc21474"/>
      <w:bookmarkStart w:id="2877" w:name="_Toc27219"/>
      <w:bookmarkStart w:id="2878" w:name="_Toc16500"/>
      <w:bookmarkStart w:id="2879" w:name="_Toc15567"/>
      <w:bookmarkStart w:id="2880" w:name="_Toc16697"/>
      <w:bookmarkStart w:id="2881" w:name="_Toc26555"/>
      <w:bookmarkStart w:id="2882" w:name="_Toc32043"/>
      <w:bookmarkStart w:id="2883" w:name="_Toc22011"/>
      <w:bookmarkStart w:id="2884" w:name="_Toc12450"/>
      <w:bookmarkStart w:id="2885" w:name="_Toc16816"/>
      <w:bookmarkStart w:id="2886" w:name="_Toc32670"/>
      <w:r>
        <w:rPr>
          <w:rFonts w:hint="eastAsia" w:ascii="宋体" w:hAnsi="宋体" w:eastAsia="宋体" w:cs="宋体"/>
          <w:b/>
          <w:color w:val="auto"/>
          <w:sz w:val="24"/>
          <w:highlight w:val="none"/>
        </w:rPr>
        <w:t>2.5 结算方式和付款条件</w:t>
      </w:r>
      <w:bookmarkEnd w:id="2856"/>
      <w:bookmarkEnd w:id="2857"/>
      <w:bookmarkEnd w:id="2858"/>
      <w:bookmarkEnd w:id="2859"/>
      <w:bookmarkEnd w:id="2860"/>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p>
    <w:p w14:paraId="3BCB91D7">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B406F7A">
      <w:pPr>
        <w:spacing w:line="400" w:lineRule="exact"/>
        <w:ind w:firstLine="482" w:firstLineChars="200"/>
        <w:outlineLvl w:val="9"/>
        <w:rPr>
          <w:rFonts w:hint="eastAsia" w:ascii="宋体" w:hAnsi="宋体" w:eastAsia="宋体" w:cs="宋体"/>
          <w:b/>
          <w:color w:val="auto"/>
          <w:sz w:val="24"/>
          <w:highlight w:val="none"/>
        </w:rPr>
      </w:pPr>
      <w:bookmarkStart w:id="2887" w:name="_Toc487900358"/>
      <w:bookmarkStart w:id="2888" w:name="_Toc279701248"/>
      <w:bookmarkStart w:id="2889" w:name="_Toc259093677"/>
      <w:bookmarkStart w:id="2890" w:name="_Ref467379852"/>
      <w:bookmarkStart w:id="2891" w:name="_Ref467379863"/>
      <w:bookmarkStart w:id="2892" w:name="_Ref467379923"/>
      <w:bookmarkStart w:id="2893" w:name="_Toc20627"/>
      <w:bookmarkStart w:id="2894" w:name="_Toc2727"/>
      <w:bookmarkStart w:id="2895" w:name="_Toc29402"/>
      <w:bookmarkStart w:id="2896" w:name="_Toc4632"/>
      <w:bookmarkStart w:id="2897" w:name="_Toc9514"/>
      <w:bookmarkStart w:id="2898" w:name="_Toc5288"/>
      <w:bookmarkStart w:id="2899" w:name="_Toc23122"/>
      <w:bookmarkStart w:id="2900" w:name="_Toc5430"/>
      <w:bookmarkStart w:id="2901" w:name="_Toc3915"/>
      <w:bookmarkStart w:id="2902" w:name="_Toc23530"/>
      <w:bookmarkStart w:id="2903" w:name="_Toc4490"/>
      <w:bookmarkStart w:id="2904" w:name="_Toc16163"/>
      <w:bookmarkStart w:id="2905" w:name="_Toc13467"/>
      <w:bookmarkStart w:id="2906" w:name="_Toc18990"/>
      <w:bookmarkStart w:id="2907" w:name="_Toc30507"/>
      <w:bookmarkStart w:id="2908" w:name="_Toc31554"/>
      <w:bookmarkStart w:id="2909" w:name="_Toc6666"/>
      <w:bookmarkStart w:id="2910" w:name="_Toc3982"/>
      <w:bookmarkStart w:id="2911" w:name="_Toc18186"/>
      <w:bookmarkStart w:id="2912" w:name="_Toc12925"/>
      <w:bookmarkStart w:id="2913" w:name="_Toc13154"/>
      <w:bookmarkStart w:id="2914" w:name="_Toc31145"/>
      <w:bookmarkStart w:id="2915" w:name="_Toc24063"/>
      <w:bookmarkStart w:id="2916" w:name="_Toc3267"/>
      <w:bookmarkStart w:id="2917" w:name="_Toc12084"/>
      <w:r>
        <w:rPr>
          <w:rFonts w:hint="eastAsia" w:ascii="宋体" w:hAnsi="宋体" w:eastAsia="宋体" w:cs="宋体"/>
          <w:b/>
          <w:color w:val="auto"/>
          <w:sz w:val="24"/>
          <w:highlight w:val="none"/>
        </w:rPr>
        <w:t>2.6 技术资料</w:t>
      </w:r>
      <w:bookmarkEnd w:id="2887"/>
      <w:bookmarkEnd w:id="2888"/>
      <w:bookmarkEnd w:id="2889"/>
      <w:bookmarkEnd w:id="2890"/>
      <w:bookmarkEnd w:id="2891"/>
      <w:bookmarkEnd w:id="2892"/>
      <w:r>
        <w:rPr>
          <w:rFonts w:hint="eastAsia" w:ascii="宋体" w:hAnsi="宋体" w:eastAsia="宋体" w:cs="宋体"/>
          <w:b/>
          <w:color w:val="auto"/>
          <w:sz w:val="24"/>
          <w:highlight w:val="none"/>
        </w:rPr>
        <w:t>和保密义务</w:t>
      </w:r>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p>
    <w:p w14:paraId="783E6DE8">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1D91279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1B94D0E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ABC4E3A">
      <w:pPr>
        <w:spacing w:line="400" w:lineRule="exact"/>
        <w:ind w:firstLine="482" w:firstLineChars="200"/>
        <w:outlineLvl w:val="9"/>
        <w:rPr>
          <w:rFonts w:hint="eastAsia" w:ascii="宋体" w:hAnsi="宋体" w:eastAsia="宋体" w:cs="宋体"/>
          <w:b/>
          <w:color w:val="auto"/>
          <w:sz w:val="24"/>
          <w:highlight w:val="none"/>
        </w:rPr>
      </w:pPr>
      <w:bookmarkStart w:id="2918" w:name="_Toc2664"/>
      <w:bookmarkStart w:id="2919" w:name="_Toc15010"/>
      <w:bookmarkStart w:id="2920" w:name="_Toc21510"/>
      <w:bookmarkStart w:id="2921" w:name="_Toc19069"/>
      <w:bookmarkStart w:id="2922" w:name="_Toc32354"/>
      <w:bookmarkStart w:id="2923" w:name="_Toc10510"/>
      <w:bookmarkStart w:id="2924" w:name="_Toc22614"/>
      <w:bookmarkStart w:id="2925" w:name="_Toc339"/>
      <w:bookmarkStart w:id="2926" w:name="_Toc16777"/>
      <w:bookmarkStart w:id="2927" w:name="_Toc30162"/>
      <w:bookmarkStart w:id="2928" w:name="_Toc10388"/>
      <w:bookmarkStart w:id="2929" w:name="_Toc7671"/>
      <w:bookmarkStart w:id="2930" w:name="_Toc13112"/>
      <w:bookmarkStart w:id="2931" w:name="_Toc18372"/>
      <w:bookmarkStart w:id="2932" w:name="_Toc1851"/>
      <w:bookmarkStart w:id="2933" w:name="_Toc14113"/>
      <w:bookmarkStart w:id="2934" w:name="_Toc24552"/>
      <w:bookmarkStart w:id="2935" w:name="_Toc29615"/>
      <w:bookmarkStart w:id="2936" w:name="_Toc7433"/>
      <w:bookmarkStart w:id="2937" w:name="_Toc20114"/>
      <w:bookmarkStart w:id="2938" w:name="_Toc279701252"/>
      <w:bookmarkStart w:id="2939" w:name="_Toc259093681"/>
      <w:bookmarkStart w:id="2940" w:name="_Toc487900362"/>
      <w:r>
        <w:rPr>
          <w:rFonts w:hint="eastAsia" w:ascii="宋体" w:hAnsi="宋体" w:eastAsia="宋体" w:cs="宋体"/>
          <w:b/>
          <w:color w:val="auto"/>
          <w:sz w:val="24"/>
          <w:highlight w:val="none"/>
        </w:rPr>
        <w:t>2.7 质量保证</w:t>
      </w:r>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p>
    <w:p w14:paraId="3EF78F2C">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64A3EBA0">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7CD4D04E">
      <w:pPr>
        <w:spacing w:line="400" w:lineRule="exact"/>
        <w:ind w:firstLine="482" w:firstLineChars="200"/>
        <w:outlineLvl w:val="9"/>
        <w:rPr>
          <w:rFonts w:hint="eastAsia" w:ascii="宋体" w:hAnsi="宋体" w:eastAsia="宋体" w:cs="宋体"/>
          <w:b/>
          <w:color w:val="auto"/>
          <w:sz w:val="24"/>
          <w:highlight w:val="none"/>
        </w:rPr>
      </w:pPr>
      <w:bookmarkStart w:id="2941" w:name="_Toc3611"/>
      <w:bookmarkStart w:id="2942" w:name="_Toc10485"/>
      <w:bookmarkStart w:id="2943" w:name="_Toc30135"/>
      <w:bookmarkStart w:id="2944" w:name="_Toc10479"/>
      <w:bookmarkStart w:id="2945" w:name="_Toc8481"/>
      <w:bookmarkStart w:id="2946" w:name="_Toc7059"/>
      <w:bookmarkStart w:id="2947" w:name="_Toc27870"/>
      <w:bookmarkStart w:id="2948" w:name="_Toc32424"/>
      <w:bookmarkStart w:id="2949" w:name="_Toc7710"/>
      <w:bookmarkStart w:id="2950" w:name="_Toc29309"/>
      <w:bookmarkStart w:id="2951" w:name="_Toc16120"/>
      <w:bookmarkStart w:id="2952" w:name="_Toc11034"/>
      <w:bookmarkStart w:id="2953" w:name="_Toc10063"/>
      <w:bookmarkStart w:id="2954" w:name="_Toc32399"/>
      <w:bookmarkStart w:id="2955" w:name="_Toc8379"/>
      <w:bookmarkStart w:id="2956" w:name="_Toc22198"/>
      <w:bookmarkStart w:id="2957" w:name="_Toc28170"/>
      <w:bookmarkStart w:id="2958" w:name="_Toc11272"/>
      <w:bookmarkStart w:id="2959" w:name="_Toc1263"/>
      <w:bookmarkStart w:id="2960" w:name="_Toc9049"/>
      <w:bookmarkStart w:id="2961" w:name="_Toc30394"/>
      <w:bookmarkStart w:id="2962" w:name="_Toc15967"/>
      <w:r>
        <w:rPr>
          <w:rFonts w:hint="eastAsia" w:ascii="宋体" w:hAnsi="宋体" w:eastAsia="宋体" w:cs="宋体"/>
          <w:b/>
          <w:color w:val="auto"/>
          <w:sz w:val="24"/>
          <w:highlight w:val="none"/>
        </w:rPr>
        <w:t>2.8 延迟</w:t>
      </w:r>
      <w:bookmarkEnd w:id="2938"/>
      <w:bookmarkEnd w:id="2939"/>
      <w:bookmarkEnd w:id="2940"/>
      <w:r>
        <w:rPr>
          <w:rFonts w:hint="eastAsia" w:ascii="宋体" w:hAnsi="宋体" w:eastAsia="宋体" w:cs="宋体"/>
          <w:b/>
          <w:color w:val="auto"/>
          <w:sz w:val="24"/>
          <w:highlight w:val="none"/>
        </w:rPr>
        <w:t>履行</w:t>
      </w:r>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p>
    <w:p w14:paraId="77267369">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74CC40">
      <w:pPr>
        <w:spacing w:line="400" w:lineRule="exact"/>
        <w:ind w:firstLine="482" w:firstLineChars="200"/>
        <w:outlineLvl w:val="9"/>
        <w:rPr>
          <w:rFonts w:hint="eastAsia" w:ascii="宋体" w:hAnsi="宋体" w:eastAsia="宋体" w:cs="宋体"/>
          <w:b/>
          <w:color w:val="auto"/>
          <w:sz w:val="24"/>
          <w:highlight w:val="none"/>
        </w:rPr>
      </w:pPr>
      <w:bookmarkStart w:id="2963" w:name="_Toc2469"/>
      <w:bookmarkStart w:id="2964" w:name="_Toc18704"/>
      <w:bookmarkStart w:id="2965" w:name="_Toc20254"/>
      <w:bookmarkStart w:id="2966" w:name="_Toc27743"/>
      <w:bookmarkStart w:id="2967" w:name="_Toc2244"/>
      <w:bookmarkStart w:id="2968" w:name="_Toc3810"/>
      <w:bookmarkStart w:id="2969" w:name="_Toc10611"/>
      <w:bookmarkStart w:id="2970" w:name="_Toc10750"/>
      <w:bookmarkStart w:id="2971" w:name="_Toc3758"/>
      <w:bookmarkStart w:id="2972" w:name="_Toc19182"/>
      <w:bookmarkStart w:id="2973" w:name="_Toc30296"/>
      <w:bookmarkStart w:id="2974" w:name="_Toc7176"/>
      <w:bookmarkStart w:id="2975" w:name="_Toc13769"/>
      <w:bookmarkStart w:id="2976" w:name="_Toc25996"/>
      <w:bookmarkStart w:id="2977" w:name="_Toc12112"/>
      <w:bookmarkStart w:id="2978" w:name="_Toc23643"/>
      <w:bookmarkStart w:id="2979" w:name="_Toc23380"/>
      <w:bookmarkStart w:id="2980" w:name="_Toc7626"/>
      <w:bookmarkStart w:id="2981" w:name="_Toc12190"/>
      <w:bookmarkStart w:id="2982" w:name="_Toc27101"/>
      <w:bookmarkStart w:id="2983" w:name="_Toc28758"/>
      <w:bookmarkStart w:id="2984" w:name="_Toc25613"/>
      <w:bookmarkStart w:id="2985" w:name="_Toc4097"/>
      <w:bookmarkStart w:id="2986" w:name="_Ref467378121"/>
      <w:bookmarkStart w:id="2987" w:name="_Toc487900364"/>
      <w:bookmarkStart w:id="2988" w:name="_Toc279701254"/>
      <w:bookmarkStart w:id="2989" w:name="_Toc259093683"/>
      <w:r>
        <w:rPr>
          <w:rFonts w:hint="eastAsia" w:ascii="宋体" w:hAnsi="宋体" w:eastAsia="宋体" w:cs="宋体"/>
          <w:b/>
          <w:color w:val="auto"/>
          <w:sz w:val="24"/>
          <w:highlight w:val="none"/>
        </w:rPr>
        <w:t>2.9 合同变更</w:t>
      </w:r>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p>
    <w:p w14:paraId="43958AB3">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17FDF76A">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2.9.2 合同继续履行将损害国家利益和社会公共利益的，双方当事人应当以书面形式变更合同。有过错的一方应当承担赔偿责任，双方当事人都有过错的，各自承担相应的责任。</w:t>
      </w:r>
      <w:bookmarkStart w:id="2990" w:name="_Toc259093688"/>
      <w:bookmarkStart w:id="2991" w:name="_Toc279701259"/>
      <w:bookmarkStart w:id="2992" w:name="_Toc487900369"/>
    </w:p>
    <w:p w14:paraId="26E8D7FE">
      <w:pPr>
        <w:spacing w:line="400" w:lineRule="exact"/>
        <w:ind w:firstLine="482" w:firstLineChars="200"/>
        <w:outlineLvl w:val="9"/>
        <w:rPr>
          <w:rFonts w:hint="eastAsia" w:ascii="宋体" w:hAnsi="宋体" w:eastAsia="宋体" w:cs="宋体"/>
          <w:b/>
          <w:color w:val="auto"/>
          <w:sz w:val="24"/>
          <w:highlight w:val="none"/>
        </w:rPr>
      </w:pPr>
      <w:bookmarkStart w:id="2993" w:name="_Toc31157"/>
      <w:bookmarkStart w:id="2994" w:name="_Toc22982"/>
      <w:bookmarkStart w:id="2995" w:name="_Toc23368"/>
      <w:bookmarkStart w:id="2996" w:name="_Toc28640"/>
      <w:bookmarkStart w:id="2997" w:name="_Toc8222"/>
      <w:bookmarkStart w:id="2998" w:name="_Toc16609"/>
      <w:bookmarkStart w:id="2999" w:name="_Toc17116"/>
      <w:bookmarkStart w:id="3000" w:name="_Toc4195"/>
      <w:bookmarkStart w:id="3001" w:name="_Toc12641"/>
      <w:bookmarkStart w:id="3002" w:name="_Toc21830"/>
      <w:bookmarkStart w:id="3003" w:name="_Toc12591"/>
      <w:bookmarkStart w:id="3004" w:name="_Toc30446"/>
      <w:bookmarkStart w:id="3005" w:name="_Toc6424"/>
      <w:bookmarkStart w:id="3006" w:name="_Toc6143"/>
      <w:bookmarkStart w:id="3007" w:name="_Toc807"/>
      <w:bookmarkStart w:id="3008" w:name="_Toc18298"/>
      <w:bookmarkStart w:id="3009" w:name="_Toc13219"/>
      <w:bookmarkStart w:id="3010" w:name="_Toc42"/>
      <w:bookmarkStart w:id="3011" w:name="_Toc24271"/>
      <w:bookmarkStart w:id="3012" w:name="_Toc21149"/>
      <w:bookmarkStart w:id="3013" w:name="_Toc4033"/>
      <w:bookmarkStart w:id="3014" w:name="_Toc17129"/>
      <w:bookmarkStart w:id="3015" w:name="_Toc27242"/>
      <w:bookmarkStart w:id="3016" w:name="_Toc14972"/>
      <w:bookmarkStart w:id="3017" w:name="_Toc26689"/>
      <w:r>
        <w:rPr>
          <w:rFonts w:hint="eastAsia" w:ascii="宋体" w:hAnsi="宋体" w:eastAsia="宋体" w:cs="宋体"/>
          <w:b/>
          <w:color w:val="auto"/>
          <w:sz w:val="24"/>
          <w:highlight w:val="none"/>
        </w:rPr>
        <w:t>2.10 合同转让</w:t>
      </w:r>
      <w:bookmarkEnd w:id="2990"/>
      <w:bookmarkEnd w:id="2991"/>
      <w:bookmarkEnd w:id="2992"/>
      <w:r>
        <w:rPr>
          <w:rFonts w:hint="eastAsia" w:ascii="宋体" w:hAnsi="宋体" w:eastAsia="宋体" w:cs="宋体"/>
          <w:b/>
          <w:color w:val="auto"/>
          <w:sz w:val="24"/>
          <w:highlight w:val="none"/>
        </w:rPr>
        <w:t>和分包</w:t>
      </w:r>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p>
    <w:p w14:paraId="1B7F7E18">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96B8716">
      <w:pPr>
        <w:spacing w:line="400" w:lineRule="exact"/>
        <w:ind w:firstLine="482" w:firstLineChars="200"/>
        <w:outlineLvl w:val="9"/>
        <w:rPr>
          <w:rFonts w:hint="eastAsia" w:ascii="宋体" w:hAnsi="宋体" w:eastAsia="宋体" w:cs="宋体"/>
          <w:b/>
          <w:color w:val="auto"/>
          <w:sz w:val="24"/>
          <w:highlight w:val="none"/>
        </w:rPr>
      </w:pPr>
      <w:bookmarkStart w:id="3018" w:name="_Toc17399"/>
      <w:bookmarkStart w:id="3019" w:name="_Toc15171"/>
      <w:bookmarkStart w:id="3020" w:name="_Toc17450"/>
      <w:bookmarkStart w:id="3021" w:name="_Toc4021"/>
      <w:bookmarkStart w:id="3022" w:name="_Toc15316"/>
      <w:bookmarkStart w:id="3023" w:name="_Toc11750"/>
      <w:bookmarkStart w:id="3024" w:name="_Toc15647"/>
      <w:bookmarkStart w:id="3025" w:name="_Toc32494"/>
      <w:bookmarkStart w:id="3026" w:name="_Toc25571"/>
      <w:bookmarkStart w:id="3027" w:name="_Toc31065"/>
      <w:bookmarkStart w:id="3028" w:name="_Toc4335"/>
      <w:bookmarkStart w:id="3029" w:name="_Toc30381"/>
      <w:bookmarkStart w:id="3030" w:name="_Toc9289"/>
      <w:bookmarkStart w:id="3031" w:name="_Toc14371"/>
      <w:bookmarkStart w:id="3032" w:name="_Toc26633"/>
      <w:bookmarkStart w:id="3033" w:name="_Toc26658"/>
      <w:bookmarkStart w:id="3034" w:name="_Toc26602"/>
      <w:bookmarkStart w:id="3035" w:name="_Toc8431"/>
      <w:bookmarkStart w:id="3036" w:name="_Toc30847"/>
      <w:bookmarkStart w:id="3037" w:name="_Toc10203"/>
      <w:bookmarkStart w:id="3038" w:name="_Toc4684"/>
      <w:bookmarkStart w:id="3039" w:name="_Toc4720"/>
      <w:bookmarkStart w:id="3040" w:name="_Toc9462"/>
      <w:r>
        <w:rPr>
          <w:rFonts w:hint="eastAsia" w:ascii="宋体" w:hAnsi="宋体" w:eastAsia="宋体" w:cs="宋体"/>
          <w:b/>
          <w:color w:val="auto"/>
          <w:sz w:val="24"/>
          <w:highlight w:val="none"/>
        </w:rPr>
        <w:t>2.11 不可抗力</w:t>
      </w:r>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p>
    <w:p w14:paraId="0B0985B1">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77D901EB">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27865BFC">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13E96BBB">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1FC5A349">
      <w:pPr>
        <w:spacing w:line="400" w:lineRule="exact"/>
        <w:ind w:firstLine="482" w:firstLineChars="200"/>
        <w:outlineLvl w:val="9"/>
        <w:rPr>
          <w:rFonts w:hint="eastAsia" w:ascii="宋体" w:hAnsi="宋体" w:eastAsia="宋体" w:cs="宋体"/>
          <w:b/>
          <w:color w:val="auto"/>
          <w:sz w:val="24"/>
          <w:highlight w:val="none"/>
        </w:rPr>
      </w:pPr>
      <w:bookmarkStart w:id="3041" w:name="_Toc23854"/>
      <w:bookmarkStart w:id="3042" w:name="_Toc15375"/>
      <w:bookmarkStart w:id="3043" w:name="_Toc487900365"/>
      <w:bookmarkStart w:id="3044" w:name="_Toc14370"/>
      <w:bookmarkStart w:id="3045" w:name="_Toc14582"/>
      <w:bookmarkStart w:id="3046" w:name="_Toc6743"/>
      <w:bookmarkStart w:id="3047" w:name="_Toc29201"/>
      <w:bookmarkStart w:id="3048" w:name="_Toc19720"/>
      <w:bookmarkStart w:id="3049" w:name="_Toc10356"/>
      <w:bookmarkStart w:id="3050" w:name="_Toc19773"/>
      <w:bookmarkStart w:id="3051" w:name="_Toc32181"/>
      <w:bookmarkStart w:id="3052" w:name="_Toc23602"/>
      <w:bookmarkStart w:id="3053" w:name="_Toc279701255"/>
      <w:bookmarkStart w:id="3054" w:name="_Toc14115"/>
      <w:bookmarkStart w:id="3055" w:name="_Toc12690"/>
      <w:bookmarkStart w:id="3056" w:name="_Toc3638"/>
      <w:bookmarkStart w:id="3057" w:name="_Toc25576"/>
      <w:bookmarkStart w:id="3058" w:name="_Toc24465"/>
      <w:bookmarkStart w:id="3059" w:name="_Toc17127"/>
      <w:bookmarkStart w:id="3060" w:name="_Toc219"/>
      <w:bookmarkStart w:id="3061" w:name="_Toc3156"/>
      <w:bookmarkStart w:id="3062" w:name="_Toc6612"/>
      <w:bookmarkStart w:id="3063" w:name="_Toc23373"/>
      <w:bookmarkStart w:id="3064" w:name="_Toc259093684"/>
      <w:bookmarkStart w:id="3065" w:name="_Toc6465"/>
      <w:bookmarkStart w:id="3066" w:name="_Toc11275"/>
      <w:r>
        <w:rPr>
          <w:rFonts w:hint="eastAsia" w:ascii="宋体" w:hAnsi="宋体" w:eastAsia="宋体" w:cs="宋体"/>
          <w:b/>
          <w:color w:val="auto"/>
          <w:sz w:val="24"/>
          <w:highlight w:val="none"/>
        </w:rPr>
        <w:t>2.12 税费</w:t>
      </w:r>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p>
    <w:p w14:paraId="214B700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33A0A15C">
      <w:pPr>
        <w:spacing w:line="400" w:lineRule="exact"/>
        <w:ind w:firstLine="482" w:firstLineChars="200"/>
        <w:outlineLvl w:val="9"/>
        <w:rPr>
          <w:rFonts w:hint="eastAsia" w:ascii="宋体" w:hAnsi="宋体" w:eastAsia="宋体" w:cs="宋体"/>
          <w:b/>
          <w:color w:val="auto"/>
          <w:sz w:val="24"/>
          <w:highlight w:val="none"/>
        </w:rPr>
      </w:pPr>
      <w:bookmarkStart w:id="3067" w:name="_Toc279701258"/>
      <w:bookmarkStart w:id="3068" w:name="_Toc12415"/>
      <w:bookmarkStart w:id="3069" w:name="_Toc18803"/>
      <w:bookmarkStart w:id="3070" w:name="_Toc363"/>
      <w:bookmarkStart w:id="3071" w:name="_Toc487900368"/>
      <w:bookmarkStart w:id="3072" w:name="_Toc29725"/>
      <w:bookmarkStart w:id="3073" w:name="_Toc14494"/>
      <w:bookmarkStart w:id="3074" w:name="_Toc4896"/>
      <w:bookmarkStart w:id="3075" w:name="_Toc25794"/>
      <w:bookmarkStart w:id="3076" w:name="_Toc426"/>
      <w:bookmarkStart w:id="3077" w:name="_Toc26504"/>
      <w:bookmarkStart w:id="3078" w:name="_Toc6991"/>
      <w:bookmarkStart w:id="3079" w:name="_Toc7315"/>
      <w:bookmarkStart w:id="3080" w:name="_Toc19532"/>
      <w:bookmarkStart w:id="3081" w:name="_Toc19880"/>
      <w:bookmarkStart w:id="3082" w:name="_Toc14814"/>
      <w:bookmarkStart w:id="3083" w:name="_Toc259093687"/>
      <w:bookmarkStart w:id="3084" w:name="_Toc3775"/>
      <w:bookmarkStart w:id="3085" w:name="_Toc3759"/>
      <w:bookmarkStart w:id="3086" w:name="_Toc5156"/>
      <w:bookmarkStart w:id="3087" w:name="_Toc30105"/>
      <w:bookmarkStart w:id="3088" w:name="_Toc25525"/>
      <w:bookmarkStart w:id="3089" w:name="_Toc24809"/>
      <w:bookmarkStart w:id="3090" w:name="_Toc27492"/>
      <w:bookmarkStart w:id="3091" w:name="_Toc26883"/>
      <w:bookmarkStart w:id="3092" w:name="_Toc10398"/>
      <w:bookmarkStart w:id="3093" w:name="_Toc31237"/>
      <w:r>
        <w:rPr>
          <w:rFonts w:hint="eastAsia" w:ascii="宋体" w:hAnsi="宋体" w:eastAsia="宋体" w:cs="宋体"/>
          <w:b/>
          <w:color w:val="auto"/>
          <w:sz w:val="24"/>
          <w:highlight w:val="none"/>
        </w:rPr>
        <w:t>2.13 乙方破产</w:t>
      </w:r>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p>
    <w:p w14:paraId="652B74D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502FB0B">
      <w:pPr>
        <w:spacing w:line="400" w:lineRule="exact"/>
        <w:ind w:firstLine="482" w:firstLineChars="200"/>
        <w:outlineLvl w:val="9"/>
        <w:rPr>
          <w:rFonts w:hint="eastAsia" w:ascii="宋体" w:hAnsi="宋体" w:eastAsia="宋体" w:cs="宋体"/>
          <w:b/>
          <w:color w:val="auto"/>
          <w:sz w:val="24"/>
          <w:highlight w:val="none"/>
        </w:rPr>
      </w:pPr>
      <w:bookmarkStart w:id="3094" w:name="_Toc18647"/>
      <w:bookmarkStart w:id="3095" w:name="_Toc6032"/>
      <w:bookmarkStart w:id="3096" w:name="_Toc23950"/>
      <w:bookmarkStart w:id="3097" w:name="_Toc7052"/>
      <w:bookmarkStart w:id="3098" w:name="_Toc8066"/>
      <w:bookmarkStart w:id="3099" w:name="_Toc26320"/>
      <w:bookmarkStart w:id="3100" w:name="_Toc26409"/>
      <w:bookmarkStart w:id="3101" w:name="_Toc20928"/>
      <w:bookmarkStart w:id="3102" w:name="_Toc18650"/>
      <w:bookmarkStart w:id="3103" w:name="_Toc13023"/>
      <w:bookmarkStart w:id="3104" w:name="_Toc1123"/>
      <w:bookmarkStart w:id="3105" w:name="_Toc25092"/>
      <w:bookmarkStart w:id="3106" w:name="_Toc8069"/>
      <w:bookmarkStart w:id="3107" w:name="_Toc23323"/>
      <w:bookmarkStart w:id="3108" w:name="_Toc7253"/>
      <w:bookmarkStart w:id="3109" w:name="_Toc30682"/>
      <w:bookmarkStart w:id="3110" w:name="_Toc2016"/>
      <w:bookmarkStart w:id="3111" w:name="_Toc31298"/>
      <w:bookmarkStart w:id="3112" w:name="_Toc24919"/>
      <w:bookmarkStart w:id="3113" w:name="_Toc4472"/>
      <w:bookmarkStart w:id="3114" w:name="_Toc6873"/>
      <w:bookmarkStart w:id="3115" w:name="_Toc1675"/>
      <w:bookmarkStart w:id="3116" w:name="_Toc15650"/>
      <w:r>
        <w:rPr>
          <w:rFonts w:hint="eastAsia" w:ascii="宋体" w:hAnsi="宋体" w:eastAsia="宋体" w:cs="宋体"/>
          <w:b/>
          <w:color w:val="auto"/>
          <w:sz w:val="24"/>
          <w:highlight w:val="none"/>
        </w:rPr>
        <w:t>2.14 合同中止、终止</w:t>
      </w:r>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p>
    <w:p w14:paraId="3379B5FF">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3755CE2B">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72A149D0">
      <w:pPr>
        <w:spacing w:line="400" w:lineRule="exact"/>
        <w:ind w:firstLine="482" w:firstLineChars="200"/>
        <w:outlineLvl w:val="9"/>
        <w:rPr>
          <w:rFonts w:hint="eastAsia" w:ascii="宋体" w:hAnsi="宋体" w:eastAsia="宋体" w:cs="宋体"/>
          <w:b/>
          <w:color w:val="auto"/>
          <w:sz w:val="24"/>
          <w:highlight w:val="none"/>
        </w:rPr>
      </w:pPr>
      <w:bookmarkStart w:id="3117" w:name="_Toc5120"/>
      <w:bookmarkStart w:id="3118" w:name="_Toc25753"/>
      <w:bookmarkStart w:id="3119" w:name="_Toc17363"/>
      <w:bookmarkStart w:id="3120" w:name="_Toc20844"/>
      <w:bookmarkStart w:id="3121" w:name="_Toc11484"/>
      <w:bookmarkStart w:id="3122" w:name="_Toc10291"/>
      <w:bookmarkStart w:id="3123" w:name="_Toc22475"/>
      <w:bookmarkStart w:id="3124" w:name="_Toc28630"/>
      <w:bookmarkStart w:id="3125" w:name="_Toc1969"/>
      <w:bookmarkStart w:id="3126" w:name="_Toc21608"/>
      <w:bookmarkStart w:id="3127" w:name="_Toc14653"/>
      <w:bookmarkStart w:id="3128" w:name="_Toc22355"/>
      <w:bookmarkStart w:id="3129" w:name="_Toc16250"/>
      <w:bookmarkStart w:id="3130" w:name="_Toc24728"/>
      <w:bookmarkStart w:id="3131" w:name="_Toc30002"/>
      <w:bookmarkStart w:id="3132" w:name="_Toc12473"/>
      <w:bookmarkStart w:id="3133" w:name="_Toc295"/>
      <w:bookmarkStart w:id="3134" w:name="_Toc2742"/>
      <w:bookmarkStart w:id="3135" w:name="_Toc12009"/>
      <w:bookmarkStart w:id="3136" w:name="_Toc24665"/>
      <w:bookmarkStart w:id="3137" w:name="_Toc13120"/>
      <w:bookmarkStart w:id="3138" w:name="_Toc25815"/>
      <w:r>
        <w:rPr>
          <w:rFonts w:hint="eastAsia" w:ascii="宋体" w:hAnsi="宋体" w:eastAsia="宋体" w:cs="宋体"/>
          <w:b/>
          <w:color w:val="auto"/>
          <w:sz w:val="24"/>
          <w:highlight w:val="none"/>
        </w:rPr>
        <w:t>2.15 检验和验收</w:t>
      </w:r>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p>
    <w:p w14:paraId="53D875DD">
      <w:pPr>
        <w:tabs>
          <w:tab w:val="left" w:pos="360"/>
          <w:tab w:val="left" w:pos="540"/>
          <w:tab w:val="left" w:pos="1080"/>
        </w:tabs>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26B087DA">
      <w:pPr>
        <w:tabs>
          <w:tab w:val="left" w:pos="360"/>
          <w:tab w:val="left" w:pos="540"/>
          <w:tab w:val="left" w:pos="1080"/>
        </w:tabs>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F1D0160">
      <w:pPr>
        <w:tabs>
          <w:tab w:val="left" w:pos="360"/>
          <w:tab w:val="left" w:pos="540"/>
          <w:tab w:val="left" w:pos="1080"/>
        </w:tabs>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bookmarkEnd w:id="2986"/>
    <w:bookmarkEnd w:id="2987"/>
    <w:bookmarkEnd w:id="2988"/>
    <w:bookmarkEnd w:id="2989"/>
    <w:p w14:paraId="6148A86C">
      <w:pPr>
        <w:spacing w:line="400" w:lineRule="exact"/>
        <w:ind w:firstLine="482" w:firstLineChars="200"/>
        <w:outlineLvl w:val="9"/>
        <w:rPr>
          <w:rFonts w:hint="eastAsia" w:ascii="宋体" w:hAnsi="宋体" w:eastAsia="宋体" w:cs="宋体"/>
          <w:b/>
          <w:color w:val="auto"/>
          <w:sz w:val="24"/>
          <w:highlight w:val="none"/>
        </w:rPr>
      </w:pPr>
      <w:bookmarkStart w:id="3139" w:name="_Toc279701261"/>
      <w:bookmarkStart w:id="3140" w:name="_Toc259093690"/>
      <w:bookmarkStart w:id="3141" w:name="_Toc487900371"/>
      <w:bookmarkStart w:id="3142" w:name="_Toc346"/>
      <w:bookmarkStart w:id="3143" w:name="_Toc17259"/>
      <w:bookmarkStart w:id="3144" w:name="_Toc1645"/>
      <w:bookmarkStart w:id="3145" w:name="_Toc22987"/>
      <w:bookmarkStart w:id="3146" w:name="_Toc9808"/>
      <w:bookmarkStart w:id="3147" w:name="_Toc2308"/>
      <w:bookmarkStart w:id="3148" w:name="_Toc13224"/>
      <w:bookmarkStart w:id="3149" w:name="_Toc13544"/>
      <w:bookmarkStart w:id="3150" w:name="_Toc12666"/>
      <w:bookmarkStart w:id="3151" w:name="_Toc101"/>
      <w:bookmarkStart w:id="3152" w:name="_Toc19041"/>
      <w:bookmarkStart w:id="3153" w:name="_Toc12311"/>
      <w:bookmarkStart w:id="3154" w:name="_Toc29667"/>
      <w:bookmarkStart w:id="3155" w:name="_Toc1064"/>
      <w:bookmarkStart w:id="3156" w:name="_Toc10819"/>
      <w:bookmarkStart w:id="3157" w:name="_Toc12970"/>
      <w:bookmarkStart w:id="3158" w:name="_Toc3309"/>
      <w:bookmarkStart w:id="3159" w:name="_Toc609"/>
      <w:bookmarkStart w:id="3160" w:name="_Toc25198"/>
      <w:bookmarkStart w:id="3161" w:name="_Toc13486"/>
      <w:bookmarkStart w:id="3162" w:name="_Toc26095"/>
      <w:bookmarkStart w:id="3163" w:name="_Toc21945"/>
      <w:bookmarkStart w:id="3164" w:name="_Toc21332"/>
      <w:bookmarkStart w:id="3165" w:name="_Toc10525"/>
      <w:bookmarkStart w:id="3166" w:name="_Toc6307"/>
      <w:r>
        <w:rPr>
          <w:rFonts w:hint="eastAsia" w:ascii="宋体" w:hAnsi="宋体" w:eastAsia="宋体" w:cs="宋体"/>
          <w:b/>
          <w:color w:val="auto"/>
          <w:sz w:val="24"/>
          <w:highlight w:val="none"/>
        </w:rPr>
        <w:t>2.16 通知</w:t>
      </w:r>
      <w:bookmarkEnd w:id="3139"/>
      <w:bookmarkEnd w:id="3140"/>
      <w:bookmarkEnd w:id="3141"/>
      <w:r>
        <w:rPr>
          <w:rFonts w:hint="eastAsia" w:ascii="宋体" w:hAnsi="宋体" w:eastAsia="宋体" w:cs="宋体"/>
          <w:b/>
          <w:color w:val="auto"/>
          <w:sz w:val="24"/>
          <w:highlight w:val="none"/>
        </w:rPr>
        <w:t>和送达</w:t>
      </w:r>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p>
    <w:p w14:paraId="705A8447">
      <w:pPr>
        <w:spacing w:line="400" w:lineRule="exact"/>
        <w:ind w:firstLine="480" w:firstLineChars="200"/>
        <w:outlineLvl w:val="9"/>
        <w:rPr>
          <w:rFonts w:hint="eastAsia" w:ascii="宋体" w:hAnsi="宋体" w:eastAsia="宋体" w:cs="宋体"/>
          <w:color w:val="auto"/>
          <w:sz w:val="24"/>
          <w:highlight w:val="none"/>
        </w:rPr>
      </w:pPr>
      <w:bookmarkStart w:id="3167" w:name="_Toc7073"/>
      <w:bookmarkStart w:id="3168" w:name="_Toc487900372"/>
      <w:bookmarkStart w:id="3169" w:name="_Toc279701262"/>
      <w:bookmarkStart w:id="3170" w:name="_Toc259093691"/>
      <w:r>
        <w:rPr>
          <w:rFonts w:hint="eastAsia" w:ascii="宋体" w:hAnsi="宋体" w:eastAsia="宋体" w:cs="宋体"/>
          <w:color w:val="auto"/>
          <w:sz w:val="24"/>
          <w:highlight w:val="none"/>
        </w:rPr>
        <w:t>2.16.1 任何一方因履行合同而以合同第一部分尾部所列明的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bookmarkEnd w:id="3167"/>
    </w:p>
    <w:p w14:paraId="7AF6B0AE">
      <w:pPr>
        <w:spacing w:line="400" w:lineRule="exact"/>
        <w:ind w:firstLine="480" w:firstLineChars="200"/>
        <w:outlineLvl w:val="9"/>
        <w:rPr>
          <w:rFonts w:hint="eastAsia" w:ascii="宋体" w:hAnsi="宋体" w:eastAsia="宋体" w:cs="宋体"/>
          <w:color w:val="auto"/>
          <w:sz w:val="24"/>
          <w:highlight w:val="none"/>
        </w:rPr>
      </w:pPr>
      <w:bookmarkStart w:id="3171" w:name="_Toc27674"/>
      <w:bookmarkStart w:id="3172" w:name="_Toc18401"/>
      <w:r>
        <w:rPr>
          <w:rFonts w:hint="eastAsia" w:ascii="宋体" w:hAnsi="宋体" w:eastAsia="宋体" w:cs="宋体"/>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171"/>
      <w:bookmarkEnd w:id="3172"/>
    </w:p>
    <w:bookmarkEnd w:id="3168"/>
    <w:bookmarkEnd w:id="3169"/>
    <w:bookmarkEnd w:id="3170"/>
    <w:p w14:paraId="26E3E2C9">
      <w:pPr>
        <w:spacing w:line="400" w:lineRule="exact"/>
        <w:ind w:firstLine="482" w:firstLineChars="200"/>
        <w:outlineLvl w:val="9"/>
        <w:rPr>
          <w:rFonts w:hint="eastAsia" w:ascii="宋体" w:hAnsi="宋体" w:eastAsia="宋体" w:cs="宋体"/>
          <w:b/>
          <w:color w:val="auto"/>
          <w:sz w:val="24"/>
          <w:highlight w:val="none"/>
        </w:rPr>
      </w:pPr>
      <w:bookmarkStart w:id="3173" w:name="_Toc19439"/>
      <w:bookmarkStart w:id="3174" w:name="_Toc18929"/>
      <w:bookmarkStart w:id="3175" w:name="_Toc16009"/>
      <w:bookmarkStart w:id="3176" w:name="_Toc18708"/>
      <w:bookmarkStart w:id="3177" w:name="_Toc10141"/>
      <w:bookmarkStart w:id="3178" w:name="_Toc12254"/>
      <w:bookmarkStart w:id="3179" w:name="_Toc28906"/>
      <w:bookmarkStart w:id="3180" w:name="_Toc19750"/>
      <w:bookmarkStart w:id="3181" w:name="_Toc7573"/>
      <w:bookmarkStart w:id="3182" w:name="_Toc13433"/>
      <w:bookmarkStart w:id="3183" w:name="_Toc28590"/>
      <w:bookmarkStart w:id="3184" w:name="_Toc25689"/>
      <w:bookmarkStart w:id="3185" w:name="_Toc29962"/>
      <w:bookmarkStart w:id="3186" w:name="_Toc556"/>
      <w:bookmarkStart w:id="3187" w:name="_Toc4407"/>
      <w:bookmarkStart w:id="3188" w:name="_Toc4453"/>
      <w:bookmarkStart w:id="3189" w:name="_Toc31615"/>
      <w:bookmarkStart w:id="3190" w:name="_Toc279701263"/>
      <w:bookmarkStart w:id="3191" w:name="_Toc259093692"/>
      <w:bookmarkStart w:id="3192" w:name="_Toc32221"/>
      <w:bookmarkStart w:id="3193" w:name="_Toc27644"/>
      <w:bookmarkStart w:id="3194" w:name="_Toc1846"/>
      <w:bookmarkStart w:id="3195" w:name="_Toc14054"/>
      <w:bookmarkStart w:id="3196" w:name="_Toc20967"/>
      <w:bookmarkStart w:id="3197" w:name="_Toc10103"/>
      <w:bookmarkStart w:id="3198" w:name="_Toc20808"/>
      <w:bookmarkStart w:id="3199" w:name="_Toc8788"/>
      <w:bookmarkStart w:id="3200" w:name="_Toc487900373"/>
      <w:bookmarkStart w:id="3201" w:name="_Toc5063"/>
      <w:bookmarkStart w:id="3202" w:name="_Toc18906"/>
      <w:r>
        <w:rPr>
          <w:rFonts w:hint="eastAsia" w:ascii="宋体" w:hAnsi="宋体" w:eastAsia="宋体" w:cs="宋体"/>
          <w:b/>
          <w:color w:val="auto"/>
          <w:sz w:val="24"/>
          <w:highlight w:val="none"/>
        </w:rPr>
        <w:t>2.17 合同使用的文字和适用的法律</w:t>
      </w:r>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p>
    <w:p w14:paraId="26AB5DD6">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587456F8">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330067B7">
      <w:pPr>
        <w:spacing w:line="400" w:lineRule="exact"/>
        <w:ind w:firstLine="482" w:firstLineChars="200"/>
        <w:outlineLvl w:val="9"/>
        <w:rPr>
          <w:rFonts w:hint="eastAsia" w:ascii="宋体" w:hAnsi="宋体" w:eastAsia="宋体" w:cs="宋体"/>
          <w:b/>
          <w:color w:val="auto"/>
          <w:sz w:val="24"/>
          <w:highlight w:val="none"/>
        </w:rPr>
      </w:pPr>
      <w:bookmarkStart w:id="3203" w:name="_Toc259093693"/>
      <w:bookmarkStart w:id="3204" w:name="_Toc27403"/>
      <w:bookmarkStart w:id="3205" w:name="_Toc30312"/>
      <w:bookmarkStart w:id="3206" w:name="_Toc26691"/>
      <w:bookmarkStart w:id="3207" w:name="_Toc31171"/>
      <w:bookmarkStart w:id="3208" w:name="_Toc17794"/>
      <w:bookmarkStart w:id="3209" w:name="_Toc30096"/>
      <w:bookmarkStart w:id="3210" w:name="_Toc31884"/>
      <w:bookmarkStart w:id="3211" w:name="_Toc1492"/>
      <w:bookmarkStart w:id="3212" w:name="_Toc20559"/>
      <w:bookmarkStart w:id="3213" w:name="_Toc17849"/>
      <w:bookmarkStart w:id="3214" w:name="_Toc5719"/>
      <w:bookmarkStart w:id="3215" w:name="_Toc27127"/>
      <w:bookmarkStart w:id="3216" w:name="_Toc15033"/>
      <w:bookmarkStart w:id="3217" w:name="_Toc18902"/>
      <w:bookmarkStart w:id="3218" w:name="_Toc279701264"/>
      <w:bookmarkStart w:id="3219" w:name="_Toc17540"/>
      <w:bookmarkStart w:id="3220" w:name="_Toc17926"/>
      <w:bookmarkStart w:id="3221" w:name="_Toc20271"/>
      <w:bookmarkStart w:id="3222" w:name="_Toc9042"/>
      <w:bookmarkStart w:id="3223" w:name="_Toc32512"/>
      <w:bookmarkStart w:id="3224" w:name="_Toc27718"/>
      <w:bookmarkStart w:id="3225" w:name="_Toc487900374"/>
      <w:r>
        <w:rPr>
          <w:rFonts w:hint="eastAsia" w:ascii="宋体" w:hAnsi="宋体" w:eastAsia="宋体" w:cs="宋体"/>
          <w:b/>
          <w:color w:val="auto"/>
          <w:sz w:val="24"/>
          <w:highlight w:val="none"/>
        </w:rPr>
        <w:t>2.18 履约保证金</w:t>
      </w:r>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p>
    <w:p w14:paraId="4B1AC83B">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2.18.1 采购文件要求乙方提交履约保证金的，乙方应按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约定的方式，以支票、汇票、本票或者金融机构、担保机构出具的保函等非现金形式，提交不超过合同价10%的履约保证金；</w:t>
      </w:r>
    </w:p>
    <w:p w14:paraId="2F095F7D">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2.18.2 履约保证金在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约定期间内不予退还或者应完全有效，前述约定期间届满之日起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个工作日内，甲方应将履约保证金退还乙方；</w:t>
      </w:r>
    </w:p>
    <w:p w14:paraId="43AC80AF">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225"/>
    <w:p w14:paraId="4FEE336D">
      <w:pPr>
        <w:spacing w:line="400" w:lineRule="exact"/>
        <w:ind w:firstLine="482" w:firstLineChars="200"/>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 合同份数</w:t>
      </w:r>
    </w:p>
    <w:p w14:paraId="284F0B92">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bookmarkStart w:id="3226" w:name="_Toc331685784"/>
    </w:p>
    <w:p w14:paraId="56D0F6CC">
      <w:pPr>
        <w:spacing w:line="400" w:lineRule="exact"/>
        <w:ind w:firstLine="422" w:firstLineChars="200"/>
        <w:outlineLvl w:val="9"/>
        <w:rPr>
          <w:rFonts w:hint="eastAsia" w:ascii="宋体" w:hAnsi="宋体" w:eastAsia="宋体" w:cs="宋体"/>
          <w:b/>
          <w:color w:val="auto"/>
          <w:highlight w:val="none"/>
        </w:rPr>
      </w:pPr>
      <w:r>
        <w:rPr>
          <w:rFonts w:hint="eastAsia" w:ascii="宋体" w:hAnsi="宋体" w:eastAsia="宋体" w:cs="宋体"/>
          <w:b/>
          <w:color w:val="auto"/>
          <w:highlight w:val="none"/>
        </w:rPr>
        <w:t>第三部分  合同专用条款</w:t>
      </w:r>
      <w:bookmarkEnd w:id="3226"/>
    </w:p>
    <w:p w14:paraId="37BB88C7">
      <w:pPr>
        <w:spacing w:line="400" w:lineRule="exact"/>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7"/>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6A960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647F2E6E">
            <w:pPr>
              <w:spacing w:line="400" w:lineRule="exact"/>
              <w:jc w:val="center"/>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7633" w:type="dxa"/>
            <w:vAlign w:val="center"/>
          </w:tcPr>
          <w:p w14:paraId="6BD2EE5F">
            <w:pPr>
              <w:spacing w:line="400" w:lineRule="exact"/>
              <w:jc w:val="center"/>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0A2283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4F9755DB">
            <w:pPr>
              <w:spacing w:line="400" w:lineRule="exact"/>
              <w:outlineLvl w:val="9"/>
              <w:rPr>
                <w:rFonts w:hint="eastAsia" w:ascii="宋体" w:hAnsi="宋体" w:eastAsia="宋体" w:cs="宋体"/>
                <w:color w:val="auto"/>
                <w:sz w:val="24"/>
                <w:highlight w:val="none"/>
              </w:rPr>
            </w:pPr>
          </w:p>
        </w:tc>
        <w:tc>
          <w:tcPr>
            <w:tcW w:w="7633" w:type="dxa"/>
            <w:vAlign w:val="center"/>
          </w:tcPr>
          <w:p w14:paraId="4078B93F">
            <w:pPr>
              <w:spacing w:line="400" w:lineRule="exact"/>
              <w:outlineLvl w:val="9"/>
              <w:rPr>
                <w:rFonts w:hint="eastAsia" w:ascii="宋体" w:hAnsi="宋体" w:eastAsia="宋体" w:cs="宋体"/>
                <w:color w:val="auto"/>
                <w:sz w:val="24"/>
                <w:highlight w:val="none"/>
              </w:rPr>
            </w:pPr>
          </w:p>
        </w:tc>
      </w:tr>
      <w:tr w14:paraId="6979BD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6A2D2CE">
            <w:pPr>
              <w:spacing w:line="400" w:lineRule="exact"/>
              <w:outlineLvl w:val="9"/>
              <w:rPr>
                <w:rFonts w:hint="eastAsia" w:ascii="宋体" w:hAnsi="宋体" w:eastAsia="宋体" w:cs="宋体"/>
                <w:color w:val="auto"/>
                <w:sz w:val="24"/>
                <w:highlight w:val="none"/>
              </w:rPr>
            </w:pPr>
          </w:p>
        </w:tc>
        <w:tc>
          <w:tcPr>
            <w:tcW w:w="7633" w:type="dxa"/>
            <w:vAlign w:val="center"/>
          </w:tcPr>
          <w:p w14:paraId="1A66E1A3">
            <w:pPr>
              <w:spacing w:line="400" w:lineRule="exact"/>
              <w:outlineLvl w:val="9"/>
              <w:rPr>
                <w:rFonts w:hint="eastAsia" w:ascii="宋体" w:hAnsi="宋体" w:eastAsia="宋体" w:cs="宋体"/>
                <w:color w:val="auto"/>
                <w:sz w:val="24"/>
                <w:highlight w:val="none"/>
              </w:rPr>
            </w:pPr>
          </w:p>
        </w:tc>
      </w:tr>
      <w:tr w14:paraId="01553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1946413">
            <w:pPr>
              <w:spacing w:line="400" w:lineRule="exact"/>
              <w:outlineLvl w:val="9"/>
              <w:rPr>
                <w:rFonts w:hint="eastAsia" w:ascii="宋体" w:hAnsi="宋体" w:eastAsia="宋体" w:cs="宋体"/>
                <w:color w:val="auto"/>
                <w:sz w:val="24"/>
                <w:highlight w:val="none"/>
              </w:rPr>
            </w:pPr>
          </w:p>
        </w:tc>
        <w:tc>
          <w:tcPr>
            <w:tcW w:w="7633" w:type="dxa"/>
            <w:vAlign w:val="center"/>
          </w:tcPr>
          <w:p w14:paraId="23145AE1">
            <w:pPr>
              <w:spacing w:line="400" w:lineRule="exact"/>
              <w:outlineLvl w:val="9"/>
              <w:rPr>
                <w:rFonts w:hint="eastAsia" w:ascii="宋体" w:hAnsi="宋体" w:eastAsia="宋体" w:cs="宋体"/>
                <w:color w:val="auto"/>
                <w:sz w:val="24"/>
                <w:highlight w:val="none"/>
              </w:rPr>
            </w:pPr>
          </w:p>
        </w:tc>
      </w:tr>
      <w:tr w14:paraId="31CFDA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65FC9AF">
            <w:pPr>
              <w:spacing w:line="400" w:lineRule="exact"/>
              <w:outlineLvl w:val="9"/>
              <w:rPr>
                <w:rFonts w:hint="eastAsia" w:ascii="宋体" w:hAnsi="宋体" w:eastAsia="宋体" w:cs="宋体"/>
                <w:color w:val="auto"/>
                <w:sz w:val="24"/>
                <w:highlight w:val="none"/>
              </w:rPr>
            </w:pPr>
          </w:p>
        </w:tc>
        <w:tc>
          <w:tcPr>
            <w:tcW w:w="7633" w:type="dxa"/>
            <w:vAlign w:val="center"/>
          </w:tcPr>
          <w:p w14:paraId="01E43A1D">
            <w:pPr>
              <w:spacing w:line="400" w:lineRule="exact"/>
              <w:outlineLvl w:val="9"/>
              <w:rPr>
                <w:rFonts w:hint="eastAsia" w:ascii="宋体" w:hAnsi="宋体" w:eastAsia="宋体" w:cs="宋体"/>
                <w:color w:val="auto"/>
                <w:sz w:val="24"/>
                <w:highlight w:val="none"/>
              </w:rPr>
            </w:pPr>
          </w:p>
        </w:tc>
      </w:tr>
      <w:tr w14:paraId="28A94F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67F8942">
            <w:pPr>
              <w:spacing w:line="400" w:lineRule="exact"/>
              <w:outlineLvl w:val="9"/>
              <w:rPr>
                <w:rFonts w:hint="eastAsia" w:ascii="宋体" w:hAnsi="宋体" w:eastAsia="宋体" w:cs="宋体"/>
                <w:color w:val="auto"/>
                <w:sz w:val="24"/>
                <w:highlight w:val="none"/>
              </w:rPr>
            </w:pPr>
          </w:p>
        </w:tc>
        <w:tc>
          <w:tcPr>
            <w:tcW w:w="7633" w:type="dxa"/>
            <w:vAlign w:val="center"/>
          </w:tcPr>
          <w:p w14:paraId="338B400D">
            <w:pPr>
              <w:spacing w:line="400" w:lineRule="exact"/>
              <w:outlineLvl w:val="9"/>
              <w:rPr>
                <w:rFonts w:hint="eastAsia" w:ascii="宋体" w:hAnsi="宋体" w:eastAsia="宋体" w:cs="宋体"/>
                <w:color w:val="auto"/>
                <w:sz w:val="24"/>
                <w:highlight w:val="none"/>
                <w:u w:val="single"/>
              </w:rPr>
            </w:pPr>
          </w:p>
        </w:tc>
      </w:tr>
      <w:tr w14:paraId="09C33C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A8060E1">
            <w:pPr>
              <w:spacing w:line="400" w:lineRule="exact"/>
              <w:outlineLvl w:val="9"/>
              <w:rPr>
                <w:rFonts w:hint="eastAsia" w:ascii="宋体" w:hAnsi="宋体" w:eastAsia="宋体" w:cs="宋体"/>
                <w:color w:val="auto"/>
                <w:sz w:val="24"/>
                <w:highlight w:val="none"/>
              </w:rPr>
            </w:pPr>
          </w:p>
        </w:tc>
        <w:tc>
          <w:tcPr>
            <w:tcW w:w="7633" w:type="dxa"/>
            <w:vAlign w:val="center"/>
          </w:tcPr>
          <w:p w14:paraId="3B9C6747">
            <w:pPr>
              <w:spacing w:line="400" w:lineRule="exact"/>
              <w:outlineLvl w:val="9"/>
              <w:rPr>
                <w:rFonts w:hint="eastAsia" w:ascii="宋体" w:hAnsi="宋体" w:eastAsia="宋体" w:cs="宋体"/>
                <w:color w:val="auto"/>
                <w:sz w:val="24"/>
                <w:highlight w:val="none"/>
              </w:rPr>
            </w:pPr>
          </w:p>
        </w:tc>
      </w:tr>
      <w:tr w14:paraId="6201D9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4168B41">
            <w:pPr>
              <w:spacing w:line="400" w:lineRule="exact"/>
              <w:outlineLvl w:val="9"/>
              <w:rPr>
                <w:rFonts w:hint="eastAsia" w:ascii="宋体" w:hAnsi="宋体" w:eastAsia="宋体" w:cs="宋体"/>
                <w:color w:val="auto"/>
                <w:sz w:val="24"/>
                <w:highlight w:val="none"/>
              </w:rPr>
            </w:pPr>
          </w:p>
        </w:tc>
        <w:tc>
          <w:tcPr>
            <w:tcW w:w="7633" w:type="dxa"/>
            <w:vAlign w:val="center"/>
          </w:tcPr>
          <w:p w14:paraId="3F339087">
            <w:pPr>
              <w:spacing w:line="400" w:lineRule="exact"/>
              <w:outlineLvl w:val="9"/>
              <w:rPr>
                <w:rFonts w:hint="eastAsia" w:ascii="宋体" w:hAnsi="宋体" w:eastAsia="宋体" w:cs="宋体"/>
                <w:color w:val="auto"/>
                <w:sz w:val="24"/>
                <w:highlight w:val="none"/>
                <w:u w:val="single"/>
              </w:rPr>
            </w:pPr>
          </w:p>
        </w:tc>
      </w:tr>
      <w:tr w14:paraId="6C27B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BF1E85D">
            <w:pPr>
              <w:spacing w:line="400" w:lineRule="exact"/>
              <w:outlineLvl w:val="9"/>
              <w:rPr>
                <w:rFonts w:hint="eastAsia" w:ascii="宋体" w:hAnsi="宋体" w:eastAsia="宋体" w:cs="宋体"/>
                <w:color w:val="auto"/>
                <w:sz w:val="24"/>
                <w:highlight w:val="none"/>
              </w:rPr>
            </w:pPr>
          </w:p>
        </w:tc>
        <w:tc>
          <w:tcPr>
            <w:tcW w:w="7633" w:type="dxa"/>
            <w:vAlign w:val="center"/>
          </w:tcPr>
          <w:p w14:paraId="2E4FEF7E">
            <w:pPr>
              <w:spacing w:line="400" w:lineRule="exact"/>
              <w:outlineLvl w:val="9"/>
              <w:rPr>
                <w:rFonts w:hint="eastAsia" w:ascii="宋体" w:hAnsi="宋体" w:eastAsia="宋体" w:cs="宋体"/>
                <w:color w:val="auto"/>
                <w:sz w:val="24"/>
                <w:highlight w:val="none"/>
              </w:rPr>
            </w:pPr>
          </w:p>
        </w:tc>
      </w:tr>
      <w:tr w14:paraId="73841D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0937A10">
            <w:pPr>
              <w:spacing w:line="400" w:lineRule="exact"/>
              <w:outlineLvl w:val="9"/>
              <w:rPr>
                <w:rFonts w:hint="eastAsia" w:ascii="宋体" w:hAnsi="宋体" w:eastAsia="宋体" w:cs="宋体"/>
                <w:color w:val="auto"/>
                <w:sz w:val="24"/>
                <w:highlight w:val="none"/>
              </w:rPr>
            </w:pPr>
          </w:p>
        </w:tc>
        <w:tc>
          <w:tcPr>
            <w:tcW w:w="7633" w:type="dxa"/>
            <w:vAlign w:val="center"/>
          </w:tcPr>
          <w:p w14:paraId="5E8CEAA5">
            <w:pPr>
              <w:spacing w:line="400" w:lineRule="exact"/>
              <w:outlineLvl w:val="9"/>
              <w:rPr>
                <w:rFonts w:hint="eastAsia" w:ascii="宋体" w:hAnsi="宋体" w:eastAsia="宋体" w:cs="宋体"/>
                <w:color w:val="auto"/>
                <w:sz w:val="24"/>
                <w:highlight w:val="none"/>
              </w:rPr>
            </w:pPr>
          </w:p>
        </w:tc>
      </w:tr>
    </w:tbl>
    <w:p w14:paraId="09621009">
      <w:pPr>
        <w:outlineLvl w:val="9"/>
        <w:rPr>
          <w:rFonts w:hint="eastAsia" w:ascii="宋体" w:hAnsi="宋体" w:eastAsia="宋体" w:cs="宋体"/>
          <w:color w:val="auto"/>
          <w:sz w:val="24"/>
          <w:szCs w:val="24"/>
          <w:highlight w:val="none"/>
        </w:rPr>
      </w:pPr>
    </w:p>
    <w:sectPr>
      <w:footerReference r:id="rId9" w:type="default"/>
      <w:pgSz w:w="11907" w:h="16840"/>
      <w:pgMar w:top="1440" w:right="1800" w:bottom="1440" w:left="1800"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D92ED963-327C-42E7-8D10-2A04E3269D0D}"/>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2" w:fontKey="{A9D83B44-56CE-4CE2-B6BA-40BCCB8D86EB}"/>
  </w:font>
  <w:font w:name="微软雅黑">
    <w:panose1 w:val="020B0503020204020204"/>
    <w:charset w:val="86"/>
    <w:family w:val="swiss"/>
    <w:pitch w:val="default"/>
    <w:sig w:usb0="80000287" w:usb1="280F3C52" w:usb2="00000016" w:usb3="00000000" w:csb0="0004001F" w:csb1="00000000"/>
  </w:font>
  <w:font w:name="Calibri Light">
    <w:panose1 w:val="020F0302020204030204"/>
    <w:charset w:val="00"/>
    <w:family w:val="auto"/>
    <w:pitch w:val="default"/>
    <w:sig w:usb0="A00002EF" w:usb1="4000207B" w:usb2="00000000" w:usb3="00000000" w:csb0="2000019F" w:csb1="00000000"/>
  </w:font>
  <w:font w:name="Arial Unicode MS">
    <w:altName w:val="宋体"/>
    <w:panose1 w:val="020B0604020202020204"/>
    <w:charset w:val="86"/>
    <w:family w:val="auto"/>
    <w:pitch w:val="default"/>
    <w:sig w:usb0="00000000" w:usb1="00000000" w:usb2="0000003F" w:usb3="00000000" w:csb0="603F01FF" w:csb1="FFFF0000"/>
  </w:font>
  <w:font w:name="pingfang sc">
    <w:altName w:val="宋体"/>
    <w:panose1 w:val="020B0400000000000000"/>
    <w:charset w:val="86"/>
    <w:family w:val="auto"/>
    <w:pitch w:val="default"/>
    <w:sig w:usb0="00000000" w:usb1="00000000" w:usb2="00000017" w:usb3="00000000" w:csb0="00040001" w:csb1="00000000"/>
  </w:font>
  <w:font w:name="Helvetica Neue">
    <w:altName w:val="Times New Roman"/>
    <w:panose1 w:val="00000000000000000000"/>
    <w:charset w:val="00"/>
    <w:family w:val="roman"/>
    <w:pitch w:val="default"/>
    <w:sig w:usb0="00000000" w:usb1="00000000" w:usb2="00000000" w:usb3="00000000" w:csb0="00000000" w:csb1="00000000"/>
  </w:font>
  <w:font w:name="Cambria">
    <w:panose1 w:val="02040503050406030204"/>
    <w:charset w:val="00"/>
    <w:family w:val="roman"/>
    <w:pitch w:val="default"/>
    <w:sig w:usb0="E00002FF" w:usb1="400004FF" w:usb2="00000000" w:usb3="00000000" w:csb0="2000019F" w:csb1="00000000"/>
  </w:font>
  <w:font w:name="Batang">
    <w:altName w:val="Times New Roman"/>
    <w:panose1 w:val="02030600000101010101"/>
    <w:charset w:val="81"/>
    <w:family w:val="roman"/>
    <w:pitch w:val="default"/>
    <w:sig w:usb0="00000000" w:usb1="00000000" w:usb2="00000030" w:usb3="00000000" w:csb0="4008009F" w:csb1="DFD70000"/>
  </w:font>
  <w:font w:name="GWZT-EN">
    <w:panose1 w:val="02020400000000000000"/>
    <w:charset w:val="86"/>
    <w:family w:val="auto"/>
    <w:pitch w:val="default"/>
    <w:sig w:usb0="A00002BF" w:usb1="38CF7CFA" w:usb2="00082016" w:usb3="00000000" w:csb0="00040001" w:csb1="00000000"/>
    <w:embedRegular r:id="rId3" w:fontKey="{78E4C72A-342A-499E-83E8-3F73E4E2A48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A3BBF">
    <w:pPr>
      <w:widowControl w:val="0"/>
      <w:tabs>
        <w:tab w:val="center" w:pos="4153"/>
        <w:tab w:val="right" w:pos="8306"/>
      </w:tabs>
      <w:autoSpaceDE w:val="0"/>
      <w:autoSpaceDN w:val="0"/>
      <w:adjustRightInd w:val="0"/>
      <w:snapToGrid w:val="0"/>
      <w:ind w:right="360"/>
      <w:jc w:val="center"/>
      <w:rPr>
        <w:rFonts w:ascii="宋体" w:hAnsi="Times New Roman" w:eastAsia="宋体" w:cs="Times New Roman"/>
        <w:kern w:val="0"/>
        <w:sz w:val="18"/>
        <w:szCs w:val="20"/>
        <w:lang w:val="en-US" w:eastAsia="zh-CN" w:bidi="ar-S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F31A3">
                          <w:pPr>
                            <w:pStyle w:val="1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7EF31A3">
                    <w:pPr>
                      <w:pStyle w:val="1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2AAA4">
    <w:pPr>
      <w:widowControl w:val="0"/>
      <w:tabs>
        <w:tab w:val="center" w:pos="4153"/>
        <w:tab w:val="right" w:pos="8306"/>
      </w:tabs>
      <w:autoSpaceDE w:val="0"/>
      <w:autoSpaceDN w:val="0"/>
      <w:adjustRightInd w:val="0"/>
      <w:snapToGrid w:val="0"/>
      <w:jc w:val="left"/>
      <w:rPr>
        <w:rFonts w:ascii="宋体" w:hAnsi="Times New Roman" w:eastAsia="宋体" w:cs="Times New Roman"/>
        <w:kern w:val="0"/>
        <w:sz w:val="18"/>
        <w:szCs w:val="20"/>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C432C">
    <w:pPr>
      <w:widowControl w:val="0"/>
      <w:tabs>
        <w:tab w:val="center" w:pos="4153"/>
        <w:tab w:val="right" w:pos="8306"/>
      </w:tabs>
      <w:autoSpaceDE w:val="0"/>
      <w:autoSpaceDN w:val="0"/>
      <w:adjustRightInd w:val="0"/>
      <w:snapToGrid w:val="0"/>
      <w:jc w:val="left"/>
      <w:rPr>
        <w:rFonts w:ascii="宋体" w:hAnsi="Times New Roman" w:eastAsia="宋体" w:cs="Times New Roman"/>
        <w:kern w:val="0"/>
        <w:sz w:val="18"/>
        <w:szCs w:val="20"/>
        <w:lang w:val="en-US" w:eastAsia="zh-CN" w:bidi="ar-S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7E33A">
    <w:pPr>
      <w:pStyle w:val="17"/>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BE792">
                          <w:pPr>
                            <w:pStyle w:val="17"/>
                          </w:pPr>
                          <w:r>
                            <w:t xml:space="preserve">— </w:t>
                          </w:r>
                          <w:r>
                            <w:fldChar w:fldCharType="begin"/>
                          </w:r>
                          <w:r>
                            <w:instrText xml:space="preserve"> PAGE  \* MERGEFORMAT </w:instrText>
                          </w:r>
                          <w:r>
                            <w:fldChar w:fldCharType="separate"/>
                          </w:r>
                          <w:r>
                            <w:t>58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8FBE792">
                    <w:pPr>
                      <w:pStyle w:val="17"/>
                    </w:pPr>
                    <w:r>
                      <w:t xml:space="preserve">— </w:t>
                    </w:r>
                    <w:r>
                      <w:fldChar w:fldCharType="begin"/>
                    </w:r>
                    <w:r>
                      <w:instrText xml:space="preserve"> PAGE  \* MERGEFORMAT </w:instrText>
                    </w:r>
                    <w:r>
                      <w:fldChar w:fldCharType="separate"/>
                    </w:r>
                    <w:r>
                      <w:t>58</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7FA06">
    <w:pPr>
      <w:pStyle w:val="18"/>
      <w:pBdr>
        <w:bottom w:val="double" w:color="auto" w:sz="8" w:space="0"/>
      </w:pBdr>
      <w:jc w:val="left"/>
    </w:pPr>
    <w:r>
      <w:rPr>
        <w:rFonts w:ascii="Calibri" w:hAnsi="Calibri" w:eastAsia="宋体" w:cs="Times New Roman"/>
        <w:kern w:val="2"/>
        <w:sz w:val="18"/>
        <w:szCs w:val="24"/>
        <w:lang w:val="en-US" w:eastAsia="zh-CN" w:bidi="ar-SA"/>
      </w:rPr>
      <w:drawing>
        <wp:anchor distT="0" distB="0" distL="114300" distR="114300" simplePos="0" relativeHeight="251660288" behindDoc="0" locked="0" layoutInCell="1" allowOverlap="1">
          <wp:simplePos x="0" y="0"/>
          <wp:positionH relativeFrom="column">
            <wp:posOffset>0</wp:posOffset>
          </wp:positionH>
          <wp:positionV relativeFrom="paragraph">
            <wp:posOffset>-325120</wp:posOffset>
          </wp:positionV>
          <wp:extent cx="2962275" cy="441960"/>
          <wp:effectExtent l="0" t="0" r="0" b="5715"/>
          <wp:wrapTopAndBottom/>
          <wp:docPr id="1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3"/>
                  <pic:cNvPicPr>
                    <a:picLocks noChangeAspect="1"/>
                  </pic:cNvPicPr>
                </pic:nvPicPr>
                <pic:blipFill>
                  <a:blip r:embed="rId1"/>
                  <a:stretch>
                    <a:fillRect/>
                  </a:stretch>
                </pic:blipFill>
                <pic:spPr>
                  <a:xfrm>
                    <a:off x="1143000" y="243205"/>
                    <a:ext cx="2962275" cy="44196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520D6">
    <w:pPr>
      <w:widowControl w:val="0"/>
      <w:pBdr>
        <w:bottom w:val="single" w:color="auto" w:sz="6" w:space="1"/>
      </w:pBdr>
      <w:tabs>
        <w:tab w:val="center" w:pos="4153"/>
        <w:tab w:val="right" w:pos="8306"/>
      </w:tabs>
      <w:snapToGrid w:val="0"/>
      <w:jc w:val="center"/>
      <w:rPr>
        <w:rFonts w:ascii="Times New Roman" w:hAnsi="Times New Roman" w:eastAsia="宋体" w:cs="Times New Roman"/>
        <w:kern w:val="2"/>
        <w:sz w:val="18"/>
        <w:szCs w:val="18"/>
        <w:lang w:val="en-US" w:eastAsia="zh-CN" w:bidi="ar-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DC8B9">
    <w:pPr>
      <w:widowControl w:val="0"/>
      <w:pBdr>
        <w:bottom w:val="single" w:color="auto" w:sz="6" w:space="1"/>
      </w:pBdr>
      <w:tabs>
        <w:tab w:val="center" w:pos="4153"/>
        <w:tab w:val="right" w:pos="8306"/>
      </w:tabs>
      <w:snapToGrid w:val="0"/>
      <w:jc w:val="center"/>
      <w:rPr>
        <w:rFonts w:ascii="Times New Roman" w:hAnsi="Times New Roman" w:eastAsia="宋体" w:cs="Times New Roman"/>
        <w:kern w:val="2"/>
        <w:sz w:val="18"/>
        <w:szCs w:val="18"/>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6"/>
    <w:multiLevelType w:val="multilevel"/>
    <w:tmpl w:val="00000006"/>
    <w:lvl w:ilvl="0" w:tentative="0">
      <w:start w:val="1"/>
      <w:numFmt w:val="upperLetter"/>
      <w:pStyle w:val="40"/>
      <w:lvlText w:val="%1."/>
      <w:lvlJc w:val="left"/>
      <w:pPr>
        <w:widowControl/>
        <w:tabs>
          <w:tab w:val="left" w:pos="752"/>
        </w:tabs>
        <w:ind w:left="752" w:hanging="468"/>
        <w:textAlignment w:val="baseline"/>
      </w:pPr>
    </w:lvl>
    <w:lvl w:ilvl="1" w:tentative="0">
      <w:start w:val="1"/>
      <w:numFmt w:val="decimal"/>
      <w:lvlText w:val="%1."/>
      <w:lvlJc w:val="left"/>
      <w:pPr>
        <w:widowControl/>
        <w:tabs>
          <w:tab w:val="left" w:pos="1724"/>
        </w:tabs>
        <w:ind w:left="1724" w:hanging="360"/>
        <w:textAlignment w:val="baseline"/>
      </w:pPr>
    </w:lvl>
    <w:lvl w:ilvl="2" w:tentative="0">
      <w:start w:val="1"/>
      <w:numFmt w:val="decimal"/>
      <w:lvlText w:val="%1."/>
      <w:lvlJc w:val="left"/>
      <w:pPr>
        <w:widowControl/>
        <w:tabs>
          <w:tab w:val="left" w:pos="644"/>
        </w:tabs>
        <w:ind w:left="644" w:hanging="360"/>
        <w:textAlignment w:val="baseline"/>
      </w:pPr>
    </w:lvl>
    <w:lvl w:ilvl="3" w:tentative="0">
      <w:start w:val="1"/>
      <w:numFmt w:val="decimal"/>
      <w:lvlText w:val="%1."/>
      <w:lvlJc w:val="left"/>
      <w:pPr>
        <w:widowControl/>
        <w:tabs>
          <w:tab w:val="left" w:pos="3164"/>
        </w:tabs>
        <w:ind w:left="3164" w:hanging="360"/>
        <w:textAlignment w:val="baseline"/>
      </w:pPr>
    </w:lvl>
    <w:lvl w:ilvl="4" w:tentative="0">
      <w:start w:val="1"/>
      <w:numFmt w:val="decimal"/>
      <w:lvlText w:val="%1."/>
      <w:lvlJc w:val="left"/>
      <w:pPr>
        <w:widowControl/>
        <w:tabs>
          <w:tab w:val="left" w:pos="3884"/>
        </w:tabs>
        <w:ind w:left="3884" w:hanging="360"/>
        <w:textAlignment w:val="baseline"/>
      </w:pPr>
    </w:lvl>
    <w:lvl w:ilvl="5" w:tentative="0">
      <w:start w:val="1"/>
      <w:numFmt w:val="decimal"/>
      <w:lvlText w:val="%1."/>
      <w:lvlJc w:val="left"/>
      <w:pPr>
        <w:widowControl/>
        <w:tabs>
          <w:tab w:val="left" w:pos="4604"/>
        </w:tabs>
        <w:ind w:left="4604" w:hanging="360"/>
        <w:textAlignment w:val="baseline"/>
      </w:pPr>
    </w:lvl>
    <w:lvl w:ilvl="6" w:tentative="0">
      <w:start w:val="1"/>
      <w:numFmt w:val="decimal"/>
      <w:lvlText w:val="%1."/>
      <w:lvlJc w:val="left"/>
      <w:pPr>
        <w:widowControl/>
        <w:tabs>
          <w:tab w:val="left" w:pos="5324"/>
        </w:tabs>
        <w:ind w:left="5324" w:hanging="360"/>
        <w:textAlignment w:val="baseline"/>
      </w:pPr>
    </w:lvl>
    <w:lvl w:ilvl="7" w:tentative="0">
      <w:start w:val="1"/>
      <w:numFmt w:val="decimal"/>
      <w:lvlText w:val="%1."/>
      <w:lvlJc w:val="left"/>
      <w:pPr>
        <w:widowControl/>
        <w:tabs>
          <w:tab w:val="left" w:pos="6044"/>
        </w:tabs>
        <w:ind w:left="6044" w:hanging="360"/>
        <w:textAlignment w:val="baseline"/>
      </w:pPr>
    </w:lvl>
    <w:lvl w:ilvl="8" w:tentative="0">
      <w:start w:val="1"/>
      <w:numFmt w:val="decimal"/>
      <w:lvlText w:val="%1."/>
      <w:lvlJc w:val="left"/>
      <w:pPr>
        <w:widowControl/>
        <w:tabs>
          <w:tab w:val="left" w:pos="6764"/>
        </w:tabs>
        <w:ind w:left="6764" w:hanging="360"/>
        <w:textAlignment w:val="baseline"/>
      </w:pPr>
    </w:lvl>
  </w:abstractNum>
  <w:abstractNum w:abstractNumId="1">
    <w:nsid w:val="00000008"/>
    <w:multiLevelType w:val="multilevel"/>
    <w:tmpl w:val="00000008"/>
    <w:lvl w:ilvl="0" w:tentative="0">
      <w:start w:val="1"/>
      <w:numFmt w:val="decimal"/>
      <w:lvlText w:val="%1"/>
      <w:lvlJc w:val="left"/>
      <w:pPr>
        <w:ind w:left="432" w:hanging="432"/>
      </w:pPr>
      <w:rPr>
        <w:rFonts w:hint="eastAsia"/>
      </w:rPr>
    </w:lvl>
    <w:lvl w:ilvl="1" w:tentative="0">
      <w:start w:val="1"/>
      <w:numFmt w:val="decimal"/>
      <w:pStyle w:val="80"/>
      <w:lvlText w:val="%1.%2"/>
      <w:lvlJc w:val="left"/>
      <w:pPr>
        <w:ind w:left="576" w:hanging="576"/>
      </w:pPr>
      <w:rPr>
        <w:rFonts w:hint="eastAsia"/>
        <w:b/>
        <w:i w:val="0"/>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2">
    <w:nsid w:val="55828DFF"/>
    <w:multiLevelType w:val="multilevel"/>
    <w:tmpl w:val="55828DFF"/>
    <w:lvl w:ilvl="0" w:tentative="0">
      <w:start w:val="1"/>
      <w:numFmt w:val="decimal"/>
      <w:lvlText w:val="%1."/>
      <w:lvlJc w:val="left"/>
      <w:pPr>
        <w:tabs>
          <w:tab w:val="left" w:pos="432"/>
        </w:tabs>
        <w:ind w:left="432" w:hanging="432"/>
      </w:pPr>
      <w:rPr>
        <w:rFonts w:hint="default" w:ascii="Times New Roman" w:hAnsi="Times New Roman" w:cs="Times New Roman"/>
      </w:rPr>
    </w:lvl>
    <w:lvl w:ilvl="1" w:tentative="0">
      <w:start w:val="1"/>
      <w:numFmt w:val="decimal"/>
      <w:lvlText w:val="%1.%2."/>
      <w:lvlJc w:val="left"/>
      <w:pPr>
        <w:tabs>
          <w:tab w:val="left" w:pos="575"/>
        </w:tabs>
        <w:ind w:left="575" w:hanging="575"/>
      </w:pPr>
      <w:rPr>
        <w:rFonts w:hint="default" w:ascii="Times New Roman" w:hAnsi="Times New Roman" w:cs="Times New Roman"/>
        <w:lang w:val="en-US"/>
      </w:rPr>
    </w:lvl>
    <w:lvl w:ilvl="2" w:tentative="0">
      <w:start w:val="1"/>
      <w:numFmt w:val="decimal"/>
      <w:pStyle w:val="88"/>
      <w:lvlText w:val="%1.%2.%3."/>
      <w:lvlJc w:val="left"/>
      <w:pPr>
        <w:tabs>
          <w:tab w:val="left" w:pos="720"/>
        </w:tabs>
        <w:ind w:left="720" w:hanging="720"/>
      </w:pPr>
      <w:rPr>
        <w:rFonts w:hint="default" w:ascii="Times New Roman" w:hAnsi="Times New Roman" w:eastAsia="黑体" w:cs="Times New Roman"/>
        <w:b/>
        <w:bCs/>
        <w:i w:val="0"/>
        <w:iCs w:val="0"/>
        <w:caps w:val="0"/>
        <w:smallCaps w:val="0"/>
        <w:strike w:val="0"/>
        <w:dstrike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89"/>
      <w:lvlText w:val="%1.%2.%3.%4."/>
      <w:lvlJc w:val="left"/>
      <w:pPr>
        <w:tabs>
          <w:tab w:val="left" w:pos="864"/>
        </w:tabs>
        <w:ind w:left="864" w:hanging="864"/>
      </w:pPr>
      <w:rPr>
        <w:rFonts w:hint="default" w:ascii="Times New Roman" w:hAnsi="Times New Roman" w:eastAsia="黑体" w:cs="Times New Roman"/>
        <w:lang w:val="en-US"/>
      </w:rPr>
    </w:lvl>
    <w:lvl w:ilvl="4" w:tentative="0">
      <w:start w:val="1"/>
      <w:numFmt w:val="decimal"/>
      <w:lvlText w:val="%1.%2.%3.%4.%5."/>
      <w:lvlJc w:val="left"/>
      <w:pPr>
        <w:tabs>
          <w:tab w:val="left" w:pos="1008"/>
        </w:tabs>
        <w:ind w:left="1008" w:hanging="1008"/>
      </w:pPr>
      <w:rPr>
        <w:rFonts w:hint="default" w:ascii="Times New Roman" w:hAnsi="Times New Roman" w:cs="Times New Roman"/>
      </w:rPr>
    </w:lvl>
    <w:lvl w:ilvl="5" w:tentative="0">
      <w:start w:val="1"/>
      <w:numFmt w:val="decimal"/>
      <w:lvlText w:val="%1.%2.%3.%4.%5.%6."/>
      <w:lvlJc w:val="left"/>
      <w:pPr>
        <w:tabs>
          <w:tab w:val="left" w:pos="1151"/>
        </w:tabs>
        <w:ind w:left="1151" w:hanging="1151"/>
      </w:pPr>
      <w:rPr>
        <w:rFonts w:hint="default" w:ascii="Times New Roman" w:hAnsi="Times New Roman" w:cs="Times New Roman"/>
      </w:rPr>
    </w:lvl>
    <w:lvl w:ilvl="6" w:tentative="0">
      <w:start w:val="1"/>
      <w:numFmt w:val="decimal"/>
      <w:lvlText w:val="%1.%2.%3.%4.%5.%6.%7."/>
      <w:lvlJc w:val="left"/>
      <w:pPr>
        <w:tabs>
          <w:tab w:val="left" w:pos="1296"/>
        </w:tabs>
        <w:ind w:left="1296" w:hanging="1296"/>
      </w:pPr>
      <w:rPr>
        <w:rFonts w:hint="default" w:ascii="Times New Roman" w:hAnsi="Times New Roman" w:cs="Times New Roman"/>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3"/>
        </w:tabs>
        <w:ind w:left="1583" w:hanging="1583"/>
      </w:pPr>
      <w:rPr>
        <w:rFonts w:hint="default"/>
      </w:rPr>
    </w:lvl>
  </w:abstractNum>
  <w:abstractNum w:abstractNumId="3">
    <w:nsid w:val="7FB0EDB9"/>
    <w:multiLevelType w:val="singleLevel"/>
    <w:tmpl w:val="7FB0EDB9"/>
    <w:lvl w:ilvl="0" w:tentative="0">
      <w:start w:val="1"/>
      <w:numFmt w:val="decimal"/>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9e79ff70-1788-463e-b46a-fe511074270f"/>
  </w:docVars>
  <w:rsids>
    <w:rsidRoot w:val="00000000"/>
    <w:rsid w:val="01342675"/>
    <w:rsid w:val="017C3493"/>
    <w:rsid w:val="0305689A"/>
    <w:rsid w:val="031251C5"/>
    <w:rsid w:val="07331745"/>
    <w:rsid w:val="0905419B"/>
    <w:rsid w:val="0B250B57"/>
    <w:rsid w:val="0CFF0F1B"/>
    <w:rsid w:val="0ECC7394"/>
    <w:rsid w:val="122731FD"/>
    <w:rsid w:val="1238558D"/>
    <w:rsid w:val="134012FE"/>
    <w:rsid w:val="17981ECF"/>
    <w:rsid w:val="19CC1B0E"/>
    <w:rsid w:val="1D1E48A2"/>
    <w:rsid w:val="203E7B55"/>
    <w:rsid w:val="20F67460"/>
    <w:rsid w:val="21634C89"/>
    <w:rsid w:val="28D32EE0"/>
    <w:rsid w:val="294361DC"/>
    <w:rsid w:val="2A5225F6"/>
    <w:rsid w:val="2A8B7E3A"/>
    <w:rsid w:val="2D551700"/>
    <w:rsid w:val="340A0FBF"/>
    <w:rsid w:val="39DD2B71"/>
    <w:rsid w:val="3C691DE4"/>
    <w:rsid w:val="44B07ADC"/>
    <w:rsid w:val="44C2377B"/>
    <w:rsid w:val="44FD3342"/>
    <w:rsid w:val="488E2B78"/>
    <w:rsid w:val="4AAF6DD6"/>
    <w:rsid w:val="4CEC4C8A"/>
    <w:rsid w:val="4DD2157A"/>
    <w:rsid w:val="4E0D09E3"/>
    <w:rsid w:val="52171E30"/>
    <w:rsid w:val="577852C8"/>
    <w:rsid w:val="59B36503"/>
    <w:rsid w:val="5B3769BC"/>
    <w:rsid w:val="5CCE57E1"/>
    <w:rsid w:val="5DEF52BF"/>
    <w:rsid w:val="5E4F6C76"/>
    <w:rsid w:val="5F686310"/>
    <w:rsid w:val="60315C71"/>
    <w:rsid w:val="64640C1E"/>
    <w:rsid w:val="65FE5570"/>
    <w:rsid w:val="66B56EA7"/>
    <w:rsid w:val="693846BC"/>
    <w:rsid w:val="6BCB5930"/>
    <w:rsid w:val="6C6C0CA4"/>
    <w:rsid w:val="6D5B35BA"/>
    <w:rsid w:val="7A49752C"/>
    <w:rsid w:val="7AF11E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101"/>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4">
    <w:name w:val="heading 2"/>
    <w:basedOn w:val="3"/>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1"/>
    <w:qFormat/>
    <w:uiPriority w:val="0"/>
    <w:pPr>
      <w:spacing w:before="360" w:after="120"/>
      <w:jc w:val="left"/>
      <w:outlineLvl w:val="2"/>
    </w:pPr>
    <w:rPr>
      <w:rFonts w:ascii="宋体" w:hAnsi="Times New Roman" w:eastAsia="宋体"/>
      <w:sz w:val="24"/>
      <w:u w:val="single"/>
    </w:rPr>
  </w:style>
  <w:style w:type="paragraph" w:styleId="2">
    <w:name w:val="heading 4"/>
    <w:basedOn w:val="1"/>
    <w:next w:val="1"/>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29">
    <w:name w:val="Default Paragraph Font"/>
    <w:qFormat/>
    <w:uiPriority w:val="1"/>
  </w:style>
  <w:style w:type="table" w:default="1" w:styleId="27">
    <w:name w:val="Normal Table"/>
    <w:qFormat/>
    <w:uiPriority w:val="99"/>
    <w:tblPr>
      <w:tblCellMar>
        <w:top w:w="0" w:type="dxa"/>
        <w:left w:w="108" w:type="dxa"/>
        <w:bottom w:w="0" w:type="dxa"/>
        <w:right w:w="108" w:type="dxa"/>
      </w:tblCellMar>
    </w:tblPr>
  </w:style>
  <w:style w:type="paragraph" w:styleId="6">
    <w:name w:val="Normal Indent"/>
    <w:basedOn w:val="1"/>
    <w:next w:val="7"/>
    <w:qFormat/>
    <w:uiPriority w:val="0"/>
    <w:pPr>
      <w:autoSpaceDE w:val="0"/>
      <w:autoSpaceDN w:val="0"/>
      <w:adjustRightInd w:val="0"/>
      <w:ind w:firstLine="420"/>
      <w:jc w:val="left"/>
    </w:pPr>
    <w:rPr>
      <w:rFonts w:ascii="宋体" w:hAnsi="Times New Roman"/>
      <w:kern w:val="0"/>
      <w:sz w:val="24"/>
      <w:szCs w:val="20"/>
    </w:rPr>
  </w:style>
  <w:style w:type="paragraph" w:styleId="7">
    <w:name w:val="toa heading"/>
    <w:basedOn w:val="1"/>
    <w:next w:val="1"/>
    <w:qFormat/>
    <w:uiPriority w:val="0"/>
    <w:pPr>
      <w:widowControl/>
      <w:spacing w:before="120"/>
      <w:ind w:firstLine="3584"/>
    </w:pPr>
  </w:style>
  <w:style w:type="paragraph" w:styleId="8">
    <w:name w:val="annotation text"/>
    <w:basedOn w:val="1"/>
    <w:link w:val="67"/>
    <w:qFormat/>
    <w:uiPriority w:val="0"/>
    <w:pPr>
      <w:jc w:val="left"/>
    </w:pPr>
  </w:style>
  <w:style w:type="paragraph" w:styleId="9">
    <w:name w:val="Body Text"/>
    <w:basedOn w:val="1"/>
    <w:qFormat/>
    <w:uiPriority w:val="0"/>
    <w:pPr>
      <w:tabs>
        <w:tab w:val="left" w:pos="567"/>
      </w:tabs>
      <w:spacing w:before="120" w:line="22" w:lineRule="atLeast"/>
    </w:pPr>
    <w:rPr>
      <w:rFonts w:ascii="宋体" w:hAnsi="宋体"/>
      <w:sz w:val="24"/>
    </w:rPr>
  </w:style>
  <w:style w:type="paragraph" w:styleId="10">
    <w:name w:val="Body Text Indent"/>
    <w:basedOn w:val="1"/>
    <w:next w:val="11"/>
    <w:qFormat/>
    <w:uiPriority w:val="0"/>
    <w:pPr>
      <w:spacing w:line="360" w:lineRule="auto"/>
      <w:ind w:firstLine="570"/>
    </w:pPr>
    <w:rPr>
      <w:rFonts w:ascii="Times New Roman" w:hAnsi="Times New Roman"/>
      <w:sz w:val="24"/>
    </w:rPr>
  </w:style>
  <w:style w:type="paragraph" w:styleId="11">
    <w:name w:val="Body Text First Indent 2"/>
    <w:basedOn w:val="10"/>
    <w:next w:val="6"/>
    <w:qFormat/>
    <w:uiPriority w:val="0"/>
    <w:pPr>
      <w:ind w:firstLine="420" w:firstLineChars="200"/>
    </w:pPr>
  </w:style>
  <w:style w:type="paragraph" w:styleId="12">
    <w:name w:val="List 2"/>
    <w:basedOn w:val="1"/>
    <w:qFormat/>
    <w:uiPriority w:val="0"/>
    <w:pPr>
      <w:ind w:left="100" w:leftChars="200" w:hanging="200" w:hangingChars="200"/>
      <w:contextualSpacing/>
    </w:pPr>
  </w:style>
  <w:style w:type="paragraph" w:styleId="13">
    <w:name w:val="toc 3"/>
    <w:basedOn w:val="1"/>
    <w:next w:val="1"/>
    <w:qFormat/>
    <w:uiPriority w:val="0"/>
    <w:pPr>
      <w:ind w:left="840" w:leftChars="400"/>
    </w:pPr>
  </w:style>
  <w:style w:type="paragraph" w:styleId="14">
    <w:name w:val="Plain Text"/>
    <w:basedOn w:val="1"/>
    <w:qFormat/>
    <w:uiPriority w:val="0"/>
    <w:rPr>
      <w:rFonts w:ascii="宋体" w:hAnsi="Courier New"/>
      <w:szCs w:val="20"/>
    </w:rPr>
  </w:style>
  <w:style w:type="paragraph" w:styleId="15">
    <w:name w:val="Date"/>
    <w:basedOn w:val="1"/>
    <w:next w:val="1"/>
    <w:qFormat/>
    <w:uiPriority w:val="0"/>
    <w:pPr>
      <w:ind w:left="100" w:leftChars="2500"/>
    </w:pPr>
    <w:rPr>
      <w:rFonts w:ascii="仿宋_GB2312" w:hAnsi="Courier New" w:eastAsia="仿宋_GB2312"/>
      <w:kern w:val="0"/>
      <w:sz w:val="24"/>
    </w:rPr>
  </w:style>
  <w:style w:type="paragraph" w:styleId="16">
    <w:name w:val="Balloon Text"/>
    <w:basedOn w:val="1"/>
    <w:link w:val="66"/>
    <w:qFormat/>
    <w:uiPriority w:val="0"/>
    <w:rPr>
      <w:sz w:val="18"/>
      <w:szCs w:val="18"/>
    </w:rPr>
  </w:style>
  <w:style w:type="paragraph" w:styleId="17">
    <w:name w:val="footer"/>
    <w:basedOn w:val="1"/>
    <w:qFormat/>
    <w:uiPriority w:val="0"/>
    <w:pPr>
      <w:tabs>
        <w:tab w:val="center" w:pos="4153"/>
        <w:tab w:val="right" w:pos="8306"/>
      </w:tabs>
      <w:autoSpaceDE w:val="0"/>
      <w:autoSpaceDN w:val="0"/>
      <w:adjustRightInd w:val="0"/>
      <w:snapToGrid w:val="0"/>
      <w:jc w:val="left"/>
    </w:pPr>
    <w:rPr>
      <w:rFonts w:ascii="宋体" w:hAnsi="Times New Roman"/>
      <w:kern w:val="0"/>
      <w:sz w:val="18"/>
      <w:szCs w:val="20"/>
    </w:rPr>
  </w:style>
  <w:style w:type="paragraph" w:styleId="18">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19">
    <w:name w:val="toc 1"/>
    <w:basedOn w:val="1"/>
    <w:next w:val="1"/>
    <w:qFormat/>
    <w:uiPriority w:val="0"/>
    <w:rPr>
      <w:rFonts w:ascii="Times New Roman" w:hAnsi="Times New Roman"/>
    </w:rPr>
  </w:style>
  <w:style w:type="paragraph" w:styleId="20">
    <w:name w:val="footnote text"/>
    <w:basedOn w:val="1"/>
    <w:next w:val="9"/>
    <w:qFormat/>
    <w:uiPriority w:val="0"/>
    <w:pPr>
      <w:snapToGrid w:val="0"/>
      <w:jc w:val="left"/>
    </w:pPr>
    <w:rPr>
      <w:rFonts w:ascii="Times New Roman" w:hAnsi="Times New Roman"/>
      <w:sz w:val="18"/>
    </w:rPr>
  </w:style>
  <w:style w:type="paragraph" w:styleId="21">
    <w:name w:val="Body Text Indent 3"/>
    <w:basedOn w:val="1"/>
    <w:unhideWhenUsed/>
    <w:qFormat/>
    <w:uiPriority w:val="0"/>
    <w:pPr>
      <w:spacing w:after="120" w:line="440" w:lineRule="exact"/>
      <w:ind w:left="200" w:leftChars="200" w:firstLine="480" w:firstLineChars="200"/>
    </w:pPr>
    <w:rPr>
      <w:rFonts w:ascii="Times New Roman" w:hAnsi="Times New Roman" w:eastAsia="微软雅黑" w:cs="Arial"/>
      <w:sz w:val="16"/>
      <w:szCs w:val="16"/>
    </w:rPr>
  </w:style>
  <w:style w:type="paragraph" w:styleId="22">
    <w:name w:val="toc 2"/>
    <w:basedOn w:val="1"/>
    <w:next w:val="1"/>
    <w:qFormat/>
    <w:uiPriority w:val="0"/>
    <w:pPr>
      <w:ind w:left="420" w:leftChars="200"/>
    </w:pPr>
    <w:rPr>
      <w:rFonts w:ascii="Times New Roman" w:hAnsi="Times New Roman"/>
    </w:rPr>
  </w:style>
  <w:style w:type="paragraph" w:styleId="23">
    <w:name w:val="Normal (Web)"/>
    <w:basedOn w:val="1"/>
    <w:qFormat/>
    <w:uiPriority w:val="0"/>
    <w:pPr>
      <w:spacing w:beforeAutospacing="1" w:afterAutospacing="1"/>
      <w:jc w:val="left"/>
    </w:pPr>
    <w:rPr>
      <w:kern w:val="0"/>
      <w:sz w:val="24"/>
    </w:rPr>
  </w:style>
  <w:style w:type="paragraph" w:styleId="24">
    <w:name w:val="Title"/>
    <w:basedOn w:val="12"/>
    <w:next w:val="1"/>
    <w:qFormat/>
    <w:uiPriority w:val="10"/>
    <w:pPr>
      <w:spacing w:before="240" w:after="60"/>
      <w:jc w:val="center"/>
      <w:outlineLvl w:val="0"/>
    </w:pPr>
    <w:rPr>
      <w:rFonts w:ascii="Calibri Light" w:hAnsi="Calibri Light" w:eastAsia="宋体" w:cs="宋体"/>
      <w:b/>
      <w:bCs/>
      <w:sz w:val="32"/>
      <w:szCs w:val="32"/>
    </w:rPr>
  </w:style>
  <w:style w:type="paragraph" w:styleId="25">
    <w:name w:val="annotation subject"/>
    <w:basedOn w:val="8"/>
    <w:next w:val="8"/>
    <w:link w:val="68"/>
    <w:qFormat/>
    <w:uiPriority w:val="0"/>
    <w:rPr>
      <w:b/>
      <w:bCs/>
    </w:rPr>
  </w:style>
  <w:style w:type="paragraph" w:styleId="26">
    <w:name w:val="Body Text First Indent"/>
    <w:basedOn w:val="9"/>
    <w:next w:val="1"/>
    <w:qFormat/>
    <w:uiPriority w:val="0"/>
    <w:pPr>
      <w:spacing w:after="120" w:line="240" w:lineRule="auto"/>
      <w:ind w:firstLine="420" w:firstLineChars="100"/>
    </w:pPr>
    <w:rPr>
      <w:rFonts w:ascii="Calibri" w:hAnsi="Calibri"/>
      <w:sz w:val="18"/>
      <w:szCs w:val="18"/>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basedOn w:val="29"/>
    <w:qFormat/>
    <w:uiPriority w:val="0"/>
    <w:rPr>
      <w:b/>
      <w:bCs/>
    </w:rPr>
  </w:style>
  <w:style w:type="character" w:styleId="31">
    <w:name w:val="page number"/>
    <w:basedOn w:val="29"/>
    <w:qFormat/>
    <w:uiPriority w:val="0"/>
    <w:rPr>
      <w:rFonts w:ascii="Times New Roman" w:hAnsi="Times New Roman" w:eastAsia="宋体" w:cs="Times New Roman"/>
    </w:rPr>
  </w:style>
  <w:style w:type="character" w:styleId="32">
    <w:name w:val="Emphasis"/>
    <w:basedOn w:val="29"/>
    <w:qFormat/>
    <w:uiPriority w:val="0"/>
    <w:rPr>
      <w:i/>
    </w:rPr>
  </w:style>
  <w:style w:type="character" w:styleId="33">
    <w:name w:val="Hyperlink"/>
    <w:basedOn w:val="29"/>
    <w:qFormat/>
    <w:uiPriority w:val="0"/>
    <w:rPr>
      <w:color w:val="0000FF"/>
      <w:u w:val="single"/>
    </w:rPr>
  </w:style>
  <w:style w:type="character" w:styleId="34">
    <w:name w:val="annotation reference"/>
    <w:basedOn w:val="29"/>
    <w:qFormat/>
    <w:uiPriority w:val="0"/>
    <w:rPr>
      <w:sz w:val="21"/>
      <w:szCs w:val="21"/>
    </w:rPr>
  </w:style>
  <w:style w:type="character" w:styleId="35">
    <w:name w:val="HTML Sample"/>
    <w:qFormat/>
    <w:uiPriority w:val="0"/>
    <w:rPr>
      <w:rFonts w:ascii="Courier New" w:hAnsi="Courier New"/>
    </w:rPr>
  </w:style>
  <w:style w:type="paragraph" w:customStyle="1" w:styleId="36">
    <w:name w:val="Default"/>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7">
    <w:name w:val="大标题"/>
    <w:next w:val="11"/>
    <w:qFormat/>
    <w:uiPriority w:val="0"/>
    <w:pPr>
      <w:widowControl w:val="0"/>
      <w:jc w:val="center"/>
    </w:pPr>
    <w:rPr>
      <w:rFonts w:ascii="Arial" w:hAnsi="Arial" w:eastAsia="宋体" w:cs="Times New Roman"/>
      <w:b/>
      <w:kern w:val="2"/>
      <w:sz w:val="28"/>
      <w:szCs w:val="24"/>
      <w:lang w:val="en-US" w:eastAsia="zh-CN" w:bidi="ar-SA"/>
    </w:rPr>
  </w:style>
  <w:style w:type="paragraph" w:customStyle="1" w:styleId="38">
    <w:name w:val="正文王森"/>
    <w:basedOn w:val="1"/>
    <w:qFormat/>
    <w:uiPriority w:val="0"/>
    <w:pPr>
      <w:spacing w:line="360" w:lineRule="auto"/>
      <w:ind w:firstLine="480" w:firstLineChars="200"/>
    </w:pPr>
    <w:rPr>
      <w:rFonts w:ascii="黑体" w:hAnsi="黑体" w:eastAsia="黑体"/>
      <w:sz w:val="24"/>
    </w:rPr>
  </w:style>
  <w:style w:type="paragraph" w:customStyle="1" w:styleId="39">
    <w:name w:val="List2"/>
    <w:basedOn w:val="1"/>
    <w:qFormat/>
    <w:uiPriority w:val="0"/>
    <w:pPr>
      <w:widowControl/>
      <w:ind w:left="100" w:leftChars="200" w:hanging="200" w:hangingChars="200"/>
      <w:contextualSpacing/>
      <w:textAlignment w:val="baseline"/>
    </w:pPr>
  </w:style>
  <w:style w:type="paragraph" w:customStyle="1" w:styleId="40">
    <w:name w:val="Heading3"/>
    <w:basedOn w:val="1"/>
    <w:next w:val="1"/>
    <w:qFormat/>
    <w:uiPriority w:val="0"/>
    <w:pPr>
      <w:keepNext/>
      <w:numPr>
        <w:ilvl w:val="0"/>
        <w:numId w:val="1"/>
      </w:numPr>
      <w:jc w:val="both"/>
      <w:textAlignment w:val="baseline"/>
    </w:pPr>
    <w:rPr>
      <w:rFonts w:cs="Times New Roman"/>
      <w:b/>
      <w:bCs/>
      <w:kern w:val="2"/>
      <w:sz w:val="28"/>
      <w:szCs w:val="24"/>
      <w:lang w:val="en-US" w:eastAsia="zh-CN" w:bidi="ar-SA"/>
    </w:rPr>
  </w:style>
  <w:style w:type="paragraph" w:customStyle="1" w:styleId="41">
    <w:name w:val="BodyText"/>
    <w:basedOn w:val="1"/>
    <w:qFormat/>
    <w:uiPriority w:val="0"/>
    <w:pPr>
      <w:spacing w:after="120"/>
    </w:pPr>
  </w:style>
  <w:style w:type="character" w:customStyle="1" w:styleId="42">
    <w:name w:val="标题 1 Char"/>
    <w:link w:val="3"/>
    <w:qFormat/>
    <w:uiPriority w:val="0"/>
    <w:rPr>
      <w:rFonts w:ascii="宋体"/>
      <w:b/>
      <w:kern w:val="44"/>
      <w:sz w:val="32"/>
      <w:szCs w:val="20"/>
    </w:rPr>
  </w:style>
  <w:style w:type="paragraph" w:customStyle="1" w:styleId="43">
    <w:name w:val="No Spacing_3b93350b-94da-44fa-8143-641484b951a0"/>
    <w:link w:val="60"/>
    <w:qFormat/>
    <w:uiPriority w:val="1"/>
    <w:pPr>
      <w:widowControl w:val="0"/>
      <w:jc w:val="both"/>
    </w:pPr>
    <w:rPr>
      <w:rFonts w:ascii="Calibri" w:hAnsi="Calibri" w:eastAsia="宋体" w:cs="Times New Roman"/>
      <w:kern w:val="2"/>
      <w:sz w:val="21"/>
      <w:szCs w:val="24"/>
      <w:lang w:val="en-US" w:eastAsia="zh-CN" w:bidi="ar-SA"/>
    </w:rPr>
  </w:style>
  <w:style w:type="character" w:customStyle="1" w:styleId="44">
    <w:name w:val="NormalCharacter"/>
    <w:qFormat/>
    <w:uiPriority w:val="0"/>
    <w:rPr>
      <w:rFonts w:ascii="Calibri" w:hAnsi="Calibri" w:eastAsia="宋体" w:cs="Times New Roman"/>
      <w:kern w:val="2"/>
      <w:sz w:val="21"/>
      <w:szCs w:val="24"/>
      <w:lang w:val="en-US" w:eastAsia="zh-CN" w:bidi="ar-SA"/>
    </w:rPr>
  </w:style>
  <w:style w:type="paragraph" w:customStyle="1" w:styleId="45">
    <w:name w:val="图例"/>
    <w:basedOn w:val="1"/>
    <w:qFormat/>
    <w:uiPriority w:val="0"/>
    <w:pPr>
      <w:spacing w:before="120" w:after="120" w:line="360" w:lineRule="auto"/>
      <w:jc w:val="center"/>
    </w:pPr>
    <w:rPr>
      <w:rFonts w:eastAsia="仿宋_GB2312"/>
      <w:b/>
      <w:sz w:val="24"/>
    </w:rPr>
  </w:style>
  <w:style w:type="paragraph" w:customStyle="1" w:styleId="46">
    <w:name w:val="列出段落1"/>
    <w:basedOn w:val="1"/>
    <w:qFormat/>
    <w:uiPriority w:val="0"/>
    <w:pPr>
      <w:ind w:firstLine="420" w:firstLineChars="200"/>
    </w:pPr>
  </w:style>
  <w:style w:type="paragraph" w:customStyle="1" w:styleId="47">
    <w:name w:val="List Paragraph_7aecd6e6-fc70-4df6-be05-ef790174fbad"/>
    <w:basedOn w:val="1"/>
    <w:qFormat/>
    <w:uiPriority w:val="34"/>
    <w:pPr>
      <w:ind w:firstLine="420" w:firstLineChars="200"/>
    </w:pPr>
  </w:style>
  <w:style w:type="paragraph" w:customStyle="1" w:styleId="48">
    <w:name w:val="正文-manu"/>
    <w:basedOn w:val="1"/>
    <w:qFormat/>
    <w:uiPriority w:val="0"/>
    <w:pPr>
      <w:spacing w:line="300" w:lineRule="auto"/>
    </w:pPr>
    <w:rPr>
      <w:b/>
      <w:snapToGrid w:val="0"/>
      <w:kern w:val="0"/>
      <w:sz w:val="24"/>
      <w:szCs w:val="20"/>
    </w:rPr>
  </w:style>
  <w:style w:type="character" w:customStyle="1" w:styleId="49">
    <w:name w:val="font01"/>
    <w:basedOn w:val="29"/>
    <w:qFormat/>
    <w:uiPriority w:val="0"/>
    <w:rPr>
      <w:rFonts w:hint="default" w:ascii="Arial" w:hAnsi="Arial" w:cs="Arial"/>
      <w:color w:val="000000"/>
      <w:sz w:val="22"/>
      <w:szCs w:val="22"/>
      <w:u w:val="none"/>
    </w:rPr>
  </w:style>
  <w:style w:type="character" w:customStyle="1" w:styleId="50">
    <w:name w:val="font41"/>
    <w:basedOn w:val="29"/>
    <w:qFormat/>
    <w:uiPriority w:val="0"/>
    <w:rPr>
      <w:rFonts w:hint="eastAsia" w:ascii="宋体" w:hAnsi="宋体" w:eastAsia="宋体" w:cs="宋体"/>
      <w:color w:val="000000"/>
      <w:sz w:val="22"/>
      <w:szCs w:val="22"/>
      <w:u w:val="none"/>
    </w:rPr>
  </w:style>
  <w:style w:type="character" w:customStyle="1" w:styleId="51">
    <w:name w:val="font51"/>
    <w:basedOn w:val="29"/>
    <w:qFormat/>
    <w:uiPriority w:val="0"/>
    <w:rPr>
      <w:rFonts w:hint="eastAsia" w:ascii="宋体" w:hAnsi="宋体" w:eastAsia="宋体" w:cs="宋体"/>
      <w:color w:val="000000"/>
      <w:sz w:val="22"/>
      <w:szCs w:val="22"/>
      <w:u w:val="none"/>
    </w:rPr>
  </w:style>
  <w:style w:type="character" w:customStyle="1" w:styleId="52">
    <w:name w:val="font31"/>
    <w:basedOn w:val="29"/>
    <w:qFormat/>
    <w:uiPriority w:val="0"/>
    <w:rPr>
      <w:rFonts w:hint="default" w:ascii="Arial" w:hAnsi="Arial" w:cs="Arial"/>
      <w:b/>
      <w:color w:val="000000"/>
      <w:sz w:val="22"/>
      <w:szCs w:val="22"/>
      <w:u w:val="none"/>
    </w:rPr>
  </w:style>
  <w:style w:type="character" w:customStyle="1" w:styleId="53">
    <w:name w:val="font91"/>
    <w:basedOn w:val="29"/>
    <w:qFormat/>
    <w:uiPriority w:val="0"/>
    <w:rPr>
      <w:rFonts w:hint="default" w:ascii="Arial" w:hAnsi="Arial" w:cs="Arial"/>
      <w:color w:val="000000"/>
      <w:sz w:val="22"/>
      <w:szCs w:val="22"/>
      <w:u w:val="none"/>
    </w:rPr>
  </w:style>
  <w:style w:type="character" w:customStyle="1" w:styleId="54">
    <w:name w:val="font81"/>
    <w:basedOn w:val="29"/>
    <w:qFormat/>
    <w:uiPriority w:val="0"/>
    <w:rPr>
      <w:rFonts w:hint="eastAsia" w:ascii="宋体" w:hAnsi="宋体" w:eastAsia="宋体" w:cs="宋体"/>
      <w:color w:val="000000"/>
      <w:sz w:val="22"/>
      <w:szCs w:val="22"/>
      <w:u w:val="none"/>
    </w:rPr>
  </w:style>
  <w:style w:type="character" w:customStyle="1" w:styleId="55">
    <w:name w:val="font21"/>
    <w:basedOn w:val="29"/>
    <w:qFormat/>
    <w:uiPriority w:val="0"/>
    <w:rPr>
      <w:rFonts w:ascii="微软雅黑" w:hAnsi="微软雅黑" w:eastAsia="微软雅黑" w:cs="微软雅黑"/>
      <w:b/>
      <w:color w:val="000000"/>
      <w:sz w:val="24"/>
      <w:szCs w:val="24"/>
      <w:u w:val="none"/>
    </w:rPr>
  </w:style>
  <w:style w:type="character" w:customStyle="1" w:styleId="56">
    <w:name w:val="font61"/>
    <w:basedOn w:val="29"/>
    <w:qFormat/>
    <w:uiPriority w:val="0"/>
    <w:rPr>
      <w:rFonts w:hint="default" w:ascii="Times New Roman" w:hAnsi="Times New Roman" w:cs="Times New Roman"/>
      <w:b/>
      <w:color w:val="000000"/>
      <w:sz w:val="24"/>
      <w:szCs w:val="24"/>
      <w:u w:val="none"/>
    </w:rPr>
  </w:style>
  <w:style w:type="character" w:customStyle="1" w:styleId="57">
    <w:name w:val="font71"/>
    <w:basedOn w:val="29"/>
    <w:qFormat/>
    <w:uiPriority w:val="0"/>
    <w:rPr>
      <w:rFonts w:hint="eastAsia" w:ascii="微软雅黑" w:hAnsi="微软雅黑" w:eastAsia="微软雅黑" w:cs="微软雅黑"/>
      <w:color w:val="000000"/>
      <w:sz w:val="24"/>
      <w:szCs w:val="24"/>
      <w:u w:val="none"/>
    </w:rPr>
  </w:style>
  <w:style w:type="character" w:customStyle="1" w:styleId="58">
    <w:name w:val="font101"/>
    <w:basedOn w:val="29"/>
    <w:qFormat/>
    <w:uiPriority w:val="0"/>
    <w:rPr>
      <w:rFonts w:hint="default" w:ascii="Times New Roman" w:hAnsi="Times New Roman" w:cs="Times New Roman"/>
      <w:color w:val="000000"/>
      <w:sz w:val="24"/>
      <w:szCs w:val="24"/>
      <w:u w:val="none"/>
    </w:rPr>
  </w:style>
  <w:style w:type="paragraph" w:customStyle="1" w:styleId="59">
    <w:name w:val="_Style 1"/>
    <w:basedOn w:val="1"/>
    <w:qFormat/>
    <w:uiPriority w:val="34"/>
    <w:pPr>
      <w:ind w:firstLine="420" w:firstLineChars="200"/>
    </w:pPr>
  </w:style>
  <w:style w:type="character" w:customStyle="1" w:styleId="60">
    <w:name w:val="无间隔 Char"/>
    <w:link w:val="43"/>
    <w:qFormat/>
    <w:uiPriority w:val="1"/>
    <w:rPr>
      <w:rFonts w:ascii="Calibri" w:hAnsi="Calibri" w:eastAsia="宋体" w:cs="Times New Roman"/>
      <w:kern w:val="2"/>
      <w:sz w:val="21"/>
      <w:szCs w:val="24"/>
      <w:lang w:val="en-US" w:eastAsia="zh-CN" w:bidi="ar-SA"/>
    </w:rPr>
  </w:style>
  <w:style w:type="paragraph" w:customStyle="1" w:styleId="61">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62">
    <w:name w:val="索引 11"/>
    <w:basedOn w:val="1"/>
    <w:next w:val="1"/>
    <w:qFormat/>
    <w:uiPriority w:val="0"/>
    <w:pPr>
      <w:spacing w:line="360" w:lineRule="auto"/>
    </w:pPr>
    <w:rPr>
      <w:rFonts w:ascii="仿宋_GB2312" w:eastAsia="仿宋_GB2312"/>
      <w:sz w:val="24"/>
      <w:szCs w:val="20"/>
    </w:rPr>
  </w:style>
  <w:style w:type="paragraph" w:customStyle="1" w:styleId="63">
    <w:name w:val="纯文本1"/>
    <w:basedOn w:val="1"/>
    <w:qFormat/>
    <w:uiPriority w:val="0"/>
    <w:rPr>
      <w:rFonts w:ascii="宋体" w:hAnsi="Courier New"/>
      <w:kern w:val="0"/>
      <w:sz w:val="20"/>
      <w:szCs w:val="20"/>
    </w:rPr>
  </w:style>
  <w:style w:type="paragraph" w:customStyle="1" w:styleId="64">
    <w:name w:val="段"/>
    <w:next w:val="1"/>
    <w:qFormat/>
    <w:uiPriority w:val="0"/>
    <w:pPr>
      <w:autoSpaceDE w:val="0"/>
      <w:autoSpaceDN w:val="0"/>
      <w:ind w:firstLine="420" w:firstLineChars="200"/>
      <w:jc w:val="both"/>
    </w:pPr>
    <w:rPr>
      <w:rFonts w:ascii="宋体" w:hAnsi="Calibri" w:eastAsia="宋体" w:cs="Times New Roman"/>
      <w:kern w:val="2"/>
      <w:sz w:val="21"/>
      <w:szCs w:val="21"/>
      <w:lang w:val="en-US" w:eastAsia="zh-CN" w:bidi="ar-SA"/>
    </w:rPr>
  </w:style>
  <w:style w:type="paragraph" w:customStyle="1" w:styleId="65">
    <w:name w:val="石墨文档正文"/>
    <w:qFormat/>
    <w:uiPriority w:val="0"/>
    <w:rPr>
      <w:rFonts w:ascii="微软雅黑" w:hAnsi="微软雅黑" w:eastAsia="微软雅黑" w:cs="微软雅黑"/>
      <w:sz w:val="24"/>
      <w:szCs w:val="24"/>
      <w:lang w:val="en-US" w:eastAsia="zh-CN" w:bidi="ar-SA"/>
    </w:rPr>
  </w:style>
  <w:style w:type="character" w:customStyle="1" w:styleId="66">
    <w:name w:val="批注框文本 Char"/>
    <w:basedOn w:val="29"/>
    <w:link w:val="16"/>
    <w:qFormat/>
    <w:uiPriority w:val="0"/>
    <w:rPr>
      <w:kern w:val="2"/>
      <w:sz w:val="18"/>
      <w:szCs w:val="18"/>
    </w:rPr>
  </w:style>
  <w:style w:type="character" w:customStyle="1" w:styleId="67">
    <w:name w:val="批注文字 Char"/>
    <w:basedOn w:val="29"/>
    <w:link w:val="8"/>
    <w:qFormat/>
    <w:uiPriority w:val="0"/>
    <w:rPr>
      <w:kern w:val="2"/>
      <w:sz w:val="21"/>
      <w:szCs w:val="24"/>
    </w:rPr>
  </w:style>
  <w:style w:type="character" w:customStyle="1" w:styleId="68">
    <w:name w:val="批注主题 Char"/>
    <w:basedOn w:val="67"/>
    <w:link w:val="25"/>
    <w:qFormat/>
    <w:uiPriority w:val="0"/>
    <w:rPr>
      <w:b/>
      <w:bCs/>
      <w:kern w:val="2"/>
      <w:sz w:val="21"/>
      <w:szCs w:val="24"/>
    </w:rPr>
  </w:style>
  <w:style w:type="paragraph" w:customStyle="1" w:styleId="69">
    <w:name w:val="CL标准正文首行缩进2字"/>
    <w:qFormat/>
    <w:uiPriority w:val="0"/>
    <w:pPr>
      <w:widowControl w:val="0"/>
      <w:spacing w:line="360" w:lineRule="auto"/>
      <w:ind w:firstLine="200"/>
      <w:jc w:val="both"/>
    </w:pPr>
    <w:rPr>
      <w:rFonts w:ascii="Arial" w:hAnsi="Arial" w:eastAsia="宋体" w:cs="Arial Unicode MS"/>
      <w:color w:val="000000"/>
      <w:kern w:val="2"/>
      <w:sz w:val="21"/>
      <w:szCs w:val="21"/>
      <w:u w:color="000000"/>
      <w:lang w:val="en-US" w:eastAsia="zh-CN" w:bidi="ar-SA"/>
    </w:rPr>
  </w:style>
  <w:style w:type="table" w:customStyle="1" w:styleId="70">
    <w:name w:val="Table Normal1"/>
    <w:qFormat/>
    <w:uiPriority w:val="0"/>
    <w:rPr>
      <w:rFonts w:ascii="Times New Roman" w:hAnsi="Times New Roman" w:cs="Times New Roman"/>
    </w:rPr>
    <w:tblPr>
      <w:tblCellMar>
        <w:top w:w="0" w:type="dxa"/>
        <w:left w:w="0" w:type="dxa"/>
        <w:bottom w:w="0" w:type="dxa"/>
        <w:right w:w="0" w:type="dxa"/>
      </w:tblCellMar>
    </w:tblPr>
  </w:style>
  <w:style w:type="paragraph" w:customStyle="1" w:styleId="71">
    <w:name w:val="样式 首行缩进:  2 字符"/>
    <w:basedOn w:val="1"/>
    <w:qFormat/>
    <w:uiPriority w:val="0"/>
    <w:pPr>
      <w:spacing w:line="360" w:lineRule="auto"/>
      <w:ind w:firstLine="480" w:firstLineChars="200"/>
      <w:jc w:val="left"/>
    </w:pPr>
    <w:rPr>
      <w:rFonts w:ascii="宋体" w:hAnsi="宋体" w:cs="宋体"/>
      <w:color w:val="000000"/>
      <w:sz w:val="24"/>
      <w:szCs w:val="20"/>
    </w:rPr>
  </w:style>
  <w:style w:type="paragraph" w:customStyle="1" w:styleId="72">
    <w:name w:val="p1"/>
    <w:basedOn w:val="1"/>
    <w:qFormat/>
    <w:uiPriority w:val="0"/>
    <w:pPr>
      <w:spacing w:before="0" w:beforeAutospacing="0" w:after="0" w:afterAutospacing="0"/>
      <w:ind w:left="0" w:right="0"/>
      <w:jc w:val="left"/>
    </w:pPr>
    <w:rPr>
      <w:rFonts w:ascii="pingfang sc" w:hAnsi="pingfang sc" w:eastAsia="pingfang sc" w:cs="pingfang sc"/>
      <w:kern w:val="0"/>
      <w:sz w:val="26"/>
      <w:szCs w:val="26"/>
      <w:lang w:val="en-US" w:eastAsia="zh-CN"/>
    </w:rPr>
  </w:style>
  <w:style w:type="character" w:customStyle="1" w:styleId="73">
    <w:name w:val="s1"/>
    <w:basedOn w:val="29"/>
    <w:qFormat/>
    <w:uiPriority w:val="0"/>
    <w:rPr>
      <w:rFonts w:ascii="pingfang sc" w:hAnsi="pingfang sc" w:eastAsia="pingfang sc" w:cs="pingfang sc"/>
      <w:sz w:val="40"/>
      <w:szCs w:val="40"/>
    </w:rPr>
  </w:style>
  <w:style w:type="character" w:customStyle="1" w:styleId="74">
    <w:name w:val="trans"/>
    <w:qFormat/>
    <w:uiPriority w:val="99"/>
  </w:style>
  <w:style w:type="paragraph" w:customStyle="1" w:styleId="75">
    <w:name w:val="正文 A"/>
    <w:qFormat/>
    <w:uiPriority w:val="0"/>
    <w:pPr>
      <w:keepNext w:val="0"/>
      <w:keepLines w:val="0"/>
      <w:pageBreakBefore w:val="0"/>
      <w:framePr w:wrap="around"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ascii="Times New Roman" w:hAnsi="Times New Roman"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76">
    <w:name w:val="页眉与页脚"/>
    <w:qFormat/>
    <w:uiPriority w:val="0"/>
    <w:pPr>
      <w:keepNext w:val="0"/>
      <w:keepLines w:val="0"/>
      <w:pageBreakBefore w:val="0"/>
      <w:framePr w:wrap="around" w:vAnchor="margin" w:hAnchor="text" w:yAlign="inline"/>
      <w:widowControl/>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tabs>
        <w:tab w:val="right" w:pos="9020"/>
      </w:tabs>
      <w:suppressAutoHyphens w:val="0"/>
      <w:bidi w:val="0"/>
      <w:spacing w:before="0" w:beforeAutospacing="0" w:after="0" w:afterAutospacing="0" w:line="240" w:lineRule="auto"/>
      <w:ind w:left="0" w:right="0" w:firstLine="0"/>
      <w:jc w:val="left"/>
      <w:outlineLvl w:val="9"/>
    </w:pPr>
    <w:rPr>
      <w:rFonts w:ascii="Helvetica Neue" w:hAnsi="Helvetica Neue" w:eastAsia="Arial Unicode MS" w:cs="Arial Unicode MS"/>
      <w:color w:val="000000"/>
      <w:spacing w:val="0"/>
      <w:w w:val="100"/>
      <w:kern w:val="0"/>
      <w:position w:val="0"/>
      <w:sz w:val="24"/>
      <w:szCs w:val="24"/>
      <w:u w:val="none" w:color="auto"/>
      <w:shd w:val="clear" w:color="auto" w:fill="auto"/>
      <w:vertAlign w:val="baseline"/>
    </w:rPr>
  </w:style>
  <w:style w:type="character" w:customStyle="1" w:styleId="77">
    <w:name w:val="PageNumber"/>
    <w:qFormat/>
    <w:uiPriority w:val="99"/>
    <w:rPr>
      <w:rFonts w:cs="Times New Roman"/>
    </w:rPr>
  </w:style>
  <w:style w:type="paragraph" w:customStyle="1" w:styleId="78">
    <w:name w:val="样式1"/>
    <w:basedOn w:val="4"/>
    <w:qFormat/>
    <w:uiPriority w:val="0"/>
    <w:pPr>
      <w:spacing w:before="100" w:beforeAutospacing="1" w:after="100" w:afterAutospacing="1"/>
      <w:ind w:right="100" w:rightChars="100"/>
    </w:pPr>
    <w:rPr>
      <w:sz w:val="21"/>
    </w:rPr>
  </w:style>
  <w:style w:type="paragraph" w:customStyle="1" w:styleId="79">
    <w:name w:val="UserStyle_15"/>
    <w:basedOn w:val="80"/>
    <w:qFormat/>
    <w:uiPriority w:val="0"/>
    <w:pPr>
      <w:keepNext/>
      <w:widowControl/>
      <w:numPr>
        <w:ilvl w:val="1"/>
        <w:numId w:val="2"/>
      </w:numPr>
      <w:spacing w:before="100" w:beforeAutospacing="1" w:after="100" w:afterAutospacing="1"/>
      <w:ind w:left="1710" w:right="100" w:rightChars="100"/>
      <w:textAlignment w:val="baseline"/>
    </w:pPr>
    <w:rPr>
      <w:rFonts w:ascii="Cambria" w:hAnsi="Cambria" w:cs="Times New Roman"/>
      <w:sz w:val="21"/>
      <w:szCs w:val="28"/>
      <w:lang w:bidi="ar-SA"/>
    </w:rPr>
  </w:style>
  <w:style w:type="paragraph" w:customStyle="1" w:styleId="80">
    <w:name w:val="Heading2"/>
    <w:basedOn w:val="1"/>
    <w:next w:val="1"/>
    <w:qFormat/>
    <w:uiPriority w:val="0"/>
    <w:pPr>
      <w:keepNext/>
      <w:widowControl/>
      <w:numPr>
        <w:ilvl w:val="1"/>
        <w:numId w:val="2"/>
      </w:numPr>
      <w:spacing w:before="240" w:after="60"/>
      <w:textAlignment w:val="baseline"/>
    </w:pPr>
    <w:rPr>
      <w:rFonts w:ascii="Cambria" w:hAnsi="Cambria" w:cs="Times New Roman"/>
      <w:b/>
      <w:bCs/>
      <w:i/>
      <w:iCs/>
      <w:sz w:val="28"/>
      <w:szCs w:val="28"/>
      <w:lang w:bidi="ar-SA"/>
    </w:rPr>
  </w:style>
  <w:style w:type="character" w:customStyle="1" w:styleId="81">
    <w:name w:val="UserStyle_2"/>
    <w:link w:val="82"/>
    <w:qFormat/>
    <w:uiPriority w:val="0"/>
    <w:rPr>
      <w:kern w:val="0"/>
      <w:sz w:val="20"/>
      <w:szCs w:val="24"/>
      <w:lang w:val="en-US" w:eastAsia="zh-CN" w:bidi="ar-SA"/>
    </w:rPr>
  </w:style>
  <w:style w:type="paragraph" w:customStyle="1" w:styleId="82">
    <w:name w:val="UserStyle_3"/>
    <w:basedOn w:val="1"/>
    <w:link w:val="81"/>
    <w:qFormat/>
    <w:uiPriority w:val="0"/>
    <w:pPr>
      <w:jc w:val="both"/>
      <w:textAlignment w:val="baseline"/>
    </w:pPr>
    <w:rPr>
      <w:kern w:val="0"/>
      <w:sz w:val="20"/>
      <w:szCs w:val="24"/>
      <w:lang w:val="en-US" w:eastAsia="zh-CN" w:bidi="ar-SA"/>
    </w:rPr>
  </w:style>
  <w:style w:type="paragraph" w:customStyle="1" w:styleId="83">
    <w:name w:val="List Paragraph1"/>
    <w:basedOn w:val="1"/>
    <w:qFormat/>
    <w:uiPriority w:val="0"/>
    <w:pPr>
      <w:ind w:firstLine="420" w:firstLineChars="200"/>
    </w:pPr>
  </w:style>
  <w:style w:type="paragraph" w:customStyle="1" w:styleId="84">
    <w:name w:val="List Paragraph"/>
    <w:basedOn w:val="1"/>
    <w:qFormat/>
    <w:uiPriority w:val="34"/>
    <w:pPr>
      <w:ind w:firstLine="420" w:firstLineChars="200"/>
    </w:pPr>
  </w:style>
  <w:style w:type="paragraph" w:customStyle="1" w:styleId="85">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Times New Roman"/>
      <w:kern w:val="0"/>
      <w:sz w:val="24"/>
      <w:szCs w:val="24"/>
    </w:rPr>
  </w:style>
  <w:style w:type="paragraph" w:customStyle="1" w:styleId="87">
    <w:name w:val="TOC Heading"/>
    <w:basedOn w:val="3"/>
    <w:next w:val="1"/>
    <w:unhideWhenUsed/>
    <w:qFormat/>
    <w:uiPriority w:val="39"/>
    <w:pPr>
      <w:widowControl/>
      <w:numPr>
        <w:ilvl w:val="0"/>
        <w:numId w:val="0"/>
      </w:numPr>
      <w:spacing w:before="480" w:after="0" w:line="276" w:lineRule="auto"/>
      <w:jc w:val="left"/>
      <w:outlineLvl w:val="9"/>
    </w:pPr>
    <w:rPr>
      <w:rFonts w:ascii="Cambria" w:hAnsi="Cambria"/>
      <w:color w:val="365F91"/>
      <w:kern w:val="0"/>
      <w:sz w:val="28"/>
      <w:szCs w:val="28"/>
    </w:rPr>
  </w:style>
  <w:style w:type="paragraph" w:customStyle="1" w:styleId="88">
    <w:name w:val="标题33"/>
    <w:basedOn w:val="5"/>
    <w:next w:val="38"/>
    <w:qFormat/>
    <w:uiPriority w:val="0"/>
    <w:pPr>
      <w:numPr>
        <w:ilvl w:val="2"/>
        <w:numId w:val="3"/>
      </w:numPr>
      <w:tabs>
        <w:tab w:val="clear" w:pos="720"/>
      </w:tabs>
    </w:pPr>
    <w:rPr>
      <w:rFonts w:hAnsi="黑体" w:eastAsia="黑体"/>
      <w:sz w:val="30"/>
      <w:szCs w:val="30"/>
    </w:rPr>
  </w:style>
  <w:style w:type="paragraph" w:customStyle="1" w:styleId="89">
    <w:name w:val="标题44"/>
    <w:basedOn w:val="2"/>
    <w:next w:val="38"/>
    <w:qFormat/>
    <w:uiPriority w:val="0"/>
    <w:pPr>
      <w:numPr>
        <w:ilvl w:val="3"/>
        <w:numId w:val="3"/>
      </w:numPr>
    </w:pPr>
    <w:rPr>
      <w:sz w:val="30"/>
      <w:szCs w:val="30"/>
    </w:rPr>
  </w:style>
  <w:style w:type="paragraph" w:customStyle="1" w:styleId="90">
    <w:name w:val="表格文字"/>
    <w:basedOn w:val="1"/>
    <w:qFormat/>
    <w:uiPriority w:val="0"/>
    <w:pPr>
      <w:spacing w:before="25" w:after="25"/>
      <w:jc w:val="left"/>
    </w:pPr>
    <w:rPr>
      <w:bCs/>
      <w:spacing w:val="10"/>
      <w:kern w:val="0"/>
      <w:sz w:val="24"/>
    </w:rPr>
  </w:style>
  <w:style w:type="paragraph" w:customStyle="1" w:styleId="91">
    <w:name w:val="p0"/>
    <w:basedOn w:val="1"/>
    <w:qFormat/>
    <w:uiPriority w:val="0"/>
    <w:pPr>
      <w:widowControl/>
    </w:pPr>
    <w:rPr>
      <w:kern w:val="0"/>
      <w:szCs w:val="21"/>
    </w:rPr>
  </w:style>
  <w:style w:type="character" w:customStyle="1" w:styleId="92">
    <w:name w:val="font11"/>
    <w:basedOn w:val="29"/>
    <w:qFormat/>
    <w:uiPriority w:val="0"/>
    <w:rPr>
      <w:rFonts w:hint="eastAsia" w:ascii="宋体" w:hAnsi="宋体" w:eastAsia="宋体" w:cs="宋体"/>
      <w:color w:val="333333"/>
      <w:sz w:val="24"/>
      <w:szCs w:val="24"/>
      <w:u w:val="none"/>
    </w:rPr>
  </w:style>
  <w:style w:type="table" w:customStyle="1" w:styleId="93">
    <w:name w:val="Table Normal"/>
    <w:unhideWhenUsed/>
    <w:qFormat/>
    <w:uiPriority w:val="0"/>
    <w:tblPr>
      <w:tblCellMar>
        <w:top w:w="0" w:type="dxa"/>
        <w:left w:w="0" w:type="dxa"/>
        <w:bottom w:w="0" w:type="dxa"/>
        <w:right w:w="0" w:type="dxa"/>
      </w:tblCellMar>
    </w:tblPr>
  </w:style>
  <w:style w:type="paragraph" w:customStyle="1" w:styleId="94">
    <w:name w:val="ParaAttribute13"/>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95">
    <w:name w:val="CharAttribute0"/>
    <w:qFormat/>
    <w:uiPriority w:val="0"/>
    <w:rPr>
      <w:rFonts w:ascii="Times New Roman" w:eastAsia="宋体"/>
      <w:sz w:val="21"/>
    </w:rPr>
  </w:style>
  <w:style w:type="paragraph" w:customStyle="1" w:styleId="96">
    <w:name w:val="普通(网站)1"/>
    <w:basedOn w:val="1"/>
    <w:qFormat/>
    <w:uiPriority w:val="2"/>
    <w:pPr>
      <w:spacing w:before="75" w:after="75"/>
      <w:ind w:left="0" w:right="0" w:firstLine="0"/>
      <w:jc w:val="left"/>
    </w:pPr>
    <w:rPr>
      <w:kern w:val="0"/>
      <w:sz w:val="24"/>
      <w:lang w:val="en-US" w:eastAsia="zh-CN" w:bidi="ar"/>
    </w:rPr>
  </w:style>
  <w:style w:type="character" w:customStyle="1" w:styleId="97">
    <w:name w:val="font121"/>
    <w:basedOn w:val="29"/>
    <w:qFormat/>
    <w:uiPriority w:val="0"/>
    <w:rPr>
      <w:rFonts w:hint="default" w:ascii="Times New Roman" w:hAnsi="Times New Roman" w:cs="Times New Roman"/>
      <w:b/>
      <w:bCs/>
      <w:color w:val="000000"/>
      <w:sz w:val="22"/>
      <w:szCs w:val="22"/>
      <w:u w:val="none"/>
    </w:rPr>
  </w:style>
  <w:style w:type="character" w:customStyle="1" w:styleId="98">
    <w:name w:val="font131"/>
    <w:basedOn w:val="29"/>
    <w:qFormat/>
    <w:uiPriority w:val="0"/>
    <w:rPr>
      <w:rFonts w:hint="eastAsia" w:ascii="宋体" w:hAnsi="宋体" w:eastAsia="宋体" w:cs="宋体"/>
      <w:b/>
      <w:bCs/>
      <w:color w:val="FF0000"/>
      <w:sz w:val="22"/>
      <w:szCs w:val="22"/>
      <w:u w:val="none"/>
    </w:rPr>
  </w:style>
  <w:style w:type="paragraph" w:customStyle="1" w:styleId="99">
    <w:name w:val="Table Paragraph"/>
    <w:basedOn w:val="1"/>
    <w:qFormat/>
    <w:uiPriority w:val="1"/>
    <w:pPr>
      <w:spacing w:before="85"/>
      <w:jc w:val="center"/>
    </w:pPr>
    <w:rPr>
      <w:rFonts w:ascii="宋体" w:hAnsi="宋体" w:eastAsia="宋体" w:cs="宋体"/>
      <w:lang w:val="zh-CN" w:eastAsia="zh-CN" w:bidi="zh-CN"/>
    </w:rPr>
  </w:style>
  <w:style w:type="paragraph" w:customStyle="1" w:styleId="100">
    <w:name w:val="Table Text"/>
    <w:basedOn w:val="1"/>
    <w:semiHidden/>
    <w:qFormat/>
    <w:uiPriority w:val="0"/>
    <w:rPr>
      <w:rFonts w:ascii="宋体" w:hAnsi="宋体" w:eastAsia="宋体" w:cs="宋体"/>
      <w:sz w:val="20"/>
      <w:szCs w:val="20"/>
      <w:lang w:val="en-US" w:eastAsia="en-US" w:bidi="ar-SA"/>
    </w:rPr>
  </w:style>
  <w:style w:type="character" w:customStyle="1" w:styleId="101">
    <w:name w:val="标题 1 字符"/>
    <w:link w:val="3"/>
    <w:qFormat/>
    <w:uiPriority w:val="0"/>
    <w:rPr>
      <w:rFonts w:ascii="宋体"/>
      <w:kern w:val="44"/>
      <w:sz w:val="32"/>
      <w:szCs w:val="20"/>
    </w:rPr>
  </w:style>
  <w:style w:type="character" w:customStyle="1" w:styleId="102">
    <w:name w:val="font111"/>
    <w:basedOn w:val="29"/>
    <w:qFormat/>
    <w:uiPriority w:val="0"/>
    <w:rPr>
      <w:rFonts w:hint="eastAsia" w:ascii="宋体" w:hAnsi="宋体" w:eastAsia="宋体" w:cs="宋体"/>
      <w:color w:val="1D41D5"/>
      <w:sz w:val="21"/>
      <w:szCs w:val="21"/>
      <w:u w:val="none"/>
    </w:rPr>
  </w:style>
  <w:style w:type="character" w:customStyle="1" w:styleId="103">
    <w:name w:val="font132"/>
    <w:basedOn w:val="29"/>
    <w:qFormat/>
    <w:uiPriority w:val="0"/>
    <w:rPr>
      <w:rFonts w:hint="default" w:ascii="Times New Roman" w:hAnsi="Times New Roman" w:cs="Times New Roman"/>
      <w:color w:val="1D41D5"/>
      <w:sz w:val="21"/>
      <w:szCs w:val="21"/>
      <w:u w:val="none"/>
    </w:rPr>
  </w:style>
  <w:style w:type="paragraph" w:customStyle="1" w:styleId="104">
    <w:name w:val="Quote"/>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80</Pages>
  <Words>10600</Words>
  <Characters>11537</Characters>
  <Lines>0</Lines>
  <Paragraphs>2159</Paragraphs>
  <TotalTime>0</TotalTime>
  <ScaleCrop>false</ScaleCrop>
  <LinksUpToDate>false</LinksUpToDate>
  <CharactersWithSpaces>12172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2021-06-23T19:44:00Z</dcterms:created>
  <dc:creator>WPS_1542621076</dc:creator>
  <cp:lastModifiedBy>虾仁不眨眼</cp:lastModifiedBy>
  <cp:lastPrinted>2023-08-14T16:00:00Z</cp:lastPrinted>
  <dcterms:modified xsi:type="dcterms:W3CDTF">2025-04-01T05:36:40Z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8C7A1D691B004C8AB65AFC0873CDE5F0_13</vt:lpwstr>
  </property>
  <property fmtid="{D5CDD505-2E9C-101B-9397-08002B2CF9AE}" pid="4" name="KSOTemplateDocerSaveRecord">
    <vt:lpwstr>eyJoZGlkIjoiMDY5OGVjMGY2OWE5YzBiMzJmNmY0YjAxYTAwZDBkNzQiLCJ1c2VySWQiOiIxNTk5NDEwOTQyIn0=</vt:lpwstr>
  </property>
</Properties>
</file>